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72"/>
          <w:szCs w:val="72"/>
        </w:rPr>
      </w:pPr>
      <w:r>
        <w:rPr>
          <w:b/>
          <w:bCs/>
          <w:sz w:val="72"/>
          <w:szCs w:val="72"/>
        </w:rPr>
        <w:t>建设项目环境影响报告表</w:t>
      </w:r>
    </w:p>
    <w:p>
      <w:pPr>
        <w:adjustRightInd w:val="0"/>
        <w:snapToGrid w:val="0"/>
        <w:spacing w:before="192" w:beforeLines="80"/>
        <w:jc w:val="center"/>
        <w:rPr>
          <w:rFonts w:hint="eastAsia" w:ascii="Times New Roman" w:hAnsi="Times New Roman" w:eastAsia="宋体" w:cs="Times New Roman"/>
          <w:b/>
          <w:bCs w:val="0"/>
          <w:sz w:val="44"/>
          <w:szCs w:val="44"/>
        </w:rPr>
      </w:pPr>
      <w:r>
        <w:rPr>
          <w:rFonts w:ascii="Times New Roman" w:hAnsi="Times New Roman" w:eastAsia="宋体" w:cs="Times New Roman"/>
          <w:b/>
          <w:bCs w:val="0"/>
          <w:sz w:val="44"/>
          <w:szCs w:val="44"/>
        </w:rPr>
        <w:t>（</w:t>
      </w:r>
      <w:r>
        <w:rPr>
          <w:rFonts w:hint="eastAsia" w:cs="Times New Roman"/>
          <w:b/>
          <w:bCs w:val="0"/>
          <w:sz w:val="44"/>
          <w:szCs w:val="44"/>
          <w:lang w:val="en-US" w:eastAsia="zh-CN"/>
        </w:rPr>
        <w:t>生态</w:t>
      </w:r>
      <w:r>
        <w:rPr>
          <w:rFonts w:ascii="Times New Roman" w:hAnsi="Times New Roman" w:eastAsia="宋体" w:cs="Times New Roman"/>
          <w:b/>
          <w:bCs w:val="0"/>
          <w:sz w:val="44"/>
          <w:szCs w:val="44"/>
        </w:rPr>
        <w:t>影响类）</w:t>
      </w:r>
    </w:p>
    <w:p>
      <w:pPr>
        <w:adjustRightInd w:val="0"/>
        <w:snapToGrid w:val="0"/>
        <w:spacing w:line="288" w:lineRule="auto"/>
        <w:jc w:val="center"/>
        <w:outlineLvl w:val="0"/>
        <w:rPr>
          <w:kern w:val="44"/>
          <w:sz w:val="24"/>
        </w:rPr>
      </w:pPr>
    </w:p>
    <w:p>
      <w:pPr>
        <w:jc w:val="center"/>
        <w:rPr>
          <w:sz w:val="24"/>
        </w:rPr>
      </w:pPr>
    </w:p>
    <w:p>
      <w:pPr>
        <w:ind w:firstLine="1040"/>
        <w:rPr>
          <w:sz w:val="24"/>
        </w:rPr>
      </w:pPr>
    </w:p>
    <w:p>
      <w:pPr>
        <w:ind w:firstLine="1040"/>
        <w:rPr>
          <w:sz w:val="24"/>
        </w:rPr>
      </w:pPr>
    </w:p>
    <w:p>
      <w:pPr>
        <w:ind w:firstLine="1040"/>
        <w:rPr>
          <w:sz w:val="24"/>
        </w:rPr>
      </w:pPr>
    </w:p>
    <w:p>
      <w:pPr>
        <w:pStyle w:val="26"/>
        <w:ind w:firstLine="240"/>
        <w:rPr>
          <w:sz w:val="24"/>
          <w:szCs w:val="24"/>
        </w:rPr>
      </w:pPr>
    </w:p>
    <w:p>
      <w:pPr>
        <w:pStyle w:val="26"/>
        <w:ind w:firstLine="240"/>
        <w:rPr>
          <w:sz w:val="24"/>
          <w:szCs w:val="24"/>
        </w:rPr>
      </w:pPr>
    </w:p>
    <w:p>
      <w:pPr>
        <w:pStyle w:val="26"/>
        <w:ind w:firstLine="240"/>
        <w:rPr>
          <w:sz w:val="24"/>
          <w:szCs w:val="24"/>
        </w:rPr>
      </w:pPr>
    </w:p>
    <w:p>
      <w:pPr>
        <w:pStyle w:val="26"/>
        <w:ind w:firstLine="240"/>
        <w:rPr>
          <w:sz w:val="24"/>
          <w:szCs w:val="24"/>
        </w:rPr>
      </w:pPr>
    </w:p>
    <w:p>
      <w:pPr>
        <w:ind w:firstLine="1040"/>
        <w:rPr>
          <w:sz w:val="24"/>
        </w:rPr>
      </w:pPr>
    </w:p>
    <w:p>
      <w:pPr>
        <w:adjustRightInd w:val="0"/>
        <w:snapToGrid w:val="0"/>
        <w:spacing w:line="480" w:lineRule="auto"/>
        <w:ind w:firstLine="640" w:firstLineChars="200"/>
        <w:rPr>
          <w:rFonts w:hint="eastAsia"/>
          <w:sz w:val="32"/>
          <w:szCs w:val="32"/>
          <w:u w:val="single"/>
          <w:lang w:val="en-US" w:eastAsia="zh-CN"/>
        </w:rPr>
      </w:pPr>
      <w:r>
        <w:rPr>
          <w:sz w:val="32"/>
          <w:szCs w:val="32"/>
          <w:u w:val="none"/>
        </w:rPr>
        <w:t>项目名称：</w:t>
      </w:r>
      <w:r>
        <w:rPr>
          <w:rFonts w:hint="eastAsia"/>
          <w:sz w:val="32"/>
          <w:szCs w:val="32"/>
          <w:u w:val="single"/>
          <w:lang w:val="en-US" w:eastAsia="zh-CN"/>
        </w:rPr>
        <w:t>宁县成盛建材有限责任公司年产6000万块</w:t>
      </w:r>
    </w:p>
    <w:p>
      <w:pPr>
        <w:adjustRightInd w:val="0"/>
        <w:snapToGrid w:val="0"/>
        <w:spacing w:line="480" w:lineRule="auto"/>
        <w:ind w:firstLine="2240" w:firstLineChars="700"/>
        <w:rPr>
          <w:rFonts w:hint="eastAsia"/>
          <w:sz w:val="32"/>
          <w:szCs w:val="32"/>
          <w:u w:val="single"/>
          <w:lang w:val="en-US" w:eastAsia="zh-CN"/>
        </w:rPr>
      </w:pPr>
      <w:r>
        <w:rPr>
          <w:rFonts w:hint="eastAsia"/>
          <w:sz w:val="32"/>
          <w:szCs w:val="32"/>
          <w:u w:val="single"/>
          <w:lang w:val="en-US" w:eastAsia="zh-CN"/>
        </w:rPr>
        <w:t>（折合标砖）烧结空心砖及空心砌块煤矸</w:t>
      </w:r>
    </w:p>
    <w:p>
      <w:pPr>
        <w:adjustRightInd w:val="0"/>
        <w:snapToGrid w:val="0"/>
        <w:spacing w:line="480" w:lineRule="auto"/>
        <w:ind w:firstLine="3520" w:firstLineChars="1100"/>
        <w:jc w:val="both"/>
        <w:rPr>
          <w:rFonts w:hint="eastAsia"/>
          <w:sz w:val="32"/>
          <w:szCs w:val="32"/>
          <w:u w:val="single"/>
        </w:rPr>
      </w:pPr>
      <w:r>
        <w:rPr>
          <w:rFonts w:hint="eastAsia"/>
          <w:sz w:val="32"/>
          <w:szCs w:val="32"/>
          <w:u w:val="single"/>
          <w:lang w:val="en-US" w:eastAsia="zh-CN"/>
        </w:rPr>
        <w:t>石综合利用项目</w:t>
      </w:r>
    </w:p>
    <w:p>
      <w:pPr>
        <w:adjustRightInd w:val="0"/>
        <w:snapToGrid w:val="0"/>
        <w:spacing w:line="480" w:lineRule="auto"/>
        <w:ind w:firstLine="640" w:firstLineChars="200"/>
        <w:rPr>
          <w:sz w:val="32"/>
          <w:szCs w:val="32"/>
          <w:u w:val="single"/>
        </w:rPr>
      </w:pPr>
      <w:r>
        <w:rPr>
          <w:sz w:val="32"/>
          <w:szCs w:val="32"/>
          <w:u w:val="none"/>
        </w:rPr>
        <w:t>建设单位</w:t>
      </w:r>
      <w:r>
        <w:rPr>
          <w:rFonts w:hint="eastAsia"/>
          <w:sz w:val="32"/>
          <w:szCs w:val="32"/>
          <w:u w:val="none"/>
          <w:lang w:eastAsia="zh-CN"/>
        </w:rPr>
        <w:t>（盖章）</w:t>
      </w:r>
      <w:r>
        <w:rPr>
          <w:sz w:val="32"/>
          <w:szCs w:val="32"/>
          <w:u w:val="none"/>
        </w:rPr>
        <w:t>：</w:t>
      </w:r>
      <w:r>
        <w:rPr>
          <w:rFonts w:hint="eastAsia"/>
          <w:sz w:val="32"/>
          <w:szCs w:val="32"/>
          <w:u w:val="single"/>
        </w:rPr>
        <w:t xml:space="preserve"> </w:t>
      </w:r>
      <w:r>
        <w:rPr>
          <w:rFonts w:hint="eastAsia"/>
          <w:sz w:val="32"/>
          <w:szCs w:val="32"/>
          <w:u w:val="single"/>
          <w:lang w:val="en-US" w:eastAsia="zh-CN"/>
        </w:rPr>
        <w:t>宁县成盛建材有限责任公司</w:t>
      </w:r>
      <w:r>
        <w:rPr>
          <w:rFonts w:hint="eastAsia"/>
          <w:sz w:val="32"/>
          <w:szCs w:val="32"/>
          <w:u w:val="single"/>
        </w:rPr>
        <w:t xml:space="preserve"> </w:t>
      </w:r>
    </w:p>
    <w:p>
      <w:pPr>
        <w:adjustRightInd w:val="0"/>
        <w:snapToGrid w:val="0"/>
        <w:spacing w:line="480" w:lineRule="auto"/>
        <w:ind w:firstLine="640" w:firstLineChars="200"/>
        <w:rPr>
          <w:sz w:val="32"/>
          <w:szCs w:val="32"/>
          <w:u w:val="single"/>
        </w:rPr>
      </w:pPr>
      <w:r>
        <w:rPr>
          <w:sz w:val="32"/>
          <w:szCs w:val="32"/>
          <w:u w:val="none"/>
        </w:rPr>
        <w:t>编制日期：</w:t>
      </w:r>
      <w:r>
        <w:rPr>
          <w:sz w:val="32"/>
          <w:szCs w:val="32"/>
          <w:u w:val="single"/>
        </w:rPr>
        <w:t xml:space="preserve">      </w:t>
      </w:r>
      <w:r>
        <w:rPr>
          <w:rFonts w:hint="eastAsia"/>
          <w:sz w:val="32"/>
          <w:szCs w:val="32"/>
          <w:u w:val="single"/>
        </w:rPr>
        <w:t xml:space="preserve">   </w:t>
      </w:r>
      <w:r>
        <w:rPr>
          <w:sz w:val="32"/>
          <w:szCs w:val="32"/>
          <w:u w:val="single"/>
        </w:rPr>
        <w:t>二〇二</w:t>
      </w:r>
      <w:r>
        <w:rPr>
          <w:rFonts w:hint="eastAsia"/>
          <w:sz w:val="32"/>
          <w:szCs w:val="32"/>
          <w:u w:val="single"/>
          <w:lang w:val="en-US" w:eastAsia="zh-CN"/>
        </w:rPr>
        <w:t>三</w:t>
      </w:r>
      <w:r>
        <w:rPr>
          <w:sz w:val="32"/>
          <w:szCs w:val="32"/>
          <w:u w:val="single"/>
        </w:rPr>
        <w:t>年</w:t>
      </w:r>
      <w:r>
        <w:rPr>
          <w:rFonts w:hint="eastAsia"/>
          <w:sz w:val="32"/>
          <w:szCs w:val="32"/>
          <w:u w:val="single"/>
          <w:lang w:val="en-US" w:eastAsia="zh-CN"/>
        </w:rPr>
        <w:t>六</w:t>
      </w:r>
      <w:r>
        <w:rPr>
          <w:sz w:val="32"/>
          <w:szCs w:val="32"/>
          <w:u w:val="single"/>
        </w:rPr>
        <w:t xml:space="preserve">月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p>
    <w:p>
      <w:pPr>
        <w:adjustRightInd w:val="0"/>
        <w:snapToGrid w:val="0"/>
        <w:spacing w:line="288" w:lineRule="auto"/>
        <w:ind w:firstLine="1040"/>
        <w:rPr>
          <w:sz w:val="24"/>
          <w:u w:val="single"/>
        </w:rPr>
      </w:pPr>
      <w:bookmarkStart w:id="0" w:name="_Hlk57884087"/>
    </w:p>
    <w:p>
      <w:pPr>
        <w:adjustRightInd w:val="0"/>
        <w:snapToGrid w:val="0"/>
        <w:spacing w:line="288" w:lineRule="auto"/>
        <w:ind w:firstLine="1040"/>
        <w:rPr>
          <w:sz w:val="24"/>
        </w:rPr>
      </w:pPr>
    </w:p>
    <w:p>
      <w:pPr>
        <w:adjustRightInd w:val="0"/>
        <w:snapToGrid w:val="0"/>
        <w:spacing w:line="288" w:lineRule="auto"/>
        <w:rPr>
          <w:sz w:val="24"/>
        </w:rPr>
      </w:pPr>
    </w:p>
    <w:p>
      <w:pPr>
        <w:adjustRightInd w:val="0"/>
        <w:snapToGrid w:val="0"/>
        <w:spacing w:line="288" w:lineRule="auto"/>
        <w:ind w:firstLine="1040"/>
        <w:rPr>
          <w:sz w:val="24"/>
        </w:rPr>
      </w:pPr>
    </w:p>
    <w:p>
      <w:pPr>
        <w:pStyle w:val="6"/>
      </w:pPr>
    </w:p>
    <w:bookmarkEnd w:id="0"/>
    <w:p>
      <w:pPr>
        <w:adjustRightInd w:val="0"/>
        <w:snapToGrid w:val="0"/>
        <w:spacing w:line="288" w:lineRule="auto"/>
        <w:jc w:val="center"/>
      </w:pPr>
      <w:r>
        <w:rPr>
          <w:sz w:val="32"/>
          <w:szCs w:val="32"/>
        </w:rPr>
        <w:t>中华人民共和国生态环境部</w:t>
      </w:r>
    </w:p>
    <w:p>
      <w:pPr>
        <w:rPr>
          <w:rFonts w:hint="eastAsia" w:ascii="宋体" w:hAnsi="宋体" w:eastAsia="宋体" w:cs="宋体"/>
          <w:b/>
          <w:bCs/>
          <w:snapToGrid w:val="0"/>
          <w:color w:val="auto"/>
          <w:sz w:val="30"/>
          <w:szCs w:val="30"/>
        </w:rPr>
      </w:pPr>
    </w:p>
    <w:p>
      <w:pPr>
        <w:rPr>
          <w:rFonts w:hint="eastAsia" w:ascii="宋体" w:hAnsi="宋体" w:eastAsia="宋体" w:cs="宋体"/>
          <w:b/>
          <w:bCs/>
          <w:snapToGrid w:val="0"/>
          <w:color w:val="auto"/>
          <w:sz w:val="30"/>
          <w:szCs w:val="30"/>
        </w:rPr>
      </w:pPr>
    </w:p>
    <w:p>
      <w:pPr>
        <w:rPr>
          <w:rFonts w:hint="eastAsia" w:ascii="宋体" w:hAnsi="宋体" w:eastAsia="宋体" w:cs="宋体"/>
          <w:b/>
          <w:bCs/>
          <w:snapToGrid w:val="0"/>
          <w:color w:val="auto"/>
          <w:sz w:val="30"/>
          <w:szCs w:val="30"/>
        </w:rPr>
      </w:pPr>
    </w:p>
    <w:p>
      <w:pPr>
        <w:rPr>
          <w:rFonts w:hint="eastAsia" w:ascii="宋体" w:hAnsi="宋体" w:eastAsia="宋体" w:cs="宋体"/>
          <w:b/>
          <w:bCs/>
          <w:snapToGrid w:val="0"/>
          <w:color w:val="auto"/>
          <w:sz w:val="30"/>
          <w:szCs w:val="30"/>
        </w:rPr>
      </w:pPr>
    </w:p>
    <w:p>
      <w:pPr>
        <w:rPr>
          <w:rFonts w:hint="eastAsia" w:ascii="宋体" w:hAnsi="宋体" w:eastAsia="宋体" w:cs="宋体"/>
          <w:b/>
          <w:bCs/>
          <w:snapToGrid w:val="0"/>
          <w:color w:val="auto"/>
          <w:sz w:val="30"/>
          <w:szCs w:val="30"/>
        </w:rPr>
      </w:pPr>
    </w:p>
    <w:p>
      <w:pPr>
        <w:rPr>
          <w:rFonts w:hint="eastAsia" w:ascii="宋体" w:hAnsi="宋体" w:eastAsia="宋体" w:cs="宋体"/>
          <w:b/>
          <w:bCs/>
          <w:snapToGrid w:val="0"/>
          <w:color w:val="auto"/>
          <w:sz w:val="30"/>
          <w:szCs w:val="30"/>
        </w:rPr>
      </w:pPr>
    </w:p>
    <w:p>
      <w:pPr>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br w:type="page"/>
      </w:r>
    </w:p>
    <w:p>
      <w:pPr>
        <w:pStyle w:val="24"/>
        <w:jc w:val="center"/>
        <w:outlineLvl w:val="0"/>
        <w:rPr>
          <w:rFonts w:hint="eastAsia" w:ascii="宋体" w:hAnsi="宋体" w:eastAsia="宋体" w:cs="宋体"/>
          <w:b/>
          <w:bCs/>
          <w:snapToGrid w:val="0"/>
          <w:color w:val="auto"/>
          <w:sz w:val="30"/>
          <w:szCs w:val="30"/>
          <w:highlight w:val="red"/>
          <w:lang w:val="en-US" w:eastAsia="zh-CN"/>
        </w:rPr>
      </w:pPr>
      <w:r>
        <w:rPr>
          <w:rFonts w:hint="eastAsia" w:ascii="宋体" w:hAnsi="宋体" w:eastAsia="宋体" w:cs="宋体"/>
          <w:b/>
          <w:bCs/>
          <w:snapToGrid w:val="0"/>
          <w:color w:val="auto"/>
          <w:sz w:val="30"/>
          <w:szCs w:val="30"/>
        </w:rPr>
        <w:t>一、建设项目基本情况</w:t>
      </w:r>
    </w:p>
    <w:tbl>
      <w:tblPr>
        <w:tblStyle w:val="28"/>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27"/>
        <w:gridCol w:w="2312"/>
        <w:gridCol w:w="2138"/>
        <w:gridCol w:w="2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27"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建设项目</w:t>
            </w:r>
          </w:p>
          <w:p>
            <w:pPr>
              <w:adjustRightInd w:val="0"/>
              <w:snapToGrid w:val="0"/>
              <w:jc w:val="center"/>
              <w:rPr>
                <w:color w:val="auto"/>
                <w:sz w:val="24"/>
                <w:szCs w:val="24"/>
              </w:rPr>
            </w:pPr>
            <w:r>
              <w:rPr>
                <w:color w:val="auto"/>
                <w:sz w:val="24"/>
                <w:szCs w:val="24"/>
              </w:rPr>
              <w:t>名称</w:t>
            </w:r>
          </w:p>
        </w:tc>
        <w:tc>
          <w:tcPr>
            <w:tcW w:w="7443" w:type="dxa"/>
            <w:gridSpan w:val="3"/>
            <w:vAlign w:val="center"/>
          </w:tcPr>
          <w:p>
            <w:pPr>
              <w:adjustRightInd w:val="0"/>
              <w:snapToGrid w:val="0"/>
              <w:spacing w:line="240" w:lineRule="auto"/>
              <w:ind w:firstLine="0" w:firstLineChars="0"/>
              <w:jc w:val="center"/>
              <w:rPr>
                <w:rFonts w:hint="eastAsia" w:eastAsia="宋体"/>
                <w:color w:val="auto"/>
                <w:sz w:val="24"/>
                <w:szCs w:val="24"/>
                <w:lang w:eastAsia="zh-CN"/>
              </w:rPr>
            </w:pPr>
            <w:r>
              <w:rPr>
                <w:rFonts w:hint="eastAsia" w:eastAsia="宋体"/>
                <w:color w:val="auto"/>
                <w:sz w:val="24"/>
                <w:szCs w:val="24"/>
                <w:lang w:val="en-US" w:eastAsia="zh-CN"/>
              </w:rPr>
              <w:t>宁县成盛建材有限责任公司年产6000万块（折合标砖）烧结空心砖及空心砌块煤矸石综合利用项目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项目代码</w:t>
            </w:r>
          </w:p>
        </w:tc>
        <w:tc>
          <w:tcPr>
            <w:tcW w:w="7443" w:type="dxa"/>
            <w:gridSpan w:val="3"/>
            <w:vAlign w:val="center"/>
          </w:tcPr>
          <w:p>
            <w:pPr>
              <w:adjustRightInd w:val="0"/>
              <w:snapToGrid w:val="0"/>
              <w:spacing w:line="240" w:lineRule="auto"/>
              <w:ind w:firstLine="0" w:firstLineChars="0"/>
              <w:jc w:val="center"/>
              <w:rPr>
                <w:rFonts w:hint="eastAsia" w:eastAsia="宋体"/>
                <w:color w:val="auto"/>
                <w:sz w:val="24"/>
                <w:szCs w:val="24"/>
                <w:lang w:val="en-US" w:eastAsia="zh-CN"/>
              </w:rPr>
            </w:pPr>
            <w:r>
              <w:rPr>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rFonts w:hint="eastAsia"/>
                <w:color w:val="auto"/>
                <w:sz w:val="24"/>
                <w:szCs w:val="24"/>
                <w:lang w:val="en-US" w:eastAsia="zh-CN"/>
              </w:rPr>
            </w:pPr>
            <w:r>
              <w:rPr>
                <w:rFonts w:hint="eastAsia"/>
                <w:color w:val="auto"/>
                <w:sz w:val="24"/>
                <w:szCs w:val="24"/>
                <w:lang w:val="en-US" w:eastAsia="zh-CN"/>
              </w:rPr>
              <w:t>建设单位</w:t>
            </w:r>
          </w:p>
          <w:p>
            <w:pPr>
              <w:adjustRightInd w:val="0"/>
              <w:snapToGrid w:val="0"/>
              <w:jc w:val="center"/>
              <w:rPr>
                <w:rFonts w:hint="default" w:eastAsia="宋体"/>
                <w:color w:val="auto"/>
                <w:sz w:val="24"/>
                <w:szCs w:val="24"/>
                <w:lang w:val="en-US" w:eastAsia="zh-CN"/>
              </w:rPr>
            </w:pPr>
            <w:r>
              <w:rPr>
                <w:color w:val="auto"/>
                <w:sz w:val="24"/>
                <w:szCs w:val="24"/>
              </w:rPr>
              <w:t>联系人</w:t>
            </w:r>
          </w:p>
        </w:tc>
        <w:tc>
          <w:tcPr>
            <w:tcW w:w="2312" w:type="dxa"/>
            <w:vAlign w:val="center"/>
          </w:tcPr>
          <w:p>
            <w:pPr>
              <w:adjustRightInd w:val="0"/>
              <w:snapToGrid w:val="0"/>
              <w:spacing w:line="240" w:lineRule="auto"/>
              <w:ind w:firstLine="0" w:firstLineChars="0"/>
              <w:jc w:val="center"/>
              <w:rPr>
                <w:rFonts w:hint="default"/>
                <w:color w:val="auto"/>
                <w:sz w:val="24"/>
                <w:szCs w:val="24"/>
                <w:lang w:val="en-US" w:eastAsia="zh-CN"/>
              </w:rPr>
            </w:pPr>
            <w:r>
              <w:rPr>
                <w:rFonts w:hint="eastAsia"/>
                <w:color w:val="auto"/>
                <w:sz w:val="24"/>
                <w:szCs w:val="24"/>
                <w:lang w:val="en-US" w:eastAsia="zh-CN"/>
              </w:rPr>
              <w:t>李聚成</w:t>
            </w:r>
          </w:p>
        </w:tc>
        <w:tc>
          <w:tcPr>
            <w:tcW w:w="2138" w:type="dxa"/>
            <w:vAlign w:val="center"/>
          </w:tcPr>
          <w:p>
            <w:pPr>
              <w:adjustRightInd w:val="0"/>
              <w:snapToGrid w:val="0"/>
              <w:spacing w:line="240" w:lineRule="auto"/>
              <w:ind w:firstLine="0" w:firstLineChars="0"/>
              <w:jc w:val="center"/>
              <w:rPr>
                <w:color w:val="auto"/>
                <w:sz w:val="24"/>
                <w:szCs w:val="24"/>
              </w:rPr>
            </w:pPr>
            <w:r>
              <w:rPr>
                <w:b w:val="0"/>
                <w:bCs w:val="0"/>
                <w:color w:val="auto"/>
                <w:sz w:val="24"/>
                <w:szCs w:val="24"/>
              </w:rPr>
              <w:t>联系方式</w:t>
            </w:r>
          </w:p>
        </w:tc>
        <w:tc>
          <w:tcPr>
            <w:tcW w:w="2993" w:type="dxa"/>
            <w:vAlign w:val="center"/>
          </w:tcPr>
          <w:p>
            <w:pPr>
              <w:adjustRightInd w:val="0"/>
              <w:snapToGrid w:val="0"/>
              <w:spacing w:line="240" w:lineRule="auto"/>
              <w:ind w:firstLine="0" w:firstLineChars="0"/>
              <w:jc w:val="center"/>
              <w:rPr>
                <w:color w:val="auto"/>
                <w:sz w:val="24"/>
                <w:szCs w:val="24"/>
              </w:rPr>
            </w:pPr>
            <w:r>
              <w:rPr>
                <w:rFonts w:hint="eastAsia"/>
                <w:color w:val="auto"/>
                <w:sz w:val="24"/>
                <w:szCs w:val="24"/>
                <w:lang w:val="en-US" w:eastAsia="zh-CN"/>
              </w:rPr>
              <w:t>18919347956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建设地点</w:t>
            </w:r>
          </w:p>
        </w:tc>
        <w:tc>
          <w:tcPr>
            <w:tcW w:w="7443" w:type="dxa"/>
            <w:gridSpan w:val="3"/>
            <w:vAlign w:val="center"/>
          </w:tcPr>
          <w:p>
            <w:pPr>
              <w:spacing w:line="240" w:lineRule="auto"/>
              <w:ind w:firstLine="0" w:firstLineChars="0"/>
              <w:jc w:val="center"/>
              <w:rPr>
                <w:rFonts w:hint="default" w:eastAsia="宋体"/>
                <w:color w:val="auto"/>
                <w:sz w:val="24"/>
                <w:szCs w:val="24"/>
                <w:lang w:val="en-US" w:eastAsia="zh-CN"/>
              </w:rPr>
            </w:pPr>
            <w:r>
              <w:rPr>
                <w:rFonts w:hint="eastAsia"/>
                <w:color w:val="auto"/>
                <w:sz w:val="24"/>
                <w:szCs w:val="24"/>
                <w:lang w:eastAsia="zh-CN"/>
              </w:rPr>
              <w:t>甘肃省庆阳市</w:t>
            </w:r>
            <w:r>
              <w:rPr>
                <w:rFonts w:hint="eastAsia"/>
                <w:color w:val="auto"/>
                <w:sz w:val="24"/>
                <w:szCs w:val="24"/>
                <w:lang w:val="en-US" w:eastAsia="zh-CN"/>
              </w:rPr>
              <w:t>宁县中村镇秦店村四组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地理坐标</w:t>
            </w:r>
          </w:p>
        </w:tc>
        <w:tc>
          <w:tcPr>
            <w:tcW w:w="7443" w:type="dxa"/>
            <w:gridSpan w:val="3"/>
            <w:vAlign w:val="center"/>
          </w:tcPr>
          <w:p>
            <w:pPr>
              <w:adjustRightInd w:val="0"/>
              <w:snapToGrid w:val="0"/>
              <w:spacing w:line="240" w:lineRule="auto"/>
              <w:ind w:firstLine="0" w:firstLineChars="0"/>
              <w:jc w:val="center"/>
              <w:rPr>
                <w:color w:val="auto"/>
                <w:sz w:val="24"/>
                <w:szCs w:val="24"/>
              </w:rPr>
            </w:pPr>
            <w:r>
              <w:rPr>
                <w:color w:val="auto"/>
                <w:sz w:val="24"/>
                <w:szCs w:val="24"/>
              </w:rPr>
              <w:t>（</w:t>
            </w:r>
            <w:r>
              <w:rPr>
                <w:rFonts w:hint="eastAsia"/>
                <w:color w:val="auto"/>
                <w:sz w:val="24"/>
                <w:szCs w:val="24"/>
              </w:rPr>
              <w:t>东经</w:t>
            </w:r>
            <w:r>
              <w:rPr>
                <w:color w:val="auto"/>
                <w:sz w:val="24"/>
                <w:szCs w:val="24"/>
                <w:u w:val="single"/>
              </w:rPr>
              <w:t>10</w:t>
            </w:r>
            <w:r>
              <w:rPr>
                <w:rFonts w:hint="eastAsia"/>
                <w:color w:val="auto"/>
                <w:sz w:val="24"/>
                <w:szCs w:val="24"/>
                <w:u w:val="single"/>
                <w:lang w:val="en-US" w:eastAsia="zh-CN"/>
              </w:rPr>
              <w:t>8</w:t>
            </w:r>
            <w:r>
              <w:rPr>
                <w:color w:val="auto"/>
                <w:sz w:val="24"/>
                <w:szCs w:val="24"/>
              </w:rPr>
              <w:t>度</w:t>
            </w:r>
            <w:r>
              <w:rPr>
                <w:rFonts w:hint="eastAsia"/>
                <w:color w:val="auto"/>
                <w:sz w:val="24"/>
                <w:szCs w:val="24"/>
                <w:lang w:val="en-US" w:eastAsia="zh-CN"/>
              </w:rPr>
              <w:t>0</w:t>
            </w:r>
            <w:r>
              <w:rPr>
                <w:color w:val="auto"/>
                <w:sz w:val="24"/>
                <w:szCs w:val="24"/>
              </w:rPr>
              <w:t>分</w:t>
            </w:r>
            <w:r>
              <w:rPr>
                <w:rFonts w:hint="eastAsia"/>
                <w:color w:val="auto"/>
                <w:sz w:val="24"/>
                <w:szCs w:val="24"/>
                <w:lang w:val="en-US" w:eastAsia="zh-CN"/>
              </w:rPr>
              <w:t>31.664</w:t>
            </w:r>
            <w:r>
              <w:rPr>
                <w:color w:val="auto"/>
                <w:sz w:val="24"/>
                <w:szCs w:val="24"/>
              </w:rPr>
              <w:t>秒，</w:t>
            </w:r>
            <w:r>
              <w:rPr>
                <w:rFonts w:hint="eastAsia"/>
                <w:color w:val="auto"/>
                <w:sz w:val="24"/>
                <w:szCs w:val="24"/>
              </w:rPr>
              <w:t>北纬</w:t>
            </w:r>
            <w:r>
              <w:rPr>
                <w:color w:val="auto"/>
                <w:sz w:val="24"/>
                <w:szCs w:val="24"/>
                <w:u w:val="single"/>
              </w:rPr>
              <w:t>3</w:t>
            </w:r>
            <w:r>
              <w:rPr>
                <w:rFonts w:hint="eastAsia"/>
                <w:color w:val="auto"/>
                <w:sz w:val="24"/>
                <w:szCs w:val="24"/>
                <w:u w:val="single"/>
                <w:lang w:val="en-US" w:eastAsia="zh-CN"/>
              </w:rPr>
              <w:t>5</w:t>
            </w:r>
            <w:r>
              <w:rPr>
                <w:color w:val="auto"/>
                <w:sz w:val="24"/>
                <w:szCs w:val="24"/>
              </w:rPr>
              <w:t>度</w:t>
            </w:r>
            <w:r>
              <w:rPr>
                <w:rFonts w:hint="eastAsia"/>
                <w:color w:val="auto"/>
                <w:sz w:val="24"/>
                <w:szCs w:val="24"/>
                <w:u w:val="single"/>
                <w:lang w:val="en-US" w:eastAsia="zh-CN"/>
              </w:rPr>
              <w:t>20</w:t>
            </w:r>
            <w:r>
              <w:rPr>
                <w:color w:val="auto"/>
                <w:sz w:val="24"/>
                <w:szCs w:val="24"/>
              </w:rPr>
              <w:t>分</w:t>
            </w:r>
            <w:r>
              <w:rPr>
                <w:rFonts w:hint="eastAsia"/>
                <w:color w:val="auto"/>
                <w:sz w:val="24"/>
                <w:szCs w:val="24"/>
                <w:lang w:val="en-US" w:eastAsia="zh-CN"/>
              </w:rPr>
              <w:t>28.771</w:t>
            </w:r>
            <w:r>
              <w:rPr>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427" w:type="dxa"/>
            <w:tcMar>
              <w:top w:w="16" w:type="dxa"/>
              <w:left w:w="16" w:type="dxa"/>
              <w:right w:w="16" w:type="dxa"/>
            </w:tcMar>
            <w:vAlign w:val="center"/>
          </w:tcPr>
          <w:p>
            <w:pPr>
              <w:adjustRightInd w:val="0"/>
              <w:snapToGrid w:val="0"/>
              <w:jc w:val="center"/>
              <w:rPr>
                <w:rFonts w:hint="default" w:eastAsia="宋体"/>
                <w:color w:val="auto"/>
                <w:sz w:val="24"/>
                <w:szCs w:val="24"/>
                <w:lang w:val="en-US" w:eastAsia="zh-CN"/>
              </w:rPr>
            </w:pPr>
            <w:r>
              <w:rPr>
                <w:rFonts w:hint="eastAsia"/>
                <w:color w:val="auto"/>
                <w:sz w:val="24"/>
                <w:szCs w:val="24"/>
                <w:lang w:val="en-US" w:eastAsia="zh-CN"/>
              </w:rPr>
              <w:t>建设项目行业类别</w:t>
            </w:r>
          </w:p>
        </w:tc>
        <w:tc>
          <w:tcPr>
            <w:tcW w:w="2312" w:type="dxa"/>
            <w:vAlign w:val="center"/>
          </w:tcPr>
          <w:p>
            <w:pPr>
              <w:adjustRightInd w:val="0"/>
              <w:snapToGrid w:val="0"/>
              <w:jc w:val="center"/>
              <w:rPr>
                <w:color w:val="auto"/>
                <w:sz w:val="24"/>
                <w:szCs w:val="24"/>
              </w:rPr>
            </w:pPr>
            <w:r>
              <w:rPr>
                <w:rFonts w:hint="default"/>
                <w:color w:val="auto"/>
                <w:sz w:val="24"/>
                <w:szCs w:val="24"/>
              </w:rPr>
              <w:t>二十七、非金属矿物制品业56 砖瓦、石材等建筑材料制造303</w:t>
            </w:r>
          </w:p>
        </w:tc>
        <w:tc>
          <w:tcPr>
            <w:tcW w:w="2138" w:type="dxa"/>
            <w:vAlign w:val="center"/>
          </w:tcPr>
          <w:p>
            <w:pPr>
              <w:adjustRightInd w:val="0"/>
              <w:snapToGrid w:val="0"/>
              <w:jc w:val="center"/>
              <w:rPr>
                <w:rFonts w:hint="default" w:eastAsia="宋体"/>
                <w:color w:val="auto"/>
                <w:sz w:val="24"/>
                <w:szCs w:val="24"/>
                <w:lang w:val="en-US" w:eastAsia="zh-CN"/>
              </w:rPr>
            </w:pPr>
            <w:r>
              <w:rPr>
                <w:rFonts w:hint="eastAsia"/>
                <w:color w:val="auto"/>
                <w:sz w:val="24"/>
                <w:szCs w:val="24"/>
                <w:lang w:val="en-US" w:eastAsia="zh-CN"/>
              </w:rPr>
              <w:t>用地面积（m</w:t>
            </w:r>
            <w:r>
              <w:rPr>
                <w:rFonts w:hint="eastAsia"/>
                <w:color w:val="auto"/>
                <w:sz w:val="24"/>
                <w:szCs w:val="24"/>
                <w:vertAlign w:val="superscript"/>
                <w:lang w:val="en-US" w:eastAsia="zh-CN"/>
              </w:rPr>
              <w:t>2</w:t>
            </w:r>
            <w:r>
              <w:rPr>
                <w:rFonts w:hint="eastAsia"/>
                <w:color w:val="auto"/>
                <w:sz w:val="24"/>
                <w:szCs w:val="24"/>
                <w:lang w:val="en-US" w:eastAsia="zh-CN"/>
              </w:rPr>
              <w:t>）</w:t>
            </w:r>
          </w:p>
        </w:tc>
        <w:tc>
          <w:tcPr>
            <w:tcW w:w="2993" w:type="dxa"/>
            <w:vAlign w:val="center"/>
          </w:tcPr>
          <w:p>
            <w:pPr>
              <w:adjustRightInd w:val="0"/>
              <w:snapToGrid w:val="0"/>
              <w:jc w:val="center"/>
              <w:rPr>
                <w:color w:val="auto"/>
                <w:sz w:val="24"/>
                <w:szCs w:val="24"/>
              </w:rPr>
            </w:pPr>
            <w:r>
              <w:rPr>
                <w:rFonts w:hint="eastAsia"/>
                <w:color w:val="auto"/>
                <w:sz w:val="24"/>
                <w:szCs w:val="24"/>
                <w:lang w:val="en-US" w:eastAsia="zh-CN"/>
              </w:rPr>
              <w:t>13810m</w:t>
            </w:r>
            <w:r>
              <w:rPr>
                <w:rFonts w:hint="eastAsia"/>
                <w:color w:val="auto"/>
                <w:sz w:val="24"/>
                <w:szCs w:val="24"/>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427"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建设性质</w:t>
            </w:r>
          </w:p>
        </w:tc>
        <w:tc>
          <w:tcPr>
            <w:tcW w:w="2312" w:type="dxa"/>
            <w:vAlign w:val="center"/>
          </w:tcPr>
          <w:p>
            <w:pPr>
              <w:jc w:val="left"/>
              <w:rPr>
                <w:color w:val="auto"/>
                <w:sz w:val="24"/>
                <w:szCs w:val="24"/>
              </w:rPr>
            </w:pPr>
            <w:sdt>
              <w:sdtPr>
                <w:rPr>
                  <w:color w:val="auto"/>
                  <w:sz w:val="24"/>
                  <w:szCs w:val="24"/>
                </w:rPr>
                <w:id w:val="735817412"/>
                <w14:checkbox>
                  <w14:checked w14:val="0"/>
                  <w14:checkedState w14:val="0052" w14:font="Wingdings 2"/>
                  <w14:uncheckedState w14:val="2610" w14:font="MS Gothic"/>
                </w14:checkbox>
              </w:sdtPr>
              <w:sdtEndPr>
                <w:rPr>
                  <w:color w:val="auto"/>
                  <w:sz w:val="24"/>
                  <w:szCs w:val="24"/>
                </w:rPr>
              </w:sdtEndPr>
              <w:sdtContent>
                <w:r>
                  <w:rPr>
                    <w:rFonts w:ascii="Segoe UI Symbol" w:hAnsi="Segoe UI Symbol" w:eastAsia="MS Gothic" w:cs="Segoe UI Symbol"/>
                    <w:color w:val="auto"/>
                    <w:sz w:val="24"/>
                    <w:szCs w:val="24"/>
                  </w:rPr>
                  <w:t>☐</w:t>
                </w:r>
              </w:sdtContent>
            </w:sdt>
            <w:r>
              <w:rPr>
                <w:color w:val="auto"/>
                <w:sz w:val="24"/>
                <w:szCs w:val="24"/>
              </w:rPr>
              <w:t>新建（迁建）</w:t>
            </w:r>
          </w:p>
          <w:p>
            <w:pPr>
              <w:jc w:val="left"/>
              <w:rPr>
                <w:color w:val="auto"/>
                <w:sz w:val="24"/>
                <w:szCs w:val="24"/>
              </w:rPr>
            </w:pPr>
            <w:sdt>
              <w:sdtPr>
                <w:rPr>
                  <w:color w:val="auto"/>
                  <w:sz w:val="24"/>
                  <w:szCs w:val="24"/>
                </w:rPr>
                <w:id w:val="2018570104"/>
                <w14:checkbox>
                  <w14:checked w14:val="0"/>
                  <w14:checkedState w14:val="0052" w14:font="Wingdings 2"/>
                  <w14:uncheckedState w14:val="2610" w14:font="MS Gothic"/>
                </w14:checkbox>
              </w:sdtPr>
              <w:sdtEndPr>
                <w:rPr>
                  <w:color w:val="auto"/>
                  <w:sz w:val="24"/>
                  <w:szCs w:val="24"/>
                </w:rPr>
              </w:sdtEndPr>
              <w:sdtContent>
                <w:r>
                  <w:rPr>
                    <w:rFonts w:hint="eastAsia" w:ascii="MS Gothic" w:hAnsi="MS Gothic" w:eastAsia="MS Gothic"/>
                    <w:color w:val="auto"/>
                    <w:sz w:val="24"/>
                    <w:szCs w:val="24"/>
                  </w:rPr>
                  <w:t>☐</w:t>
                </w:r>
              </w:sdtContent>
            </w:sdt>
            <w:r>
              <w:rPr>
                <w:color w:val="auto"/>
                <w:sz w:val="24"/>
                <w:szCs w:val="24"/>
              </w:rPr>
              <w:t>改建</w:t>
            </w:r>
          </w:p>
          <w:p>
            <w:pPr>
              <w:jc w:val="left"/>
              <w:rPr>
                <w:color w:val="auto"/>
                <w:sz w:val="24"/>
                <w:szCs w:val="24"/>
              </w:rPr>
            </w:pPr>
            <w:sdt>
              <w:sdtPr>
                <w:rPr>
                  <w:color w:val="auto"/>
                  <w:sz w:val="24"/>
                  <w:szCs w:val="24"/>
                </w:rPr>
                <w:id w:val="1033613202"/>
                <w14:checkbox>
                  <w14:checked w14:val="0"/>
                  <w14:checkedState w14:val="0052" w14:font="Wingdings 2"/>
                  <w14:uncheckedState w14:val="2610" w14:font="MS Gothic"/>
                </w14:checkbox>
              </w:sdtPr>
              <w:sdtEndPr>
                <w:rPr>
                  <w:color w:val="auto"/>
                  <w:sz w:val="24"/>
                  <w:szCs w:val="24"/>
                </w:rPr>
              </w:sdtEndPr>
              <w:sdtContent>
                <w:r>
                  <w:rPr>
                    <w:rFonts w:ascii="MS Gothic" w:hAnsi="MS Gothic" w:eastAsia="MS Gothic" w:cs="Segoe UI Symbol"/>
                    <w:color w:val="auto"/>
                    <w:kern w:val="2"/>
                    <w:sz w:val="24"/>
                    <w:szCs w:val="24"/>
                    <w:lang w:val="en-US" w:eastAsia="zh-CN" w:bidi="ar-SA"/>
                  </w:rPr>
                  <w:t>☐</w:t>
                </w:r>
              </w:sdtContent>
            </w:sdt>
            <w:r>
              <w:rPr>
                <w:color w:val="auto"/>
                <w:sz w:val="24"/>
                <w:szCs w:val="24"/>
              </w:rPr>
              <w:t>扩建</w:t>
            </w:r>
          </w:p>
          <w:p>
            <w:pPr>
              <w:jc w:val="left"/>
              <w:rPr>
                <w:color w:val="auto"/>
                <w:sz w:val="24"/>
                <w:szCs w:val="24"/>
              </w:rPr>
            </w:pPr>
            <w:sdt>
              <w:sdtPr>
                <w:rPr>
                  <w:color w:val="auto"/>
                  <w:sz w:val="24"/>
                  <w:szCs w:val="24"/>
                </w:rPr>
                <w:id w:val="775523829"/>
                <w14:checkbox>
                  <w14:checked w14:val="1"/>
                  <w14:checkedState w14:val="0052" w14:font="Wingdings 2"/>
                  <w14:uncheckedState w14:val="2610" w14:font="MS Gothic"/>
                </w14:checkbox>
              </w:sdtPr>
              <w:sdtEndPr>
                <w:rPr>
                  <w:color w:val="auto"/>
                  <w:sz w:val="24"/>
                  <w:szCs w:val="24"/>
                </w:rPr>
              </w:sdtEndPr>
              <w:sdtContent>
                <w:r>
                  <w:rPr>
                    <w:rFonts w:ascii="Wingdings 2" w:hAnsi="Wingdings 2" w:eastAsia="宋体" w:cs="Times New Roman"/>
                    <w:color w:val="auto"/>
                    <w:kern w:val="2"/>
                    <w:sz w:val="24"/>
                    <w:szCs w:val="24"/>
                    <w:lang w:val="en-US" w:eastAsia="zh-CN" w:bidi="ar-SA"/>
                  </w:rPr>
                  <w:t>R</w:t>
                </w:r>
              </w:sdtContent>
            </w:sdt>
            <w:r>
              <w:rPr>
                <w:color w:val="auto"/>
                <w:sz w:val="24"/>
                <w:szCs w:val="24"/>
              </w:rPr>
              <w:t>技术改造</w:t>
            </w:r>
          </w:p>
        </w:tc>
        <w:tc>
          <w:tcPr>
            <w:tcW w:w="2138" w:type="dxa"/>
            <w:vAlign w:val="center"/>
          </w:tcPr>
          <w:p>
            <w:pPr>
              <w:adjustRightInd w:val="0"/>
              <w:snapToGrid w:val="0"/>
              <w:jc w:val="center"/>
              <w:rPr>
                <w:color w:val="auto"/>
                <w:sz w:val="24"/>
                <w:szCs w:val="24"/>
              </w:rPr>
            </w:pPr>
            <w:r>
              <w:rPr>
                <w:color w:val="auto"/>
                <w:sz w:val="24"/>
                <w:szCs w:val="24"/>
              </w:rPr>
              <w:t>建设项目</w:t>
            </w:r>
          </w:p>
          <w:p>
            <w:pPr>
              <w:adjustRightInd w:val="0"/>
              <w:snapToGrid w:val="0"/>
              <w:jc w:val="center"/>
              <w:rPr>
                <w:color w:val="auto"/>
                <w:sz w:val="24"/>
                <w:szCs w:val="24"/>
              </w:rPr>
            </w:pPr>
            <w:r>
              <w:rPr>
                <w:color w:val="auto"/>
                <w:sz w:val="24"/>
                <w:szCs w:val="24"/>
              </w:rPr>
              <w:t>申报情形</w:t>
            </w:r>
          </w:p>
        </w:tc>
        <w:tc>
          <w:tcPr>
            <w:tcW w:w="2993" w:type="dxa"/>
            <w:vAlign w:val="center"/>
          </w:tcPr>
          <w:p>
            <w:pPr>
              <w:jc w:val="left"/>
              <w:rPr>
                <w:color w:val="auto"/>
                <w:sz w:val="24"/>
                <w:szCs w:val="24"/>
              </w:rPr>
            </w:pPr>
            <w:sdt>
              <w:sdtPr>
                <w:rPr>
                  <w:color w:val="auto"/>
                  <w:sz w:val="24"/>
                  <w:szCs w:val="24"/>
                </w:rPr>
                <w:id w:val="111027823"/>
                <w14:checkbox>
                  <w14:checked w14:val="1"/>
                  <w14:checkedState w14:val="0052" w14:font="Wingdings 2"/>
                  <w14:uncheckedState w14:val="2610" w14:font="MS Gothic"/>
                </w14:checkbox>
              </w:sdtPr>
              <w:sdtEndPr>
                <w:rPr>
                  <w:color w:val="auto"/>
                  <w:sz w:val="24"/>
                  <w:szCs w:val="24"/>
                </w:rPr>
              </w:sdtEndPr>
              <w:sdtContent>
                <w:r>
                  <w:rPr>
                    <w:color w:val="auto"/>
                    <w:sz w:val="24"/>
                    <w:szCs w:val="24"/>
                  </w:rPr>
                  <w:sym w:font="Wingdings 2" w:char="F052"/>
                </w:r>
              </w:sdtContent>
            </w:sdt>
            <w:r>
              <w:rPr>
                <w:color w:val="auto"/>
                <w:sz w:val="24"/>
                <w:szCs w:val="24"/>
              </w:rPr>
              <w:t>首次申报项目</w:t>
            </w:r>
          </w:p>
          <w:p>
            <w:pPr>
              <w:jc w:val="left"/>
              <w:rPr>
                <w:color w:val="auto"/>
                <w:sz w:val="24"/>
                <w:szCs w:val="24"/>
              </w:rPr>
            </w:pPr>
            <w:sdt>
              <w:sdtPr>
                <w:rPr>
                  <w:color w:val="auto"/>
                  <w:sz w:val="24"/>
                  <w:szCs w:val="24"/>
                </w:rPr>
                <w:id w:val="1207297184"/>
                <w14:checkbox>
                  <w14:checked w14:val="0"/>
                  <w14:checkedState w14:val="0052" w14:font="Wingdings 2"/>
                  <w14:uncheckedState w14:val="2610" w14:font="MS Gothic"/>
                </w14:checkbox>
              </w:sdtPr>
              <w:sdtEndPr>
                <w:rPr>
                  <w:color w:val="auto"/>
                  <w:sz w:val="24"/>
                  <w:szCs w:val="24"/>
                </w:rPr>
              </w:sdtEndPr>
              <w:sdtContent>
                <w:r>
                  <w:rPr>
                    <w:rFonts w:ascii="Segoe UI Symbol" w:hAnsi="Segoe UI Symbol" w:eastAsia="MS Gothic" w:cs="Segoe UI Symbol"/>
                    <w:color w:val="auto"/>
                    <w:sz w:val="24"/>
                    <w:szCs w:val="24"/>
                  </w:rPr>
                  <w:t>☐</w:t>
                </w:r>
              </w:sdtContent>
            </w:sdt>
            <w:r>
              <w:rPr>
                <w:color w:val="auto"/>
                <w:sz w:val="24"/>
                <w:szCs w:val="24"/>
              </w:rPr>
              <w:t>不予批准后再次申报项目</w:t>
            </w:r>
          </w:p>
          <w:p>
            <w:pPr>
              <w:jc w:val="left"/>
              <w:rPr>
                <w:color w:val="auto"/>
                <w:sz w:val="24"/>
                <w:szCs w:val="24"/>
              </w:rPr>
            </w:pPr>
            <w:sdt>
              <w:sdtPr>
                <w:rPr>
                  <w:color w:val="auto"/>
                  <w:sz w:val="24"/>
                  <w:szCs w:val="24"/>
                </w:rPr>
                <w:id w:val="-1547988090"/>
                <w14:checkbox>
                  <w14:checked w14:val="0"/>
                  <w14:checkedState w14:val="0052" w14:font="Wingdings 2"/>
                  <w14:uncheckedState w14:val="2610" w14:font="MS Gothic"/>
                </w14:checkbox>
              </w:sdtPr>
              <w:sdtEndPr>
                <w:rPr>
                  <w:color w:val="auto"/>
                  <w:sz w:val="24"/>
                  <w:szCs w:val="24"/>
                </w:rPr>
              </w:sdtEndPr>
              <w:sdtContent>
                <w:r>
                  <w:rPr>
                    <w:rFonts w:ascii="Segoe UI Symbol" w:hAnsi="Segoe UI Symbol" w:eastAsia="MS Gothic" w:cs="Segoe UI Symbol"/>
                    <w:color w:val="auto"/>
                    <w:sz w:val="24"/>
                    <w:szCs w:val="24"/>
                  </w:rPr>
                  <w:t>☐</w:t>
                </w:r>
              </w:sdtContent>
            </w:sdt>
            <w:r>
              <w:rPr>
                <w:color w:val="auto"/>
                <w:sz w:val="24"/>
                <w:szCs w:val="24"/>
              </w:rPr>
              <w:t>超五年重新审核项目</w:t>
            </w:r>
          </w:p>
          <w:p>
            <w:pPr>
              <w:jc w:val="left"/>
              <w:rPr>
                <w:color w:val="auto"/>
                <w:sz w:val="24"/>
                <w:szCs w:val="24"/>
              </w:rPr>
            </w:pPr>
            <w:sdt>
              <w:sdtPr>
                <w:rPr>
                  <w:color w:val="auto"/>
                  <w:sz w:val="24"/>
                  <w:szCs w:val="24"/>
                </w:rPr>
                <w:id w:val="534767935"/>
                <w14:checkbox>
                  <w14:checked w14:val="0"/>
                  <w14:checkedState w14:val="0052" w14:font="Wingdings 2"/>
                  <w14:uncheckedState w14:val="2610" w14:font="MS Gothic"/>
                </w14:checkbox>
              </w:sdtPr>
              <w:sdtEndPr>
                <w:rPr>
                  <w:color w:val="auto"/>
                  <w:sz w:val="24"/>
                  <w:szCs w:val="24"/>
                </w:rPr>
              </w:sdtEndPr>
              <w:sdtContent>
                <w:r>
                  <w:rPr>
                    <w:rFonts w:ascii="Segoe UI Symbol" w:hAnsi="Segoe UI Symbol" w:eastAsia="MS Gothic" w:cs="Segoe UI Symbol"/>
                    <w:color w:val="auto"/>
                    <w:sz w:val="24"/>
                    <w:szCs w:val="24"/>
                  </w:rPr>
                  <w:t>☐</w:t>
                </w:r>
              </w:sdtContent>
            </w:sdt>
            <w:r>
              <w:rPr>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427"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项目审批（核准/</w:t>
            </w:r>
          </w:p>
          <w:p>
            <w:pPr>
              <w:adjustRightInd w:val="0"/>
              <w:snapToGrid w:val="0"/>
              <w:jc w:val="center"/>
              <w:rPr>
                <w:color w:val="auto"/>
                <w:sz w:val="24"/>
                <w:szCs w:val="24"/>
              </w:rPr>
            </w:pPr>
            <w:r>
              <w:rPr>
                <w:color w:val="auto"/>
                <w:sz w:val="24"/>
                <w:szCs w:val="24"/>
              </w:rPr>
              <w:t>备案）部门（选填）</w:t>
            </w:r>
          </w:p>
        </w:tc>
        <w:tc>
          <w:tcPr>
            <w:tcW w:w="2312" w:type="dxa"/>
            <w:vAlign w:val="center"/>
          </w:tcPr>
          <w:p>
            <w:pPr>
              <w:adjustRightInd w:val="0"/>
              <w:snapToGrid w:val="0"/>
              <w:jc w:val="center"/>
              <w:rPr>
                <w:color w:val="auto"/>
                <w:sz w:val="24"/>
                <w:szCs w:val="24"/>
              </w:rPr>
            </w:pPr>
            <w:r>
              <w:rPr>
                <w:rFonts w:hint="eastAsia"/>
                <w:color w:val="auto"/>
                <w:sz w:val="24"/>
                <w:szCs w:val="24"/>
                <w:lang w:val="en-US" w:eastAsia="zh-CN"/>
              </w:rPr>
              <w:t>庆阳市宁县发改局</w:t>
            </w:r>
          </w:p>
        </w:tc>
        <w:tc>
          <w:tcPr>
            <w:tcW w:w="2138" w:type="dxa"/>
            <w:vAlign w:val="center"/>
          </w:tcPr>
          <w:p>
            <w:pPr>
              <w:adjustRightInd w:val="0"/>
              <w:snapToGrid w:val="0"/>
              <w:jc w:val="center"/>
              <w:rPr>
                <w:color w:val="auto"/>
                <w:sz w:val="24"/>
                <w:szCs w:val="24"/>
              </w:rPr>
            </w:pPr>
            <w:r>
              <w:rPr>
                <w:color w:val="auto"/>
                <w:sz w:val="24"/>
                <w:szCs w:val="24"/>
              </w:rPr>
              <w:t>项目审批（核准/</w:t>
            </w:r>
          </w:p>
          <w:p>
            <w:pPr>
              <w:adjustRightInd w:val="0"/>
              <w:snapToGrid w:val="0"/>
              <w:jc w:val="center"/>
              <w:rPr>
                <w:color w:val="auto"/>
                <w:sz w:val="24"/>
                <w:szCs w:val="24"/>
              </w:rPr>
            </w:pPr>
            <w:r>
              <w:rPr>
                <w:color w:val="auto"/>
                <w:sz w:val="24"/>
                <w:szCs w:val="24"/>
              </w:rPr>
              <w:t>备案）文号（选填）</w:t>
            </w:r>
          </w:p>
        </w:tc>
        <w:tc>
          <w:tcPr>
            <w:tcW w:w="2993" w:type="dxa"/>
            <w:vAlign w:val="center"/>
          </w:tcPr>
          <w:p>
            <w:pPr>
              <w:adjustRightInd w:val="0"/>
              <w:snapToGrid w:val="0"/>
              <w:jc w:val="center"/>
              <w:rPr>
                <w:color w:val="auto"/>
                <w:sz w:val="24"/>
                <w:szCs w:val="24"/>
              </w:rPr>
            </w:pPr>
            <w:r>
              <w:rPr>
                <w:rFonts w:hint="eastAsia"/>
                <w:color w:val="auto"/>
                <w:sz w:val="24"/>
                <w:szCs w:val="24"/>
                <w:lang w:val="en-US" w:eastAsia="zh-CN"/>
              </w:rPr>
              <w:t>庆阳市宁县发改局投资股备[2022]62号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总投资（万元）</w:t>
            </w:r>
          </w:p>
        </w:tc>
        <w:tc>
          <w:tcPr>
            <w:tcW w:w="2312" w:type="dxa"/>
            <w:vAlign w:val="center"/>
          </w:tcPr>
          <w:p>
            <w:pPr>
              <w:adjustRightInd w:val="0"/>
              <w:snapToGrid w:val="0"/>
              <w:jc w:val="center"/>
              <w:rPr>
                <w:rFonts w:hint="default" w:eastAsia="宋体"/>
                <w:color w:val="auto"/>
                <w:sz w:val="24"/>
                <w:szCs w:val="24"/>
                <w:lang w:val="en-US" w:eastAsia="zh-CN"/>
              </w:rPr>
            </w:pPr>
            <w:r>
              <w:rPr>
                <w:rFonts w:hint="eastAsia"/>
                <w:color w:val="auto"/>
                <w:sz w:val="24"/>
                <w:szCs w:val="24"/>
                <w:lang w:val="en-US" w:eastAsia="zh-CN"/>
              </w:rPr>
              <w:t>1280</w:t>
            </w:r>
          </w:p>
        </w:tc>
        <w:tc>
          <w:tcPr>
            <w:tcW w:w="2138"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环保投资（万元）</w:t>
            </w:r>
          </w:p>
        </w:tc>
        <w:tc>
          <w:tcPr>
            <w:tcW w:w="2993" w:type="dxa"/>
            <w:vAlign w:val="center"/>
          </w:tcPr>
          <w:p>
            <w:pPr>
              <w:adjustRightInd w:val="0"/>
              <w:snapToGrid w:val="0"/>
              <w:jc w:val="center"/>
              <w:rPr>
                <w:rFonts w:hint="default" w:eastAsia="宋体"/>
                <w:color w:val="auto"/>
                <w:sz w:val="24"/>
                <w:szCs w:val="24"/>
                <w:lang w:val="en-US" w:eastAsia="zh-CN"/>
              </w:rPr>
            </w:pPr>
            <w:r>
              <w:rPr>
                <w:rFonts w:hint="eastAsia"/>
                <w:color w:val="auto"/>
                <w:sz w:val="24"/>
                <w:szCs w:val="24"/>
                <w:lang w:val="en-US" w:eastAsia="zh-CN"/>
              </w:rPr>
              <w:t>104.9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rFonts w:hint="eastAsia" w:eastAsia="宋体"/>
                <w:color w:val="auto"/>
                <w:sz w:val="24"/>
                <w:szCs w:val="24"/>
                <w:lang w:eastAsia="zh-CN"/>
              </w:rPr>
            </w:pPr>
            <w:r>
              <w:rPr>
                <w:color w:val="auto"/>
                <w:sz w:val="24"/>
                <w:szCs w:val="24"/>
              </w:rPr>
              <w:t>环保投资占比</w:t>
            </w:r>
            <w:r>
              <w:rPr>
                <w:rFonts w:hint="eastAsia"/>
                <w:color w:val="auto"/>
                <w:sz w:val="24"/>
                <w:szCs w:val="24"/>
                <w:lang w:eastAsia="zh-CN"/>
              </w:rPr>
              <w:t>（</w:t>
            </w:r>
            <w:r>
              <w:rPr>
                <w:rFonts w:hint="eastAsia"/>
                <w:color w:val="auto"/>
                <w:sz w:val="24"/>
                <w:szCs w:val="24"/>
                <w:lang w:val="en-US" w:eastAsia="zh-CN"/>
              </w:rPr>
              <w:t>%</w:t>
            </w:r>
            <w:r>
              <w:rPr>
                <w:rFonts w:hint="eastAsia"/>
                <w:color w:val="auto"/>
                <w:sz w:val="24"/>
                <w:szCs w:val="24"/>
                <w:lang w:eastAsia="zh-CN"/>
              </w:rPr>
              <w:t>）</w:t>
            </w:r>
          </w:p>
        </w:tc>
        <w:tc>
          <w:tcPr>
            <w:tcW w:w="2312" w:type="dxa"/>
            <w:vAlign w:val="center"/>
          </w:tcPr>
          <w:p>
            <w:pPr>
              <w:adjustRightInd w:val="0"/>
              <w:snapToGrid w:val="0"/>
              <w:jc w:val="center"/>
              <w:rPr>
                <w:rFonts w:hint="default" w:eastAsia="宋体"/>
                <w:color w:val="auto"/>
                <w:sz w:val="24"/>
                <w:szCs w:val="24"/>
                <w:lang w:val="en-US" w:eastAsia="zh-CN"/>
              </w:rPr>
            </w:pPr>
            <w:r>
              <w:rPr>
                <w:rFonts w:hint="eastAsia"/>
                <w:color w:val="auto"/>
                <w:sz w:val="24"/>
                <w:szCs w:val="24"/>
                <w:lang w:val="en-US" w:eastAsia="zh-CN"/>
              </w:rPr>
              <w:t>8.19</w:t>
            </w:r>
          </w:p>
        </w:tc>
        <w:tc>
          <w:tcPr>
            <w:tcW w:w="2138"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施工工期</w:t>
            </w:r>
          </w:p>
        </w:tc>
        <w:tc>
          <w:tcPr>
            <w:tcW w:w="2993" w:type="dxa"/>
            <w:vAlign w:val="center"/>
          </w:tcPr>
          <w:p>
            <w:pPr>
              <w:adjustRightInd w:val="0"/>
              <w:snapToGrid w:val="0"/>
              <w:jc w:val="center"/>
              <w:rPr>
                <w:rFonts w:hint="default" w:eastAsia="宋体"/>
                <w:color w:val="auto"/>
                <w:sz w:val="24"/>
                <w:szCs w:val="24"/>
                <w:lang w:val="en-US" w:eastAsia="zh-CN"/>
              </w:rPr>
            </w:pPr>
            <w:r>
              <w:rPr>
                <w:color w:val="auto"/>
                <w:sz w:val="24"/>
                <w:szCs w:val="24"/>
              </w:rPr>
              <w:t>202</w:t>
            </w:r>
            <w:r>
              <w:rPr>
                <w:rFonts w:hint="eastAsia"/>
                <w:color w:val="auto"/>
                <w:sz w:val="24"/>
                <w:szCs w:val="24"/>
                <w:lang w:val="en-US" w:eastAsia="zh-CN"/>
              </w:rPr>
              <w:t>3年8月</w:t>
            </w:r>
            <w:r>
              <w:rPr>
                <w:color w:val="auto"/>
                <w:sz w:val="24"/>
                <w:szCs w:val="24"/>
              </w:rPr>
              <w:t>~202</w:t>
            </w:r>
            <w:r>
              <w:rPr>
                <w:rFonts w:hint="eastAsia"/>
                <w:color w:val="auto"/>
                <w:sz w:val="24"/>
                <w:szCs w:val="24"/>
                <w:lang w:val="en-US" w:eastAsia="zh-CN"/>
              </w:rPr>
              <w:t>3年12月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是否开工建设</w:t>
            </w:r>
          </w:p>
        </w:tc>
        <w:tc>
          <w:tcPr>
            <w:tcW w:w="7443" w:type="dxa"/>
            <w:gridSpan w:val="3"/>
            <w:vAlign w:val="center"/>
          </w:tcPr>
          <w:p>
            <w:pPr>
              <w:adjustRightInd w:val="0"/>
              <w:snapToGrid w:val="0"/>
              <w:rPr>
                <w:color w:val="auto"/>
                <w:sz w:val="24"/>
                <w:szCs w:val="24"/>
              </w:rPr>
            </w:pPr>
            <w:sdt>
              <w:sdtPr>
                <w:rPr>
                  <w:color w:val="auto"/>
                  <w:sz w:val="24"/>
                  <w:szCs w:val="24"/>
                </w:rPr>
                <w:id w:val="631605825"/>
                <w14:checkbox>
                  <w14:checked w14:val="1"/>
                  <w14:checkedState w14:val="0052" w14:font="Wingdings 2"/>
                  <w14:uncheckedState w14:val="2610" w14:font="MS Gothic"/>
                </w14:checkbox>
              </w:sdtPr>
              <w:sdtEndPr>
                <w:rPr>
                  <w:color w:val="auto"/>
                  <w:sz w:val="24"/>
                  <w:szCs w:val="24"/>
                </w:rPr>
              </w:sdtEndPr>
              <w:sdtContent>
                <w:r>
                  <w:rPr>
                    <w:color w:val="auto"/>
                    <w:sz w:val="24"/>
                    <w:szCs w:val="24"/>
                  </w:rPr>
                  <w:sym w:font="Wingdings 2" w:char="F052"/>
                </w:r>
              </w:sdtContent>
            </w:sdt>
            <w:r>
              <w:rPr>
                <w:color w:val="auto"/>
                <w:sz w:val="24"/>
                <w:szCs w:val="24"/>
              </w:rPr>
              <w:t>否</w:t>
            </w:r>
          </w:p>
          <w:p>
            <w:pPr>
              <w:adjustRightInd w:val="0"/>
              <w:snapToGrid w:val="0"/>
              <w:jc w:val="center"/>
              <w:rPr>
                <w:rFonts w:hint="default" w:eastAsia="宋体"/>
                <w:color w:val="auto"/>
                <w:sz w:val="24"/>
                <w:szCs w:val="24"/>
                <w:lang w:val="en-US" w:eastAsia="zh-CN"/>
              </w:rPr>
            </w:pPr>
            <w:sdt>
              <w:sdtPr>
                <w:rPr>
                  <w:color w:val="auto"/>
                  <w:sz w:val="24"/>
                  <w:szCs w:val="24"/>
                </w:rPr>
                <w:id w:val="1696427810"/>
                <w14:checkbox>
                  <w14:checked w14:val="0"/>
                  <w14:checkedState w14:val="0052" w14:font="Wingdings 2"/>
                  <w14:uncheckedState w14:val="2610" w14:font="MS Gothic"/>
                </w14:checkbox>
              </w:sdtPr>
              <w:sdtEndPr>
                <w:rPr>
                  <w:color w:val="auto"/>
                  <w:sz w:val="24"/>
                  <w:szCs w:val="24"/>
                </w:rPr>
              </w:sdtEndPr>
              <w:sdtContent>
                <w:r>
                  <w:rPr>
                    <w:rFonts w:ascii="Segoe UI Symbol" w:hAnsi="Segoe UI Symbol" w:eastAsia="MS Gothic" w:cs="Segoe UI Symbol"/>
                    <w:color w:val="auto"/>
                    <w:sz w:val="24"/>
                    <w:szCs w:val="24"/>
                  </w:rPr>
                  <w:t>☐</w:t>
                </w:r>
              </w:sdtContent>
            </w:sdt>
            <w:r>
              <w:rPr>
                <w:color w:val="auto"/>
                <w:sz w:val="24"/>
                <w:szCs w:val="24"/>
              </w:rPr>
              <w:t>是：</w:t>
            </w:r>
            <w:r>
              <w:rPr>
                <w:color w:val="auto"/>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7" w:type="dxa"/>
            <w:vAlign w:val="center"/>
          </w:tcPr>
          <w:p>
            <w:pPr>
              <w:autoSpaceDE w:val="0"/>
              <w:autoSpaceDN w:val="0"/>
              <w:adjustRightInd w:val="0"/>
              <w:snapToGrid w:val="0"/>
              <w:jc w:val="center"/>
              <w:rPr>
                <w:color w:val="auto"/>
                <w:kern w:val="0"/>
                <w:szCs w:val="21"/>
              </w:rPr>
            </w:pPr>
            <w:r>
              <w:rPr>
                <w:color w:val="auto"/>
                <w:kern w:val="0"/>
                <w:sz w:val="24"/>
                <w:szCs w:val="24"/>
              </w:rPr>
              <w:t>专项评价设置情况</w:t>
            </w:r>
          </w:p>
        </w:tc>
        <w:tc>
          <w:tcPr>
            <w:tcW w:w="7443" w:type="dxa"/>
            <w:gridSpan w:val="3"/>
            <w:vAlign w:val="center"/>
          </w:tcPr>
          <w:p>
            <w:pPr>
              <w:pStyle w:val="60"/>
              <w:ind w:left="0" w:leftChars="0" w:firstLine="0" w:firstLineChars="0"/>
              <w:rPr>
                <w:b/>
                <w:bCs/>
                <w:color w:val="auto"/>
                <w:sz w:val="24"/>
                <w:szCs w:val="24"/>
              </w:rPr>
            </w:pPr>
            <w:r>
              <w:rPr>
                <w:rFonts w:hint="eastAsia"/>
                <w:b/>
                <w:bCs/>
                <w:color w:val="auto"/>
                <w:sz w:val="24"/>
                <w:szCs w:val="24"/>
              </w:rPr>
              <w:t>1</w:t>
            </w:r>
            <w:r>
              <w:rPr>
                <w:rFonts w:hint="eastAsia"/>
                <w:b/>
                <w:bCs/>
                <w:color w:val="auto"/>
                <w:sz w:val="24"/>
                <w:szCs w:val="24"/>
                <w:lang w:val="en-US" w:eastAsia="zh-CN"/>
              </w:rPr>
              <w:t>.1</w:t>
            </w:r>
            <w:r>
              <w:rPr>
                <w:rFonts w:hint="eastAsia"/>
                <w:b/>
                <w:bCs/>
                <w:color w:val="auto"/>
                <w:sz w:val="24"/>
                <w:szCs w:val="24"/>
              </w:rPr>
              <w:t>大气专项评价设置情况</w:t>
            </w:r>
          </w:p>
          <w:p>
            <w:pPr>
              <w:autoSpaceDE w:val="0"/>
              <w:autoSpaceDN w:val="0"/>
              <w:adjustRightInd w:val="0"/>
              <w:snapToGrid w:val="0"/>
              <w:spacing w:line="360" w:lineRule="auto"/>
              <w:ind w:firstLine="420"/>
              <w:jc w:val="left"/>
              <w:rPr>
                <w:rFonts w:ascii="宋体" w:hAnsi="宋体"/>
                <w:b w:val="0"/>
                <w:bCs w:val="0"/>
                <w:color w:val="auto"/>
                <w:sz w:val="24"/>
                <w:szCs w:val="24"/>
              </w:rPr>
            </w:pPr>
            <w:r>
              <w:rPr>
                <w:rFonts w:hint="eastAsia" w:ascii="宋体" w:hAnsi="宋体"/>
                <w:b w:val="0"/>
                <w:bCs w:val="0"/>
                <w:color w:val="auto"/>
                <w:sz w:val="24"/>
                <w:szCs w:val="24"/>
              </w:rPr>
              <w:t>本项目产排污状况与《建设项目环境影响报告表编制技术指南（污染影响类）》（试行）中专项评价设置原则对比情况详见表</w:t>
            </w:r>
            <w:r>
              <w:rPr>
                <w:rFonts w:hint="default" w:ascii="Times New Roman" w:hAnsi="Times New Roman" w:cs="Times New Roman"/>
                <w:b w:val="0"/>
                <w:bCs w:val="0"/>
                <w:color w:val="auto"/>
                <w:sz w:val="24"/>
                <w:szCs w:val="24"/>
              </w:rPr>
              <w:t>1-1</w:t>
            </w:r>
            <w:r>
              <w:rPr>
                <w:rFonts w:hint="eastAsia" w:ascii="宋体" w:hAnsi="宋体"/>
                <w:b w:val="0"/>
                <w:bCs w:val="0"/>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bCs/>
                <w:color w:val="auto"/>
                <w:kern w:val="0"/>
                <w:sz w:val="21"/>
                <w:szCs w:val="21"/>
              </w:rPr>
            </w:pPr>
            <w:r>
              <w:rPr>
                <w:rFonts w:hint="eastAsia" w:ascii="宋体" w:hAnsi="宋体"/>
                <w:b/>
                <w:bCs/>
                <w:color w:val="auto"/>
                <w:kern w:val="0"/>
                <w:sz w:val="21"/>
                <w:szCs w:val="21"/>
              </w:rPr>
              <w:t>表</w:t>
            </w:r>
            <w:r>
              <w:rPr>
                <w:rFonts w:hint="default" w:ascii="Times New Roman" w:hAnsi="Times New Roman" w:cs="Times New Roman"/>
                <w:b/>
                <w:bCs/>
                <w:color w:val="auto"/>
                <w:kern w:val="0"/>
                <w:sz w:val="21"/>
                <w:szCs w:val="21"/>
              </w:rPr>
              <w:t>1-1</w:t>
            </w:r>
            <w:r>
              <w:rPr>
                <w:rFonts w:hint="eastAsia" w:ascii="宋体" w:hAnsi="宋体"/>
                <w:b/>
                <w:bCs/>
                <w:color w:val="auto"/>
                <w:kern w:val="0"/>
                <w:sz w:val="21"/>
                <w:szCs w:val="21"/>
              </w:rPr>
              <w:t xml:space="preserve">  </w:t>
            </w:r>
            <w:r>
              <w:rPr>
                <w:rFonts w:ascii="宋体" w:hAnsi="宋体"/>
                <w:b/>
                <w:bCs/>
                <w:color w:val="auto"/>
                <w:kern w:val="0"/>
                <w:sz w:val="21"/>
                <w:szCs w:val="21"/>
              </w:rPr>
              <w:t xml:space="preserve">  </w:t>
            </w:r>
            <w:r>
              <w:rPr>
                <w:rFonts w:hint="eastAsia" w:ascii="宋体" w:hAnsi="宋体"/>
                <w:b/>
                <w:bCs/>
                <w:color w:val="auto"/>
                <w:kern w:val="0"/>
                <w:sz w:val="21"/>
                <w:szCs w:val="21"/>
                <w:lang w:val="en-US" w:eastAsia="zh-CN"/>
              </w:rPr>
              <w:t>项目专项评价设置情况</w:t>
            </w:r>
            <w:r>
              <w:rPr>
                <w:rFonts w:hint="eastAsia" w:ascii="宋体" w:hAnsi="宋体"/>
                <w:b/>
                <w:bCs/>
                <w:color w:val="auto"/>
                <w:kern w:val="0"/>
                <w:sz w:val="21"/>
                <w:szCs w:val="21"/>
              </w:rPr>
              <w:t>一览表</w:t>
            </w:r>
          </w:p>
          <w:tbl>
            <w:tblPr>
              <w:tblStyle w:val="28"/>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470"/>
              <w:gridCol w:w="238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ign w:val="center"/>
                </w:tcPr>
                <w:p>
                  <w:pPr>
                    <w:adjustRightInd w:val="0"/>
                    <w:snapToGrid w:val="0"/>
                    <w:spacing w:line="240" w:lineRule="auto"/>
                    <w:ind w:firstLine="0" w:firstLineChars="0"/>
                    <w:jc w:val="center"/>
                    <w:rPr>
                      <w:b/>
                      <w:color w:val="auto"/>
                      <w:sz w:val="21"/>
                      <w:szCs w:val="21"/>
                    </w:rPr>
                  </w:pPr>
                  <w:r>
                    <w:rPr>
                      <w:rFonts w:hint="eastAsia"/>
                      <w:b/>
                      <w:color w:val="auto"/>
                      <w:sz w:val="21"/>
                      <w:szCs w:val="21"/>
                    </w:rPr>
                    <w:t>专项评价的类别</w:t>
                  </w:r>
                </w:p>
              </w:tc>
              <w:tc>
                <w:tcPr>
                  <w:tcW w:w="2470" w:type="dxa"/>
                  <w:noWrap/>
                  <w:vAlign w:val="center"/>
                </w:tcPr>
                <w:p>
                  <w:pPr>
                    <w:adjustRightInd w:val="0"/>
                    <w:snapToGrid w:val="0"/>
                    <w:spacing w:line="240" w:lineRule="auto"/>
                    <w:ind w:firstLine="0" w:firstLineChars="0"/>
                    <w:jc w:val="center"/>
                    <w:rPr>
                      <w:b/>
                      <w:color w:val="auto"/>
                      <w:sz w:val="21"/>
                      <w:szCs w:val="21"/>
                    </w:rPr>
                  </w:pPr>
                  <w:r>
                    <w:rPr>
                      <w:rFonts w:hint="eastAsia"/>
                      <w:b/>
                      <w:color w:val="auto"/>
                      <w:sz w:val="21"/>
                      <w:szCs w:val="21"/>
                    </w:rPr>
                    <w:t>设置原则</w:t>
                  </w:r>
                </w:p>
              </w:tc>
              <w:tc>
                <w:tcPr>
                  <w:tcW w:w="2380" w:type="dxa"/>
                  <w:noWrap/>
                  <w:vAlign w:val="center"/>
                </w:tcPr>
                <w:p>
                  <w:pPr>
                    <w:adjustRightInd w:val="0"/>
                    <w:snapToGrid w:val="0"/>
                    <w:spacing w:line="240" w:lineRule="auto"/>
                    <w:ind w:firstLine="0" w:firstLineChars="0"/>
                    <w:jc w:val="center"/>
                    <w:rPr>
                      <w:b/>
                      <w:color w:val="auto"/>
                      <w:sz w:val="21"/>
                      <w:szCs w:val="21"/>
                    </w:rPr>
                  </w:pPr>
                  <w:r>
                    <w:rPr>
                      <w:rFonts w:hint="eastAsia"/>
                      <w:b/>
                      <w:color w:val="auto"/>
                      <w:sz w:val="21"/>
                      <w:szCs w:val="21"/>
                    </w:rPr>
                    <w:t>项目实际状况</w:t>
                  </w:r>
                </w:p>
              </w:tc>
              <w:tc>
                <w:tcPr>
                  <w:tcW w:w="1133" w:type="dxa"/>
                  <w:noWrap/>
                  <w:vAlign w:val="center"/>
                </w:tcPr>
                <w:p>
                  <w:pPr>
                    <w:adjustRightInd w:val="0"/>
                    <w:snapToGrid w:val="0"/>
                    <w:spacing w:line="240" w:lineRule="auto"/>
                    <w:ind w:firstLine="0" w:firstLineChars="0"/>
                    <w:jc w:val="center"/>
                    <w:rPr>
                      <w:b/>
                      <w:color w:val="auto"/>
                      <w:sz w:val="21"/>
                      <w:szCs w:val="21"/>
                    </w:rPr>
                  </w:pPr>
                  <w:r>
                    <w:rPr>
                      <w:rFonts w:hint="eastAsia"/>
                      <w:b/>
                      <w:color w:val="auto"/>
                      <w:sz w:val="21"/>
                      <w:szCs w:val="21"/>
                    </w:rPr>
                    <w:t>是否需要专项评价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04" w:type="dxa"/>
                  <w:noWrap/>
                  <w:vAlign w:val="center"/>
                </w:tcPr>
                <w:p>
                  <w:pPr>
                    <w:pStyle w:val="63"/>
                    <w:adjustRightInd w:val="0"/>
                    <w:snapToGrid w:val="0"/>
                    <w:jc w:val="center"/>
                    <w:rPr>
                      <w:color w:val="auto"/>
                      <w:sz w:val="21"/>
                      <w:szCs w:val="21"/>
                      <w:lang w:eastAsia="zh-CN"/>
                    </w:rPr>
                  </w:pPr>
                  <w:r>
                    <w:rPr>
                      <w:rFonts w:hint="eastAsia"/>
                      <w:color w:val="auto"/>
                      <w:sz w:val="21"/>
                      <w:szCs w:val="21"/>
                      <w:lang w:eastAsia="zh-CN"/>
                    </w:rPr>
                    <w:t>大气</w:t>
                  </w:r>
                </w:p>
              </w:tc>
              <w:tc>
                <w:tcPr>
                  <w:tcW w:w="2470" w:type="dxa"/>
                  <w:noWrap/>
                  <w:vAlign w:val="center"/>
                </w:tcPr>
                <w:p>
                  <w:pPr>
                    <w:pStyle w:val="63"/>
                    <w:adjustRightInd w:val="0"/>
                    <w:snapToGrid w:val="0"/>
                    <w:rPr>
                      <w:color w:val="auto"/>
                      <w:sz w:val="21"/>
                      <w:szCs w:val="21"/>
                      <w:lang w:eastAsia="zh-CN"/>
                    </w:rPr>
                  </w:pPr>
                  <w:r>
                    <w:rPr>
                      <w:rFonts w:hint="eastAsia"/>
                      <w:color w:val="auto"/>
                      <w:sz w:val="21"/>
                      <w:szCs w:val="21"/>
                      <w:lang w:eastAsia="zh-CN"/>
                    </w:rPr>
                    <w:t>排放废气含有毒有害污染物</w:t>
                  </w:r>
                  <w:r>
                    <w:rPr>
                      <w:rFonts w:hint="eastAsia"/>
                      <w:color w:val="auto"/>
                      <w:sz w:val="21"/>
                      <w:szCs w:val="21"/>
                      <w:vertAlign w:val="superscript"/>
                      <w:lang w:eastAsia="zh-CN"/>
                    </w:rPr>
                    <w:t>1</w:t>
                  </w:r>
                  <w:r>
                    <w:rPr>
                      <w:rFonts w:hint="eastAsia"/>
                      <w:color w:val="auto"/>
                      <w:sz w:val="21"/>
                      <w:szCs w:val="21"/>
                      <w:lang w:eastAsia="zh-CN"/>
                    </w:rPr>
                    <w:t>、二</w:t>
                  </w:r>
                  <w:r>
                    <w:rPr>
                      <w:color w:val="auto"/>
                      <w:sz w:val="21"/>
                      <w:szCs w:val="21"/>
                      <w:lang w:eastAsia="zh-CN"/>
                    </w:rPr>
                    <w:t>噁英、苯并[a]芘、氰化物、</w:t>
                  </w:r>
                  <w:r>
                    <w:rPr>
                      <w:rFonts w:hint="eastAsia"/>
                      <w:color w:val="auto"/>
                      <w:sz w:val="21"/>
                      <w:szCs w:val="21"/>
                      <w:lang w:eastAsia="zh-CN"/>
                    </w:rPr>
                    <w:t>氯气且厂界外</w:t>
                  </w:r>
                  <w:r>
                    <w:rPr>
                      <w:rFonts w:hint="default" w:ascii="Times New Roman" w:hAnsi="Times New Roman" w:cs="Times New Roman"/>
                      <w:color w:val="auto"/>
                      <w:sz w:val="21"/>
                      <w:szCs w:val="21"/>
                      <w:lang w:eastAsia="zh-CN"/>
                    </w:rPr>
                    <w:t>500</w:t>
                  </w:r>
                  <w:r>
                    <w:rPr>
                      <w:rFonts w:hint="eastAsia"/>
                      <w:color w:val="auto"/>
                      <w:sz w:val="21"/>
                      <w:szCs w:val="21"/>
                      <w:lang w:eastAsia="zh-CN"/>
                    </w:rPr>
                    <w:t>米范围内有环境空气保护目标</w:t>
                  </w:r>
                  <w:r>
                    <w:rPr>
                      <w:rFonts w:hint="eastAsia"/>
                      <w:color w:val="auto"/>
                      <w:sz w:val="21"/>
                      <w:szCs w:val="21"/>
                      <w:vertAlign w:val="superscript"/>
                      <w:lang w:eastAsia="zh-CN"/>
                    </w:rPr>
                    <w:t>2</w:t>
                  </w:r>
                  <w:r>
                    <w:rPr>
                      <w:rFonts w:hint="eastAsia"/>
                      <w:color w:val="auto"/>
                      <w:sz w:val="21"/>
                      <w:szCs w:val="21"/>
                      <w:lang w:eastAsia="zh-CN"/>
                    </w:rPr>
                    <w:t>的建设项目</w:t>
                  </w:r>
                </w:p>
              </w:tc>
              <w:tc>
                <w:tcPr>
                  <w:tcW w:w="2380" w:type="dxa"/>
                  <w:noWrap/>
                  <w:vAlign w:val="center"/>
                </w:tcPr>
                <w:p>
                  <w:pPr>
                    <w:pStyle w:val="70"/>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rPr>
                    <w:t>项目排放的废气中主要污染物为颗粒物、S</w:t>
                  </w:r>
                  <w:r>
                    <w:rPr>
                      <w:color w:val="auto"/>
                      <w:sz w:val="21"/>
                      <w:szCs w:val="21"/>
                    </w:rPr>
                    <w:t>O</w:t>
                  </w:r>
                  <w:r>
                    <w:rPr>
                      <w:color w:val="auto"/>
                      <w:sz w:val="21"/>
                      <w:szCs w:val="21"/>
                      <w:vertAlign w:val="subscript"/>
                    </w:rPr>
                    <w:t>2</w:t>
                  </w:r>
                  <w:r>
                    <w:rPr>
                      <w:rFonts w:hint="eastAsia"/>
                      <w:color w:val="auto"/>
                      <w:sz w:val="21"/>
                      <w:szCs w:val="21"/>
                    </w:rPr>
                    <w:t>、N</w:t>
                  </w:r>
                  <w:r>
                    <w:rPr>
                      <w:color w:val="auto"/>
                      <w:sz w:val="21"/>
                      <w:szCs w:val="21"/>
                    </w:rPr>
                    <w:t>Ox</w:t>
                  </w:r>
                  <w:r>
                    <w:rPr>
                      <w:rFonts w:hint="eastAsia"/>
                      <w:color w:val="auto"/>
                      <w:sz w:val="21"/>
                      <w:szCs w:val="21"/>
                    </w:rPr>
                    <w:t>、氟化物</w:t>
                  </w:r>
                </w:p>
              </w:tc>
              <w:tc>
                <w:tcPr>
                  <w:tcW w:w="1133" w:type="dxa"/>
                  <w:noWrap/>
                  <w:vAlign w:val="center"/>
                </w:tcPr>
                <w:p>
                  <w:pPr>
                    <w:pStyle w:val="63"/>
                    <w:adjustRightInd w:val="0"/>
                    <w:snapToGrid w:val="0"/>
                    <w:jc w:val="center"/>
                    <w:rPr>
                      <w:color w:val="auto"/>
                      <w:sz w:val="21"/>
                      <w:szCs w:val="21"/>
                      <w:lang w:eastAsia="zh-CN"/>
                    </w:rPr>
                  </w:pPr>
                  <w:r>
                    <w:rPr>
                      <w:rFonts w:hint="eastAsia"/>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ign w:val="center"/>
                </w:tcPr>
                <w:p>
                  <w:pPr>
                    <w:pStyle w:val="63"/>
                    <w:adjustRightInd w:val="0"/>
                    <w:snapToGrid w:val="0"/>
                    <w:jc w:val="center"/>
                    <w:rPr>
                      <w:color w:val="auto"/>
                      <w:sz w:val="21"/>
                      <w:szCs w:val="21"/>
                      <w:lang w:eastAsia="zh-CN"/>
                    </w:rPr>
                  </w:pPr>
                  <w:r>
                    <w:rPr>
                      <w:rFonts w:hint="eastAsia"/>
                      <w:color w:val="auto"/>
                      <w:sz w:val="21"/>
                      <w:szCs w:val="21"/>
                      <w:lang w:eastAsia="zh-CN"/>
                    </w:rPr>
                    <w:t>地表水</w:t>
                  </w:r>
                </w:p>
              </w:tc>
              <w:tc>
                <w:tcPr>
                  <w:tcW w:w="2470" w:type="dxa"/>
                  <w:noWrap/>
                  <w:vAlign w:val="center"/>
                </w:tcPr>
                <w:p>
                  <w:pPr>
                    <w:pStyle w:val="63"/>
                    <w:adjustRightInd w:val="0"/>
                    <w:snapToGrid w:val="0"/>
                    <w:rPr>
                      <w:color w:val="auto"/>
                      <w:sz w:val="21"/>
                      <w:szCs w:val="21"/>
                      <w:lang w:eastAsia="zh-CN"/>
                    </w:rPr>
                  </w:pPr>
                  <w:r>
                    <w:rPr>
                      <w:rFonts w:hint="eastAsia"/>
                      <w:color w:val="auto"/>
                      <w:sz w:val="21"/>
                      <w:szCs w:val="21"/>
                      <w:lang w:eastAsia="zh-CN"/>
                    </w:rPr>
                    <w:t>新增工业废水直排建设项目（槽罐车外送污水处理厂的除外）；新增废水直排的污水集中处理厂</w:t>
                  </w:r>
                </w:p>
              </w:tc>
              <w:tc>
                <w:tcPr>
                  <w:tcW w:w="2380" w:type="dxa"/>
                  <w:noWrap/>
                  <w:vAlign w:val="center"/>
                </w:tcPr>
                <w:p>
                  <w:pPr>
                    <w:pStyle w:val="70"/>
                    <w:adjustRightInd w:val="0"/>
                    <w:snapToGrid w:val="0"/>
                    <w:ind w:firstLine="0" w:firstLineChars="0"/>
                    <w:jc w:val="center"/>
                    <w:rPr>
                      <w:rFonts w:hint="default" w:eastAsia="宋体"/>
                      <w:color w:val="auto"/>
                      <w:sz w:val="21"/>
                      <w:szCs w:val="21"/>
                      <w:lang w:val="en-US" w:eastAsia="zh-CN"/>
                    </w:rPr>
                  </w:pPr>
                  <w:r>
                    <w:rPr>
                      <w:rFonts w:hint="eastAsia"/>
                      <w:color w:val="auto"/>
                      <w:sz w:val="21"/>
                      <w:szCs w:val="21"/>
                    </w:rPr>
                    <w:t>项目营运期无生产废水外排，</w:t>
                  </w:r>
                  <w:r>
                    <w:rPr>
                      <w:rFonts w:hint="eastAsia"/>
                      <w:color w:val="auto"/>
                      <w:szCs w:val="21"/>
                    </w:rPr>
                    <w:t>餐饮废水与生活污水</w:t>
                  </w:r>
                  <w:r>
                    <w:rPr>
                      <w:rFonts w:hint="eastAsia"/>
                      <w:color w:val="auto"/>
                      <w:szCs w:val="21"/>
                      <w:lang w:val="en-US" w:eastAsia="zh-CN"/>
                    </w:rPr>
                    <w:t>排入旱厕堆肥，洗漱废水泼洒抑尘，不外排</w:t>
                  </w:r>
                </w:p>
              </w:tc>
              <w:tc>
                <w:tcPr>
                  <w:tcW w:w="1133" w:type="dxa"/>
                  <w:noWrap/>
                  <w:vAlign w:val="center"/>
                </w:tcPr>
                <w:p>
                  <w:pPr>
                    <w:adjustRightInd w:val="0"/>
                    <w:snapToGrid w:val="0"/>
                    <w:ind w:firstLine="0" w:firstLineChars="0"/>
                    <w:jc w:val="center"/>
                    <w:rPr>
                      <w:color w:val="auto"/>
                      <w:sz w:val="21"/>
                      <w:szCs w:val="21"/>
                    </w:rPr>
                  </w:pPr>
                  <w:r>
                    <w:rPr>
                      <w:rFonts w:hint="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04" w:type="dxa"/>
                  <w:noWrap/>
                  <w:vAlign w:val="center"/>
                </w:tcPr>
                <w:p>
                  <w:pPr>
                    <w:pStyle w:val="63"/>
                    <w:keepNext w:val="0"/>
                    <w:keepLines w:val="0"/>
                    <w:pageBreakBefore w:val="0"/>
                    <w:widowControl w:val="0"/>
                    <w:kinsoku/>
                    <w:wordWrap/>
                    <w:overflowPunct/>
                    <w:topLinePunct w:val="0"/>
                    <w:autoSpaceDE w:val="0"/>
                    <w:autoSpaceDN w:val="0"/>
                    <w:bidi w:val="0"/>
                    <w:adjustRightInd w:val="0"/>
                    <w:snapToGrid w:val="0"/>
                    <w:spacing w:before="0"/>
                    <w:jc w:val="center"/>
                    <w:textAlignment w:val="auto"/>
                    <w:rPr>
                      <w:rFonts w:hint="eastAsia"/>
                      <w:color w:val="auto"/>
                      <w:sz w:val="21"/>
                      <w:szCs w:val="21"/>
                      <w:lang w:eastAsia="zh-CN"/>
                    </w:rPr>
                  </w:pPr>
                  <w:r>
                    <w:rPr>
                      <w:rFonts w:hint="eastAsia"/>
                      <w:color w:val="auto"/>
                      <w:sz w:val="21"/>
                      <w:szCs w:val="21"/>
                      <w:lang w:eastAsia="zh-CN"/>
                    </w:rPr>
                    <w:t>环境</w:t>
                  </w:r>
                </w:p>
                <w:p>
                  <w:pPr>
                    <w:pStyle w:val="63"/>
                    <w:keepNext w:val="0"/>
                    <w:keepLines w:val="0"/>
                    <w:pageBreakBefore w:val="0"/>
                    <w:widowControl w:val="0"/>
                    <w:kinsoku/>
                    <w:wordWrap/>
                    <w:overflowPunct/>
                    <w:topLinePunct w:val="0"/>
                    <w:autoSpaceDE w:val="0"/>
                    <w:autoSpaceDN w:val="0"/>
                    <w:bidi w:val="0"/>
                    <w:adjustRightInd w:val="0"/>
                    <w:snapToGrid w:val="0"/>
                    <w:spacing w:before="0"/>
                    <w:jc w:val="center"/>
                    <w:textAlignment w:val="auto"/>
                    <w:rPr>
                      <w:color w:val="auto"/>
                      <w:sz w:val="21"/>
                      <w:szCs w:val="21"/>
                      <w:lang w:eastAsia="zh-CN"/>
                    </w:rPr>
                  </w:pPr>
                  <w:r>
                    <w:rPr>
                      <w:rFonts w:hint="eastAsia"/>
                      <w:color w:val="auto"/>
                      <w:sz w:val="21"/>
                      <w:szCs w:val="21"/>
                      <w:lang w:eastAsia="zh-CN"/>
                    </w:rPr>
                    <w:t>风险</w:t>
                  </w:r>
                </w:p>
              </w:tc>
              <w:tc>
                <w:tcPr>
                  <w:tcW w:w="2470" w:type="dxa"/>
                  <w:noWrap/>
                  <w:vAlign w:val="center"/>
                </w:tcPr>
                <w:p>
                  <w:pPr>
                    <w:pStyle w:val="63"/>
                    <w:adjustRightInd w:val="0"/>
                    <w:snapToGrid w:val="0"/>
                    <w:jc w:val="center"/>
                    <w:rPr>
                      <w:color w:val="auto"/>
                      <w:sz w:val="21"/>
                      <w:szCs w:val="21"/>
                      <w:lang w:eastAsia="zh-CN"/>
                    </w:rPr>
                  </w:pPr>
                  <w:r>
                    <w:rPr>
                      <w:rFonts w:hint="eastAsia"/>
                      <w:color w:val="auto"/>
                      <w:sz w:val="21"/>
                      <w:szCs w:val="21"/>
                      <w:lang w:eastAsia="zh-CN"/>
                    </w:rPr>
                    <w:t>有毒有害和易燃易爆危险物质存储量超过临界量</w:t>
                  </w:r>
                  <w:r>
                    <w:rPr>
                      <w:rFonts w:hint="eastAsia"/>
                      <w:color w:val="auto"/>
                      <w:sz w:val="21"/>
                      <w:szCs w:val="21"/>
                      <w:vertAlign w:val="superscript"/>
                      <w:lang w:eastAsia="zh-CN"/>
                    </w:rPr>
                    <w:t>3</w:t>
                  </w:r>
                  <w:r>
                    <w:rPr>
                      <w:rFonts w:hint="eastAsia"/>
                      <w:color w:val="auto"/>
                      <w:sz w:val="21"/>
                      <w:szCs w:val="21"/>
                      <w:lang w:eastAsia="zh-CN"/>
                    </w:rPr>
                    <w:t>的建设项目</w:t>
                  </w:r>
                </w:p>
              </w:tc>
              <w:tc>
                <w:tcPr>
                  <w:tcW w:w="2380" w:type="dxa"/>
                  <w:noWrap/>
                  <w:vAlign w:val="center"/>
                </w:tcPr>
                <w:p>
                  <w:pPr>
                    <w:pStyle w:val="70"/>
                    <w:adjustRightInd w:val="0"/>
                    <w:snapToGrid w:val="0"/>
                    <w:ind w:left="-53" w:leftChars="-25" w:right="-61" w:rightChars="-29" w:firstLine="0" w:firstLineChars="0"/>
                    <w:jc w:val="center"/>
                    <w:rPr>
                      <w:color w:val="auto"/>
                      <w:sz w:val="21"/>
                      <w:szCs w:val="21"/>
                    </w:rPr>
                  </w:pPr>
                  <w:r>
                    <w:rPr>
                      <w:rFonts w:hint="eastAsia"/>
                      <w:color w:val="auto"/>
                      <w:sz w:val="21"/>
                      <w:szCs w:val="21"/>
                    </w:rPr>
                    <w:t>项目有毒有害和易燃易爆危险物质存储量未超过临界量</w:t>
                  </w:r>
                </w:p>
              </w:tc>
              <w:tc>
                <w:tcPr>
                  <w:tcW w:w="1133" w:type="dxa"/>
                  <w:noWrap/>
                  <w:vAlign w:val="center"/>
                </w:tcPr>
                <w:p>
                  <w:pPr>
                    <w:adjustRightInd w:val="0"/>
                    <w:snapToGrid w:val="0"/>
                    <w:ind w:firstLine="0" w:firstLineChars="0"/>
                    <w:jc w:val="center"/>
                    <w:rPr>
                      <w:color w:val="auto"/>
                      <w:sz w:val="21"/>
                      <w:szCs w:val="21"/>
                    </w:rPr>
                  </w:pPr>
                  <w:r>
                    <w:rPr>
                      <w:rFonts w:hint="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ign w:val="center"/>
                </w:tcPr>
                <w:p>
                  <w:pPr>
                    <w:pStyle w:val="63"/>
                    <w:adjustRightInd w:val="0"/>
                    <w:snapToGrid w:val="0"/>
                    <w:jc w:val="center"/>
                    <w:rPr>
                      <w:color w:val="auto"/>
                      <w:sz w:val="21"/>
                      <w:szCs w:val="21"/>
                      <w:lang w:eastAsia="zh-CN"/>
                    </w:rPr>
                  </w:pPr>
                  <w:r>
                    <w:rPr>
                      <w:rFonts w:hint="eastAsia"/>
                      <w:color w:val="auto"/>
                      <w:sz w:val="21"/>
                      <w:szCs w:val="21"/>
                      <w:lang w:eastAsia="zh-CN"/>
                    </w:rPr>
                    <w:t>生态</w:t>
                  </w:r>
                </w:p>
              </w:tc>
              <w:tc>
                <w:tcPr>
                  <w:tcW w:w="2470" w:type="dxa"/>
                  <w:noWrap/>
                  <w:vAlign w:val="center"/>
                </w:tcPr>
                <w:p>
                  <w:pPr>
                    <w:pStyle w:val="63"/>
                    <w:adjustRightInd w:val="0"/>
                    <w:snapToGrid w:val="0"/>
                    <w:ind w:left="-63" w:leftChars="-30" w:right="-71" w:rightChars="-34"/>
                    <w:rPr>
                      <w:color w:val="auto"/>
                      <w:sz w:val="21"/>
                      <w:szCs w:val="21"/>
                      <w:lang w:eastAsia="zh-CN"/>
                    </w:rPr>
                  </w:pPr>
                  <w:r>
                    <w:rPr>
                      <w:rFonts w:hint="eastAsia"/>
                      <w:color w:val="auto"/>
                      <w:sz w:val="21"/>
                      <w:szCs w:val="21"/>
                      <w:lang w:eastAsia="zh-CN"/>
                    </w:rPr>
                    <w:t>取水口下游500米范围内有重要水生生物的自然产卵场、索饵场、越冬场和洄游通道的新增河道取水的污染类建设项目</w:t>
                  </w:r>
                </w:p>
              </w:tc>
              <w:tc>
                <w:tcPr>
                  <w:tcW w:w="2380" w:type="dxa"/>
                  <w:noWrap/>
                  <w:vAlign w:val="center"/>
                </w:tcPr>
                <w:p>
                  <w:pPr>
                    <w:pStyle w:val="70"/>
                    <w:adjustRightInd w:val="0"/>
                    <w:snapToGrid w:val="0"/>
                    <w:ind w:firstLine="0" w:firstLineChars="0"/>
                    <w:jc w:val="center"/>
                    <w:rPr>
                      <w:color w:val="auto"/>
                      <w:sz w:val="21"/>
                      <w:szCs w:val="21"/>
                    </w:rPr>
                  </w:pPr>
                  <w:r>
                    <w:rPr>
                      <w:rFonts w:hint="eastAsia"/>
                      <w:color w:val="auto"/>
                      <w:sz w:val="21"/>
                      <w:szCs w:val="21"/>
                      <w:lang w:val="en-US" w:eastAsia="zh-CN"/>
                    </w:rPr>
                    <w:t>项目</w:t>
                  </w:r>
                  <w:r>
                    <w:rPr>
                      <w:rFonts w:hint="eastAsia"/>
                      <w:color w:val="auto"/>
                      <w:sz w:val="21"/>
                      <w:szCs w:val="21"/>
                      <w:lang w:eastAsia="zh-CN"/>
                    </w:rPr>
                    <w:t>取水口下游500米范围内</w:t>
                  </w:r>
                  <w:r>
                    <w:rPr>
                      <w:rFonts w:hint="eastAsia"/>
                      <w:color w:val="auto"/>
                      <w:sz w:val="21"/>
                      <w:szCs w:val="21"/>
                      <w:lang w:val="en-US" w:eastAsia="zh-CN"/>
                    </w:rPr>
                    <w:t>无</w:t>
                  </w:r>
                  <w:r>
                    <w:rPr>
                      <w:rFonts w:hint="eastAsia"/>
                      <w:color w:val="auto"/>
                      <w:sz w:val="21"/>
                      <w:szCs w:val="21"/>
                      <w:lang w:eastAsia="zh-CN"/>
                    </w:rPr>
                    <w:t>重要水生生物的自然产卵场、索饵场、越冬场和洄游通道的新增河道取水的污染类建设项目</w:t>
                  </w:r>
                </w:p>
              </w:tc>
              <w:tc>
                <w:tcPr>
                  <w:tcW w:w="1133" w:type="dxa"/>
                  <w:noWrap/>
                  <w:vAlign w:val="center"/>
                </w:tcPr>
                <w:p>
                  <w:pPr>
                    <w:adjustRightInd w:val="0"/>
                    <w:snapToGrid w:val="0"/>
                    <w:ind w:firstLine="0" w:firstLineChars="0"/>
                    <w:jc w:val="center"/>
                    <w:rPr>
                      <w:color w:val="auto"/>
                      <w:sz w:val="21"/>
                      <w:szCs w:val="21"/>
                    </w:rPr>
                  </w:pPr>
                  <w:r>
                    <w:rPr>
                      <w:rFonts w:hint="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ign w:val="center"/>
                </w:tcPr>
                <w:p>
                  <w:pPr>
                    <w:pStyle w:val="63"/>
                    <w:adjustRightInd w:val="0"/>
                    <w:snapToGrid w:val="0"/>
                    <w:jc w:val="center"/>
                    <w:rPr>
                      <w:color w:val="auto"/>
                      <w:sz w:val="21"/>
                      <w:szCs w:val="21"/>
                      <w:lang w:eastAsia="zh-CN"/>
                    </w:rPr>
                  </w:pPr>
                  <w:r>
                    <w:rPr>
                      <w:rFonts w:hint="eastAsia"/>
                      <w:color w:val="auto"/>
                      <w:sz w:val="21"/>
                      <w:szCs w:val="21"/>
                      <w:lang w:eastAsia="zh-CN"/>
                    </w:rPr>
                    <w:t>海洋</w:t>
                  </w:r>
                </w:p>
              </w:tc>
              <w:tc>
                <w:tcPr>
                  <w:tcW w:w="2470" w:type="dxa"/>
                  <w:noWrap/>
                  <w:vAlign w:val="center"/>
                </w:tcPr>
                <w:p>
                  <w:pPr>
                    <w:pStyle w:val="63"/>
                    <w:adjustRightInd w:val="0"/>
                    <w:snapToGrid w:val="0"/>
                    <w:rPr>
                      <w:color w:val="auto"/>
                      <w:sz w:val="21"/>
                      <w:szCs w:val="21"/>
                      <w:lang w:eastAsia="zh-CN"/>
                    </w:rPr>
                  </w:pPr>
                  <w:r>
                    <w:rPr>
                      <w:rFonts w:hint="eastAsia"/>
                      <w:color w:val="auto"/>
                      <w:sz w:val="21"/>
                      <w:szCs w:val="21"/>
                      <w:lang w:eastAsia="zh-CN"/>
                    </w:rPr>
                    <w:t>直接向海排放污染物的海洋工程建设项目</w:t>
                  </w:r>
                </w:p>
              </w:tc>
              <w:tc>
                <w:tcPr>
                  <w:tcW w:w="2380" w:type="dxa"/>
                  <w:noWrap/>
                  <w:vAlign w:val="center"/>
                </w:tcPr>
                <w:p>
                  <w:pPr>
                    <w:pStyle w:val="70"/>
                    <w:adjustRightInd w:val="0"/>
                    <w:snapToGrid w:val="0"/>
                    <w:ind w:firstLine="0" w:firstLineChars="0"/>
                    <w:jc w:val="center"/>
                    <w:rPr>
                      <w:color w:val="auto"/>
                      <w:sz w:val="21"/>
                      <w:szCs w:val="21"/>
                    </w:rPr>
                  </w:pPr>
                  <w:r>
                    <w:rPr>
                      <w:rFonts w:hint="eastAsia"/>
                      <w:color w:val="auto"/>
                      <w:sz w:val="21"/>
                      <w:szCs w:val="21"/>
                    </w:rPr>
                    <w:t>项目位于甘肃省</w:t>
                  </w:r>
                  <w:r>
                    <w:rPr>
                      <w:rFonts w:hint="eastAsia"/>
                      <w:color w:val="auto"/>
                      <w:sz w:val="21"/>
                      <w:szCs w:val="21"/>
                      <w:lang w:val="en-US" w:eastAsia="zh-CN"/>
                    </w:rPr>
                    <w:t>庆阳市宁县</w:t>
                  </w:r>
                  <w:r>
                    <w:rPr>
                      <w:rFonts w:hint="eastAsia"/>
                      <w:color w:val="auto"/>
                      <w:sz w:val="21"/>
                      <w:szCs w:val="21"/>
                    </w:rPr>
                    <w:t>，为内陆地区</w:t>
                  </w:r>
                </w:p>
              </w:tc>
              <w:tc>
                <w:tcPr>
                  <w:tcW w:w="1133" w:type="dxa"/>
                  <w:noWrap/>
                  <w:vAlign w:val="center"/>
                </w:tcPr>
                <w:p>
                  <w:pPr>
                    <w:adjustRightInd w:val="0"/>
                    <w:snapToGrid w:val="0"/>
                    <w:ind w:firstLine="0" w:firstLineChars="0"/>
                    <w:jc w:val="center"/>
                    <w:rPr>
                      <w:color w:val="auto"/>
                      <w:sz w:val="21"/>
                      <w:szCs w:val="21"/>
                    </w:rPr>
                  </w:pPr>
                  <w:r>
                    <w:rPr>
                      <w:rFonts w:hint="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7" w:type="dxa"/>
                  <w:gridSpan w:val="4"/>
                  <w:noWrap/>
                  <w:vAlign w:val="center"/>
                </w:tcPr>
                <w:p>
                  <w:pPr>
                    <w:adjustRightInd w:val="0"/>
                    <w:snapToGrid w:val="0"/>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注：1、废气中有毒有害污染物指纳入《有毒有害大气污染物名录》的污染物（不包括无排放标准的污染物）。</w:t>
                  </w:r>
                </w:p>
                <w:p>
                  <w:pPr>
                    <w:adjustRightInd w:val="0"/>
                    <w:snapToGrid w:val="0"/>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2、环境空气保护目标指自然保护区、风景名胜区、居住区、文化区和农村地区中人群较集中的区域。</w:t>
                  </w:r>
                </w:p>
                <w:p>
                  <w:pPr>
                    <w:adjustRightInd w:val="0"/>
                    <w:snapToGrid w:val="0"/>
                    <w:ind w:firstLine="420" w:firstLineChars="200"/>
                    <w:jc w:val="left"/>
                    <w:rPr>
                      <w:color w:val="auto"/>
                      <w:sz w:val="21"/>
                      <w:szCs w:val="21"/>
                    </w:rPr>
                  </w:pPr>
                  <w:r>
                    <w:rPr>
                      <w:rFonts w:hint="default" w:ascii="Times New Roman" w:hAnsi="Times New Roman" w:eastAsia="宋体" w:cs="Times New Roman"/>
                      <w:color w:val="auto"/>
                      <w:sz w:val="21"/>
                      <w:szCs w:val="21"/>
                    </w:rPr>
                    <w:t>3、临界量及其计算方法参考《建设项目环境风险评价技术导则》（HJ169）附录B、附录C。</w:t>
                  </w:r>
                </w:p>
              </w:tc>
            </w:tr>
          </w:tbl>
          <w:p>
            <w:pPr>
              <w:pStyle w:val="60"/>
              <w:ind w:firstLine="42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27" w:type="dxa"/>
            <w:vAlign w:val="center"/>
          </w:tcPr>
          <w:p>
            <w:pPr>
              <w:autoSpaceDE w:val="0"/>
              <w:autoSpaceDN w:val="0"/>
              <w:adjustRightInd w:val="0"/>
              <w:snapToGrid w:val="0"/>
              <w:spacing w:line="240" w:lineRule="auto"/>
              <w:jc w:val="center"/>
              <w:rPr>
                <w:color w:val="auto"/>
                <w:kern w:val="0"/>
                <w:sz w:val="24"/>
                <w:szCs w:val="24"/>
              </w:rPr>
            </w:pPr>
            <w:r>
              <w:rPr>
                <w:color w:val="auto"/>
                <w:sz w:val="24"/>
                <w:szCs w:val="24"/>
              </w:rPr>
              <w:t>规划情况</w:t>
            </w:r>
          </w:p>
        </w:tc>
        <w:tc>
          <w:tcPr>
            <w:tcW w:w="7443" w:type="dxa"/>
            <w:gridSpan w:val="3"/>
            <w:vAlign w:val="center"/>
          </w:tcPr>
          <w:p>
            <w:pPr>
              <w:pStyle w:val="60"/>
              <w:spacing w:line="240" w:lineRule="auto"/>
              <w:ind w:firstLine="420"/>
              <w:jc w:val="center"/>
              <w:rPr>
                <w:color w:val="auto"/>
                <w:kern w:val="0"/>
                <w:szCs w:val="21"/>
              </w:rPr>
            </w:pPr>
            <w:r>
              <w:rPr>
                <w:rFonts w:hint="eastAsia" w:eastAsia="宋体"/>
                <w:color w:val="auto"/>
                <w:sz w:val="24"/>
                <w:szCs w:val="24"/>
              </w:rPr>
              <w:t>庆阳市“十四五”生态环境保护规划</w:t>
            </w:r>
            <w:r>
              <w:rPr>
                <w:rFonts w:hint="eastAsia" w:eastAsia="宋体"/>
                <w:color w:val="auto"/>
                <w:sz w:val="24"/>
                <w:szCs w:val="24"/>
                <w:lang w:eastAsia="zh-CN"/>
              </w:rPr>
              <w:t>（</w:t>
            </w:r>
            <w:r>
              <w:rPr>
                <w:rFonts w:hint="eastAsia" w:eastAsia="宋体"/>
                <w:color w:val="auto"/>
                <w:sz w:val="24"/>
                <w:szCs w:val="24"/>
                <w:lang w:val="zh-CN"/>
              </w:rPr>
              <w:t>庆政办发〔2022〕7号</w:t>
            </w:r>
            <w:r>
              <w:rPr>
                <w:rFonts w:hint="eastAsia" w:eastAsia="宋体"/>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Align w:val="center"/>
          </w:tcPr>
          <w:p>
            <w:pPr>
              <w:adjustRightInd w:val="0"/>
              <w:snapToGrid w:val="0"/>
              <w:jc w:val="center"/>
              <w:rPr>
                <w:color w:val="auto"/>
                <w:kern w:val="0"/>
                <w:sz w:val="24"/>
                <w:szCs w:val="24"/>
              </w:rPr>
            </w:pPr>
            <w:r>
              <w:rPr>
                <w:color w:val="auto"/>
                <w:sz w:val="24"/>
                <w:szCs w:val="24"/>
              </w:rPr>
              <w:t>规划环境影响评价情况</w:t>
            </w:r>
          </w:p>
        </w:tc>
        <w:tc>
          <w:tcPr>
            <w:tcW w:w="7443" w:type="dxa"/>
            <w:gridSpan w:val="3"/>
            <w:vAlign w:val="center"/>
          </w:tcPr>
          <w:p>
            <w:pPr>
              <w:autoSpaceDE w:val="0"/>
              <w:autoSpaceDN w:val="0"/>
              <w:adjustRightInd w:val="0"/>
              <w:snapToGrid w:val="0"/>
              <w:jc w:val="center"/>
              <w:rPr>
                <w:color w:val="auto"/>
                <w:kern w:val="0"/>
                <w:szCs w:val="21"/>
              </w:rPr>
            </w:pPr>
            <w:r>
              <w:rPr>
                <w:rFonts w:hint="eastAsia"/>
                <w:color w:val="auto"/>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Align w:val="center"/>
          </w:tcPr>
          <w:p>
            <w:pPr>
              <w:autoSpaceDE w:val="0"/>
              <w:autoSpaceDN w:val="0"/>
              <w:adjustRightInd w:val="0"/>
              <w:snapToGrid w:val="0"/>
              <w:jc w:val="center"/>
              <w:rPr>
                <w:color w:val="auto"/>
                <w:kern w:val="0"/>
                <w:sz w:val="24"/>
                <w:szCs w:val="24"/>
              </w:rPr>
            </w:pPr>
            <w:r>
              <w:rPr>
                <w:color w:val="auto"/>
                <w:kern w:val="0"/>
                <w:sz w:val="24"/>
                <w:szCs w:val="24"/>
              </w:rPr>
              <w:t>规划及规划环境影响评价符合性分析</w:t>
            </w:r>
          </w:p>
        </w:tc>
        <w:tc>
          <w:tcPr>
            <w:tcW w:w="7443" w:type="dxa"/>
            <w:gridSpan w:val="3"/>
            <w:vAlign w:val="center"/>
          </w:tcPr>
          <w:p>
            <w:pPr>
              <w:pStyle w:val="4"/>
              <w:keepNext/>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相关规划符合性分析见表1-2。</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w:t>
            </w:r>
            <w:r>
              <w:rPr>
                <w:rFonts w:hint="default" w:ascii="Times New Roman" w:hAnsi="Times New Roman" w:eastAsia="宋体" w:cs="Times New Roman"/>
                <w:b/>
                <w:bCs/>
                <w:color w:val="auto"/>
                <w:kern w:val="2"/>
                <w:sz w:val="21"/>
                <w:szCs w:val="21"/>
                <w:lang w:val="en-US" w:eastAsia="zh-CN" w:bidi="ar-SA"/>
              </w:rPr>
              <w:t>1-</w:t>
            </w:r>
            <w:r>
              <w:rPr>
                <w:rFonts w:hint="eastAsia" w:ascii="Times New Roman" w:hAnsi="Times New Roman" w:eastAsia="宋体" w:cs="Times New Roman"/>
                <w:b/>
                <w:bCs/>
                <w:color w:val="auto"/>
                <w:kern w:val="2"/>
                <w:sz w:val="21"/>
                <w:szCs w:val="21"/>
                <w:lang w:val="en-US" w:eastAsia="zh-CN" w:bidi="ar-SA"/>
              </w:rPr>
              <w:t>2</w:t>
            </w:r>
            <w:r>
              <w:rPr>
                <w:rFonts w:hint="default" w:ascii="Times New Roman" w:hAnsi="Times New Roman" w:eastAsia="宋体" w:cs="Times New Roman"/>
                <w:b/>
                <w:bCs/>
                <w:color w:val="auto"/>
                <w:kern w:val="2"/>
                <w:sz w:val="21"/>
                <w:szCs w:val="21"/>
                <w:lang w:val="en-US" w:eastAsia="zh-CN" w:bidi="ar-SA"/>
              </w:rPr>
              <w:t xml:space="preserve">  </w:t>
            </w:r>
            <w:r>
              <w:rPr>
                <w:rFonts w:hint="eastAsia" w:cs="Times New Roman"/>
                <w:b/>
                <w:bCs/>
                <w:color w:val="auto"/>
                <w:kern w:val="2"/>
                <w:sz w:val="21"/>
                <w:szCs w:val="21"/>
                <w:lang w:val="en-US" w:eastAsia="zh-CN" w:bidi="ar-SA"/>
              </w:rPr>
              <w:t xml:space="preserve"> </w:t>
            </w:r>
            <w:r>
              <w:rPr>
                <w:rFonts w:hint="default" w:ascii="Times New Roman" w:hAnsi="Times New Roman" w:eastAsia="宋体" w:cs="Times New Roman"/>
                <w:b/>
                <w:bCs/>
                <w:color w:val="auto"/>
                <w:kern w:val="2"/>
                <w:sz w:val="21"/>
                <w:szCs w:val="21"/>
                <w:lang w:val="en-US" w:eastAsia="zh-CN" w:bidi="ar-SA"/>
              </w:rPr>
              <w:t>相关规划符合性分析</w:t>
            </w:r>
          </w:p>
          <w:tbl>
            <w:tblPr>
              <w:tblStyle w:val="28"/>
              <w:tblW w:w="4994" w:type="pct"/>
              <w:tblInd w:w="-5"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33"/>
              <w:gridCol w:w="2651"/>
              <w:gridCol w:w="2586"/>
              <w:gridCol w:w="73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相关规划</w:t>
                  </w:r>
                </w:p>
              </w:tc>
              <w:tc>
                <w:tcPr>
                  <w:tcW w:w="183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规范内容</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rPr>
                    <w:t>（摘录）</w:t>
                  </w:r>
                  <w:r>
                    <w:rPr>
                      <w:rFonts w:hint="eastAsia" w:ascii="Times New Roman" w:hAnsi="Times New Roman" w:eastAsia="宋体" w:cs="Times New Roman"/>
                      <w:color w:val="auto"/>
                      <w:lang w:val="en-US" w:eastAsia="zh-CN"/>
                    </w:rPr>
                    <w:t>）</w:t>
                  </w:r>
                </w:p>
              </w:tc>
              <w:tc>
                <w:tcPr>
                  <w:tcW w:w="179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本项目情况</w:t>
                  </w:r>
                </w:p>
              </w:tc>
              <w:tc>
                <w:tcPr>
                  <w:tcW w:w="512" w:type="pct"/>
                  <w:tcBorders>
                    <w:tl2br w:val="nil"/>
                    <w:tr2bl w:val="nil"/>
                  </w:tcBorders>
                  <w:noWrap w:val="0"/>
                  <w:vAlign w:val="center"/>
                </w:tcPr>
                <w:p>
                  <w:pPr>
                    <w:keepNext w:val="0"/>
                    <w:keepLines w:val="0"/>
                    <w:pageBreakBefore w:val="0"/>
                    <w:widowControl/>
                    <w:suppressLineNumbers w:val="0"/>
                    <w:kinsoku/>
                    <w:wordWrap/>
                    <w:topLinePunct w:val="0"/>
                    <w:bidi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eastAsia="zh-CN"/>
                    </w:rPr>
                    <w:t>符合性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甘肃省“十四五”生态环境保护规划</w:t>
                  </w:r>
                </w:p>
              </w:tc>
              <w:tc>
                <w:tcPr>
                  <w:tcW w:w="183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严格落实主体功能区战略，强化国土空间规划和用途管控，统筹划定并严守生态保护红线、永久基本农田、城镇开发边界等空间管控边界。落实生态保护红线、环境质量底线、资源利用上线和生态环境准入清单要求，不断完善“三线一单”生态环境分区管控体系。重要生态功能区和生态环境敏感区等优先保护单元，要严格按照国家生态保护红线和省级生态空间管控区域管理规定进行管控，依法禁止或限制大规模、高强度的工业开发和城镇建设，严禁不符合国家有关规定的各类开发活动，确保生态环境功能不降低；中心城区、城镇规划区和各级各类工业园区（集聚区）等重点管控单元，要推进产业结构和能源结构调整，优化交通结构和用地结构，不断提高资源能源利用效率，加强污染物排放控制和环境风险防控，解决突出生态环境问题。</w:t>
                  </w:r>
                </w:p>
              </w:tc>
              <w:tc>
                <w:tcPr>
                  <w:tcW w:w="179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w:t>
                  </w:r>
                  <w:r>
                    <w:rPr>
                      <w:rFonts w:hint="eastAsia" w:cs="Times New Roman"/>
                      <w:color w:val="auto"/>
                      <w:lang w:val="en-US" w:eastAsia="zh-CN"/>
                    </w:rPr>
                    <w:t>部分场地</w:t>
                  </w:r>
                  <w:r>
                    <w:rPr>
                      <w:rFonts w:hint="eastAsia" w:ascii="Times New Roman" w:hAnsi="Times New Roman" w:eastAsia="宋体" w:cs="Times New Roman"/>
                      <w:color w:val="auto"/>
                      <w:lang w:val="en-US" w:eastAsia="zh-CN"/>
                    </w:rPr>
                    <w:t>占用一般生态空间，</w:t>
                  </w:r>
                  <w:r>
                    <w:rPr>
                      <w:rFonts w:hint="eastAsia" w:cs="Times New Roman"/>
                      <w:color w:val="auto"/>
                      <w:lang w:val="en-US" w:eastAsia="zh-CN"/>
                    </w:rPr>
                    <w:t>根据宁县国土资源局出具的关于“《宁县成盛建材有限责任公司》用地不涉及生态保护红线等有关情况的说明”中经套合“三区三线”划定成果，该项目用地不涉及我县生态保护红线范围，拟纳入宁县中村镇秦店村村庄规划。</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p>
              </w:tc>
              <w:tc>
                <w:tcPr>
                  <w:tcW w:w="183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严格控制重点流域、重点区域环境风险项目，深入推进重污染、高风险企业搬迁改造，分类推动沿黄河一定范围内高耗水、高污染企业迁入合规园区。</w:t>
                  </w:r>
                </w:p>
              </w:tc>
              <w:tc>
                <w:tcPr>
                  <w:tcW w:w="179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本项目属</w:t>
                  </w:r>
                  <w:r>
                    <w:rPr>
                      <w:rFonts w:hint="eastAsia" w:ascii="Times New Roman" w:hAnsi="Times New Roman" w:eastAsia="宋体" w:cs="Times New Roman"/>
                      <w:color w:val="auto"/>
                      <w:lang w:val="en-US" w:eastAsia="zh-CN"/>
                    </w:rPr>
                    <w:t>于</w:t>
                  </w:r>
                  <w:r>
                    <w:rPr>
                      <w:rFonts w:hint="default" w:ascii="Times New Roman" w:hAnsi="Times New Roman" w:eastAsia="宋体" w:cs="Times New Roman"/>
                      <w:color w:val="auto"/>
                      <w:lang w:val="en-US" w:eastAsia="zh-CN"/>
                    </w:rPr>
                    <w:t>现有砖厂升级改造项目</w:t>
                  </w:r>
                  <w:r>
                    <w:rPr>
                      <w:rFonts w:hint="eastAsia" w:ascii="Times New Roman" w:hAnsi="Times New Roman" w:eastAsia="宋体" w:cs="Times New Roman"/>
                      <w:color w:val="auto"/>
                      <w:lang w:val="en-US" w:eastAsia="zh-CN"/>
                    </w:rPr>
                    <w:t>，改造后项目不属于高耗水、高污染企业</w:t>
                  </w:r>
                  <w:r>
                    <w:rPr>
                      <w:rFonts w:hint="eastAsia" w:ascii="Times New Roman" w:hAnsi="Times New Roman" w:eastAsia="宋体" w:cs="Times New Roman"/>
                      <w:color w:val="auto"/>
                      <w:lang w:eastAsia="zh-CN"/>
                    </w:rPr>
                    <w:t>。</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p>
              </w:tc>
              <w:tc>
                <w:tcPr>
                  <w:tcW w:w="183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以装备制造、煤化工、建筑建材、石化、能源化工、工业涂装、包装印刷、农产品食品精深加工、中药材加工等行业为重点，逐步开展全流程清洁化、循环化、低碳化改造，促进传统产业绿色转型升级。</w:t>
                  </w:r>
                </w:p>
              </w:tc>
              <w:tc>
                <w:tcPr>
                  <w:tcW w:w="179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w:t>
                  </w:r>
                  <w:r>
                    <w:rPr>
                      <w:rFonts w:hint="default" w:ascii="Times New Roman" w:hAnsi="Times New Roman" w:eastAsia="宋体" w:cs="Times New Roman"/>
                      <w:color w:val="auto"/>
                      <w:lang w:val="en-US" w:eastAsia="zh-CN"/>
                    </w:rPr>
                    <w:t>项目</w:t>
                  </w:r>
                  <w:r>
                    <w:rPr>
                      <w:rFonts w:hint="eastAsia" w:ascii="Times New Roman" w:hAnsi="Times New Roman" w:eastAsia="宋体" w:cs="Times New Roman"/>
                      <w:color w:val="auto"/>
                      <w:lang w:val="en-US" w:eastAsia="zh-CN"/>
                    </w:rPr>
                    <w:t>为非金属矿物制品业-砖瓦、石材等建筑材料制造项目，项目升级改造后采取固定式隧道窑工艺，提升热工效率，实现热能循环。</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5" w:type="pct"/>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庆阳市“十四五”生态环境保护规划</w:t>
                  </w:r>
                </w:p>
                <w:p>
                  <w:pPr>
                    <w:adjustRightInd w:val="0"/>
                    <w:snapToGrid w:val="0"/>
                    <w:jc w:val="center"/>
                    <w:rPr>
                      <w:rFonts w:hint="eastAsia" w:ascii="Times New Roman" w:hAnsi="Times New Roman" w:eastAsia="宋体" w:cs="Times New Roman"/>
                      <w:color w:val="auto"/>
                      <w:lang w:val="en-US" w:eastAsia="zh-CN"/>
                    </w:rPr>
                  </w:pPr>
                </w:p>
              </w:tc>
              <w:tc>
                <w:tcPr>
                  <w:tcW w:w="183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加强生态环境分区管控，强化国土空间规划和用途管控，落实生态保护、基本农田、城镇开发等空间管控边界，实施主体功能区战略，划定并严守生态保护红线。落实生态保护红线、环境质量底线、资源利用上线和生态环境准入清单要求，不断完善“三线一单”生态环境分区管控体系。重要生态功能区和生态环境敏感区等优先保护单元，要严格按照管理规定进行管控，依法禁止或限制大规模、高强度的工业开发和城镇建设，严禁不符合国家有关规定的各类开发活动，维护生态安全格局，提升生态系统服务功能；中心城区、城镇规划区和各级各类工业园区（集中区）等重点管控单元，要推进产业结构和能源结构调整，优化交通结构和用地结构，不断提高资源能源利用效率，加强污染物排放控制和环境风险防控，解决突出生态环境问题。</w:t>
                  </w:r>
                </w:p>
              </w:tc>
              <w:tc>
                <w:tcPr>
                  <w:tcW w:w="1793"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w:t>
                  </w:r>
                  <w:r>
                    <w:rPr>
                      <w:rFonts w:hint="eastAsia" w:cs="Times New Roman"/>
                      <w:color w:val="auto"/>
                      <w:lang w:val="en-US" w:eastAsia="zh-CN"/>
                    </w:rPr>
                    <w:t>部分场地</w:t>
                  </w:r>
                  <w:r>
                    <w:rPr>
                      <w:rFonts w:hint="eastAsia" w:ascii="Times New Roman" w:hAnsi="Times New Roman" w:eastAsia="宋体" w:cs="Times New Roman"/>
                      <w:color w:val="auto"/>
                      <w:lang w:val="en-US" w:eastAsia="zh-CN"/>
                    </w:rPr>
                    <w:t>占用一般生态空间，</w:t>
                  </w:r>
                  <w:r>
                    <w:rPr>
                      <w:rFonts w:hint="eastAsia" w:cs="Times New Roman"/>
                      <w:color w:val="auto"/>
                      <w:lang w:val="en-US" w:eastAsia="zh-CN"/>
                    </w:rPr>
                    <w:t>根据宁县国土资源局出具的关于“《宁县成盛建材有限责任公司》用地不涉及生态保护红线等有关情况的说明”中经套合“三区三线”划定成果，该项目用地不涉及我县生态保护红线范围，拟纳入宁县中村镇秦店村村庄规划。</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p>
              </w:tc>
              <w:tc>
                <w:tcPr>
                  <w:tcW w:w="183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落实国家、省上产业准入政策，严格环境准入门槛，加快对高污染、高耗能企业的淘汰进程。以资源环境承载力为前提，立足产业基础和资源禀赋，衔接“三线一单”生态环境分区管控要求，调整优化不符合生态环境功能定位的产业布局、规模和结构，严控“两高”项目和环境风险项目，推动生产空间集约高效、生活空间宜居适度、生态空间山清水秀。提升园区环境管理水平和服务能力，落实规划环评成果，完善环保基础设施，为承接产业转移提供资源与环境承载基础。</w:t>
                  </w:r>
                </w:p>
              </w:tc>
              <w:tc>
                <w:tcPr>
                  <w:tcW w:w="1793" w:type="pct"/>
                  <w:tcBorders>
                    <w:tl2br w:val="nil"/>
                    <w:tr2bl w:val="nil"/>
                  </w:tcBorders>
                  <w:noWrap w:val="0"/>
                  <w:vAlign w:val="center"/>
                </w:tcPr>
                <w:p>
                  <w:pPr>
                    <w:adjustRightInd w:val="0"/>
                    <w:snapToGrid w:val="0"/>
                    <w:jc w:val="both"/>
                    <w:rPr>
                      <w:rFonts w:hint="default" w:ascii="Times New Roman" w:hAnsi="Times New Roman" w:eastAsia="宋体" w:cs="Times New Roman"/>
                      <w:color w:val="auto"/>
                      <w:lang w:val="en-US" w:eastAsia="zh-CN"/>
                    </w:rPr>
                  </w:pPr>
                  <w:r>
                    <w:rPr>
                      <w:rFonts w:hint="eastAsia"/>
                      <w:color w:val="auto"/>
                    </w:rPr>
                    <w:t>本项目为</w:t>
                  </w:r>
                  <w:r>
                    <w:rPr>
                      <w:rFonts w:hint="eastAsia"/>
                      <w:color w:val="auto"/>
                      <w:lang w:val="en-US" w:eastAsia="zh-CN"/>
                    </w:rPr>
                    <w:t>宁县成盛建材有限责任公司</w:t>
                  </w:r>
                  <w:r>
                    <w:rPr>
                      <w:rFonts w:hint="eastAsia"/>
                      <w:color w:val="auto"/>
                    </w:rPr>
                    <w:t>“</w:t>
                  </w:r>
                  <w:r>
                    <w:rPr>
                      <w:rFonts w:hint="eastAsia"/>
                      <w:color w:val="auto"/>
                      <w:lang w:val="en-US" w:eastAsia="zh-CN"/>
                    </w:rPr>
                    <w:t>年产500</w:t>
                  </w:r>
                  <w:r>
                    <w:rPr>
                      <w:rFonts w:hint="eastAsia"/>
                      <w:color w:val="auto"/>
                    </w:rPr>
                    <w:t>万块</w:t>
                  </w:r>
                  <w:r>
                    <w:rPr>
                      <w:rFonts w:hint="eastAsia"/>
                      <w:color w:val="auto"/>
                      <w:lang w:val="en-US" w:eastAsia="zh-CN"/>
                    </w:rPr>
                    <w:t>空心新型砖生产线项目</w:t>
                  </w:r>
                  <w:r>
                    <w:rPr>
                      <w:rFonts w:hint="eastAsia"/>
                      <w:color w:val="auto"/>
                    </w:rPr>
                    <w:t>”基础上进行的技术改造，不属于“已备案但尚未开工的工业项目”</w:t>
                  </w:r>
                  <w:r>
                    <w:rPr>
                      <w:rFonts w:hint="eastAsia"/>
                      <w:color w:val="auto"/>
                      <w:lang w:eastAsia="zh-CN"/>
                    </w:rPr>
                    <w:t>，</w:t>
                  </w:r>
                  <w:r>
                    <w:rPr>
                      <w:color w:val="auto"/>
                    </w:rPr>
                    <w:t>项目属</w:t>
                  </w:r>
                  <w:r>
                    <w:rPr>
                      <w:rFonts w:hint="eastAsia"/>
                      <w:color w:val="auto"/>
                    </w:rPr>
                    <w:t>于</w:t>
                  </w:r>
                  <w:r>
                    <w:rPr>
                      <w:color w:val="auto"/>
                    </w:rPr>
                    <w:t>现有砖厂升级改造项目</w:t>
                  </w:r>
                  <w:r>
                    <w:rPr>
                      <w:rFonts w:hint="eastAsia"/>
                      <w:color w:val="auto"/>
                    </w:rPr>
                    <w:t>，改造后采取的环保措施</w:t>
                  </w:r>
                  <w:r>
                    <w:rPr>
                      <w:color w:val="auto"/>
                    </w:rPr>
                    <w:t>可确保区域环境质量不恶化；根据</w:t>
                  </w:r>
                  <w:r>
                    <w:rPr>
                      <w:rFonts w:hint="eastAsia"/>
                      <w:color w:val="auto"/>
                    </w:rPr>
                    <w:t>“</w:t>
                  </w:r>
                  <w:r>
                    <w:rPr>
                      <w:rFonts w:hint="eastAsia"/>
                      <w:color w:val="auto"/>
                      <w:lang w:val="en-US" w:eastAsia="zh-CN"/>
                    </w:rPr>
                    <w:t>宁县成盛建材有限责任公司年产6000万块（折合标砖）烧结空心砖及空心砌块煤矸石综合利用项目节能报告的审查意见</w:t>
                  </w:r>
                  <w:r>
                    <w:rPr>
                      <w:rFonts w:hint="eastAsia"/>
                      <w:color w:val="auto"/>
                    </w:rPr>
                    <w:t>”项目单位产品综合能耗为35.19kgce/t，经与《烧结墙体材料和泡沫玻璃单位产品能源消耗限额》（GB30526-2019）对标分析，达到国内同行业先进水平。</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p>
              </w:tc>
              <w:tc>
                <w:tcPr>
                  <w:tcW w:w="183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坚持“三化”并进，加快推进产业转型升级和新旧动能转换，着力促进经济社会发展全面绿色发展，建立健全绿色低碳循环发展经济体系，推动产业结构、能源结构、交通运输结构实现深度调整。结合区位优势特点，持续推进“十大生态产业”发展，构建绿色生态发展体系，以装备制造、煤化工、建筑建材、石化、能源化工、工业涂装、包装印刷、农产品食品精深加工、中药材加工等行业为重点，逐步开展全流程清洁化、循环化、低碳化改造，促进传统产业绿色转型升级。</w:t>
                  </w:r>
                </w:p>
              </w:tc>
              <w:tc>
                <w:tcPr>
                  <w:tcW w:w="179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w:t>
                  </w:r>
                  <w:r>
                    <w:rPr>
                      <w:rFonts w:hint="default" w:ascii="Times New Roman" w:hAnsi="Times New Roman" w:eastAsia="宋体" w:cs="Times New Roman"/>
                      <w:color w:val="auto"/>
                      <w:lang w:val="en-US" w:eastAsia="zh-CN"/>
                    </w:rPr>
                    <w:t>项目</w:t>
                  </w:r>
                  <w:r>
                    <w:rPr>
                      <w:rFonts w:hint="eastAsia" w:ascii="Times New Roman" w:hAnsi="Times New Roman" w:eastAsia="宋体" w:cs="Times New Roman"/>
                      <w:color w:val="auto"/>
                      <w:lang w:val="en-US" w:eastAsia="zh-CN"/>
                    </w:rPr>
                    <w:t>为非金属矿物制品业-砖瓦、石材等建筑材料制造项目，项目升级改造后采取固定式道窑工艺，提升热工效率，实现热能循环。</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p>
              </w:tc>
              <w:tc>
                <w:tcPr>
                  <w:tcW w:w="183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在建筑施工过程中推广使用低噪声设备和工艺，确保施工噪声达标排放。科学合理安排工期，加大对夜间施工作业的管理力度，确需夜间施工的建筑施工作业，施工单位应办理夜间作业证明，并提前在受影响区域进行公告</w:t>
                  </w:r>
                </w:p>
              </w:tc>
              <w:tc>
                <w:tcPr>
                  <w:tcW w:w="1793"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加强设备的维护和保养，保持机械润滑，降低运行噪声；合理安排施工时间，尽量避免在夜间（22:00至次日6:00）和午间（12:00至14:30）进行噪声较大的施工作业和车辆运输</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p>
              </w:tc>
              <w:tc>
                <w:tcPr>
                  <w:tcW w:w="1838"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持续加强施工扬尘常态化监管，施工面积超过300平方米或工期超过3个月的工地围挡实施场内喷雾抑尘。全面落实施工工地周边围挡、物料堆放覆盖、土方开挖湿法作业、路面硬化,出入车辆清洗等“六个百分百”抑尘措施</w:t>
                  </w:r>
                </w:p>
              </w:tc>
              <w:tc>
                <w:tcPr>
                  <w:tcW w:w="1793"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施工场地进行围挡，定期清扫散落在施工场地的泥土配备洒水车或其它洒水设备及时对施工作业面进行洒水抑尘，建筑垃圾集中堆放在背风侧，不宜堆积过久、过高且应及时回填；散装物料集中堆置，并采取遮盖或围栏等防扬散、防泄漏、防渗漏措施；严禁运输建筑材料和设备的车辆超载行驶。</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p>
              </w:tc>
              <w:tc>
                <w:tcPr>
                  <w:tcW w:w="18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按照市委市政府提出的“前端排查管控、中端强化处理、末端生态净化</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三端”治理思路，持续深入开展涉水污染源排查整治。</w:t>
                  </w:r>
                </w:p>
              </w:tc>
              <w:tc>
                <w:tcPr>
                  <w:tcW w:w="1793"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本项目运营期</w:t>
                  </w:r>
                  <w:r>
                    <w:rPr>
                      <w:rFonts w:hint="default" w:ascii="Times New Roman" w:hAnsi="Times New Roman" w:eastAsia="宋体" w:cs="Times New Roman"/>
                      <w:color w:val="auto"/>
                      <w:lang w:val="en-US" w:eastAsia="zh-CN"/>
                    </w:rPr>
                    <w:t>脱硫废水循环利用，</w:t>
                  </w:r>
                  <w:r>
                    <w:rPr>
                      <w:rFonts w:hint="eastAsia" w:cs="Times New Roman"/>
                      <w:color w:val="auto"/>
                      <w:lang w:val="en-US" w:eastAsia="zh-CN"/>
                    </w:rPr>
                    <w:t>不</w:t>
                  </w:r>
                  <w:r>
                    <w:rPr>
                      <w:rFonts w:hint="default" w:ascii="Times New Roman" w:hAnsi="Times New Roman" w:eastAsia="宋体" w:cs="Times New Roman"/>
                      <w:color w:val="auto"/>
                      <w:lang w:val="en-US" w:eastAsia="zh-CN"/>
                    </w:rPr>
                    <w:t>外排</w:t>
                  </w:r>
                  <w:r>
                    <w:rPr>
                      <w:rFonts w:hint="eastAsia" w:ascii="Times New Roman" w:hAnsi="Times New Roman" w:eastAsia="宋体" w:cs="Times New Roman"/>
                      <w:color w:val="auto"/>
                      <w:lang w:val="en-US" w:eastAsia="zh-CN"/>
                    </w:rPr>
                    <w:t>。</w:t>
                  </w:r>
                </w:p>
              </w:tc>
              <w:tc>
                <w:tcPr>
                  <w:tcW w:w="51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符合</w:t>
                  </w:r>
                </w:p>
              </w:tc>
            </w:tr>
          </w:tbl>
          <w:p>
            <w:pPr>
              <w:autoSpaceDE w:val="0"/>
              <w:autoSpaceDN w:val="0"/>
              <w:adjustRightInd w:val="0"/>
              <w:snapToGrid w:val="0"/>
              <w:jc w:val="center"/>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4" w:hRule="atLeast"/>
          <w:jc w:val="center"/>
        </w:trPr>
        <w:tc>
          <w:tcPr>
            <w:tcW w:w="1427" w:type="dxa"/>
            <w:vAlign w:val="center"/>
          </w:tcPr>
          <w:p>
            <w:pPr>
              <w:autoSpaceDE w:val="0"/>
              <w:autoSpaceDN w:val="0"/>
              <w:adjustRightInd w:val="0"/>
              <w:snapToGrid w:val="0"/>
              <w:jc w:val="center"/>
              <w:rPr>
                <w:color w:val="auto"/>
                <w:kern w:val="0"/>
                <w:szCs w:val="21"/>
              </w:rPr>
            </w:pPr>
            <w:r>
              <w:rPr>
                <w:color w:val="auto"/>
                <w:kern w:val="0"/>
                <w:sz w:val="24"/>
                <w:szCs w:val="24"/>
              </w:rPr>
              <w:t>其他符合性分析</w:t>
            </w:r>
          </w:p>
        </w:tc>
        <w:tc>
          <w:tcPr>
            <w:tcW w:w="7443" w:type="dxa"/>
            <w:gridSpan w:val="3"/>
            <w:vAlign w:val="center"/>
          </w:tcPr>
          <w:p>
            <w:pPr>
              <w:pStyle w:val="60"/>
              <w:ind w:left="0" w:leftChars="0" w:firstLine="0" w:firstLineChars="0"/>
              <w:rPr>
                <w:b/>
                <w:bCs/>
                <w:color w:val="auto"/>
                <w:sz w:val="24"/>
                <w:szCs w:val="24"/>
              </w:rPr>
            </w:pPr>
            <w:r>
              <w:rPr>
                <w:rFonts w:hint="eastAsia"/>
                <w:b/>
                <w:bCs/>
                <w:color w:val="auto"/>
                <w:sz w:val="24"/>
                <w:szCs w:val="24"/>
                <w:lang w:val="en-US" w:eastAsia="zh-CN"/>
              </w:rPr>
              <w:t>1.2</w:t>
            </w:r>
            <w:r>
              <w:rPr>
                <w:b/>
                <w:bCs/>
                <w:color w:val="auto"/>
                <w:sz w:val="24"/>
                <w:szCs w:val="24"/>
              </w:rPr>
              <w:t>与《产业结构调整指导目录（2019年本）》符合性分析</w:t>
            </w:r>
          </w:p>
          <w:p>
            <w:pPr>
              <w:pStyle w:val="14"/>
              <w:keepNext/>
              <w:spacing w:line="240" w:lineRule="auto"/>
              <w:rPr>
                <w:rFonts w:cs="Times New Roman"/>
                <w:color w:val="auto"/>
              </w:rPr>
            </w:pPr>
            <w:r>
              <w:rPr>
                <w:rFonts w:eastAsia="宋体" w:cs="Times New Roman"/>
                <w:color w:val="auto"/>
              </w:rPr>
              <w:t>表</w:t>
            </w:r>
            <w:r>
              <w:rPr>
                <w:rFonts w:cs="Times New Roman"/>
                <w:color w:val="auto"/>
              </w:rPr>
              <w:fldChar w:fldCharType="begin"/>
            </w:r>
            <w:r>
              <w:rPr>
                <w:rFonts w:cs="Times New Roman"/>
                <w:color w:val="auto"/>
              </w:rPr>
              <w:instrText xml:space="preserve"> SEQ 表 \* ARABIC </w:instrText>
            </w:r>
            <w:r>
              <w:rPr>
                <w:rFonts w:cs="Times New Roman"/>
                <w:color w:val="auto"/>
              </w:rPr>
              <w:fldChar w:fldCharType="separate"/>
            </w:r>
            <w:r>
              <w:rPr>
                <w:rFonts w:cs="Times New Roman"/>
                <w:color w:val="auto"/>
              </w:rPr>
              <w:t>1</w:t>
            </w:r>
            <w:r>
              <w:rPr>
                <w:rFonts w:cs="Times New Roman"/>
                <w:color w:val="auto"/>
              </w:rPr>
              <w:fldChar w:fldCharType="end"/>
            </w:r>
            <w:r>
              <w:rPr>
                <w:rFonts w:hint="eastAsia" w:eastAsia="宋体" w:cs="Times New Roman"/>
                <w:color w:val="auto"/>
                <w:lang w:val="en-US" w:eastAsia="zh-CN"/>
              </w:rPr>
              <w:t xml:space="preserve">-3   </w:t>
            </w:r>
            <w:r>
              <w:rPr>
                <w:rFonts w:eastAsia="宋体" w:cs="Times New Roman"/>
                <w:color w:val="auto"/>
              </w:rPr>
              <w:t>与《产业结构调整指导目录（</w:t>
            </w:r>
            <w:r>
              <w:rPr>
                <w:rFonts w:cs="Times New Roman"/>
                <w:color w:val="auto"/>
              </w:rPr>
              <w:t>2019</w:t>
            </w:r>
            <w:r>
              <w:rPr>
                <w:rFonts w:eastAsia="宋体" w:cs="Times New Roman"/>
                <w:color w:val="auto"/>
              </w:rPr>
              <w:t>年本）》符合性分析</w:t>
            </w:r>
          </w:p>
          <w:tbl>
            <w:tblPr>
              <w:tblStyle w:val="29"/>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35"/>
              <w:gridCol w:w="2300"/>
              <w:gridCol w:w="2624"/>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670" w:type="dxa"/>
                  <w:gridSpan w:val="3"/>
                  <w:vAlign w:val="center"/>
                </w:tcPr>
                <w:p>
                  <w:pPr>
                    <w:pStyle w:val="57"/>
                    <w:rPr>
                      <w:color w:val="auto"/>
                    </w:rPr>
                  </w:pPr>
                  <w:r>
                    <w:rPr>
                      <w:color w:val="auto"/>
                    </w:rPr>
                    <w:t>《产业结构调整指导目录（2019年本）》</w:t>
                  </w:r>
                </w:p>
              </w:tc>
              <w:tc>
                <w:tcPr>
                  <w:tcW w:w="2624" w:type="dxa"/>
                  <w:vAlign w:val="center"/>
                </w:tcPr>
                <w:p>
                  <w:pPr>
                    <w:pStyle w:val="57"/>
                    <w:rPr>
                      <w:color w:val="auto"/>
                    </w:rPr>
                  </w:pPr>
                  <w:r>
                    <w:rPr>
                      <w:color w:val="auto"/>
                    </w:rPr>
                    <w:t>本项目</w:t>
                  </w:r>
                </w:p>
              </w:tc>
              <w:tc>
                <w:tcPr>
                  <w:tcW w:w="793" w:type="dxa"/>
                  <w:vAlign w:val="center"/>
                </w:tcPr>
                <w:p>
                  <w:pPr>
                    <w:pStyle w:val="57"/>
                    <w:rPr>
                      <w:color w:val="auto"/>
                    </w:rPr>
                  </w:pPr>
                  <w:r>
                    <w:rPr>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restart"/>
                  <w:vAlign w:val="center"/>
                </w:tcPr>
                <w:p>
                  <w:pPr>
                    <w:pStyle w:val="57"/>
                    <w:rPr>
                      <w:color w:val="auto"/>
                    </w:rPr>
                  </w:pPr>
                  <w:r>
                    <w:rPr>
                      <w:color w:val="auto"/>
                    </w:rPr>
                    <w:t>限制类</w:t>
                  </w:r>
                </w:p>
              </w:tc>
              <w:tc>
                <w:tcPr>
                  <w:tcW w:w="935" w:type="dxa"/>
                  <w:vMerge w:val="restart"/>
                  <w:vAlign w:val="center"/>
                </w:tcPr>
                <w:p>
                  <w:pPr>
                    <w:pStyle w:val="57"/>
                    <w:rPr>
                      <w:rFonts w:hint="eastAsia" w:eastAsia="宋体"/>
                      <w:color w:val="auto"/>
                      <w:lang w:val="en-US" w:eastAsia="zh-CN"/>
                    </w:rPr>
                  </w:pPr>
                  <w:r>
                    <w:rPr>
                      <w:rFonts w:hint="eastAsia"/>
                      <w:color w:val="auto"/>
                      <w:lang w:val="en-US" w:eastAsia="zh-CN"/>
                    </w:rPr>
                    <w:t>第</w:t>
                  </w:r>
                  <w:r>
                    <w:rPr>
                      <w:color w:val="auto"/>
                    </w:rPr>
                    <w:t>九</w:t>
                  </w:r>
                  <w:r>
                    <w:rPr>
                      <w:rFonts w:hint="eastAsia"/>
                      <w:color w:val="auto"/>
                      <w:lang w:val="en-US" w:eastAsia="zh-CN"/>
                    </w:rPr>
                    <w:t>条</w:t>
                  </w:r>
                </w:p>
                <w:p>
                  <w:pPr>
                    <w:pStyle w:val="57"/>
                    <w:rPr>
                      <w:color w:val="auto"/>
                    </w:rPr>
                  </w:pPr>
                  <w:r>
                    <w:rPr>
                      <w:color w:val="auto"/>
                    </w:rPr>
                    <w:t>建材</w:t>
                  </w:r>
                </w:p>
              </w:tc>
              <w:tc>
                <w:tcPr>
                  <w:tcW w:w="2300" w:type="dxa"/>
                  <w:vAlign w:val="center"/>
                </w:tcPr>
                <w:p>
                  <w:pPr>
                    <w:pStyle w:val="57"/>
                    <w:jc w:val="both"/>
                    <w:rPr>
                      <w:color w:val="auto"/>
                    </w:rPr>
                  </w:pPr>
                  <w:r>
                    <w:rPr>
                      <w:color w:val="auto"/>
                    </w:rPr>
                    <w:t>6、粘土空心砖生产线（陕西、青海、甘肃、新疆、西藏、宁夏除外）</w:t>
                  </w:r>
                </w:p>
              </w:tc>
              <w:tc>
                <w:tcPr>
                  <w:tcW w:w="2624" w:type="dxa"/>
                  <w:vAlign w:val="center"/>
                </w:tcPr>
                <w:p>
                  <w:pPr>
                    <w:pStyle w:val="57"/>
                    <w:jc w:val="both"/>
                    <w:rPr>
                      <w:color w:val="auto"/>
                    </w:rPr>
                  </w:pPr>
                  <w:r>
                    <w:rPr>
                      <w:color w:val="auto"/>
                    </w:rPr>
                    <w:t>本项目为空心</w:t>
                  </w:r>
                  <w:r>
                    <w:rPr>
                      <w:rFonts w:hint="eastAsia"/>
                      <w:color w:val="auto"/>
                      <w:lang w:val="en-US" w:eastAsia="zh-CN"/>
                    </w:rPr>
                    <w:t>砖及空心砌块</w:t>
                  </w:r>
                  <w:r>
                    <w:rPr>
                      <w:color w:val="auto"/>
                    </w:rPr>
                    <w:t>生产线，原料采用煤矸石、粘土</w:t>
                  </w:r>
                  <w:r>
                    <w:rPr>
                      <w:rFonts w:hint="eastAsia"/>
                      <w:color w:val="auto"/>
                      <w:lang w:val="en-US" w:eastAsia="zh-CN"/>
                    </w:rPr>
                    <w:t>为原料</w:t>
                  </w:r>
                  <w:r>
                    <w:rPr>
                      <w:color w:val="auto"/>
                    </w:rPr>
                    <w:t>且项目位于甘肃省，不属于限制类。</w:t>
                  </w:r>
                </w:p>
              </w:tc>
              <w:tc>
                <w:tcPr>
                  <w:tcW w:w="793"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continue"/>
                  <w:vAlign w:val="center"/>
                </w:tcPr>
                <w:p>
                  <w:pPr>
                    <w:pStyle w:val="57"/>
                    <w:rPr>
                      <w:color w:val="auto"/>
                    </w:rPr>
                  </w:pPr>
                </w:p>
              </w:tc>
              <w:tc>
                <w:tcPr>
                  <w:tcW w:w="935" w:type="dxa"/>
                  <w:vMerge w:val="continue"/>
                  <w:vAlign w:val="center"/>
                </w:tcPr>
                <w:p>
                  <w:pPr>
                    <w:pStyle w:val="57"/>
                    <w:rPr>
                      <w:color w:val="auto"/>
                    </w:rPr>
                  </w:pPr>
                </w:p>
              </w:tc>
              <w:tc>
                <w:tcPr>
                  <w:tcW w:w="2300" w:type="dxa"/>
                  <w:vAlign w:val="center"/>
                </w:tcPr>
                <w:p>
                  <w:pPr>
                    <w:pStyle w:val="57"/>
                    <w:jc w:val="both"/>
                    <w:rPr>
                      <w:color w:val="auto"/>
                    </w:rPr>
                  </w:pPr>
                  <w:r>
                    <w:rPr>
                      <w:color w:val="auto"/>
                    </w:rPr>
                    <w:t>9、6000万标砖/年（不含）以下的烧结砖及烧结空心砌块生产线</w:t>
                  </w:r>
                </w:p>
              </w:tc>
              <w:tc>
                <w:tcPr>
                  <w:tcW w:w="2624" w:type="dxa"/>
                  <w:vAlign w:val="center"/>
                </w:tcPr>
                <w:p>
                  <w:pPr>
                    <w:pStyle w:val="57"/>
                    <w:jc w:val="both"/>
                    <w:rPr>
                      <w:color w:val="auto"/>
                    </w:rPr>
                  </w:pPr>
                  <w:r>
                    <w:rPr>
                      <w:color w:val="auto"/>
                    </w:rPr>
                    <w:t>本项目烧结砖生产规模为</w:t>
                  </w:r>
                  <w:r>
                    <w:rPr>
                      <w:rFonts w:hint="eastAsia"/>
                      <w:color w:val="auto"/>
                      <w:lang w:val="en-US" w:eastAsia="zh-CN"/>
                    </w:rPr>
                    <w:t>6</w:t>
                  </w:r>
                  <w:r>
                    <w:rPr>
                      <w:color w:val="auto"/>
                    </w:rPr>
                    <w:t>000万标砖/年，不属于限制类。</w:t>
                  </w:r>
                </w:p>
              </w:tc>
              <w:tc>
                <w:tcPr>
                  <w:tcW w:w="793"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restart"/>
                  <w:vAlign w:val="center"/>
                </w:tcPr>
                <w:p>
                  <w:pPr>
                    <w:pStyle w:val="57"/>
                    <w:rPr>
                      <w:color w:val="auto"/>
                    </w:rPr>
                  </w:pPr>
                  <w:r>
                    <w:rPr>
                      <w:color w:val="auto"/>
                    </w:rPr>
                    <w:t>淘汰类</w:t>
                  </w:r>
                </w:p>
              </w:tc>
              <w:tc>
                <w:tcPr>
                  <w:tcW w:w="935" w:type="dxa"/>
                  <w:vMerge w:val="restart"/>
                  <w:vAlign w:val="center"/>
                </w:tcPr>
                <w:p>
                  <w:pPr>
                    <w:pStyle w:val="57"/>
                    <w:rPr>
                      <w:color w:val="auto"/>
                    </w:rPr>
                  </w:pPr>
                  <w:r>
                    <w:rPr>
                      <w:rFonts w:hint="eastAsia"/>
                      <w:color w:val="auto"/>
                      <w:lang w:val="en-US" w:eastAsia="zh-CN"/>
                    </w:rPr>
                    <w:t>第八条</w:t>
                  </w:r>
                  <w:r>
                    <w:rPr>
                      <w:color w:val="auto"/>
                    </w:rPr>
                    <w:t>建材</w:t>
                  </w:r>
                </w:p>
              </w:tc>
              <w:tc>
                <w:tcPr>
                  <w:tcW w:w="2300" w:type="dxa"/>
                  <w:vAlign w:val="center"/>
                </w:tcPr>
                <w:p>
                  <w:pPr>
                    <w:pStyle w:val="57"/>
                    <w:jc w:val="both"/>
                    <w:rPr>
                      <w:color w:val="auto"/>
                    </w:rPr>
                  </w:pPr>
                  <w:r>
                    <w:rPr>
                      <w:color w:val="auto"/>
                    </w:rPr>
                    <w:t>12、砖瓦轮窑（2020年12月31日）以及立窑、无顶轮窑、马蹄窑等土窑</w:t>
                  </w:r>
                </w:p>
              </w:tc>
              <w:tc>
                <w:tcPr>
                  <w:tcW w:w="2624" w:type="dxa"/>
                  <w:vAlign w:val="center"/>
                </w:tcPr>
                <w:p>
                  <w:pPr>
                    <w:pStyle w:val="57"/>
                    <w:jc w:val="both"/>
                    <w:rPr>
                      <w:color w:val="auto"/>
                    </w:rPr>
                  </w:pPr>
                  <w:r>
                    <w:rPr>
                      <w:color w:val="auto"/>
                    </w:rPr>
                    <w:t>本项目改建后焙烧采用隧道窑，不属于淘汰类。</w:t>
                  </w:r>
                </w:p>
              </w:tc>
              <w:tc>
                <w:tcPr>
                  <w:tcW w:w="793"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continue"/>
                  <w:vAlign w:val="center"/>
                </w:tcPr>
                <w:p>
                  <w:pPr>
                    <w:pStyle w:val="57"/>
                    <w:rPr>
                      <w:color w:val="auto"/>
                    </w:rPr>
                  </w:pPr>
                </w:p>
              </w:tc>
              <w:tc>
                <w:tcPr>
                  <w:tcW w:w="935" w:type="dxa"/>
                  <w:vMerge w:val="continue"/>
                  <w:vAlign w:val="center"/>
                </w:tcPr>
                <w:p>
                  <w:pPr>
                    <w:pStyle w:val="57"/>
                    <w:rPr>
                      <w:color w:val="auto"/>
                    </w:rPr>
                  </w:pPr>
                </w:p>
              </w:tc>
              <w:tc>
                <w:tcPr>
                  <w:tcW w:w="2300" w:type="dxa"/>
                  <w:vAlign w:val="center"/>
                </w:tcPr>
                <w:p>
                  <w:pPr>
                    <w:pStyle w:val="57"/>
                    <w:jc w:val="both"/>
                    <w:rPr>
                      <w:color w:val="auto"/>
                    </w:rPr>
                  </w:pPr>
                  <w:r>
                    <w:rPr>
                      <w:color w:val="auto"/>
                    </w:rPr>
                    <w:t>13、普通挤砖机；</w:t>
                  </w:r>
                </w:p>
                <w:p>
                  <w:pPr>
                    <w:pStyle w:val="57"/>
                    <w:jc w:val="both"/>
                    <w:rPr>
                      <w:color w:val="auto"/>
                    </w:rPr>
                  </w:pPr>
                  <w:r>
                    <w:rPr>
                      <w:color w:val="auto"/>
                    </w:rPr>
                    <w:t>14、SJ1580-3000双轴、单轴制砖搅拌机；</w:t>
                  </w:r>
                </w:p>
                <w:p>
                  <w:pPr>
                    <w:pStyle w:val="57"/>
                    <w:jc w:val="left"/>
                    <w:rPr>
                      <w:color w:val="auto"/>
                    </w:rPr>
                  </w:pPr>
                  <w:r>
                    <w:rPr>
                      <w:color w:val="auto"/>
                    </w:rPr>
                    <w:t>15、SQP400500-700500双辊破碎机</w:t>
                  </w:r>
                </w:p>
              </w:tc>
              <w:tc>
                <w:tcPr>
                  <w:tcW w:w="2624" w:type="dxa"/>
                  <w:vAlign w:val="center"/>
                </w:tcPr>
                <w:p>
                  <w:pPr>
                    <w:pStyle w:val="57"/>
                    <w:jc w:val="both"/>
                    <w:rPr>
                      <w:color w:val="auto"/>
                    </w:rPr>
                  </w:pPr>
                  <w:r>
                    <w:rPr>
                      <w:color w:val="auto"/>
                    </w:rPr>
                    <w:t>本项目采用500×750</w:t>
                  </w:r>
                  <w:r>
                    <w:rPr>
                      <w:rFonts w:hint="eastAsia"/>
                      <w:color w:val="auto"/>
                      <w:lang w:val="en-US" w:eastAsia="zh-CN"/>
                    </w:rPr>
                    <w:t>锤式</w:t>
                  </w:r>
                  <w:r>
                    <w:rPr>
                      <w:color w:val="auto"/>
                    </w:rPr>
                    <w:t>破碎机</w:t>
                  </w:r>
                  <w:r>
                    <w:rPr>
                      <w:rFonts w:hint="eastAsia"/>
                      <w:color w:val="auto"/>
                      <w:lang w:eastAsia="zh-CN"/>
                    </w:rPr>
                    <w:t>，</w:t>
                  </w:r>
                  <w:r>
                    <w:rPr>
                      <w:color w:val="auto"/>
                    </w:rPr>
                    <w:t>SJ300×50搅拌机</w:t>
                  </w:r>
                  <w:r>
                    <w:rPr>
                      <w:rFonts w:hint="eastAsia"/>
                      <w:color w:val="auto"/>
                      <w:lang w:eastAsia="zh-CN"/>
                    </w:rPr>
                    <w:t>，</w:t>
                  </w:r>
                  <w:r>
                    <w:rPr>
                      <w:color w:val="auto"/>
                    </w:rPr>
                    <w:t>JZK90真空挤砖机，均不属于淘汰类。</w:t>
                  </w:r>
                </w:p>
              </w:tc>
              <w:tc>
                <w:tcPr>
                  <w:tcW w:w="793"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continue"/>
                  <w:vAlign w:val="center"/>
                </w:tcPr>
                <w:p>
                  <w:pPr>
                    <w:pStyle w:val="57"/>
                    <w:rPr>
                      <w:color w:val="auto"/>
                    </w:rPr>
                  </w:pPr>
                </w:p>
              </w:tc>
              <w:tc>
                <w:tcPr>
                  <w:tcW w:w="935" w:type="dxa"/>
                  <w:vMerge w:val="continue"/>
                  <w:vAlign w:val="center"/>
                </w:tcPr>
                <w:p>
                  <w:pPr>
                    <w:pStyle w:val="57"/>
                    <w:rPr>
                      <w:color w:val="auto"/>
                    </w:rPr>
                  </w:pPr>
                </w:p>
              </w:tc>
              <w:tc>
                <w:tcPr>
                  <w:tcW w:w="2300" w:type="dxa"/>
                  <w:vAlign w:val="center"/>
                </w:tcPr>
                <w:p>
                  <w:pPr>
                    <w:pStyle w:val="57"/>
                    <w:jc w:val="both"/>
                    <w:rPr>
                      <w:color w:val="auto"/>
                    </w:rPr>
                  </w:pPr>
                  <w:r>
                    <w:rPr>
                      <w:color w:val="auto"/>
                    </w:rPr>
                    <w:t>25、非烧结、非蒸压粉煤灰砖生产线</w:t>
                  </w:r>
                </w:p>
              </w:tc>
              <w:tc>
                <w:tcPr>
                  <w:tcW w:w="2624" w:type="dxa"/>
                  <w:vAlign w:val="center"/>
                </w:tcPr>
                <w:p>
                  <w:pPr>
                    <w:pStyle w:val="57"/>
                    <w:jc w:val="both"/>
                    <w:rPr>
                      <w:color w:val="auto"/>
                    </w:rPr>
                  </w:pPr>
                  <w:r>
                    <w:rPr>
                      <w:color w:val="auto"/>
                    </w:rPr>
                    <w:t>本项目为烧结砖生产线，因此不属于淘汰类。</w:t>
                  </w:r>
                </w:p>
              </w:tc>
              <w:tc>
                <w:tcPr>
                  <w:tcW w:w="793" w:type="dxa"/>
                  <w:vAlign w:val="center"/>
                </w:tcPr>
                <w:p>
                  <w:pPr>
                    <w:pStyle w:val="57"/>
                    <w:rPr>
                      <w:color w:val="auto"/>
                    </w:rPr>
                  </w:pPr>
                  <w:r>
                    <w:rPr>
                      <w:color w:val="auto"/>
                    </w:rPr>
                    <w:t>符合</w:t>
                  </w:r>
                </w:p>
              </w:tc>
            </w:tr>
          </w:tbl>
          <w:p>
            <w:pPr>
              <w:pStyle w:val="60"/>
              <w:ind w:firstLine="420"/>
              <w:rPr>
                <w:color w:val="auto"/>
              </w:rPr>
            </w:pPr>
            <w:r>
              <w:rPr>
                <w:color w:val="auto"/>
              </w:rPr>
              <w:t>由上表，本项目建设符合国家产业政策。</w:t>
            </w:r>
          </w:p>
          <w:p>
            <w:pPr>
              <w:pStyle w:val="60"/>
              <w:ind w:left="0" w:leftChars="0" w:firstLine="0" w:firstLineChars="0"/>
              <w:jc w:val="left"/>
              <w:rPr>
                <w:b/>
                <w:bCs/>
                <w:color w:val="auto"/>
                <w:sz w:val="24"/>
                <w:szCs w:val="24"/>
              </w:rPr>
            </w:pPr>
            <w:r>
              <w:rPr>
                <w:rFonts w:hint="eastAsia"/>
                <w:b/>
                <w:bCs/>
                <w:color w:val="auto"/>
                <w:sz w:val="24"/>
                <w:szCs w:val="24"/>
                <w:lang w:val="en-US" w:eastAsia="zh-CN"/>
              </w:rPr>
              <w:t>1.3</w:t>
            </w:r>
            <w:r>
              <w:rPr>
                <w:b/>
                <w:bCs/>
                <w:color w:val="auto"/>
                <w:sz w:val="24"/>
                <w:szCs w:val="24"/>
              </w:rPr>
              <w:t>与《“十四五”大宗固体废弃物综合利用的指导意见》（发改环资[2021]381号）符合性分析</w:t>
            </w:r>
          </w:p>
          <w:p>
            <w:pPr>
              <w:pStyle w:val="14"/>
              <w:keepNext/>
              <w:spacing w:line="240" w:lineRule="auto"/>
              <w:rPr>
                <w:rFonts w:cs="Times New Roman"/>
                <w:color w:val="auto"/>
              </w:rPr>
            </w:pPr>
            <w:r>
              <w:rPr>
                <w:rFonts w:eastAsia="宋体" w:cs="Times New Roman"/>
                <w:color w:val="auto"/>
              </w:rPr>
              <w:t>表</w:t>
            </w:r>
            <w:r>
              <w:rPr>
                <w:rFonts w:hint="eastAsia" w:eastAsia="宋体" w:cs="Times New Roman"/>
                <w:color w:val="auto"/>
                <w:lang w:val="en-US" w:eastAsia="zh-CN"/>
              </w:rPr>
              <w:t>1-4</w:t>
            </w:r>
            <w:r>
              <w:rPr>
                <w:rFonts w:eastAsia="宋体" w:cs="Times New Roman"/>
                <w:color w:val="auto"/>
              </w:rPr>
              <w:t>与《</w:t>
            </w:r>
            <w:r>
              <w:rPr>
                <w:rFonts w:cs="Times New Roman"/>
                <w:color w:val="auto"/>
              </w:rPr>
              <w:t>“</w:t>
            </w:r>
            <w:r>
              <w:rPr>
                <w:rFonts w:eastAsia="宋体" w:cs="Times New Roman"/>
                <w:color w:val="auto"/>
              </w:rPr>
              <w:t>十四五</w:t>
            </w:r>
            <w:r>
              <w:rPr>
                <w:rFonts w:cs="Times New Roman"/>
                <w:color w:val="auto"/>
              </w:rPr>
              <w:t>”</w:t>
            </w:r>
            <w:r>
              <w:rPr>
                <w:rFonts w:eastAsia="宋体" w:cs="Times New Roman"/>
                <w:color w:val="auto"/>
              </w:rPr>
              <w:t>大宗固体废弃物综合利用的指导意见》符合性分析</w:t>
            </w:r>
          </w:p>
          <w:tbl>
            <w:tblPr>
              <w:tblStyle w:val="30"/>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553"/>
              <w:gridCol w:w="2538"/>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Align w:val="center"/>
                </w:tcPr>
                <w:p>
                  <w:pPr>
                    <w:widowControl/>
                    <w:jc w:val="center"/>
                    <w:rPr>
                      <w:color w:val="auto"/>
                      <w:kern w:val="0"/>
                      <w:szCs w:val="21"/>
                    </w:rPr>
                  </w:pPr>
                  <w:r>
                    <w:rPr>
                      <w:color w:val="auto"/>
                      <w:kern w:val="0"/>
                      <w:szCs w:val="21"/>
                    </w:rPr>
                    <w:t>序号</w:t>
                  </w:r>
                </w:p>
              </w:tc>
              <w:tc>
                <w:tcPr>
                  <w:tcW w:w="3553" w:type="dxa"/>
                  <w:vAlign w:val="center"/>
                </w:tcPr>
                <w:p>
                  <w:pPr>
                    <w:widowControl/>
                    <w:jc w:val="center"/>
                    <w:rPr>
                      <w:color w:val="auto"/>
                      <w:kern w:val="0"/>
                      <w:szCs w:val="21"/>
                    </w:rPr>
                  </w:pPr>
                  <w:r>
                    <w:rPr>
                      <w:color w:val="auto"/>
                      <w:kern w:val="0"/>
                      <w:szCs w:val="21"/>
                    </w:rPr>
                    <w:t>《“十四五”大宗固体废弃物综合利用的指导意见》（发改环资[2021]381号）内容与要求</w:t>
                  </w:r>
                </w:p>
              </w:tc>
              <w:tc>
                <w:tcPr>
                  <w:tcW w:w="2538" w:type="dxa"/>
                  <w:vAlign w:val="center"/>
                </w:tcPr>
                <w:p>
                  <w:pPr>
                    <w:widowControl/>
                    <w:jc w:val="center"/>
                    <w:rPr>
                      <w:color w:val="auto"/>
                      <w:kern w:val="0"/>
                      <w:szCs w:val="21"/>
                    </w:rPr>
                  </w:pPr>
                  <w:r>
                    <w:rPr>
                      <w:color w:val="auto"/>
                      <w:kern w:val="0"/>
                      <w:szCs w:val="21"/>
                    </w:rPr>
                    <w:t>本项目情况</w:t>
                  </w:r>
                </w:p>
              </w:tc>
              <w:tc>
                <w:tcPr>
                  <w:tcW w:w="505" w:type="dxa"/>
                  <w:vAlign w:val="center"/>
                </w:tcPr>
                <w:p>
                  <w:pPr>
                    <w:widowControl/>
                    <w:jc w:val="center"/>
                    <w:rPr>
                      <w:color w:val="auto"/>
                      <w:kern w:val="0"/>
                      <w:szCs w:val="21"/>
                    </w:rPr>
                  </w:pPr>
                  <w:r>
                    <w:rPr>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Merge w:val="restart"/>
                  <w:vAlign w:val="center"/>
                </w:tcPr>
                <w:p>
                  <w:pPr>
                    <w:widowControl/>
                    <w:jc w:val="center"/>
                    <w:rPr>
                      <w:rFonts w:eastAsia="等线"/>
                      <w:color w:val="auto"/>
                      <w:kern w:val="0"/>
                      <w:szCs w:val="21"/>
                    </w:rPr>
                  </w:pPr>
                  <w:r>
                    <w:rPr>
                      <w:rFonts w:eastAsia="等线"/>
                      <w:color w:val="auto"/>
                      <w:kern w:val="0"/>
                      <w:szCs w:val="21"/>
                    </w:rPr>
                    <w:t>1</w:t>
                  </w:r>
                </w:p>
              </w:tc>
              <w:tc>
                <w:tcPr>
                  <w:tcW w:w="3553" w:type="dxa"/>
                  <w:vAlign w:val="center"/>
                </w:tcPr>
                <w:p>
                  <w:pPr>
                    <w:widowControl/>
                    <w:jc w:val="center"/>
                    <w:rPr>
                      <w:b/>
                      <w:bCs/>
                      <w:color w:val="auto"/>
                      <w:kern w:val="0"/>
                      <w:szCs w:val="21"/>
                    </w:rPr>
                  </w:pPr>
                  <w:r>
                    <w:rPr>
                      <w:b/>
                      <w:bCs/>
                      <w:color w:val="auto"/>
                      <w:kern w:val="0"/>
                      <w:szCs w:val="21"/>
                    </w:rPr>
                    <w:t>二、总体要求</w:t>
                  </w:r>
                </w:p>
              </w:tc>
              <w:tc>
                <w:tcPr>
                  <w:tcW w:w="2538" w:type="dxa"/>
                  <w:vMerge w:val="restart"/>
                  <w:vAlign w:val="center"/>
                </w:tcPr>
                <w:p>
                  <w:pPr>
                    <w:widowControl/>
                    <w:jc w:val="center"/>
                    <w:rPr>
                      <w:color w:val="auto"/>
                      <w:kern w:val="0"/>
                      <w:szCs w:val="21"/>
                    </w:rPr>
                  </w:pPr>
                  <w:r>
                    <w:rPr>
                      <w:color w:val="auto"/>
                      <w:kern w:val="0"/>
                      <w:szCs w:val="21"/>
                    </w:rPr>
                    <w:t>本项目为固体废弃物综合利用项目，项目企业积极贯彻新发展理念，将</w:t>
                  </w:r>
                  <w:r>
                    <w:rPr>
                      <w:rFonts w:hint="eastAsia"/>
                      <w:color w:val="auto"/>
                      <w:kern w:val="0"/>
                      <w:szCs w:val="21"/>
                      <w:lang w:val="en-US" w:eastAsia="zh-CN"/>
                    </w:rPr>
                    <w:t>煤矸石</w:t>
                  </w:r>
                  <w:r>
                    <w:rPr>
                      <w:color w:val="auto"/>
                      <w:kern w:val="0"/>
                      <w:szCs w:val="21"/>
                    </w:rPr>
                    <w:t>综合利用，既可减少固体废弃物对环境的影响，又可实现经济效益增长，为区域生态文明建设和经济社会发展均具有积极意义。</w:t>
                  </w:r>
                </w:p>
              </w:tc>
              <w:tc>
                <w:tcPr>
                  <w:tcW w:w="505" w:type="dxa"/>
                  <w:vMerge w:val="restart"/>
                  <w:vAlign w:val="center"/>
                </w:tcPr>
                <w:p>
                  <w:pPr>
                    <w:widowControl/>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Merge w:val="continue"/>
                  <w:vAlign w:val="center"/>
                </w:tcPr>
                <w:p>
                  <w:pPr>
                    <w:widowControl/>
                    <w:jc w:val="center"/>
                    <w:rPr>
                      <w:rFonts w:eastAsia="等线"/>
                      <w:color w:val="auto"/>
                      <w:kern w:val="0"/>
                      <w:szCs w:val="21"/>
                    </w:rPr>
                  </w:pPr>
                </w:p>
              </w:tc>
              <w:tc>
                <w:tcPr>
                  <w:tcW w:w="3553" w:type="dxa"/>
                  <w:vAlign w:val="center"/>
                </w:tcPr>
                <w:p>
                  <w:pPr>
                    <w:widowControl/>
                    <w:jc w:val="center"/>
                    <w:rPr>
                      <w:color w:val="auto"/>
                      <w:kern w:val="0"/>
                      <w:szCs w:val="21"/>
                    </w:rPr>
                  </w:pPr>
                  <w:r>
                    <w:rPr>
                      <w:color w:val="auto"/>
                      <w:kern w:val="0"/>
                      <w:szCs w:val="21"/>
                    </w:rPr>
                    <w:t>（三）指导思想。以习近平新时代中国特色社会主义思想为指导，深入贯彻党的十九大和十九届二中、三中、四中、五中全会精神，坚定不移贯彻新发展理念，以全面提高资源利用效率为目标，以推动资源综合利用产业绿色发展为核心，加强系统治理，创新利用模式，实施专项行动，促进大宗固废实现绿色、高效、高质、高值、规模化利用，提高大宗固废综合利用水平，助力生态文明建设，为经济社会高质量发展提供有力支撑。</w:t>
                  </w:r>
                </w:p>
              </w:tc>
              <w:tc>
                <w:tcPr>
                  <w:tcW w:w="2538" w:type="dxa"/>
                  <w:vMerge w:val="continue"/>
                  <w:vAlign w:val="center"/>
                </w:tcPr>
                <w:p>
                  <w:pPr>
                    <w:widowControl/>
                    <w:jc w:val="center"/>
                    <w:rPr>
                      <w:color w:val="auto"/>
                      <w:kern w:val="0"/>
                      <w:szCs w:val="21"/>
                    </w:rPr>
                  </w:pPr>
                </w:p>
              </w:tc>
              <w:tc>
                <w:tcPr>
                  <w:tcW w:w="505" w:type="dxa"/>
                  <w:vMerge w:val="continue"/>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Merge w:val="restart"/>
                  <w:vAlign w:val="center"/>
                </w:tcPr>
                <w:p>
                  <w:pPr>
                    <w:widowControl/>
                    <w:jc w:val="center"/>
                    <w:rPr>
                      <w:rFonts w:eastAsia="等线"/>
                      <w:color w:val="auto"/>
                      <w:kern w:val="0"/>
                      <w:szCs w:val="21"/>
                    </w:rPr>
                  </w:pPr>
                  <w:r>
                    <w:rPr>
                      <w:rFonts w:eastAsia="等线"/>
                      <w:color w:val="auto"/>
                      <w:kern w:val="0"/>
                      <w:szCs w:val="21"/>
                    </w:rPr>
                    <w:t>2</w:t>
                  </w:r>
                </w:p>
              </w:tc>
              <w:tc>
                <w:tcPr>
                  <w:tcW w:w="3553" w:type="dxa"/>
                  <w:vAlign w:val="center"/>
                </w:tcPr>
                <w:p>
                  <w:pPr>
                    <w:widowControl/>
                    <w:jc w:val="center"/>
                    <w:rPr>
                      <w:b/>
                      <w:bCs/>
                      <w:color w:val="auto"/>
                      <w:kern w:val="0"/>
                      <w:szCs w:val="21"/>
                    </w:rPr>
                  </w:pPr>
                  <w:r>
                    <w:rPr>
                      <w:b/>
                      <w:bCs/>
                      <w:color w:val="auto"/>
                      <w:kern w:val="0"/>
                      <w:szCs w:val="21"/>
                    </w:rPr>
                    <w:t>六、实施资源高效利用行动</w:t>
                  </w:r>
                </w:p>
              </w:tc>
              <w:tc>
                <w:tcPr>
                  <w:tcW w:w="2538" w:type="dxa"/>
                  <w:vMerge w:val="restart"/>
                  <w:vAlign w:val="center"/>
                </w:tcPr>
                <w:p>
                  <w:pPr>
                    <w:widowControl/>
                    <w:jc w:val="center"/>
                    <w:rPr>
                      <w:color w:val="auto"/>
                      <w:kern w:val="0"/>
                      <w:szCs w:val="21"/>
                    </w:rPr>
                  </w:pPr>
                  <w:r>
                    <w:rPr>
                      <w:color w:val="auto"/>
                      <w:kern w:val="0"/>
                      <w:szCs w:val="21"/>
                    </w:rPr>
                    <w:t>本项目</w:t>
                  </w:r>
                  <w:r>
                    <w:rPr>
                      <w:rFonts w:hint="eastAsia"/>
                      <w:color w:val="auto"/>
                      <w:kern w:val="0"/>
                      <w:szCs w:val="21"/>
                      <w:lang w:val="en-US" w:eastAsia="zh-CN"/>
                    </w:rPr>
                    <w:t>利用煤矸石制砖</w:t>
                  </w:r>
                  <w:r>
                    <w:rPr>
                      <w:color w:val="auto"/>
                      <w:kern w:val="0"/>
                      <w:szCs w:val="21"/>
                    </w:rPr>
                    <w:t>，</w:t>
                  </w:r>
                  <w:r>
                    <w:rPr>
                      <w:rFonts w:hint="eastAsia"/>
                      <w:color w:val="auto"/>
                      <w:kern w:val="0"/>
                      <w:szCs w:val="21"/>
                      <w:lang w:val="en-US" w:eastAsia="zh-CN"/>
                    </w:rPr>
                    <w:t>符合实施资源高效利用行动</w:t>
                  </w:r>
                  <w:r>
                    <w:rPr>
                      <w:color w:val="auto"/>
                      <w:kern w:val="0"/>
                      <w:szCs w:val="21"/>
                    </w:rPr>
                    <w:t>。</w:t>
                  </w:r>
                </w:p>
              </w:tc>
              <w:tc>
                <w:tcPr>
                  <w:tcW w:w="505" w:type="dxa"/>
                  <w:vMerge w:val="restart"/>
                  <w:vAlign w:val="center"/>
                </w:tcPr>
                <w:p>
                  <w:pPr>
                    <w:widowControl/>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Merge w:val="continue"/>
                  <w:vAlign w:val="center"/>
                </w:tcPr>
                <w:p>
                  <w:pPr>
                    <w:widowControl/>
                    <w:jc w:val="center"/>
                    <w:rPr>
                      <w:rFonts w:eastAsia="等线"/>
                      <w:color w:val="auto"/>
                      <w:kern w:val="0"/>
                      <w:szCs w:val="21"/>
                    </w:rPr>
                  </w:pPr>
                </w:p>
              </w:tc>
              <w:tc>
                <w:tcPr>
                  <w:tcW w:w="3553" w:type="dxa"/>
                  <w:vAlign w:val="center"/>
                </w:tcPr>
                <w:p>
                  <w:pPr>
                    <w:widowControl/>
                    <w:jc w:val="center"/>
                    <w:rPr>
                      <w:color w:val="auto"/>
                      <w:kern w:val="0"/>
                      <w:szCs w:val="21"/>
                    </w:rPr>
                  </w:pPr>
                  <w:r>
                    <w:rPr>
                      <w:color w:val="auto"/>
                      <w:kern w:val="0"/>
                      <w:szCs w:val="21"/>
                    </w:rPr>
                    <w:t>（十九）骨干企业示范引领行动。在煤矸石、粉煤灰、尾矿（共伴生矿）、冶炼渣、工业副产石膏、建筑垃圾、农作物秸秆等大宗固废综合利用领域，培育50家具有较强上下游产业带动能力、掌握核心技术、市场占有率高的综合利用骨干企业。支持骨干企业开展高效、高质、高值大宗固废综合利用示范项目建设，形成可复制、可推广的实施范例，发挥带动引领作用。</w:t>
                  </w:r>
                </w:p>
              </w:tc>
              <w:tc>
                <w:tcPr>
                  <w:tcW w:w="2538" w:type="dxa"/>
                  <w:vMerge w:val="continue"/>
                  <w:vAlign w:val="center"/>
                </w:tcPr>
                <w:p>
                  <w:pPr>
                    <w:widowControl/>
                    <w:jc w:val="center"/>
                    <w:rPr>
                      <w:color w:val="auto"/>
                      <w:kern w:val="0"/>
                      <w:szCs w:val="21"/>
                    </w:rPr>
                  </w:pPr>
                </w:p>
              </w:tc>
              <w:tc>
                <w:tcPr>
                  <w:tcW w:w="505" w:type="dxa"/>
                  <w:vMerge w:val="continue"/>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Align w:val="center"/>
                </w:tcPr>
                <w:p>
                  <w:pPr>
                    <w:widowControl/>
                    <w:jc w:val="center"/>
                    <w:rPr>
                      <w:rFonts w:eastAsia="等线"/>
                      <w:color w:val="auto"/>
                      <w:kern w:val="0"/>
                      <w:szCs w:val="21"/>
                    </w:rPr>
                  </w:pPr>
                  <w:r>
                    <w:rPr>
                      <w:rFonts w:eastAsia="等线"/>
                      <w:color w:val="auto"/>
                      <w:kern w:val="0"/>
                      <w:szCs w:val="21"/>
                    </w:rPr>
                    <w:t>3</w:t>
                  </w:r>
                </w:p>
              </w:tc>
              <w:tc>
                <w:tcPr>
                  <w:tcW w:w="3553" w:type="dxa"/>
                  <w:vAlign w:val="center"/>
                </w:tcPr>
                <w:p>
                  <w:pPr>
                    <w:widowControl/>
                    <w:jc w:val="center"/>
                    <w:rPr>
                      <w:color w:val="auto"/>
                      <w:kern w:val="0"/>
                      <w:szCs w:val="21"/>
                    </w:rPr>
                  </w:pPr>
                  <w:r>
                    <w:rPr>
                      <w:color w:val="auto"/>
                      <w:kern w:val="0"/>
                      <w:szCs w:val="21"/>
                    </w:rPr>
                    <w:t>（二十一）资源综合利用产品推广行动。将推广使用资源综合利用产品纳入节约型机关、绿色学校等绿色生活创建行动。加大政府绿色采购力度，鼓励党政机关和学校、医院等公共机构优先采购秸秆环保板材等资源综合利用产品，发挥公共机构示范作用。鼓励绿色建筑使用以煤矸石、粉煤灰、工业副产石膏、建筑垃圾等大宗固废为原料的新型墙体材料、装饰装修材料。结合乡村建设行动，引导在乡村公共基础设施建设中使用新型墙体材料。</w:t>
                  </w:r>
                </w:p>
              </w:tc>
              <w:tc>
                <w:tcPr>
                  <w:tcW w:w="2538" w:type="dxa"/>
                  <w:vAlign w:val="center"/>
                </w:tcPr>
                <w:p>
                  <w:pPr>
                    <w:widowControl/>
                    <w:jc w:val="center"/>
                    <w:rPr>
                      <w:color w:val="auto"/>
                      <w:kern w:val="0"/>
                      <w:szCs w:val="21"/>
                    </w:rPr>
                  </w:pPr>
                  <w:r>
                    <w:rPr>
                      <w:color w:val="auto"/>
                      <w:kern w:val="0"/>
                      <w:szCs w:val="21"/>
                    </w:rPr>
                    <w:t>项目</w:t>
                  </w:r>
                  <w:r>
                    <w:rPr>
                      <w:rFonts w:hint="eastAsia"/>
                      <w:color w:val="auto"/>
                      <w:kern w:val="0"/>
                      <w:szCs w:val="21"/>
                    </w:rPr>
                    <w:t>改造</w:t>
                  </w:r>
                  <w:r>
                    <w:rPr>
                      <w:color w:val="auto"/>
                      <w:kern w:val="0"/>
                      <w:szCs w:val="21"/>
                    </w:rPr>
                    <w:t>烧结砖生产线利用煤矸石等为原料，设计生产</w:t>
                  </w:r>
                  <w:r>
                    <w:rPr>
                      <w:rFonts w:hint="eastAsia"/>
                      <w:color w:val="auto"/>
                      <w:kern w:val="0"/>
                      <w:szCs w:val="21"/>
                      <w:lang w:val="en-US" w:eastAsia="zh-CN"/>
                    </w:rPr>
                    <w:t>6</w:t>
                  </w:r>
                  <w:r>
                    <w:rPr>
                      <w:color w:val="auto"/>
                      <w:kern w:val="0"/>
                      <w:szCs w:val="21"/>
                    </w:rPr>
                    <w:t>000万块砖</w:t>
                  </w:r>
                  <w:r>
                    <w:rPr>
                      <w:rFonts w:hint="eastAsia"/>
                      <w:color w:val="auto"/>
                      <w:kern w:val="0"/>
                      <w:szCs w:val="21"/>
                      <w:lang w:val="en-US" w:eastAsia="zh-CN"/>
                    </w:rPr>
                    <w:t>/年</w:t>
                  </w:r>
                  <w:r>
                    <w:rPr>
                      <w:color w:val="auto"/>
                      <w:kern w:val="0"/>
                      <w:szCs w:val="21"/>
                    </w:rPr>
                    <w:t>，实现固体废弃物的综合利用。</w:t>
                  </w:r>
                </w:p>
              </w:tc>
              <w:tc>
                <w:tcPr>
                  <w:tcW w:w="505" w:type="dxa"/>
                  <w:vAlign w:val="center"/>
                </w:tcPr>
                <w:p>
                  <w:pPr>
                    <w:widowControl/>
                    <w:jc w:val="center"/>
                    <w:rPr>
                      <w:color w:val="auto"/>
                      <w:kern w:val="0"/>
                      <w:szCs w:val="21"/>
                    </w:rPr>
                  </w:pPr>
                  <w:r>
                    <w:rPr>
                      <w:color w:val="auto"/>
                      <w:kern w:val="0"/>
                      <w:szCs w:val="21"/>
                    </w:rPr>
                    <w:t>符合</w:t>
                  </w:r>
                </w:p>
              </w:tc>
            </w:tr>
          </w:tbl>
          <w:p>
            <w:pPr>
              <w:pStyle w:val="60"/>
              <w:ind w:firstLine="420"/>
              <w:rPr>
                <w:color w:val="auto"/>
                <w:sz w:val="24"/>
                <w:szCs w:val="24"/>
              </w:rPr>
            </w:pPr>
            <w:r>
              <w:rPr>
                <w:color w:val="auto"/>
                <w:sz w:val="24"/>
                <w:szCs w:val="24"/>
              </w:rPr>
              <w:t>由上表，项目建设符合《“十四五”大宗固体废弃物综合利用的指导意见》（发改环资[2021]381号）要求。</w:t>
            </w:r>
          </w:p>
          <w:p>
            <w:pPr>
              <w:pStyle w:val="60"/>
              <w:ind w:left="0" w:leftChars="0" w:firstLine="0" w:firstLineChars="0"/>
              <w:rPr>
                <w:b/>
                <w:bCs/>
                <w:color w:val="auto"/>
                <w:sz w:val="24"/>
                <w:szCs w:val="24"/>
              </w:rPr>
            </w:pPr>
            <w:r>
              <w:rPr>
                <w:rFonts w:hint="eastAsia"/>
                <w:b/>
                <w:bCs/>
                <w:color w:val="auto"/>
                <w:sz w:val="24"/>
                <w:szCs w:val="24"/>
                <w:lang w:val="en-US" w:eastAsia="zh-CN"/>
              </w:rPr>
              <w:t>1.4</w:t>
            </w:r>
            <w:r>
              <w:rPr>
                <w:b/>
                <w:bCs/>
                <w:color w:val="auto"/>
                <w:sz w:val="24"/>
                <w:szCs w:val="24"/>
              </w:rPr>
              <w:t>与《工业和信息化部 环境保护部 国家安全监管总局 关于加快烧结砖瓦行业转型发展的若干意见》（工信部联原[2017]279号）符合性分析</w:t>
            </w:r>
          </w:p>
          <w:p>
            <w:pPr>
              <w:pStyle w:val="14"/>
              <w:spacing w:line="240" w:lineRule="auto"/>
              <w:rPr>
                <w:rFonts w:cs="Times New Roman"/>
                <w:color w:val="auto"/>
              </w:rPr>
            </w:pPr>
            <w:r>
              <w:rPr>
                <w:rFonts w:eastAsia="宋体" w:cs="Times New Roman"/>
                <w:color w:val="auto"/>
              </w:rPr>
              <w:t>表</w:t>
            </w:r>
            <w:r>
              <w:rPr>
                <w:rFonts w:hint="eastAsia" w:eastAsia="宋体" w:cs="Times New Roman"/>
                <w:color w:val="auto"/>
                <w:lang w:val="en-US" w:eastAsia="zh-CN"/>
              </w:rPr>
              <w:t>1-5</w:t>
            </w:r>
            <w:r>
              <w:rPr>
                <w:rFonts w:eastAsia="宋体" w:cs="Times New Roman"/>
                <w:color w:val="auto"/>
              </w:rPr>
              <w:t>与《关于加快烧结砖瓦行业转型发展的若干意见》符合性分析</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054"/>
              <w:gridCol w:w="2036"/>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53" w:type="dxa"/>
                  <w:gridSpan w:val="2"/>
                  <w:vAlign w:val="center"/>
                </w:tcPr>
                <w:p>
                  <w:pPr>
                    <w:pStyle w:val="57"/>
                    <w:rPr>
                      <w:color w:val="auto"/>
                    </w:rPr>
                  </w:pPr>
                  <w:r>
                    <w:rPr>
                      <w:color w:val="auto"/>
                    </w:rPr>
                    <w:t>《工业和信息化部 环境保护部 国家安全监管总局关于加快烧结砖瓦行业转型发展的若干意见》（工信部联原[2017]279号）内容与要求</w:t>
                  </w:r>
                </w:p>
              </w:tc>
              <w:tc>
                <w:tcPr>
                  <w:tcW w:w="2036" w:type="dxa"/>
                  <w:vAlign w:val="center"/>
                </w:tcPr>
                <w:p>
                  <w:pPr>
                    <w:pStyle w:val="57"/>
                    <w:rPr>
                      <w:color w:val="auto"/>
                    </w:rPr>
                  </w:pPr>
                  <w:r>
                    <w:rPr>
                      <w:color w:val="auto"/>
                    </w:rPr>
                    <w:t>本项目情况</w:t>
                  </w:r>
                </w:p>
              </w:tc>
              <w:tc>
                <w:tcPr>
                  <w:tcW w:w="428" w:type="dxa"/>
                  <w:vAlign w:val="center"/>
                </w:tcPr>
                <w:p>
                  <w:pPr>
                    <w:pStyle w:val="57"/>
                    <w:rPr>
                      <w:color w:val="auto"/>
                    </w:rPr>
                  </w:pPr>
                  <w:r>
                    <w:rPr>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restart"/>
                  <w:vAlign w:val="center"/>
                </w:tcPr>
                <w:p>
                  <w:pPr>
                    <w:pStyle w:val="57"/>
                    <w:rPr>
                      <w:color w:val="auto"/>
                    </w:rPr>
                  </w:pPr>
                  <w:r>
                    <w:rPr>
                      <w:color w:val="auto"/>
                    </w:rPr>
                    <w:t>三、大力发展先进产品，坚决淘汰落后产能</w:t>
                  </w:r>
                </w:p>
              </w:tc>
              <w:tc>
                <w:tcPr>
                  <w:tcW w:w="4054" w:type="dxa"/>
                  <w:vAlign w:val="center"/>
                </w:tcPr>
                <w:p>
                  <w:pPr>
                    <w:pStyle w:val="57"/>
                    <w:jc w:val="both"/>
                    <w:rPr>
                      <w:color w:val="auto"/>
                    </w:rPr>
                  </w:pPr>
                  <w:r>
                    <w:rPr>
                      <w:color w:val="auto"/>
                    </w:rPr>
                    <w:t>（一）发展绿色建筑、装配式建筑和海绵城市等建设所需新产品。大力发展轻质高强、保温防火、与建筑同寿命、多功能一体化的装配式墙材、屋面及围护结构部品。引导砖瓦产品向高掺量、高孔洞率、高强度、多功能和自装饰等方向发展，重点发展结构功能一体化的烧结多孔砖、空心砖、自保温砌块、复合保温砌块、清水墙砖、透水路面砖、烧结墙板等产品，防水防腐防火保温一体化的装配式墙材、屋面等产品，以及综合性能好的烧结瓦和太阳能屋面瓦等。</w:t>
                  </w:r>
                </w:p>
              </w:tc>
              <w:tc>
                <w:tcPr>
                  <w:tcW w:w="2036" w:type="dxa"/>
                  <w:vAlign w:val="center"/>
                </w:tcPr>
                <w:p>
                  <w:pPr>
                    <w:pStyle w:val="57"/>
                    <w:jc w:val="both"/>
                    <w:rPr>
                      <w:color w:val="auto"/>
                    </w:rPr>
                  </w:pPr>
                  <w:r>
                    <w:rPr>
                      <w:color w:val="auto"/>
                    </w:rPr>
                    <w:t>本项目产品为烧结多孔砖</w:t>
                  </w:r>
                  <w:r>
                    <w:rPr>
                      <w:rFonts w:hint="eastAsia"/>
                      <w:color w:val="auto"/>
                      <w:lang w:val="en-US" w:eastAsia="zh-CN"/>
                    </w:rPr>
                    <w:t>及烧结空心砌块</w:t>
                  </w:r>
                  <w:r>
                    <w:rPr>
                      <w:color w:val="auto"/>
                    </w:rPr>
                    <w:t>，属于综合性能好的烧结砖瓦品。</w:t>
                  </w:r>
                </w:p>
              </w:tc>
              <w:tc>
                <w:tcPr>
                  <w:tcW w:w="428"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continue"/>
                  <w:vAlign w:val="center"/>
                </w:tcPr>
                <w:p>
                  <w:pPr>
                    <w:pStyle w:val="57"/>
                    <w:rPr>
                      <w:color w:val="auto"/>
                    </w:rPr>
                  </w:pPr>
                </w:p>
              </w:tc>
              <w:tc>
                <w:tcPr>
                  <w:tcW w:w="4054" w:type="dxa"/>
                  <w:vAlign w:val="center"/>
                </w:tcPr>
                <w:p>
                  <w:pPr>
                    <w:pStyle w:val="57"/>
                    <w:jc w:val="both"/>
                    <w:rPr>
                      <w:color w:val="auto"/>
                    </w:rPr>
                  </w:pPr>
                  <w:r>
                    <w:rPr>
                      <w:color w:val="auto"/>
                    </w:rPr>
                    <w:t>（三）淘汰落后产品和落后产能。认真落实《产业结构调整指导目录（2011年本）（2013年修订）》和《关于利用综合标准依法依规推动落后产能退出的指导意见》（工信部联产业〔2017〕30号），依法淘汰落后工艺、装备和产品。执行环保、节能等强制性标准规范，强化环保、节能、质量、安全等执法监管，利用法治化市场化手段，督促达不到环保、能耗等标准的砖瓦企业加快整改，对整改仍不达标的依法责令关停，淘汰整改达标无望的生产线，鼓励东中部地区率先淘汰轮窑生产线。</w:t>
                  </w:r>
                </w:p>
              </w:tc>
              <w:tc>
                <w:tcPr>
                  <w:tcW w:w="2036" w:type="dxa"/>
                  <w:vAlign w:val="center"/>
                </w:tcPr>
                <w:p>
                  <w:pPr>
                    <w:pStyle w:val="57"/>
                    <w:jc w:val="both"/>
                    <w:rPr>
                      <w:color w:val="auto"/>
                    </w:rPr>
                  </w:pPr>
                  <w:r>
                    <w:rPr>
                      <w:color w:val="auto"/>
                    </w:rPr>
                    <w:t>本项目烧结砖生产线设备及产品均不属于《产业结构调整指导目录（2019年本）》中淘汰类和限制类；项目产品免烧砖生产过程严格执行环保、节能等标准要求；项目产品技术改造完成后，采用隧道窑焙烧工艺，淘汰了轮窑，符合文件要求。</w:t>
                  </w:r>
                </w:p>
              </w:tc>
              <w:tc>
                <w:tcPr>
                  <w:tcW w:w="428"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restart"/>
                  <w:vAlign w:val="center"/>
                </w:tcPr>
                <w:p>
                  <w:pPr>
                    <w:pStyle w:val="57"/>
                    <w:rPr>
                      <w:color w:val="auto"/>
                    </w:rPr>
                  </w:pPr>
                  <w:r>
                    <w:rPr>
                      <w:color w:val="auto"/>
                    </w:rPr>
                    <w:t>四、推进绿色生产，促进节能减排</w:t>
                  </w:r>
                </w:p>
              </w:tc>
              <w:tc>
                <w:tcPr>
                  <w:tcW w:w="4054" w:type="dxa"/>
                  <w:vAlign w:val="center"/>
                </w:tcPr>
                <w:p>
                  <w:pPr>
                    <w:pStyle w:val="57"/>
                    <w:jc w:val="both"/>
                    <w:rPr>
                      <w:color w:val="auto"/>
                    </w:rPr>
                  </w:pPr>
                  <w:r>
                    <w:rPr>
                      <w:color w:val="auto"/>
                    </w:rPr>
                    <w:t>（一）狠抓治污减排。开发并推广适用于砖瓦窑炉烟气脱硫、脱硝、除尘综合治理成套技术和装备，鼓励采用低氮烧成技术，使用清洁燃料（洁净煤制气或天然气）。开展清洁生产技术改造，原燃料应密闭存储或采取防风、抑尘、降尘等措施。严格控制并强化治理原燃料破碎、干燥焙烧、制备成型等工段无组织排放烟（粉）尘。安装污染物在线监控系统并与监管部门联网，主动披露污染物排放信息。全面实施排污许可证，严格按证排放污染物，禁止无证排污。加强氟化物等其他有毒有害污染物治理技术研发和应用。</w:t>
                  </w:r>
                </w:p>
              </w:tc>
              <w:tc>
                <w:tcPr>
                  <w:tcW w:w="2036" w:type="dxa"/>
                  <w:vAlign w:val="center"/>
                </w:tcPr>
                <w:p>
                  <w:pPr>
                    <w:pStyle w:val="57"/>
                    <w:jc w:val="both"/>
                    <w:rPr>
                      <w:rFonts w:hint="default" w:eastAsia="宋体"/>
                      <w:color w:val="auto"/>
                      <w:lang w:val="en-US" w:eastAsia="zh-CN"/>
                    </w:rPr>
                  </w:pPr>
                  <w:r>
                    <w:rPr>
                      <w:color w:val="auto"/>
                    </w:rPr>
                    <w:t>本项目原材料</w:t>
                  </w:r>
                  <w:r>
                    <w:rPr>
                      <w:rFonts w:hint="eastAsia"/>
                      <w:color w:val="auto"/>
                      <w:lang w:val="en-US" w:eastAsia="zh-CN"/>
                    </w:rPr>
                    <w:t>粘土</w:t>
                  </w:r>
                  <w:r>
                    <w:rPr>
                      <w:color w:val="auto"/>
                    </w:rPr>
                    <w:t>采取防尘网、遮盖、洒水抑尘等措施降低扬尘排放</w:t>
                  </w:r>
                  <w:r>
                    <w:rPr>
                      <w:rFonts w:hint="eastAsia"/>
                      <w:color w:val="auto"/>
                      <w:lang w:eastAsia="zh-CN"/>
                    </w:rPr>
                    <w:t>，</w:t>
                  </w:r>
                  <w:r>
                    <w:rPr>
                      <w:rFonts w:hint="eastAsia"/>
                      <w:color w:val="auto"/>
                      <w:lang w:val="en-US" w:eastAsia="zh-CN"/>
                    </w:rPr>
                    <w:t>煤矸石存放至全封闭式原料库</w:t>
                  </w:r>
                  <w:r>
                    <w:rPr>
                      <w:color w:val="auto"/>
                    </w:rPr>
                    <w:t>；原料破碎过程采取集尘</w:t>
                  </w:r>
                  <w:r>
                    <w:rPr>
                      <w:rFonts w:hint="eastAsia"/>
                      <w:color w:val="auto"/>
                      <w:lang w:val="en-US" w:eastAsia="zh-CN"/>
                    </w:rPr>
                    <w:t>设施</w:t>
                  </w:r>
                  <w:r>
                    <w:rPr>
                      <w:color w:val="auto"/>
                    </w:rPr>
                    <w:t>+除尘器方式降低无组织废气排放</w:t>
                  </w:r>
                  <w:r>
                    <w:rPr>
                      <w:rFonts w:hint="eastAsia"/>
                      <w:color w:val="auto"/>
                      <w:lang w:eastAsia="zh-CN"/>
                    </w:rPr>
                    <w:t>，</w:t>
                  </w:r>
                  <w:r>
                    <w:rPr>
                      <w:rFonts w:hint="eastAsia"/>
                      <w:color w:val="auto"/>
                      <w:lang w:val="en-US" w:eastAsia="zh-CN"/>
                    </w:rPr>
                    <w:t>原料加工阶段物料输送均为密闭式</w:t>
                  </w:r>
                </w:p>
              </w:tc>
              <w:tc>
                <w:tcPr>
                  <w:tcW w:w="428"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continue"/>
                  <w:vAlign w:val="center"/>
                </w:tcPr>
                <w:p>
                  <w:pPr>
                    <w:pStyle w:val="57"/>
                    <w:rPr>
                      <w:color w:val="auto"/>
                    </w:rPr>
                  </w:pPr>
                </w:p>
              </w:tc>
              <w:tc>
                <w:tcPr>
                  <w:tcW w:w="4054" w:type="dxa"/>
                  <w:vAlign w:val="center"/>
                </w:tcPr>
                <w:p>
                  <w:pPr>
                    <w:pStyle w:val="57"/>
                    <w:jc w:val="both"/>
                    <w:rPr>
                      <w:color w:val="auto"/>
                    </w:rPr>
                  </w:pPr>
                  <w:r>
                    <w:rPr>
                      <w:color w:val="auto"/>
                    </w:rPr>
                    <w:t>（二）推进节能降耗。支持利用适用技术装备进行节能改造，提升砖瓦窑炉热工效率，推广大断面隧道窑和自动焙烧技术。鼓励烧结砖瓦生产企业推进合同能源管理，建立能耗综合监测系统，开展窑炉热平衡测试，对主要能源消耗、重点耗能设备实施实时可视化管理。对现有生产烧结墙体材料的企业，要确保达到GB 30526《烧结墙体材料单位产品能源消耗限额》限定值，争取达到先进值。引导生产烧结屋面材料的企业比照该标准执行。</w:t>
                  </w:r>
                </w:p>
              </w:tc>
              <w:tc>
                <w:tcPr>
                  <w:tcW w:w="2036" w:type="dxa"/>
                  <w:vAlign w:val="center"/>
                </w:tcPr>
                <w:p>
                  <w:pPr>
                    <w:pStyle w:val="57"/>
                    <w:jc w:val="both"/>
                    <w:rPr>
                      <w:color w:val="auto"/>
                    </w:rPr>
                  </w:pPr>
                  <w:r>
                    <w:rPr>
                      <w:color w:val="auto"/>
                    </w:rPr>
                    <w:t>项目按要求推进节能降耗，采取隧道窑工艺提升热工效率，有效实现能耗水平提升，单位产品能耗满足《烧结墙体材料单位产品能源消耗限额》限定值。</w:t>
                  </w:r>
                </w:p>
              </w:tc>
              <w:tc>
                <w:tcPr>
                  <w:tcW w:w="428"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continue"/>
                  <w:vAlign w:val="center"/>
                </w:tcPr>
                <w:p>
                  <w:pPr>
                    <w:pStyle w:val="57"/>
                    <w:rPr>
                      <w:color w:val="auto"/>
                    </w:rPr>
                  </w:pPr>
                </w:p>
              </w:tc>
              <w:tc>
                <w:tcPr>
                  <w:tcW w:w="4054" w:type="dxa"/>
                  <w:vAlign w:val="center"/>
                </w:tcPr>
                <w:p>
                  <w:pPr>
                    <w:pStyle w:val="57"/>
                    <w:jc w:val="both"/>
                    <w:rPr>
                      <w:color w:val="auto"/>
                    </w:rPr>
                  </w:pPr>
                  <w:r>
                    <w:rPr>
                      <w:color w:val="auto"/>
                    </w:rPr>
                    <w:t>（三）强化综合利用。鼓励利用工业固废、矿物尾渣、淤泥、污泥、农林废弃物等替代一次原燃料，支持利用建筑垃圾生产砖瓦制品，进一步扩大资源综合利用范围，提高原燃料中固废掺配比例，减少对天然资源的消耗。加大力度研发利用砖瓦烧结窑炉协同处置河湖淤泥、建筑废弃土、建筑渣土及其他废弃物的成套技术，探索利用大型烧结砖隧道窑安全处置城市污泥，提高综合处置能力和利用效率。</w:t>
                  </w:r>
                </w:p>
              </w:tc>
              <w:tc>
                <w:tcPr>
                  <w:tcW w:w="2036" w:type="dxa"/>
                  <w:vAlign w:val="center"/>
                </w:tcPr>
                <w:p>
                  <w:pPr>
                    <w:pStyle w:val="57"/>
                    <w:jc w:val="both"/>
                    <w:rPr>
                      <w:color w:val="auto"/>
                    </w:rPr>
                  </w:pPr>
                  <w:r>
                    <w:rPr>
                      <w:color w:val="auto"/>
                    </w:rPr>
                    <w:t>项目原料采用煤矸石等工业固废作为原料，属于工业固体废物综合利用工程。</w:t>
                  </w:r>
                </w:p>
              </w:tc>
              <w:tc>
                <w:tcPr>
                  <w:tcW w:w="428"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restart"/>
                  <w:vAlign w:val="center"/>
                </w:tcPr>
                <w:p>
                  <w:pPr>
                    <w:pStyle w:val="57"/>
                    <w:rPr>
                      <w:color w:val="auto"/>
                    </w:rPr>
                  </w:pPr>
                  <w:r>
                    <w:rPr>
                      <w:color w:val="auto"/>
                    </w:rPr>
                    <w:t>五、推动智能制造，提高质量安全</w:t>
                  </w:r>
                </w:p>
              </w:tc>
              <w:tc>
                <w:tcPr>
                  <w:tcW w:w="4054" w:type="dxa"/>
                  <w:vAlign w:val="center"/>
                </w:tcPr>
                <w:p>
                  <w:pPr>
                    <w:pStyle w:val="57"/>
                    <w:jc w:val="both"/>
                    <w:rPr>
                      <w:color w:val="auto"/>
                    </w:rPr>
                  </w:pPr>
                  <w:r>
                    <w:rPr>
                      <w:color w:val="auto"/>
                    </w:rPr>
                    <w:t>（一）加快自动化改造，推进智能制造。从原料制备、挤出成型、干燥焙烧、包装入库到运输，实现全过程自动化生产、信息化控制。推进互联网、云计算、大数据在砖瓦行业应用。开发推广电子计量精准控制配料和自动控制挤出成型、烘干焙烧系统。加快“机器代人”改造，实现高精度切坯、翻坯、码卸坯、包装仓储等环节自动化机器人化，提升砖瓦生产智能化和本质安全水平，逐步建立个性化定制的产品配送系统。</w:t>
                  </w:r>
                </w:p>
              </w:tc>
              <w:tc>
                <w:tcPr>
                  <w:tcW w:w="2036" w:type="dxa"/>
                  <w:vAlign w:val="center"/>
                </w:tcPr>
                <w:p>
                  <w:pPr>
                    <w:pStyle w:val="57"/>
                    <w:jc w:val="both"/>
                    <w:rPr>
                      <w:color w:val="auto"/>
                    </w:rPr>
                  </w:pPr>
                  <w:r>
                    <w:rPr>
                      <w:color w:val="auto"/>
                    </w:rPr>
                    <w:t>项目原料制备、挤出成型、干燥、包装运输等过程全程实现自动化生产控制。</w:t>
                  </w:r>
                </w:p>
              </w:tc>
              <w:tc>
                <w:tcPr>
                  <w:tcW w:w="428" w:type="dxa"/>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continue"/>
                  <w:vAlign w:val="center"/>
                </w:tcPr>
                <w:p>
                  <w:pPr>
                    <w:pStyle w:val="57"/>
                    <w:rPr>
                      <w:color w:val="auto"/>
                    </w:rPr>
                  </w:pPr>
                </w:p>
              </w:tc>
              <w:tc>
                <w:tcPr>
                  <w:tcW w:w="4054" w:type="dxa"/>
                  <w:vAlign w:val="center"/>
                </w:tcPr>
                <w:p>
                  <w:pPr>
                    <w:pStyle w:val="57"/>
                    <w:jc w:val="both"/>
                    <w:rPr>
                      <w:color w:val="auto"/>
                    </w:rPr>
                  </w:pPr>
                  <w:r>
                    <w:rPr>
                      <w:color w:val="auto"/>
                    </w:rPr>
                    <w:t>（二）加强质量管理，提升质保能力。落实企业质量主体责任，完善质量管理体系和管理制度。推行砖瓦企业检验室建设，推进原料标准化，加强破碎、均化、陈化等过程管理，严控原料粒度及分布和颗粒级配，严格生产工艺规范，切实提高质量和产品合格率。探索建立可追溯的产品质量管理制度，支持企业发布质量自我声明承诺，编制发布企业社会责任报告，发挥诚信示范引领作用。</w:t>
                  </w:r>
                </w:p>
              </w:tc>
              <w:tc>
                <w:tcPr>
                  <w:tcW w:w="2036" w:type="dxa"/>
                  <w:vAlign w:val="center"/>
                </w:tcPr>
                <w:p>
                  <w:pPr>
                    <w:pStyle w:val="57"/>
                    <w:jc w:val="both"/>
                    <w:rPr>
                      <w:color w:val="auto"/>
                    </w:rPr>
                  </w:pPr>
                  <w:r>
                    <w:rPr>
                      <w:color w:val="auto"/>
                    </w:rPr>
                    <w:t>项目运营期烧结砖生产线严格控制产品质量，强化质量管理体系，严格生产工艺规范化、标准化，有效提高产品质量和合格率。</w:t>
                  </w:r>
                </w:p>
              </w:tc>
              <w:tc>
                <w:tcPr>
                  <w:tcW w:w="428" w:type="dxa"/>
                  <w:vAlign w:val="center"/>
                </w:tcPr>
                <w:p>
                  <w:pPr>
                    <w:pStyle w:val="57"/>
                    <w:rPr>
                      <w:color w:val="auto"/>
                    </w:rPr>
                  </w:pPr>
                  <w:r>
                    <w:rPr>
                      <w:color w:val="auto"/>
                    </w:rPr>
                    <w:t>符合</w:t>
                  </w:r>
                </w:p>
              </w:tc>
            </w:tr>
          </w:tbl>
          <w:p>
            <w:pPr>
              <w:pStyle w:val="60"/>
              <w:ind w:left="0" w:leftChars="0" w:firstLine="0" w:firstLineChars="0"/>
              <w:rPr>
                <w:b/>
                <w:bCs/>
                <w:color w:val="auto"/>
                <w:sz w:val="24"/>
                <w:szCs w:val="24"/>
              </w:rPr>
            </w:pPr>
            <w:r>
              <w:rPr>
                <w:rFonts w:hint="eastAsia"/>
                <w:b/>
                <w:bCs/>
                <w:color w:val="auto"/>
                <w:sz w:val="24"/>
                <w:szCs w:val="24"/>
                <w:lang w:val="en-US" w:eastAsia="zh-CN"/>
              </w:rPr>
              <w:t>1.5</w:t>
            </w:r>
            <w:r>
              <w:rPr>
                <w:b/>
                <w:bCs/>
                <w:color w:val="auto"/>
                <w:sz w:val="24"/>
                <w:szCs w:val="24"/>
              </w:rPr>
              <w:t>与《全国墙体材料烧结砖瓦行业准入条件》符合性分析</w:t>
            </w:r>
          </w:p>
          <w:p>
            <w:pPr>
              <w:pStyle w:val="14"/>
              <w:keepNext/>
              <w:spacing w:line="240" w:lineRule="auto"/>
              <w:rPr>
                <w:rFonts w:cs="Times New Roman"/>
                <w:color w:val="auto"/>
              </w:rPr>
            </w:pPr>
            <w:r>
              <w:rPr>
                <w:rFonts w:eastAsia="宋体" w:cs="Times New Roman"/>
                <w:color w:val="auto"/>
              </w:rPr>
              <w:t>表</w:t>
            </w:r>
            <w:r>
              <w:rPr>
                <w:rFonts w:hint="eastAsia" w:eastAsia="宋体" w:cs="Times New Roman"/>
                <w:color w:val="auto"/>
                <w:lang w:val="en-US" w:eastAsia="zh-CN"/>
              </w:rPr>
              <w:t>1-6</w:t>
            </w:r>
            <w:r>
              <w:rPr>
                <w:rFonts w:eastAsia="宋体" w:cs="Times New Roman"/>
                <w:color w:val="auto"/>
              </w:rPr>
              <w:t>与《全国墙体材料烧结砖瓦行业准入条件》符合性分析</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3781"/>
              <w:gridCol w:w="2406"/>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62" w:type="dxa"/>
                  <w:gridSpan w:val="2"/>
                  <w:noWrap/>
                  <w:vAlign w:val="center"/>
                </w:tcPr>
                <w:p>
                  <w:pPr>
                    <w:pStyle w:val="57"/>
                    <w:rPr>
                      <w:color w:val="auto"/>
                    </w:rPr>
                  </w:pPr>
                  <w:r>
                    <w:rPr>
                      <w:color w:val="auto"/>
                    </w:rPr>
                    <w:t>全国墙体材料烧结砖瓦行业准入条件</w:t>
                  </w:r>
                </w:p>
              </w:tc>
              <w:tc>
                <w:tcPr>
                  <w:tcW w:w="2129" w:type="dxa"/>
                  <w:noWrap/>
                  <w:vAlign w:val="center"/>
                </w:tcPr>
                <w:p>
                  <w:pPr>
                    <w:pStyle w:val="57"/>
                    <w:rPr>
                      <w:color w:val="auto"/>
                    </w:rPr>
                  </w:pPr>
                  <w:r>
                    <w:rPr>
                      <w:color w:val="auto"/>
                    </w:rPr>
                    <w:t>本项目情况</w:t>
                  </w:r>
                </w:p>
              </w:tc>
              <w:tc>
                <w:tcPr>
                  <w:tcW w:w="395" w:type="dxa"/>
                  <w:noWrap/>
                  <w:vAlign w:val="center"/>
                </w:tcPr>
                <w:p>
                  <w:pPr>
                    <w:pStyle w:val="57"/>
                    <w:rPr>
                      <w:color w:val="auto"/>
                    </w:rPr>
                  </w:pPr>
                  <w:r>
                    <w:rPr>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restart"/>
                  <w:vAlign w:val="center"/>
                </w:tcPr>
                <w:p>
                  <w:pPr>
                    <w:pStyle w:val="57"/>
                    <w:rPr>
                      <w:color w:val="auto"/>
                    </w:rPr>
                  </w:pPr>
                  <w:r>
                    <w:rPr>
                      <w:color w:val="auto"/>
                    </w:rPr>
                    <w:t>生产企业布局</w:t>
                  </w:r>
                </w:p>
              </w:tc>
              <w:tc>
                <w:tcPr>
                  <w:tcW w:w="3346" w:type="dxa"/>
                  <w:vAlign w:val="center"/>
                </w:tcPr>
                <w:p>
                  <w:pPr>
                    <w:pStyle w:val="57"/>
                    <w:jc w:val="both"/>
                    <w:rPr>
                      <w:color w:val="auto"/>
                    </w:rPr>
                  </w:pPr>
                  <w:r>
                    <w:rPr>
                      <w:color w:val="auto"/>
                    </w:rPr>
                    <w:t>新建或改建扩建（以下简称改建）烧结砖瓦生产项目，必须符合国家产业政策和产业规划，新建或改建扩建砖瓦生产企业用地，必须符合城乡规划的要求，必须符合土地利用总体规划、土地供应政策和土地使用标准的规定。严格执行环境保护有关规定，严格禁止毁田烧砖。</w:t>
                  </w:r>
                </w:p>
              </w:tc>
              <w:tc>
                <w:tcPr>
                  <w:tcW w:w="2129" w:type="dxa"/>
                  <w:vAlign w:val="center"/>
                </w:tcPr>
                <w:p>
                  <w:pPr>
                    <w:pStyle w:val="57"/>
                    <w:jc w:val="both"/>
                    <w:rPr>
                      <w:color w:val="auto"/>
                    </w:rPr>
                  </w:pPr>
                  <w:r>
                    <w:rPr>
                      <w:rFonts w:hint="eastAsia"/>
                      <w:color w:val="auto"/>
                      <w:highlight w:val="none"/>
                    </w:rPr>
                    <w:t>项目</w:t>
                  </w:r>
                  <w:r>
                    <w:rPr>
                      <w:rFonts w:hint="eastAsia"/>
                      <w:color w:val="auto"/>
                      <w:highlight w:val="none"/>
                      <w:lang w:val="en-US" w:eastAsia="zh-CN"/>
                    </w:rPr>
                    <w:t>用地为原宁县成盛建材有限责任公司年产500万块空心砖建设项目，不新增用地</w:t>
                  </w:r>
                  <w:r>
                    <w:rPr>
                      <w:color w:val="auto"/>
                      <w:highlight w:val="none"/>
                    </w:rPr>
                    <w:t>，</w:t>
                  </w:r>
                  <w:r>
                    <w:rPr>
                      <w:color w:val="auto"/>
                    </w:rPr>
                    <w:t>符合用地政策。</w:t>
                  </w:r>
                </w:p>
              </w:tc>
              <w:tc>
                <w:tcPr>
                  <w:tcW w:w="395" w:type="dxa"/>
                  <w:noWrap/>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continue"/>
                  <w:noWrap/>
                  <w:vAlign w:val="center"/>
                </w:tcPr>
                <w:p>
                  <w:pPr>
                    <w:pStyle w:val="57"/>
                    <w:rPr>
                      <w:color w:val="auto"/>
                    </w:rPr>
                  </w:pPr>
                </w:p>
              </w:tc>
              <w:tc>
                <w:tcPr>
                  <w:tcW w:w="3346" w:type="dxa"/>
                  <w:vAlign w:val="center"/>
                </w:tcPr>
                <w:p>
                  <w:pPr>
                    <w:pStyle w:val="57"/>
                    <w:jc w:val="both"/>
                    <w:rPr>
                      <w:color w:val="auto"/>
                    </w:rPr>
                  </w:pPr>
                  <w:r>
                    <w:rPr>
                      <w:color w:val="auto"/>
                    </w:rPr>
                    <w:t>在国家法律、法规、行政规章及规划确定或县级以上人民政府批准的风景名胜、生态保护、自然和文化遗产以及饮用水源保护区，不得建设烧结砖瓦生产企业。上述区域内已经投产的烧结砖瓦生产企业要根据该区域规划通过"搬迁、转产"等方式逐步退出。</w:t>
                  </w:r>
                </w:p>
              </w:tc>
              <w:tc>
                <w:tcPr>
                  <w:tcW w:w="2129" w:type="dxa"/>
                  <w:vAlign w:val="center"/>
                </w:tcPr>
                <w:p>
                  <w:pPr>
                    <w:pStyle w:val="57"/>
                    <w:jc w:val="both"/>
                    <w:rPr>
                      <w:color w:val="auto"/>
                    </w:rPr>
                  </w:pPr>
                  <w:r>
                    <w:rPr>
                      <w:color w:val="auto"/>
                    </w:rPr>
                    <w:t>本项目位于</w:t>
                  </w:r>
                  <w:r>
                    <w:rPr>
                      <w:rFonts w:hint="eastAsia"/>
                      <w:color w:val="auto"/>
                      <w:lang w:val="en-US" w:eastAsia="zh-CN"/>
                    </w:rPr>
                    <w:t>宁县中村镇秦店村</w:t>
                  </w:r>
                  <w:r>
                    <w:rPr>
                      <w:color w:val="auto"/>
                    </w:rPr>
                    <w:t>，项目所在地不涉及风景名胜、生态保护、自然和文化遗产以及饮用水源保护区。</w:t>
                  </w:r>
                </w:p>
              </w:tc>
              <w:tc>
                <w:tcPr>
                  <w:tcW w:w="395" w:type="dxa"/>
                  <w:noWrap/>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continue"/>
                  <w:noWrap/>
                  <w:vAlign w:val="center"/>
                </w:tcPr>
                <w:p>
                  <w:pPr>
                    <w:pStyle w:val="57"/>
                    <w:rPr>
                      <w:color w:val="auto"/>
                    </w:rPr>
                  </w:pPr>
                </w:p>
              </w:tc>
              <w:tc>
                <w:tcPr>
                  <w:tcW w:w="3346" w:type="dxa"/>
                  <w:vAlign w:val="center"/>
                </w:tcPr>
                <w:p>
                  <w:pPr>
                    <w:pStyle w:val="57"/>
                    <w:jc w:val="both"/>
                    <w:rPr>
                      <w:color w:val="auto"/>
                    </w:rPr>
                  </w:pPr>
                  <w:r>
                    <w:rPr>
                      <w:color w:val="auto"/>
                    </w:rPr>
                    <w:t>为促进生产力合理布局和协调发展，对烧结砖瓦实施分地区指导和区别对待的政策。</w:t>
                  </w:r>
                </w:p>
                <w:p>
                  <w:pPr>
                    <w:pStyle w:val="57"/>
                    <w:jc w:val="both"/>
                    <w:rPr>
                      <w:color w:val="auto"/>
                    </w:rPr>
                  </w:pPr>
                  <w:r>
                    <w:rPr>
                      <w:color w:val="auto"/>
                    </w:rPr>
                    <w:t>1、经济发达地区城市和人均耕地面积低于0.8亩的城市，禁止生产粘土实心砖；粘土资源较为丰富的西部地区，要发展粘土空心制品，限制生产粘土实心砖。</w:t>
                  </w:r>
                </w:p>
                <w:p>
                  <w:pPr>
                    <w:pStyle w:val="57"/>
                    <w:jc w:val="both"/>
                    <w:rPr>
                      <w:color w:val="auto"/>
                    </w:rPr>
                  </w:pPr>
                  <w:r>
                    <w:rPr>
                      <w:color w:val="auto"/>
                    </w:rPr>
                    <w:t>2、烧结砖瓦企业和质量的管理必须满足《烧结砖瓦企业质量管理规程》和《烧结砖瓦企业检验室基本条件》要求，完善质量检测手段。</w:t>
                  </w:r>
                </w:p>
              </w:tc>
              <w:tc>
                <w:tcPr>
                  <w:tcW w:w="2129" w:type="dxa"/>
                  <w:noWrap/>
                  <w:vAlign w:val="center"/>
                </w:tcPr>
                <w:p>
                  <w:pPr>
                    <w:pStyle w:val="57"/>
                    <w:jc w:val="both"/>
                    <w:rPr>
                      <w:color w:val="auto"/>
                    </w:rPr>
                  </w:pPr>
                  <w:r>
                    <w:rPr>
                      <w:color w:val="auto"/>
                    </w:rPr>
                    <w:t>项目所在地属于西部地区，主要成品为烧结</w:t>
                  </w:r>
                  <w:r>
                    <w:rPr>
                      <w:rFonts w:hint="eastAsia"/>
                      <w:color w:val="auto"/>
                      <w:lang w:val="en-US" w:eastAsia="zh-CN"/>
                    </w:rPr>
                    <w:t>多孔</w:t>
                  </w:r>
                  <w:r>
                    <w:rPr>
                      <w:color w:val="auto"/>
                    </w:rPr>
                    <w:t>砖</w:t>
                  </w:r>
                  <w:r>
                    <w:rPr>
                      <w:rFonts w:hint="eastAsia"/>
                      <w:color w:val="auto"/>
                      <w:lang w:val="en-US" w:eastAsia="zh-CN"/>
                    </w:rPr>
                    <w:t>及烧结空心砌块</w:t>
                  </w:r>
                  <w:r>
                    <w:rPr>
                      <w:color w:val="auto"/>
                    </w:rPr>
                    <w:t>，不生产实心砖；</w:t>
                  </w:r>
                  <w:r>
                    <w:rPr>
                      <w:rFonts w:hint="eastAsia"/>
                      <w:color w:val="auto"/>
                      <w:lang w:val="en-US" w:eastAsia="zh-CN"/>
                    </w:rPr>
                    <w:t>项目产品</w:t>
                  </w:r>
                  <w:r>
                    <w:rPr>
                      <w:color w:val="auto"/>
                    </w:rPr>
                    <w:t>质量管理满足《烧结砖瓦企业质量管理规程》和《烧结砖瓦企业检验室基本条件》要求</w:t>
                  </w:r>
                </w:p>
              </w:tc>
              <w:tc>
                <w:tcPr>
                  <w:tcW w:w="395" w:type="dxa"/>
                  <w:noWrap/>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restart"/>
                  <w:noWrap/>
                  <w:vAlign w:val="center"/>
                </w:tcPr>
                <w:p>
                  <w:pPr>
                    <w:pStyle w:val="57"/>
                    <w:rPr>
                      <w:color w:val="auto"/>
                    </w:rPr>
                  </w:pPr>
                  <w:r>
                    <w:rPr>
                      <w:color w:val="auto"/>
                    </w:rPr>
                    <w:t>工艺与装备</w:t>
                  </w:r>
                </w:p>
              </w:tc>
              <w:tc>
                <w:tcPr>
                  <w:tcW w:w="3346" w:type="dxa"/>
                  <w:vAlign w:val="center"/>
                </w:tcPr>
                <w:p>
                  <w:pPr>
                    <w:pStyle w:val="57"/>
                    <w:jc w:val="both"/>
                    <w:rPr>
                      <w:color w:val="auto"/>
                    </w:rPr>
                  </w:pPr>
                  <w:r>
                    <w:rPr>
                      <w:color w:val="auto"/>
                    </w:rPr>
                    <w:t>（二）现有企业</w:t>
                  </w:r>
                </w:p>
                <w:p>
                  <w:pPr>
                    <w:pStyle w:val="57"/>
                    <w:jc w:val="both"/>
                    <w:rPr>
                      <w:color w:val="auto"/>
                    </w:rPr>
                  </w:pPr>
                  <w:r>
                    <w:rPr>
                      <w:color w:val="auto"/>
                    </w:rPr>
                    <w:t>4、2020年底前，全部淘汰轮窑焙烧的烧结砖厂和单线年产量50万m</w:t>
                  </w:r>
                  <w:r>
                    <w:rPr>
                      <w:color w:val="auto"/>
                      <w:vertAlign w:val="superscript"/>
                    </w:rPr>
                    <w:t>2</w:t>
                  </w:r>
                  <w:r>
                    <w:rPr>
                      <w:color w:val="auto"/>
                    </w:rPr>
                    <w:t>(含50万m</w:t>
                  </w:r>
                  <w:r>
                    <w:rPr>
                      <w:color w:val="auto"/>
                      <w:vertAlign w:val="superscript"/>
                    </w:rPr>
                    <w:t>2</w:t>
                  </w:r>
                  <w:r>
                    <w:rPr>
                      <w:color w:val="auto"/>
                    </w:rPr>
                    <w:t>)以下烧结瓦厂。</w:t>
                  </w:r>
                </w:p>
              </w:tc>
              <w:tc>
                <w:tcPr>
                  <w:tcW w:w="2129" w:type="dxa"/>
                  <w:noWrap/>
                  <w:vAlign w:val="center"/>
                </w:tcPr>
                <w:p>
                  <w:pPr>
                    <w:pStyle w:val="57"/>
                    <w:jc w:val="both"/>
                    <w:rPr>
                      <w:color w:val="auto"/>
                    </w:rPr>
                  </w:pPr>
                  <w:r>
                    <w:rPr>
                      <w:color w:val="auto"/>
                    </w:rPr>
                    <w:t>本项目淘汰轮窑改建隧道窑，符合要求。</w:t>
                  </w:r>
                </w:p>
              </w:tc>
              <w:tc>
                <w:tcPr>
                  <w:tcW w:w="395" w:type="dxa"/>
                  <w:noWrap/>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continue"/>
                  <w:vAlign w:val="center"/>
                </w:tcPr>
                <w:p>
                  <w:pPr>
                    <w:pStyle w:val="57"/>
                    <w:rPr>
                      <w:color w:val="auto"/>
                    </w:rPr>
                  </w:pPr>
                </w:p>
              </w:tc>
              <w:tc>
                <w:tcPr>
                  <w:tcW w:w="3346" w:type="dxa"/>
                  <w:vAlign w:val="center"/>
                </w:tcPr>
                <w:p>
                  <w:pPr>
                    <w:pStyle w:val="57"/>
                    <w:jc w:val="both"/>
                    <w:rPr>
                      <w:color w:val="auto"/>
                    </w:rPr>
                  </w:pPr>
                  <w:r>
                    <w:rPr>
                      <w:color w:val="auto"/>
                    </w:rPr>
                    <w:t>5、用于古建筑维修和原产地保护仿古建筑用砖，可保留传统生产方式，但必须由省、市、自治区政府主管部门进行核准。</w:t>
                  </w:r>
                </w:p>
              </w:tc>
              <w:tc>
                <w:tcPr>
                  <w:tcW w:w="2129" w:type="dxa"/>
                  <w:noWrap/>
                  <w:vAlign w:val="center"/>
                </w:tcPr>
                <w:p>
                  <w:pPr>
                    <w:pStyle w:val="57"/>
                    <w:jc w:val="both"/>
                    <w:rPr>
                      <w:color w:val="auto"/>
                    </w:rPr>
                  </w:pPr>
                  <w:r>
                    <w:rPr>
                      <w:color w:val="auto"/>
                    </w:rPr>
                    <w:t>项目不涉及用于古建筑维修和原产地保护仿古建筑用砖。</w:t>
                  </w:r>
                </w:p>
              </w:tc>
              <w:tc>
                <w:tcPr>
                  <w:tcW w:w="395" w:type="dxa"/>
                  <w:noWrap/>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continue"/>
                  <w:noWrap/>
                  <w:vAlign w:val="center"/>
                </w:tcPr>
                <w:p>
                  <w:pPr>
                    <w:pStyle w:val="57"/>
                    <w:rPr>
                      <w:color w:val="auto"/>
                    </w:rPr>
                  </w:pPr>
                </w:p>
              </w:tc>
              <w:tc>
                <w:tcPr>
                  <w:tcW w:w="3346" w:type="dxa"/>
                  <w:vAlign w:val="center"/>
                </w:tcPr>
                <w:p>
                  <w:pPr>
                    <w:pStyle w:val="57"/>
                    <w:jc w:val="both"/>
                    <w:rPr>
                      <w:color w:val="auto"/>
                    </w:rPr>
                  </w:pPr>
                  <w:r>
                    <w:rPr>
                      <w:color w:val="auto"/>
                    </w:rPr>
                    <w:t>6、依法立即淘汰砖瓦简易轮窑、土窑生产工艺与装备。</w:t>
                  </w:r>
                </w:p>
              </w:tc>
              <w:tc>
                <w:tcPr>
                  <w:tcW w:w="2129" w:type="dxa"/>
                  <w:noWrap/>
                  <w:vAlign w:val="center"/>
                </w:tcPr>
                <w:p>
                  <w:pPr>
                    <w:pStyle w:val="57"/>
                    <w:jc w:val="both"/>
                    <w:rPr>
                      <w:color w:val="auto"/>
                    </w:rPr>
                  </w:pPr>
                  <w:r>
                    <w:rPr>
                      <w:color w:val="auto"/>
                    </w:rPr>
                    <w:t>项目淘汰轮窑工艺，改建隧道窑生产工艺，符合要求。</w:t>
                  </w:r>
                </w:p>
              </w:tc>
              <w:tc>
                <w:tcPr>
                  <w:tcW w:w="395" w:type="dxa"/>
                  <w:noWrap/>
                  <w:vAlign w:val="center"/>
                </w:tcPr>
                <w:p>
                  <w:pPr>
                    <w:pStyle w:val="57"/>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516" w:type="dxa"/>
                  <w:vMerge w:val="continue"/>
                  <w:noWrap/>
                  <w:vAlign w:val="center"/>
                </w:tcPr>
                <w:p>
                  <w:pPr>
                    <w:pStyle w:val="57"/>
                    <w:rPr>
                      <w:color w:val="auto"/>
                    </w:rPr>
                  </w:pPr>
                </w:p>
              </w:tc>
              <w:tc>
                <w:tcPr>
                  <w:tcW w:w="3346" w:type="dxa"/>
                  <w:vAlign w:val="center"/>
                </w:tcPr>
                <w:p>
                  <w:pPr>
                    <w:pStyle w:val="57"/>
                    <w:jc w:val="both"/>
                    <w:rPr>
                      <w:color w:val="auto"/>
                    </w:rPr>
                  </w:pPr>
                  <w:r>
                    <w:rPr>
                      <w:color w:val="auto"/>
                    </w:rPr>
                    <w:t>1、烧结普通砖应符合GB5101（烧结普通转）标准的规定。2、烧结多孔砖应符合GB13544（烧结多孔砖）标准的规定。3、烧结空心砖和空心砌块应符合GB13545（烧结空心砖和空心砌块）标准的规定。</w:t>
                  </w:r>
                </w:p>
              </w:tc>
              <w:tc>
                <w:tcPr>
                  <w:tcW w:w="2129" w:type="dxa"/>
                  <w:noWrap/>
                  <w:vAlign w:val="center"/>
                </w:tcPr>
                <w:p>
                  <w:pPr>
                    <w:pStyle w:val="57"/>
                    <w:jc w:val="both"/>
                    <w:rPr>
                      <w:color w:val="auto"/>
                    </w:rPr>
                  </w:pPr>
                  <w:r>
                    <w:rPr>
                      <w:color w:val="auto"/>
                    </w:rPr>
                    <w:t>本项目产品烧结多孔砖质量满足GB13544（烧结多孔砖）标准的规定和GB13545（烧结空心砖和空心砌块）标准的规定</w:t>
                  </w:r>
                </w:p>
              </w:tc>
              <w:tc>
                <w:tcPr>
                  <w:tcW w:w="395" w:type="dxa"/>
                  <w:noWrap/>
                  <w:vAlign w:val="center"/>
                </w:tcPr>
                <w:p>
                  <w:pPr>
                    <w:pStyle w:val="57"/>
                    <w:rPr>
                      <w:color w:val="auto"/>
                    </w:rPr>
                  </w:pPr>
                  <w:r>
                    <w:rPr>
                      <w:color w:val="auto"/>
                    </w:rPr>
                    <w:t>符合</w:t>
                  </w:r>
                </w:p>
              </w:tc>
            </w:tr>
          </w:tbl>
          <w:p>
            <w:pPr>
              <w:pStyle w:val="60"/>
              <w:ind w:left="0" w:leftChars="0" w:firstLine="0" w:firstLineChars="0"/>
              <w:rPr>
                <w:b/>
                <w:bCs/>
                <w:color w:val="auto"/>
                <w:sz w:val="24"/>
                <w:szCs w:val="24"/>
              </w:rPr>
            </w:pPr>
            <w:r>
              <w:rPr>
                <w:rFonts w:hint="eastAsia"/>
                <w:b/>
                <w:bCs/>
                <w:color w:val="auto"/>
                <w:sz w:val="24"/>
                <w:szCs w:val="24"/>
                <w:lang w:val="en-US" w:eastAsia="zh-CN"/>
              </w:rPr>
              <w:t>1.6</w:t>
            </w:r>
            <w:r>
              <w:rPr>
                <w:b/>
                <w:bCs/>
                <w:color w:val="auto"/>
                <w:sz w:val="24"/>
                <w:szCs w:val="24"/>
              </w:rPr>
              <w:t>与《建材行业淘汰落后产能指导目录》（2019版）符合性分析</w:t>
            </w:r>
          </w:p>
          <w:p>
            <w:pPr>
              <w:pStyle w:val="14"/>
              <w:keepNext/>
              <w:spacing w:line="240" w:lineRule="auto"/>
              <w:jc w:val="center"/>
              <w:rPr>
                <w:rFonts w:cs="Times New Roman"/>
                <w:color w:val="auto"/>
              </w:rPr>
            </w:pPr>
            <w:r>
              <w:rPr>
                <w:rFonts w:eastAsia="宋体" w:cs="Times New Roman"/>
                <w:color w:val="auto"/>
              </w:rPr>
              <w:t>表</w:t>
            </w:r>
            <w:r>
              <w:rPr>
                <w:rFonts w:hint="eastAsia" w:eastAsia="宋体" w:cs="Times New Roman"/>
                <w:color w:val="auto"/>
                <w:lang w:val="en-US" w:eastAsia="zh-CN"/>
              </w:rPr>
              <w:t>1-7</w:t>
            </w:r>
            <w:r>
              <w:rPr>
                <w:rFonts w:eastAsia="宋体" w:cs="Times New Roman"/>
                <w:color w:val="auto"/>
              </w:rPr>
              <w:t>与《建材行业淘汰落后产能指导目录》（</w:t>
            </w:r>
            <w:r>
              <w:rPr>
                <w:rFonts w:cs="Times New Roman"/>
                <w:color w:val="auto"/>
              </w:rPr>
              <w:t>2019</w:t>
            </w:r>
            <w:r>
              <w:rPr>
                <w:rFonts w:eastAsia="宋体" w:cs="Times New Roman"/>
                <w:color w:val="auto"/>
              </w:rPr>
              <w:t>版）符合性分析</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4"/>
              <w:gridCol w:w="2741"/>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rPr>
                      <w:color w:val="auto"/>
                    </w:rPr>
                  </w:pPr>
                  <w:r>
                    <w:rPr>
                      <w:color w:val="auto"/>
                    </w:rPr>
                    <w:t>淘汰内容</w:t>
                  </w:r>
                </w:p>
              </w:tc>
              <w:tc>
                <w:tcPr>
                  <w:tcW w:w="2741" w:type="dxa"/>
                  <w:noWrap/>
                  <w:vAlign w:val="center"/>
                </w:tcPr>
                <w:p>
                  <w:pPr>
                    <w:pStyle w:val="57"/>
                    <w:rPr>
                      <w:color w:val="auto"/>
                    </w:rPr>
                  </w:pPr>
                  <w:r>
                    <w:rPr>
                      <w:color w:val="auto"/>
                    </w:rPr>
                    <w:t>本项目情况</w:t>
                  </w:r>
                </w:p>
              </w:tc>
              <w:tc>
                <w:tcPr>
                  <w:tcW w:w="592" w:type="dxa"/>
                  <w:noWrap/>
                  <w:vAlign w:val="center"/>
                </w:tcPr>
                <w:p>
                  <w:pPr>
                    <w:pStyle w:val="57"/>
                    <w:rPr>
                      <w:color w:val="auto"/>
                    </w:rPr>
                  </w:pPr>
                  <w:r>
                    <w:rPr>
                      <w:color w:val="auto"/>
                    </w:rPr>
                    <w:t>是否淘汰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rPr>
                      <w:color w:val="auto"/>
                    </w:rPr>
                  </w:pPr>
                  <w:r>
                    <w:rPr>
                      <w:color w:val="auto"/>
                    </w:rPr>
                    <w:t>砖瓦轮窑（2020年12月31日）以及立窑、无顶轮窑、马蹄窑等土窑</w:t>
                  </w:r>
                </w:p>
              </w:tc>
              <w:tc>
                <w:tcPr>
                  <w:tcW w:w="2741" w:type="dxa"/>
                  <w:noWrap/>
                  <w:vAlign w:val="center"/>
                </w:tcPr>
                <w:p>
                  <w:pPr>
                    <w:pStyle w:val="57"/>
                    <w:rPr>
                      <w:color w:val="auto"/>
                    </w:rPr>
                  </w:pPr>
                  <w:r>
                    <w:rPr>
                      <w:color w:val="auto"/>
                    </w:rPr>
                    <w:t>项目采用</w:t>
                  </w:r>
                  <w:r>
                    <w:rPr>
                      <w:rFonts w:hint="eastAsia"/>
                      <w:color w:val="auto"/>
                      <w:lang w:val="en-US" w:eastAsia="zh-CN"/>
                    </w:rPr>
                    <w:t>固定式</w:t>
                  </w:r>
                  <w:r>
                    <w:rPr>
                      <w:color w:val="auto"/>
                    </w:rPr>
                    <w:t>隧道窑</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rPr>
                      <w:color w:val="auto"/>
                    </w:rPr>
                  </w:pPr>
                  <w:r>
                    <w:rPr>
                      <w:color w:val="auto"/>
                    </w:rPr>
                    <w:t>普通挤砖机</w:t>
                  </w:r>
                </w:p>
              </w:tc>
              <w:tc>
                <w:tcPr>
                  <w:tcW w:w="2741" w:type="dxa"/>
                  <w:noWrap/>
                  <w:vAlign w:val="center"/>
                </w:tcPr>
                <w:p>
                  <w:pPr>
                    <w:pStyle w:val="57"/>
                    <w:rPr>
                      <w:color w:val="auto"/>
                    </w:rPr>
                  </w:pPr>
                  <w:r>
                    <w:rPr>
                      <w:rFonts w:hint="eastAsia"/>
                      <w:color w:val="auto"/>
                      <w:lang w:val="en-US" w:eastAsia="zh-CN"/>
                    </w:rPr>
                    <w:t>JZK90</w:t>
                  </w:r>
                  <w:r>
                    <w:rPr>
                      <w:color w:val="auto"/>
                    </w:rPr>
                    <w:t>真空挤砖机</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rPr>
                      <w:color w:val="auto"/>
                    </w:rPr>
                  </w:pPr>
                  <w:r>
                    <w:rPr>
                      <w:color w:val="auto"/>
                    </w:rPr>
                    <w:t>100吨以下盘转式压砖机</w:t>
                  </w:r>
                </w:p>
              </w:tc>
              <w:tc>
                <w:tcPr>
                  <w:tcW w:w="2741" w:type="dxa"/>
                  <w:noWrap/>
                  <w:vAlign w:val="center"/>
                </w:tcPr>
                <w:p>
                  <w:pPr>
                    <w:pStyle w:val="57"/>
                    <w:rPr>
                      <w:color w:val="auto"/>
                    </w:rPr>
                  </w:pPr>
                  <w:r>
                    <w:rPr>
                      <w:color w:val="auto"/>
                    </w:rPr>
                    <w:t>切坯切条机</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rPr>
                      <w:color w:val="auto"/>
                    </w:rPr>
                  </w:pPr>
                  <w:r>
                    <w:rPr>
                      <w:color w:val="auto"/>
                    </w:rPr>
                    <w:t>SJI580-3000双轴、单轴制砖搅拌机</w:t>
                  </w:r>
                </w:p>
              </w:tc>
              <w:tc>
                <w:tcPr>
                  <w:tcW w:w="2741" w:type="dxa"/>
                  <w:noWrap/>
                  <w:vAlign w:val="center"/>
                </w:tcPr>
                <w:p>
                  <w:pPr>
                    <w:pStyle w:val="57"/>
                    <w:rPr>
                      <w:color w:val="auto"/>
                    </w:rPr>
                  </w:pPr>
                  <w:r>
                    <w:rPr>
                      <w:color w:val="auto"/>
                    </w:rPr>
                    <w:t>SJ</w:t>
                  </w:r>
                  <w:r>
                    <w:rPr>
                      <w:rFonts w:hint="eastAsia"/>
                      <w:color w:val="auto"/>
                      <w:lang w:val="en-US" w:eastAsia="zh-CN"/>
                    </w:rPr>
                    <w:t>3</w:t>
                  </w:r>
                  <w:r>
                    <w:rPr>
                      <w:color w:val="auto"/>
                    </w:rPr>
                    <w:t>00*50</w:t>
                  </w:r>
                  <w:r>
                    <w:rPr>
                      <w:rFonts w:hint="eastAsia"/>
                      <w:color w:val="auto"/>
                      <w:lang w:val="en-US" w:eastAsia="zh-CN"/>
                    </w:rPr>
                    <w:t>强</w:t>
                  </w:r>
                  <w:r>
                    <w:rPr>
                      <w:color w:val="auto"/>
                    </w:rPr>
                    <w:t>拌机</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rPr>
                      <w:color w:val="auto"/>
                    </w:rPr>
                  </w:pPr>
                  <w:r>
                    <w:rPr>
                      <w:color w:val="auto"/>
                    </w:rPr>
                    <w:t>SQP400500-700500双轴破碎机</w:t>
                  </w:r>
                </w:p>
              </w:tc>
              <w:tc>
                <w:tcPr>
                  <w:tcW w:w="2741" w:type="dxa"/>
                  <w:noWrap/>
                  <w:vAlign w:val="center"/>
                </w:tcPr>
                <w:p>
                  <w:pPr>
                    <w:pStyle w:val="57"/>
                    <w:rPr>
                      <w:color w:val="auto"/>
                    </w:rPr>
                  </w:pPr>
                  <w:r>
                    <w:rPr>
                      <w:rFonts w:hint="eastAsia"/>
                      <w:color w:val="auto"/>
                      <w:lang w:val="en-US" w:eastAsia="zh-CN"/>
                    </w:rPr>
                    <w:t>锤式</w:t>
                  </w:r>
                  <w:r>
                    <w:rPr>
                      <w:color w:val="auto"/>
                    </w:rPr>
                    <w:t>破碎机</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884" w:type="dxa"/>
                  <w:noWrap/>
                  <w:vAlign w:val="center"/>
                </w:tcPr>
                <w:p>
                  <w:pPr>
                    <w:pStyle w:val="57"/>
                    <w:rPr>
                      <w:color w:val="auto"/>
                    </w:rPr>
                  </w:pPr>
                  <w:r>
                    <w:rPr>
                      <w:color w:val="auto"/>
                    </w:rPr>
                    <w:t>1000型普通切条机</w:t>
                  </w:r>
                </w:p>
              </w:tc>
              <w:tc>
                <w:tcPr>
                  <w:tcW w:w="2741" w:type="dxa"/>
                  <w:noWrap/>
                  <w:vAlign w:val="center"/>
                </w:tcPr>
                <w:p>
                  <w:pPr>
                    <w:pStyle w:val="57"/>
                    <w:rPr>
                      <w:color w:val="auto"/>
                    </w:rPr>
                  </w:pPr>
                  <w:r>
                    <w:rPr>
                      <w:color w:val="auto"/>
                    </w:rPr>
                    <w:t>切坯切条机</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rPr>
                      <w:color w:val="auto"/>
                    </w:rPr>
                  </w:pPr>
                  <w:r>
                    <w:rPr>
                      <w:color w:val="auto"/>
                    </w:rPr>
                    <w:t>非烧结、非蒸压粉煤灰砖生产线</w:t>
                  </w:r>
                </w:p>
              </w:tc>
              <w:tc>
                <w:tcPr>
                  <w:tcW w:w="2741" w:type="dxa"/>
                  <w:noWrap/>
                  <w:vAlign w:val="center"/>
                </w:tcPr>
                <w:p>
                  <w:pPr>
                    <w:pStyle w:val="57"/>
                    <w:rPr>
                      <w:color w:val="auto"/>
                    </w:rPr>
                  </w:pPr>
                  <w:r>
                    <w:rPr>
                      <w:color w:val="auto"/>
                    </w:rPr>
                    <w:t>烧结煤矸石空心砖生产线</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rPr>
                      <w:color w:val="auto"/>
                    </w:rPr>
                  </w:pPr>
                  <w:r>
                    <w:rPr>
                      <w:color w:val="auto"/>
                    </w:rPr>
                    <w:t>单班10万平方米/年以下的混凝土铺地砖固定式成型机</w:t>
                  </w:r>
                </w:p>
              </w:tc>
              <w:tc>
                <w:tcPr>
                  <w:tcW w:w="2741" w:type="dxa"/>
                  <w:noWrap/>
                  <w:vAlign w:val="center"/>
                </w:tcPr>
                <w:p>
                  <w:pPr>
                    <w:pStyle w:val="57"/>
                    <w:rPr>
                      <w:color w:val="auto"/>
                    </w:rPr>
                  </w:pPr>
                  <w:r>
                    <w:rPr>
                      <w:color w:val="auto"/>
                    </w:rPr>
                    <w:t>无</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rPr>
                      <w:color w:val="auto"/>
                    </w:rPr>
                  </w:pPr>
                  <w:r>
                    <w:rPr>
                      <w:color w:val="auto"/>
                    </w:rPr>
                    <w:t>破碎农田、耕地和破坏环境取土烧制的实心粘土砖生产线</w:t>
                  </w:r>
                </w:p>
              </w:tc>
              <w:tc>
                <w:tcPr>
                  <w:tcW w:w="2741" w:type="dxa"/>
                  <w:noWrap/>
                  <w:vAlign w:val="center"/>
                </w:tcPr>
                <w:p>
                  <w:pPr>
                    <w:pStyle w:val="57"/>
                    <w:rPr>
                      <w:color w:val="auto"/>
                    </w:rPr>
                  </w:pPr>
                  <w:r>
                    <w:rPr>
                      <w:color w:val="auto"/>
                    </w:rPr>
                    <w:t>具有核定的粘土采矿区，空心煤矸石/粘土烧结砖生产线</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jc w:val="both"/>
                    <w:rPr>
                      <w:color w:val="auto"/>
                    </w:rPr>
                  </w:pPr>
                  <w:r>
                    <w:rPr>
                      <w:color w:val="auto"/>
                    </w:rPr>
                    <w:t>单位产品综合能耗超过53kgce/t的烧结多孔砖和多孔砌块生产线，综合能耗超过55kgce/t的烧结空心砖和空心砌块生产线，综合能耗超过57kgce/t的烧结保温砖和保温砌块生产线，综合能耗超过51kgce/t的烧结实心制品</w:t>
                  </w:r>
                </w:p>
              </w:tc>
              <w:tc>
                <w:tcPr>
                  <w:tcW w:w="2741" w:type="dxa"/>
                  <w:vAlign w:val="center"/>
                </w:tcPr>
                <w:p>
                  <w:pPr>
                    <w:pStyle w:val="57"/>
                    <w:jc w:val="both"/>
                    <w:rPr>
                      <w:color w:val="auto"/>
                    </w:rPr>
                  </w:pPr>
                  <w:r>
                    <w:rPr>
                      <w:color w:val="auto"/>
                    </w:rPr>
                    <w:t>项目烧结实心砖单位产品综合能耗</w:t>
                  </w:r>
                  <w:r>
                    <w:rPr>
                      <w:rFonts w:hint="eastAsia"/>
                      <w:color w:val="auto"/>
                      <w:lang w:val="en-US" w:eastAsia="zh-CN"/>
                    </w:rPr>
                    <w:t>35.19</w:t>
                  </w:r>
                  <w:r>
                    <w:rPr>
                      <w:color w:val="auto"/>
                    </w:rPr>
                    <w:t>kgce/t</w:t>
                  </w:r>
                </w:p>
              </w:tc>
              <w:tc>
                <w:tcPr>
                  <w:tcW w:w="592" w:type="dxa"/>
                  <w:noWrap/>
                  <w:vAlign w:val="center"/>
                </w:tcPr>
                <w:p>
                  <w:pPr>
                    <w:pStyle w:val="57"/>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rPr>
                      <w:rFonts w:hint="eastAsia" w:eastAsia="宋体"/>
                      <w:color w:val="auto"/>
                      <w:lang w:eastAsia="zh-CN"/>
                    </w:rPr>
                  </w:pPr>
                  <w:r>
                    <w:rPr>
                      <w:color w:val="auto"/>
                    </w:rPr>
                    <w:t>原料燃料破碎及制备成型颗粒物排放浓度超过30mg/m</w:t>
                  </w:r>
                  <w:r>
                    <w:rPr>
                      <w:color w:val="auto"/>
                      <w:vertAlign w:val="superscript"/>
                    </w:rPr>
                    <w:t>3</w:t>
                  </w:r>
                  <w:r>
                    <w:rPr>
                      <w:color w:val="auto"/>
                    </w:rPr>
                    <w:t>，人工干燥机焙烧颗粒物、二氧化硫、氮氧化物排放浓度分别超过30mg/m</w:t>
                  </w:r>
                  <w:r>
                    <w:rPr>
                      <w:color w:val="auto"/>
                      <w:vertAlign w:val="superscript"/>
                    </w:rPr>
                    <w:t>3</w:t>
                  </w:r>
                  <w:r>
                    <w:rPr>
                      <w:color w:val="auto"/>
                    </w:rPr>
                    <w:t>、300mg/m</w:t>
                  </w:r>
                  <w:r>
                    <w:rPr>
                      <w:color w:val="auto"/>
                      <w:vertAlign w:val="superscript"/>
                    </w:rPr>
                    <w:t>3</w:t>
                  </w:r>
                  <w:r>
                    <w:rPr>
                      <w:color w:val="auto"/>
                    </w:rPr>
                    <w:t>、200mg/m</w:t>
                  </w:r>
                  <w:r>
                    <w:rPr>
                      <w:color w:val="auto"/>
                      <w:vertAlign w:val="superscript"/>
                    </w:rPr>
                    <w:t>3</w:t>
                  </w:r>
                  <w:r>
                    <w:rPr>
                      <w:color w:val="auto"/>
                    </w:rPr>
                    <w:t>的砖瓦生产线</w:t>
                  </w:r>
                  <w:r>
                    <w:rPr>
                      <w:rFonts w:hint="eastAsia"/>
                      <w:color w:val="auto"/>
                      <w:lang w:eastAsia="zh-CN"/>
                    </w:rPr>
                    <w:t>。</w:t>
                  </w:r>
                </w:p>
              </w:tc>
              <w:tc>
                <w:tcPr>
                  <w:tcW w:w="2741" w:type="dxa"/>
                  <w:vAlign w:val="center"/>
                </w:tcPr>
                <w:p>
                  <w:pPr>
                    <w:pStyle w:val="57"/>
                    <w:jc w:val="both"/>
                    <w:rPr>
                      <w:color w:val="auto"/>
                    </w:rPr>
                  </w:pPr>
                  <w:r>
                    <w:rPr>
                      <w:highlight w:val="none"/>
                    </w:rPr>
                    <w:t>项目原料燃料破碎</w:t>
                  </w:r>
                  <w:r>
                    <w:rPr>
                      <w:rFonts w:hint="eastAsia"/>
                      <w:highlight w:val="none"/>
                    </w:rPr>
                    <w:t>、筛分</w:t>
                  </w:r>
                  <w:r>
                    <w:rPr>
                      <w:color w:val="000000" w:themeColor="text1"/>
                      <w:highlight w:val="none"/>
                      <w14:textFill>
                        <w14:solidFill>
                          <w14:schemeClr w14:val="tx1"/>
                        </w14:solidFill>
                      </w14:textFill>
                    </w:rPr>
                    <w:t>颗粒物排放浓度</w:t>
                  </w:r>
                  <w:r>
                    <w:rPr>
                      <w:rFonts w:hint="eastAsia"/>
                      <w:highlight w:val="none"/>
                      <w:lang w:val="en-US" w:eastAsia="zh-CN"/>
                    </w:rPr>
                    <w:t>18.5</w:t>
                  </w:r>
                  <w:r>
                    <w:rPr>
                      <w:highlight w:val="none"/>
                    </w:rPr>
                    <w:t>mg/m</w:t>
                  </w:r>
                  <w:r>
                    <w:rPr>
                      <w:highlight w:val="none"/>
                      <w:vertAlign w:val="superscript"/>
                    </w:rPr>
                    <w:t>3</w:t>
                  </w:r>
                  <w:r>
                    <w:rPr>
                      <w:rFonts w:hint="eastAsia"/>
                      <w:highlight w:val="none"/>
                    </w:rPr>
                    <w:t>；</w:t>
                  </w:r>
                  <w:r>
                    <w:rPr>
                      <w:highlight w:val="none"/>
                    </w:rPr>
                    <w:t>隧道窑焙烧、干燥废气污染物排放浓度分别为：烟尘</w:t>
                  </w:r>
                  <w:r>
                    <w:rPr>
                      <w:rFonts w:hint="eastAsia"/>
                      <w:highlight w:val="none"/>
                      <w:lang w:val="en-US" w:eastAsia="zh-CN"/>
                    </w:rPr>
                    <w:t>4.84</w:t>
                  </w:r>
                  <w:r>
                    <w:rPr>
                      <w:highlight w:val="none"/>
                    </w:rPr>
                    <w:t>mg/m</w:t>
                  </w:r>
                  <w:r>
                    <w:rPr>
                      <w:highlight w:val="none"/>
                      <w:vertAlign w:val="superscript"/>
                    </w:rPr>
                    <w:t>3</w:t>
                  </w:r>
                  <w:r>
                    <w:rPr>
                      <w:highlight w:val="none"/>
                    </w:rPr>
                    <w:t>，SO</w:t>
                  </w:r>
                  <w:r>
                    <w:rPr>
                      <w:highlight w:val="none"/>
                      <w:vertAlign w:val="subscript"/>
                    </w:rPr>
                    <w:t>2</w:t>
                  </w:r>
                  <w:r>
                    <w:rPr>
                      <w:rFonts w:hint="eastAsia"/>
                      <w:highlight w:val="none"/>
                      <w:lang w:val="en-US" w:eastAsia="zh-CN"/>
                    </w:rPr>
                    <w:t>37.75</w:t>
                  </w:r>
                  <w:r>
                    <w:rPr>
                      <w:highlight w:val="none"/>
                    </w:rPr>
                    <w:t>mg/m</w:t>
                  </w:r>
                  <w:r>
                    <w:rPr>
                      <w:highlight w:val="none"/>
                      <w:vertAlign w:val="superscript"/>
                    </w:rPr>
                    <w:t>3</w:t>
                  </w:r>
                  <w:r>
                    <w:rPr>
                      <w:highlight w:val="none"/>
                    </w:rPr>
                    <w:t>，NO</w:t>
                  </w:r>
                  <w:r>
                    <w:rPr>
                      <w:i/>
                      <w:iCs/>
                      <w:highlight w:val="none"/>
                    </w:rPr>
                    <w:t>x</w:t>
                  </w:r>
                  <w:r>
                    <w:rPr>
                      <w:rFonts w:hint="eastAsia"/>
                      <w:highlight w:val="none"/>
                      <w:lang w:val="en-US" w:eastAsia="zh-CN"/>
                    </w:rPr>
                    <w:t>32.84</w:t>
                  </w:r>
                  <w:r>
                    <w:rPr>
                      <w:highlight w:val="none"/>
                    </w:rPr>
                    <w:t>mg/m</w:t>
                  </w:r>
                  <w:r>
                    <w:rPr>
                      <w:highlight w:val="none"/>
                      <w:vertAlign w:val="superscript"/>
                    </w:rPr>
                    <w:t>3</w:t>
                  </w:r>
                  <w:r>
                    <w:rPr>
                      <w:highlight w:val="none"/>
                    </w:rPr>
                    <w:t>。</w:t>
                  </w:r>
                </w:p>
              </w:tc>
              <w:tc>
                <w:tcPr>
                  <w:tcW w:w="592" w:type="dxa"/>
                  <w:noWrap/>
                  <w:vAlign w:val="center"/>
                </w:tcPr>
                <w:p>
                  <w:pPr>
                    <w:pStyle w:val="57"/>
                    <w:rPr>
                      <w:color w:val="auto"/>
                    </w:rPr>
                  </w:pPr>
                  <w:r>
                    <w:rPr>
                      <w:color w:val="auto"/>
                    </w:rPr>
                    <w:t>否</w:t>
                  </w:r>
                </w:p>
              </w:tc>
            </w:tr>
          </w:tbl>
          <w:p>
            <w:pPr>
              <w:pStyle w:val="60"/>
              <w:ind w:left="0" w:leftChars="0" w:firstLine="0" w:firstLineChars="0"/>
              <w:rPr>
                <w:b/>
                <w:bCs/>
                <w:color w:val="auto"/>
                <w:sz w:val="24"/>
                <w:szCs w:val="24"/>
              </w:rPr>
            </w:pPr>
            <w:r>
              <w:rPr>
                <w:rFonts w:hint="eastAsia"/>
                <w:b/>
                <w:bCs/>
                <w:color w:val="auto"/>
                <w:sz w:val="24"/>
                <w:szCs w:val="24"/>
                <w:lang w:val="en-US" w:eastAsia="zh-CN"/>
              </w:rPr>
              <w:t>1.7</w:t>
            </w:r>
            <w:r>
              <w:rPr>
                <w:b/>
                <w:bCs/>
                <w:color w:val="auto"/>
                <w:sz w:val="24"/>
                <w:szCs w:val="24"/>
              </w:rPr>
              <w:t>“三线一单”符合性分析</w:t>
            </w:r>
          </w:p>
          <w:p>
            <w:pPr>
              <w:pStyle w:val="60"/>
              <w:ind w:left="0" w:leftChars="0" w:firstLine="480" w:firstLineChars="200"/>
              <w:rPr>
                <w:color w:val="auto"/>
                <w:sz w:val="24"/>
                <w:szCs w:val="24"/>
              </w:rPr>
            </w:pPr>
            <w:r>
              <w:rPr>
                <w:color w:val="auto"/>
                <w:sz w:val="24"/>
                <w:szCs w:val="24"/>
              </w:rPr>
              <w:t>根据《甘肃省人民政府关于实施“三线一单”生态环境分区管控的意见》（甘政发〔2020〕68号）及《庆阳市人民政府关于印发庆阳市“三线一单”生态环境分区管控实施方案的通知》（庆政发〔2021〕29 号）和《庆阳市区域空间生态环境评价“三线一单”研究报告》相关要求，项目</w:t>
            </w:r>
            <w:r>
              <w:rPr>
                <w:rFonts w:hint="eastAsia"/>
                <w:color w:val="auto"/>
                <w:sz w:val="24"/>
                <w:szCs w:val="24"/>
                <w:lang w:val="en-US" w:eastAsia="zh-CN"/>
              </w:rPr>
              <w:t>与三线一单符合性</w:t>
            </w:r>
            <w:r>
              <w:rPr>
                <w:color w:val="auto"/>
                <w:sz w:val="24"/>
                <w:szCs w:val="24"/>
              </w:rPr>
              <w:t>分析如下：</w:t>
            </w:r>
          </w:p>
          <w:p>
            <w:pPr>
              <w:pStyle w:val="60"/>
              <w:ind w:firstLine="420"/>
              <w:rPr>
                <w:color w:val="auto"/>
                <w:sz w:val="24"/>
                <w:szCs w:val="24"/>
              </w:rPr>
            </w:pPr>
            <w:r>
              <w:rPr>
                <w:color w:val="auto"/>
                <w:sz w:val="24"/>
                <w:szCs w:val="24"/>
              </w:rPr>
              <w:t>（1）</w:t>
            </w:r>
            <w:r>
              <w:rPr>
                <w:rFonts w:hint="eastAsia"/>
                <w:sz w:val="24"/>
              </w:rPr>
              <w:t>庆阳市“三线一单”划分情况</w:t>
            </w:r>
          </w:p>
          <w:p>
            <w:pPr>
              <w:pStyle w:val="60"/>
              <w:ind w:firstLine="420"/>
              <w:rPr>
                <w:color w:val="auto"/>
                <w:sz w:val="24"/>
                <w:szCs w:val="24"/>
              </w:rPr>
            </w:pPr>
            <w:r>
              <w:rPr>
                <w:color w:val="auto"/>
                <w:sz w:val="24"/>
                <w:szCs w:val="24"/>
              </w:rPr>
              <w:t>根据《庆阳市人民政府关于印发庆阳市“三线一单”生态环境分区管控实施方案的通知》（庆政发〔2021〕29号），全市共划定环境管控单元72个，</w:t>
            </w:r>
            <w:r>
              <w:rPr>
                <w:rFonts w:hint="eastAsia"/>
                <w:color w:val="auto"/>
                <w:sz w:val="24"/>
                <w:szCs w:val="24"/>
                <w:lang w:val="en-US" w:eastAsia="zh-CN"/>
              </w:rPr>
              <w:t>分为</w:t>
            </w:r>
            <w:r>
              <w:rPr>
                <w:color w:val="auto"/>
                <w:sz w:val="24"/>
                <w:szCs w:val="24"/>
              </w:rPr>
              <w:t>优先保护单元、重点管控单元和一般管控单元三类，实施分类管控。</w:t>
            </w:r>
          </w:p>
          <w:p>
            <w:pPr>
              <w:pStyle w:val="60"/>
              <w:ind w:firstLine="420"/>
              <w:rPr>
                <w:color w:val="auto"/>
                <w:sz w:val="24"/>
                <w:szCs w:val="24"/>
              </w:rPr>
            </w:pPr>
            <w:r>
              <w:rPr>
                <w:color w:val="auto"/>
                <w:sz w:val="24"/>
                <w:szCs w:val="24"/>
              </w:rPr>
              <w:t>优先保护单元。共42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pStyle w:val="60"/>
              <w:ind w:firstLine="420"/>
              <w:rPr>
                <w:color w:val="auto"/>
                <w:sz w:val="24"/>
                <w:szCs w:val="24"/>
              </w:rPr>
            </w:pPr>
            <w:r>
              <w:rPr>
                <w:color w:val="auto"/>
                <w:sz w:val="24"/>
                <w:szCs w:val="24"/>
              </w:rPr>
              <w:t>重点管控单元。共22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pStyle w:val="60"/>
              <w:ind w:firstLine="420"/>
              <w:rPr>
                <w:color w:val="auto"/>
                <w:sz w:val="24"/>
                <w:szCs w:val="24"/>
              </w:rPr>
            </w:pPr>
            <w:r>
              <w:rPr>
                <w:color w:val="auto"/>
                <w:sz w:val="24"/>
                <w:szCs w:val="24"/>
              </w:rPr>
              <w:t>―般管控单元。共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pStyle w:val="60"/>
              <w:ind w:firstLine="420"/>
              <w:rPr>
                <w:color w:val="auto"/>
                <w:sz w:val="24"/>
                <w:szCs w:val="24"/>
              </w:rPr>
            </w:pPr>
            <w:r>
              <w:rPr>
                <w:color w:val="auto"/>
                <w:sz w:val="24"/>
                <w:szCs w:val="24"/>
              </w:rPr>
              <w:t>生态环境分区管控单元根据生态保护红线和相关生态功能区域评估调整进行优化。</w:t>
            </w:r>
          </w:p>
          <w:p>
            <w:pPr>
              <w:pStyle w:val="60"/>
              <w:ind w:firstLine="480"/>
              <w:rPr>
                <w:color w:val="auto"/>
                <w:sz w:val="24"/>
              </w:rPr>
            </w:pPr>
            <w:r>
              <w:rPr>
                <w:rFonts w:hint="eastAsia"/>
                <w:color w:val="auto"/>
                <w:sz w:val="24"/>
              </w:rPr>
              <w:t>（2）宁县“三线一单划分情况”</w:t>
            </w:r>
          </w:p>
          <w:p>
            <w:pPr>
              <w:pStyle w:val="60"/>
              <w:ind w:firstLine="480"/>
              <w:rPr>
                <w:color w:val="auto"/>
                <w:sz w:val="24"/>
              </w:rPr>
            </w:pPr>
            <w:r>
              <w:rPr>
                <w:color w:val="auto"/>
                <w:sz w:val="24"/>
              </w:rPr>
              <w:t>根据《庆阳市人民政府关于印发庆阳市“三线一单”生态环境分区管控实施方案的通知》（庆政发〔2021〕29号）</w:t>
            </w:r>
            <w:r>
              <w:rPr>
                <w:rFonts w:hint="eastAsia"/>
                <w:color w:val="auto"/>
                <w:sz w:val="24"/>
              </w:rPr>
              <w:t>，宁县</w:t>
            </w:r>
            <w:r>
              <w:rPr>
                <w:color w:val="auto"/>
                <w:sz w:val="24"/>
              </w:rPr>
              <w:t>共划定环境管控单元</w:t>
            </w:r>
            <w:r>
              <w:rPr>
                <w:rFonts w:hint="eastAsia"/>
                <w:color w:val="auto"/>
                <w:sz w:val="24"/>
              </w:rPr>
              <w:t>11</w:t>
            </w:r>
            <w:r>
              <w:rPr>
                <w:color w:val="auto"/>
                <w:sz w:val="24"/>
              </w:rPr>
              <w:t>个，</w:t>
            </w:r>
            <w:r>
              <w:rPr>
                <w:rFonts w:hint="eastAsia"/>
                <w:color w:val="auto"/>
                <w:sz w:val="24"/>
              </w:rPr>
              <w:t>分为</w:t>
            </w:r>
            <w:r>
              <w:rPr>
                <w:color w:val="auto"/>
                <w:sz w:val="24"/>
              </w:rPr>
              <w:t>优先保护单元、重点管控单元和一般管控单元三类，实施分类管控</w:t>
            </w:r>
            <w:r>
              <w:rPr>
                <w:rFonts w:hint="eastAsia"/>
                <w:color w:val="auto"/>
                <w:sz w:val="24"/>
              </w:rPr>
              <w:t>.</w:t>
            </w:r>
          </w:p>
          <w:p>
            <w:pPr>
              <w:pStyle w:val="60"/>
              <w:ind w:firstLine="480"/>
              <w:rPr>
                <w:color w:val="auto"/>
                <w:sz w:val="24"/>
              </w:rPr>
            </w:pPr>
            <w:r>
              <w:rPr>
                <w:rFonts w:hint="eastAsia"/>
                <w:color w:val="auto"/>
                <w:sz w:val="24"/>
              </w:rPr>
              <w:t>优先保护单元</w:t>
            </w:r>
            <w:r>
              <w:rPr>
                <w:color w:val="auto"/>
                <w:sz w:val="24"/>
              </w:rPr>
              <w:t>共</w:t>
            </w:r>
            <w:r>
              <w:rPr>
                <w:rFonts w:hint="eastAsia"/>
                <w:color w:val="auto"/>
                <w:sz w:val="24"/>
              </w:rPr>
              <w:t>6</w:t>
            </w:r>
            <w:r>
              <w:rPr>
                <w:color w:val="auto"/>
                <w:sz w:val="24"/>
              </w:rPr>
              <w:t>个，主要包括生态</w:t>
            </w:r>
            <w:r>
              <w:rPr>
                <w:rFonts w:hint="eastAsia"/>
                <w:color w:val="auto"/>
                <w:sz w:val="24"/>
              </w:rPr>
              <w:t>红线、水环境优先保护区、一般生态空间</w:t>
            </w:r>
            <w:r>
              <w:rPr>
                <w:color w:val="auto"/>
                <w:sz w:val="24"/>
              </w:rPr>
              <w:t>。该区域严格按照国家生态保护红线和省级生态空间管控区域管理规定进行管控。依法禁止或限制大规模、高强度的工业开发和城镇建设，严禁不符合国家有关规定的各类开发活动，确保生态环境功能不降低</w:t>
            </w:r>
            <w:r>
              <w:rPr>
                <w:rFonts w:hint="eastAsia"/>
                <w:color w:val="auto"/>
                <w:sz w:val="24"/>
              </w:rPr>
              <w:t>。</w:t>
            </w:r>
          </w:p>
          <w:p>
            <w:pPr>
              <w:pStyle w:val="60"/>
              <w:ind w:firstLine="480"/>
              <w:rPr>
                <w:color w:val="auto"/>
                <w:sz w:val="24"/>
              </w:rPr>
            </w:pPr>
            <w:r>
              <w:rPr>
                <w:rFonts w:hint="eastAsia"/>
                <w:color w:val="auto"/>
                <w:sz w:val="24"/>
              </w:rPr>
              <w:t>重点保护单元共4个，</w:t>
            </w:r>
            <w:r>
              <w:rPr>
                <w:color w:val="auto"/>
                <w:sz w:val="24"/>
              </w:rPr>
              <w:t>主要包括城镇规划区、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pStyle w:val="60"/>
              <w:ind w:firstLine="480"/>
              <w:rPr>
                <w:rFonts w:hint="eastAsia"/>
                <w:color w:val="auto"/>
                <w:sz w:val="24"/>
                <w:lang w:eastAsia="zh-CN"/>
              </w:rPr>
            </w:pPr>
            <w:r>
              <w:rPr>
                <w:color w:val="auto"/>
                <w:sz w:val="24"/>
              </w:rPr>
              <w:t>―般管控单元共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r>
              <w:rPr>
                <w:rFonts w:hint="eastAsia"/>
                <w:color w:val="auto"/>
                <w:sz w:val="24"/>
                <w:lang w:eastAsia="zh-CN"/>
              </w:rPr>
              <w:t>。</w:t>
            </w:r>
          </w:p>
          <w:p>
            <w:pPr>
              <w:pStyle w:val="60"/>
              <w:ind w:firstLine="420"/>
              <w:rPr>
                <w:rFonts w:hint="default"/>
                <w:color w:val="auto"/>
                <w:sz w:val="24"/>
                <w:szCs w:val="24"/>
                <w:lang w:val="en-US" w:eastAsia="zh-CN"/>
              </w:rPr>
            </w:pPr>
            <w:r>
              <w:rPr>
                <w:color w:val="auto"/>
                <w:sz w:val="24"/>
              </w:rPr>
              <w:t>本项目不在生态保护红线、自然保护地、集中式饮用水水源保护区等生态功能重要区和生态环境敏感区内</w:t>
            </w:r>
            <w:r>
              <w:rPr>
                <w:rFonts w:hint="eastAsia"/>
                <w:color w:val="auto"/>
                <w:sz w:val="24"/>
              </w:rPr>
              <w:t>。根据庆阳市生态环境局宁县分局核查本项目与“三线一单”符合性，本项目涉及优先保护单元中的一般生态空间及重点管控单元。本项目与</w:t>
            </w:r>
            <w:r>
              <w:rPr>
                <w:rFonts w:hint="eastAsia"/>
                <w:color w:val="auto"/>
                <w:sz w:val="24"/>
                <w:lang w:val="en-US" w:eastAsia="zh-CN"/>
              </w:rPr>
              <w:t>宁县“三线一单”</w:t>
            </w:r>
            <w:r>
              <w:rPr>
                <w:rFonts w:hint="eastAsia"/>
                <w:color w:val="auto"/>
                <w:sz w:val="24"/>
              </w:rPr>
              <w:t>中一般生态空间及重点管控单元的符合性分析见下表</w:t>
            </w:r>
            <w:r>
              <w:rPr>
                <w:rFonts w:hint="eastAsia"/>
                <w:color w:val="auto"/>
                <w:sz w:val="24"/>
                <w:szCs w:val="24"/>
                <w:lang w:val="en-US" w:eastAsia="zh-CN"/>
              </w:rPr>
              <w:t>。</w:t>
            </w:r>
          </w:p>
          <w:p>
            <w:pPr>
              <w:pStyle w:val="60"/>
              <w:keepNext w:val="0"/>
              <w:keepLines w:val="0"/>
              <w:pageBreakBefore w:val="0"/>
              <w:widowControl w:val="0"/>
              <w:kinsoku/>
              <w:wordWrap/>
              <w:overflowPunct/>
              <w:topLinePunct w:val="0"/>
              <w:autoSpaceDE/>
              <w:autoSpaceDN/>
              <w:bidi w:val="0"/>
              <w:adjustRightInd/>
              <w:snapToGrid/>
              <w:spacing w:before="95" w:beforeLines="30" w:line="240" w:lineRule="auto"/>
              <w:ind w:firstLine="420"/>
              <w:jc w:val="center"/>
              <w:textAlignment w:val="auto"/>
              <w:rPr>
                <w:rFonts w:hint="default"/>
                <w:b/>
                <w:bCs/>
                <w:color w:val="auto"/>
                <w:lang w:val="en-US" w:eastAsia="zh-CN"/>
              </w:rPr>
            </w:pPr>
            <w:r>
              <w:rPr>
                <w:rFonts w:hint="eastAsia"/>
                <w:b/>
                <w:bCs/>
                <w:color w:val="auto"/>
                <w:lang w:val="en-US" w:eastAsia="zh-CN"/>
              </w:rPr>
              <w:t>表1-8   本项目与宁县“三线一单”的符合性分析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10"/>
              <w:gridCol w:w="510"/>
              <w:gridCol w:w="2378"/>
              <w:gridCol w:w="1074"/>
              <w:gridCol w:w="308"/>
              <w:gridCol w:w="1200"/>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17" w:type="dxa"/>
                  <w:gridSpan w:val="8"/>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一般管控单元符合性分析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81"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环境管控单元名称</w:t>
                  </w:r>
                </w:p>
              </w:tc>
              <w:tc>
                <w:tcPr>
                  <w:tcW w:w="4372" w:type="dxa"/>
                  <w:gridSpan w:val="4"/>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管控要求</w:t>
                  </w:r>
                </w:p>
              </w:tc>
              <w:tc>
                <w:tcPr>
                  <w:tcW w:w="1508" w:type="dxa"/>
                  <w:gridSpan w:val="2"/>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本项目</w:t>
                  </w:r>
                </w:p>
              </w:tc>
              <w:tc>
                <w:tcPr>
                  <w:tcW w:w="55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81" w:type="dxa"/>
                  <w:vMerge w:val="restart"/>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优先保护单元—一般生态空间</w:t>
                  </w:r>
                </w:p>
              </w:tc>
              <w:tc>
                <w:tcPr>
                  <w:tcW w:w="410" w:type="dxa"/>
                  <w:vMerge w:val="restart"/>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空间布局约束</w:t>
                  </w:r>
                </w:p>
              </w:tc>
              <w:tc>
                <w:tcPr>
                  <w:tcW w:w="51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限值开发建设活动的要求</w:t>
                  </w:r>
                </w:p>
              </w:tc>
              <w:tc>
                <w:tcPr>
                  <w:tcW w:w="3452" w:type="dxa"/>
                  <w:gridSpan w:val="2"/>
                  <w:vAlign w:val="top"/>
                </w:tcPr>
                <w:p>
                  <w:pPr>
                    <w:pStyle w:val="60"/>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一般生态空间原则上按照限制开发区域进行管理，可因地制宜发展不影响主体功能定位的适宜产业，限制大规模高强度工业化城镇化开发。开发建设活动位于一般生态空间内的各类自然保护地、保护区的，按照国家相关法律、法规、条例及相关管理要求进行管理；功能属性交叉的，按照管控要求严格程度，从严管理；不属于各类自然保护地、保护区的一般生态空间，按照区域主导生态功能，主要限制有损生态服务功能和进一步加剧生态敏感性的行为，确需进行的开发建设活动，在环境影响评价“三线一单”符合性分析中应进行详细论证并取得批准后开展。</w:t>
                  </w:r>
                </w:p>
                <w:p>
                  <w:pPr>
                    <w:pStyle w:val="60"/>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严格控制在优先保护类耕地集中区域新建有色金属冶炼、石油加工、化工、焦化、电镀、制革等行业企业，现有相关行业企业要采用新技术、新工艺，加快提标升级改造步伐。</w:t>
                  </w:r>
                </w:p>
              </w:tc>
              <w:tc>
                <w:tcPr>
                  <w:tcW w:w="1508" w:type="dxa"/>
                  <w:gridSpan w:val="2"/>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ascii="Times New Roman" w:hAnsi="Times New Roman" w:eastAsia="宋体" w:cs="Times New Roman"/>
                      <w:color w:val="auto"/>
                      <w:lang w:val="en-US" w:eastAsia="zh-CN"/>
                    </w:rPr>
                    <w:t>项目</w:t>
                  </w:r>
                  <w:r>
                    <w:rPr>
                      <w:rFonts w:hint="eastAsia" w:cs="Times New Roman"/>
                      <w:color w:val="auto"/>
                      <w:lang w:val="en-US" w:eastAsia="zh-CN"/>
                    </w:rPr>
                    <w:t>部分用地</w:t>
                  </w:r>
                  <w:r>
                    <w:rPr>
                      <w:rFonts w:hint="eastAsia" w:ascii="Times New Roman" w:hAnsi="Times New Roman" w:eastAsia="宋体" w:cs="Times New Roman"/>
                      <w:color w:val="auto"/>
                      <w:lang w:val="en-US" w:eastAsia="zh-CN"/>
                    </w:rPr>
                    <w:t>占用一般生态空间，</w:t>
                  </w:r>
                  <w:r>
                    <w:rPr>
                      <w:rFonts w:hint="eastAsia" w:cs="Times New Roman"/>
                      <w:color w:val="auto"/>
                      <w:lang w:val="en-US" w:eastAsia="zh-CN"/>
                    </w:rPr>
                    <w:t>根据宁县国土资源局出具的关于“《宁县成盛建材有限责任公司》用地不涉及生态保护红线等有关情况的说明”中经套合“三区三线”划定成果，该项目用地不涉及我县生态保护红线范围，拟纳入宁县中村镇秦店村规划</w:t>
                  </w:r>
                </w:p>
              </w:tc>
              <w:tc>
                <w:tcPr>
                  <w:tcW w:w="55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5" w:hRule="atLeast"/>
              </w:trPr>
              <w:tc>
                <w:tcPr>
                  <w:tcW w:w="781"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c>
                <w:tcPr>
                  <w:tcW w:w="410"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c>
                <w:tcPr>
                  <w:tcW w:w="51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允许开发建设活动的要求</w:t>
                  </w:r>
                </w:p>
              </w:tc>
              <w:tc>
                <w:tcPr>
                  <w:tcW w:w="3452" w:type="dxa"/>
                  <w:gridSpan w:val="2"/>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一般生态空间内允许开展以下活动：①生态保护修复和环境治理活动；②原住民正常生产生活设施建设、修缮和改造；③符合法律法规规定的林业活动；④国防、军事等特殊用途设施建设、修缮和改造；⑤生态环境保护监测、生态系统保护与修复工程、水土保持工程、公益性的自然资源监测或勘探、以及地质勘查活动；经依法批准的考古调查发掘和文物保护活动；⑥必要的河道、堤防、岸线整治等活动，以及防洪设施和供水设施建设、修缮和改造活动；⑦公路铁路交通、输油输气输电管线等线性工程；⑧公共基础设施建设；⑨观光旅游、休闲农业开发活动；⑩矿产资源勘探</w:t>
                  </w:r>
                </w:p>
              </w:tc>
              <w:tc>
                <w:tcPr>
                  <w:tcW w:w="1508" w:type="dxa"/>
                  <w:gridSpan w:val="2"/>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ascii="Times New Roman" w:hAnsi="Times New Roman" w:eastAsia="宋体" w:cs="Times New Roman"/>
                      <w:color w:val="auto"/>
                      <w:lang w:val="en-US" w:eastAsia="zh-CN"/>
                    </w:rPr>
                    <w:t>项目</w:t>
                  </w:r>
                  <w:r>
                    <w:rPr>
                      <w:rFonts w:hint="eastAsia" w:cs="Times New Roman"/>
                      <w:color w:val="auto"/>
                      <w:lang w:val="en-US" w:eastAsia="zh-CN"/>
                    </w:rPr>
                    <w:t>部分场地</w:t>
                  </w:r>
                  <w:r>
                    <w:rPr>
                      <w:rFonts w:hint="eastAsia" w:ascii="Times New Roman" w:hAnsi="Times New Roman" w:eastAsia="宋体" w:cs="Times New Roman"/>
                      <w:color w:val="auto"/>
                      <w:lang w:val="en-US" w:eastAsia="zh-CN"/>
                    </w:rPr>
                    <w:t>占用一般生态空间，</w:t>
                  </w:r>
                  <w:r>
                    <w:rPr>
                      <w:rFonts w:hint="eastAsia" w:cs="Times New Roman"/>
                      <w:color w:val="auto"/>
                      <w:lang w:val="en-US" w:eastAsia="zh-CN"/>
                    </w:rPr>
                    <w:t>根据宁县国土资源局出具的关于“《宁县成盛建材有限责任公司》用地不涉及生态保护红线等有关情况的说明”中经套合“三区三线”划定成果，该项目用地不涉及我县生态保护红线范围，拟纳入宁县中村镇秦店村规划</w:t>
                  </w:r>
                  <w:r>
                    <w:rPr>
                      <w:rFonts w:hint="eastAsia" w:ascii="Times New Roman" w:hAnsi="Times New Roman" w:eastAsia="宋体" w:cs="Times New Roman"/>
                      <w:color w:val="auto"/>
                      <w:lang w:val="en-US" w:eastAsia="zh-CN"/>
                    </w:rPr>
                    <w:t>。</w:t>
                  </w:r>
                </w:p>
              </w:tc>
              <w:tc>
                <w:tcPr>
                  <w:tcW w:w="55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17" w:type="dxa"/>
                  <w:gridSpan w:val="8"/>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重点管控单元符合性分析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环境管控单元名称</w:t>
                  </w:r>
                </w:p>
              </w:tc>
              <w:tc>
                <w:tcPr>
                  <w:tcW w:w="3298" w:type="dxa"/>
                  <w:gridSpan w:val="3"/>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管控要求</w:t>
                  </w:r>
                </w:p>
              </w:tc>
              <w:tc>
                <w:tcPr>
                  <w:tcW w:w="2582" w:type="dxa"/>
                  <w:gridSpan w:val="3"/>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本项目</w:t>
                  </w:r>
                </w:p>
              </w:tc>
              <w:tc>
                <w:tcPr>
                  <w:tcW w:w="55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dxa"/>
                  <w:vMerge w:val="restart"/>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重点管控单元</w:t>
                  </w:r>
                </w:p>
              </w:tc>
              <w:tc>
                <w:tcPr>
                  <w:tcW w:w="41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空间布局约束</w:t>
                  </w:r>
                </w:p>
              </w:tc>
              <w:tc>
                <w:tcPr>
                  <w:tcW w:w="2888" w:type="dxa"/>
                  <w:gridSpan w:val="2"/>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禁止在居民区、学校、医疗和养老机构等周边新建有色金属冶炼、石油加工、化工等行业企业</w:t>
                  </w:r>
                </w:p>
              </w:tc>
              <w:tc>
                <w:tcPr>
                  <w:tcW w:w="2582" w:type="dxa"/>
                  <w:gridSpan w:val="3"/>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本项目周边500m范围之内为零散的居民点，无居民区、学校、医疗和养老机构，项目属于烧结多孔砖及空心砌块建设项目，不属于石油加工、化工及金属冶炼企业。</w:t>
                  </w:r>
                </w:p>
              </w:tc>
              <w:tc>
                <w:tcPr>
                  <w:tcW w:w="55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c>
                <w:tcPr>
                  <w:tcW w:w="41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环境风险防控</w:t>
                  </w:r>
                </w:p>
              </w:tc>
              <w:tc>
                <w:tcPr>
                  <w:tcW w:w="2888" w:type="dxa"/>
                  <w:gridSpan w:val="2"/>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全面整治油泥、煤矸石、工业副产石膏、粉煤灰、冶炼渣、铬渣、砷渣以及脱硫、脱硝、除尘产生固体废物的堆存场所，完善防扬散、防流失、防渗漏等设施。加强工业固体废物综合利用。引导有关企业采用先进适用加工工艺、集聚发展，集中建设和运营污染治理设施，防止污染土壤和地下水</w:t>
                  </w:r>
                </w:p>
              </w:tc>
              <w:tc>
                <w:tcPr>
                  <w:tcW w:w="2582" w:type="dxa"/>
                  <w:gridSpan w:val="3"/>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本项目煤矸石存放至全封闭库房且地面进行重点防渗，能够达到防扬散、防流失、防渗漏的要求。项目制砖工艺为先进的隧道窑工艺，采用先进的脱硫脱硝脱氟除尘设施，运营期能够防止污染物影响土壤和地下水</w:t>
                  </w:r>
                </w:p>
              </w:tc>
              <w:tc>
                <w:tcPr>
                  <w:tcW w:w="55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81"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c>
                <w:tcPr>
                  <w:tcW w:w="410" w:type="dxa"/>
                  <w:vMerge w:val="restart"/>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资源开发效率要求</w:t>
                  </w:r>
                </w:p>
              </w:tc>
              <w:tc>
                <w:tcPr>
                  <w:tcW w:w="51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地下水开采要求</w:t>
                  </w:r>
                </w:p>
              </w:tc>
              <w:tc>
                <w:tcPr>
                  <w:tcW w:w="3452" w:type="dxa"/>
                  <w:gridSpan w:val="2"/>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在地下水限采区内，除应急供水和生活用水更新井外，严禁开凿取水井。确需取用地下水的，一般超采区要在现有地下水开采总量内调剂解决，并逐步削减地下水开采量；严重超采区应按照用1减2的比例削减地下水开采量，直至地下水采补平衡。</w:t>
                  </w:r>
                </w:p>
              </w:tc>
              <w:tc>
                <w:tcPr>
                  <w:tcW w:w="1508" w:type="dxa"/>
                  <w:gridSpan w:val="2"/>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本项目不进行地下水开采</w:t>
                  </w:r>
                </w:p>
              </w:tc>
              <w:tc>
                <w:tcPr>
                  <w:tcW w:w="55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81"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c>
                <w:tcPr>
                  <w:tcW w:w="410"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c>
                <w:tcPr>
                  <w:tcW w:w="51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禁燃区要求</w:t>
                  </w:r>
                </w:p>
              </w:tc>
              <w:tc>
                <w:tcPr>
                  <w:tcW w:w="3760" w:type="dxa"/>
                  <w:gridSpan w:val="3"/>
                  <w:vAlign w:val="top"/>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禁止销售、燃用高污染燃料，禁止新建、扩建燃用高污染燃料的设施，已建成的要在当地政府规定的期限内改用天然气、页岩气、液化石油气、电或者其他清洁能源。</w:t>
                  </w:r>
                </w:p>
              </w:tc>
              <w:tc>
                <w:tcPr>
                  <w:tcW w:w="120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本项目运营期间不使用高污染燃料</w:t>
                  </w:r>
                </w:p>
              </w:tc>
              <w:tc>
                <w:tcPr>
                  <w:tcW w:w="55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p>
              </w:tc>
              <w:tc>
                <w:tcPr>
                  <w:tcW w:w="41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污染物排放管控</w:t>
                  </w:r>
                </w:p>
              </w:tc>
              <w:tc>
                <w:tcPr>
                  <w:tcW w:w="4270" w:type="dxa"/>
                  <w:gridSpan w:val="4"/>
                  <w:vAlign w:val="top"/>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w:t>
                  </w:r>
                  <w:r>
                    <w:rPr>
                      <w:rFonts w:hint="default"/>
                      <w:color w:val="auto"/>
                      <w:sz w:val="21"/>
                      <w:szCs w:val="21"/>
                      <w:vertAlign w:val="baseline"/>
                      <w:lang w:val="en-US" w:eastAsia="zh-CN"/>
                    </w:rPr>
                    <w:t>推进冬季清洁取暖和城镇燃煤锅炉改造，集中供热管网覆盖范围内且满足拆并接入需求的分散燃煤锅炉应予以淘汰关闭，并入集中供热；天然气管网覆盖范围内的分散燃煤锅炉在落实气源和供气量的前提下实施清洁能源改造。</w:t>
                  </w:r>
                </w:p>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2、加大对煤矿开采和能源开发企业的废水排放管控力度。逐步推进矿山开采和煤矿开发企业矿井水的再生利用和综合利用；规范处理油田开发企业采出水，禁止将不符合要求的采出水直接回注地下油层。</w:t>
                  </w:r>
                </w:p>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3、严格执行《甘肃省石油勘探开发生态环境保护条例》中规定的各项污染物防治措施。</w:t>
                  </w:r>
                </w:p>
              </w:tc>
              <w:tc>
                <w:tcPr>
                  <w:tcW w:w="120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本项目属于烧结多孔砖及空心砌块建设项目，运营过程中不涉及锅炉、煤矿开采及石油勘探。</w:t>
                  </w:r>
                </w:p>
              </w:tc>
              <w:tc>
                <w:tcPr>
                  <w:tcW w:w="55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符合</w:t>
                  </w:r>
                </w:p>
              </w:tc>
            </w:tr>
          </w:tbl>
          <w:p>
            <w:pPr>
              <w:pStyle w:val="60"/>
              <w:ind w:firstLine="420"/>
              <w:rPr>
                <w:color w:val="auto"/>
                <w:sz w:val="24"/>
                <w:szCs w:val="24"/>
              </w:rPr>
            </w:pPr>
            <w:r>
              <w:rPr>
                <w:color w:val="auto"/>
                <w:sz w:val="24"/>
                <w:szCs w:val="24"/>
              </w:rPr>
              <w:t>（2）环境质量底线</w:t>
            </w:r>
          </w:p>
          <w:p>
            <w:pPr>
              <w:pStyle w:val="60"/>
              <w:ind w:firstLine="420"/>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olor w:val="auto"/>
                <w:sz w:val="24"/>
                <w:szCs w:val="24"/>
              </w:rPr>
              <w:t>①</w:t>
            </w:r>
            <w:r>
              <w:rPr>
                <w:color w:val="auto"/>
                <w:sz w:val="24"/>
                <w:szCs w:val="24"/>
              </w:rPr>
              <w:fldChar w:fldCharType="end"/>
            </w:r>
            <w:r>
              <w:rPr>
                <w:color w:val="auto"/>
                <w:sz w:val="24"/>
                <w:szCs w:val="24"/>
              </w:rPr>
              <w:t>环境空气质量底线</w:t>
            </w:r>
          </w:p>
          <w:p>
            <w:pPr>
              <w:pStyle w:val="60"/>
              <w:ind w:firstLine="420"/>
              <w:rPr>
                <w:color w:val="auto"/>
                <w:sz w:val="24"/>
                <w:szCs w:val="24"/>
              </w:rPr>
            </w:pPr>
            <w:r>
              <w:rPr>
                <w:color w:val="auto"/>
                <w:sz w:val="24"/>
                <w:szCs w:val="24"/>
              </w:rPr>
              <w:t>本项目位于</w:t>
            </w:r>
            <w:r>
              <w:rPr>
                <w:rFonts w:hint="eastAsia"/>
                <w:color w:val="auto"/>
                <w:sz w:val="24"/>
                <w:szCs w:val="24"/>
                <w:lang w:val="en-US" w:eastAsia="zh-CN"/>
              </w:rPr>
              <w:t>宁</w:t>
            </w:r>
            <w:r>
              <w:rPr>
                <w:color w:val="auto"/>
                <w:sz w:val="24"/>
                <w:szCs w:val="24"/>
              </w:rPr>
              <w:t>县，根据《庆阳市202</w:t>
            </w:r>
            <w:r>
              <w:rPr>
                <w:rFonts w:hint="eastAsia"/>
                <w:color w:val="auto"/>
                <w:sz w:val="24"/>
                <w:szCs w:val="24"/>
                <w:lang w:val="en-US" w:eastAsia="zh-CN"/>
              </w:rPr>
              <w:t>2</w:t>
            </w:r>
            <w:r>
              <w:rPr>
                <w:color w:val="auto"/>
                <w:sz w:val="24"/>
                <w:szCs w:val="24"/>
              </w:rPr>
              <w:t>年环境空气质量</w:t>
            </w:r>
            <w:r>
              <w:rPr>
                <w:rFonts w:hint="eastAsia"/>
                <w:color w:val="auto"/>
                <w:sz w:val="24"/>
                <w:szCs w:val="24"/>
                <w:lang w:val="en-US" w:eastAsia="zh-CN"/>
              </w:rPr>
              <w:t>年</w:t>
            </w:r>
            <w:r>
              <w:rPr>
                <w:color w:val="auto"/>
                <w:sz w:val="24"/>
                <w:szCs w:val="24"/>
              </w:rPr>
              <w:t>报》，项目评价区域环境空气中SO</w:t>
            </w:r>
            <w:r>
              <w:rPr>
                <w:color w:val="auto"/>
                <w:sz w:val="24"/>
                <w:szCs w:val="24"/>
                <w:vertAlign w:val="subscript"/>
              </w:rPr>
              <w:t>2</w:t>
            </w:r>
            <w:r>
              <w:rPr>
                <w:color w:val="auto"/>
                <w:sz w:val="24"/>
                <w:szCs w:val="24"/>
              </w:rPr>
              <w:t>、NO</w:t>
            </w:r>
            <w:r>
              <w:rPr>
                <w:color w:val="auto"/>
                <w:sz w:val="24"/>
                <w:szCs w:val="24"/>
                <w:vertAlign w:val="subscript"/>
              </w:rPr>
              <w:t>2</w:t>
            </w:r>
            <w:r>
              <w:rPr>
                <w:color w:val="auto"/>
                <w:sz w:val="24"/>
                <w:szCs w:val="24"/>
              </w:rPr>
              <w:t>、PM</w:t>
            </w:r>
            <w:r>
              <w:rPr>
                <w:color w:val="auto"/>
                <w:sz w:val="24"/>
                <w:szCs w:val="24"/>
                <w:vertAlign w:val="subscript"/>
              </w:rPr>
              <w:t>10</w:t>
            </w:r>
            <w:r>
              <w:rPr>
                <w:color w:val="auto"/>
                <w:sz w:val="24"/>
                <w:szCs w:val="24"/>
              </w:rPr>
              <w:t>、PM</w:t>
            </w:r>
            <w:r>
              <w:rPr>
                <w:color w:val="auto"/>
                <w:sz w:val="24"/>
                <w:szCs w:val="24"/>
                <w:vertAlign w:val="subscript"/>
              </w:rPr>
              <w:t>2.5</w:t>
            </w:r>
            <w:r>
              <w:rPr>
                <w:color w:val="auto"/>
                <w:sz w:val="24"/>
                <w:szCs w:val="24"/>
              </w:rPr>
              <w:t>、CO、O</w:t>
            </w:r>
            <w:r>
              <w:rPr>
                <w:color w:val="auto"/>
                <w:sz w:val="24"/>
                <w:szCs w:val="24"/>
                <w:vertAlign w:val="subscript"/>
              </w:rPr>
              <w:t>3</w:t>
            </w:r>
            <w:r>
              <w:rPr>
                <w:color w:val="auto"/>
                <w:sz w:val="24"/>
                <w:szCs w:val="24"/>
              </w:rPr>
              <w:t>、TSP均满足《环境空气质量标准》（GB3095-2012）及其2018年修改单中二级标准，评价区域环境空气质量良好。本项目实施后对区域环境大气环境等影响较小，不会改变评价区大气环境功能区划要求，因此符合区域环境空气质量底线要求。</w:t>
            </w:r>
          </w:p>
          <w:p>
            <w:pPr>
              <w:pStyle w:val="60"/>
              <w:ind w:firstLine="420"/>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hint="eastAsia"/>
                <w:color w:val="auto"/>
                <w:sz w:val="24"/>
                <w:szCs w:val="24"/>
              </w:rPr>
              <w:t>②</w:t>
            </w:r>
            <w:r>
              <w:rPr>
                <w:color w:val="auto"/>
                <w:sz w:val="24"/>
                <w:szCs w:val="24"/>
              </w:rPr>
              <w:fldChar w:fldCharType="end"/>
            </w:r>
            <w:r>
              <w:rPr>
                <w:color w:val="auto"/>
                <w:sz w:val="24"/>
                <w:szCs w:val="24"/>
              </w:rPr>
              <w:t>水环境质量底线</w:t>
            </w:r>
          </w:p>
          <w:p>
            <w:pPr>
              <w:pStyle w:val="60"/>
              <w:ind w:firstLine="420"/>
              <w:rPr>
                <w:color w:val="auto"/>
                <w:sz w:val="24"/>
                <w:szCs w:val="24"/>
              </w:rPr>
            </w:pPr>
            <w:r>
              <w:rPr>
                <w:color w:val="auto"/>
                <w:sz w:val="24"/>
                <w:szCs w:val="24"/>
              </w:rPr>
              <w:t>项目所在区域</w:t>
            </w:r>
            <w:r>
              <w:rPr>
                <w:rFonts w:hint="eastAsia"/>
                <w:color w:val="auto"/>
                <w:sz w:val="24"/>
                <w:szCs w:val="24"/>
              </w:rPr>
              <w:t>最近地表河流为</w:t>
            </w:r>
            <w:r>
              <w:rPr>
                <w:rFonts w:hint="eastAsia"/>
                <w:color w:val="auto"/>
                <w:sz w:val="24"/>
                <w:szCs w:val="24"/>
                <w:lang w:val="en-US" w:eastAsia="zh-CN"/>
              </w:rPr>
              <w:t>马莲河</w:t>
            </w:r>
            <w:r>
              <w:rPr>
                <w:rFonts w:hint="eastAsia"/>
                <w:color w:val="auto"/>
                <w:sz w:val="24"/>
                <w:szCs w:val="24"/>
              </w:rPr>
              <w:t>，直线距离</w:t>
            </w:r>
            <w:r>
              <w:rPr>
                <w:rFonts w:hint="eastAsia"/>
                <w:color w:val="auto"/>
                <w:sz w:val="24"/>
                <w:szCs w:val="24"/>
                <w:lang w:val="en-US" w:eastAsia="zh-CN"/>
              </w:rPr>
              <w:t>9.91k</w:t>
            </w:r>
            <w:r>
              <w:rPr>
                <w:rFonts w:hint="eastAsia"/>
                <w:color w:val="auto"/>
                <w:sz w:val="24"/>
                <w:szCs w:val="24"/>
              </w:rPr>
              <w:t>m，根据庆阳市2</w:t>
            </w:r>
            <w:r>
              <w:rPr>
                <w:color w:val="auto"/>
                <w:sz w:val="24"/>
                <w:szCs w:val="24"/>
              </w:rPr>
              <w:t>02</w:t>
            </w:r>
            <w:r>
              <w:rPr>
                <w:rFonts w:hint="eastAsia"/>
                <w:color w:val="auto"/>
                <w:sz w:val="24"/>
                <w:szCs w:val="24"/>
                <w:lang w:val="en-US" w:eastAsia="zh-CN"/>
              </w:rPr>
              <w:t>2</w:t>
            </w:r>
            <w:r>
              <w:rPr>
                <w:rFonts w:hint="eastAsia"/>
                <w:color w:val="auto"/>
                <w:sz w:val="24"/>
                <w:szCs w:val="24"/>
              </w:rPr>
              <w:t>年</w:t>
            </w:r>
            <w:r>
              <w:rPr>
                <w:rFonts w:hint="eastAsia"/>
                <w:color w:val="auto"/>
                <w:sz w:val="24"/>
                <w:szCs w:val="24"/>
                <w:lang w:val="en-US" w:eastAsia="zh-CN"/>
              </w:rPr>
              <w:t>1-12</w:t>
            </w:r>
            <w:r>
              <w:rPr>
                <w:rFonts w:hint="eastAsia"/>
                <w:color w:val="auto"/>
                <w:sz w:val="24"/>
                <w:szCs w:val="24"/>
              </w:rPr>
              <w:t>月</w:t>
            </w:r>
            <w:r>
              <w:rPr>
                <w:rFonts w:hint="eastAsia"/>
                <w:color w:val="auto"/>
                <w:sz w:val="24"/>
                <w:szCs w:val="24"/>
                <w:lang w:val="en-US" w:eastAsia="zh-CN"/>
              </w:rPr>
              <w:t>平均</w:t>
            </w:r>
            <w:r>
              <w:rPr>
                <w:rFonts w:hint="eastAsia"/>
                <w:color w:val="auto"/>
                <w:sz w:val="24"/>
                <w:szCs w:val="24"/>
              </w:rPr>
              <w:t>监测数据，</w:t>
            </w:r>
            <w:r>
              <w:rPr>
                <w:rFonts w:hint="eastAsia"/>
                <w:color w:val="auto"/>
                <w:sz w:val="24"/>
                <w:szCs w:val="24"/>
                <w:lang w:val="en-US" w:eastAsia="zh-CN"/>
              </w:rPr>
              <w:t>马莲河水质满足</w:t>
            </w:r>
            <w:r>
              <w:rPr>
                <w:color w:val="auto"/>
                <w:sz w:val="24"/>
                <w:szCs w:val="24"/>
              </w:rPr>
              <w:t>《地表水环境质量标准》（GB3838-2002）中</w:t>
            </w:r>
            <w:r>
              <w:rPr>
                <w:rFonts w:hint="eastAsia"/>
                <w:color w:val="auto"/>
                <w:sz w:val="24"/>
                <w:szCs w:val="24"/>
                <w:lang w:val="en-US" w:eastAsia="zh-CN"/>
              </w:rPr>
              <w:fldChar w:fldCharType="begin"/>
            </w:r>
            <w:r>
              <w:rPr>
                <w:rFonts w:hint="eastAsia"/>
                <w:color w:val="auto"/>
                <w:sz w:val="24"/>
                <w:szCs w:val="24"/>
                <w:lang w:val="en-US" w:eastAsia="zh-CN"/>
              </w:rPr>
              <w:instrText xml:space="preserve"> = 4 \* ROMAN \* MERGEFORMAT </w:instrText>
            </w:r>
            <w:r>
              <w:rPr>
                <w:rFonts w:hint="eastAsia"/>
                <w:color w:val="auto"/>
                <w:sz w:val="24"/>
                <w:szCs w:val="24"/>
                <w:lang w:val="en-US" w:eastAsia="zh-CN"/>
              </w:rPr>
              <w:fldChar w:fldCharType="separate"/>
            </w:r>
            <w:r>
              <w:rPr>
                <w:color w:val="auto"/>
                <w:sz w:val="24"/>
                <w:szCs w:val="24"/>
              </w:rPr>
              <w:t>IV</w:t>
            </w:r>
            <w:r>
              <w:rPr>
                <w:rFonts w:hint="eastAsia"/>
                <w:color w:val="auto"/>
                <w:sz w:val="24"/>
                <w:szCs w:val="24"/>
                <w:lang w:val="en-US" w:eastAsia="zh-CN"/>
              </w:rPr>
              <w:fldChar w:fldCharType="end"/>
            </w:r>
            <w:r>
              <w:rPr>
                <w:color w:val="auto"/>
                <w:sz w:val="24"/>
                <w:szCs w:val="24"/>
              </w:rPr>
              <w:t>类标准限值。</w:t>
            </w:r>
            <w:r>
              <w:rPr>
                <w:color w:val="auto"/>
                <w:sz w:val="24"/>
              </w:rPr>
              <w:t>项目运行期</w:t>
            </w:r>
            <w:r>
              <w:rPr>
                <w:rFonts w:hint="eastAsia"/>
                <w:color w:val="auto"/>
                <w:sz w:val="24"/>
              </w:rPr>
              <w:t>无生产废水产生</w:t>
            </w:r>
            <w:r>
              <w:rPr>
                <w:color w:val="auto"/>
                <w:sz w:val="24"/>
              </w:rPr>
              <w:t>，</w:t>
            </w:r>
            <w:r>
              <w:rPr>
                <w:rFonts w:hint="eastAsia"/>
                <w:color w:val="auto"/>
                <w:sz w:val="24"/>
              </w:rPr>
              <w:t>餐饮废水与生活污水排入旱厕堆肥</w:t>
            </w:r>
            <w:r>
              <w:rPr>
                <w:rFonts w:hint="eastAsia"/>
                <w:color w:val="auto"/>
                <w:sz w:val="24"/>
                <w:lang w:eastAsia="zh-CN"/>
              </w:rPr>
              <w:t>，</w:t>
            </w:r>
            <w:r>
              <w:rPr>
                <w:rFonts w:hint="eastAsia"/>
                <w:color w:val="auto"/>
                <w:sz w:val="24"/>
                <w:lang w:val="en-US" w:eastAsia="zh-CN"/>
              </w:rPr>
              <w:t>洗漱废水泼洒抑尘</w:t>
            </w:r>
            <w:r>
              <w:rPr>
                <w:rFonts w:hint="eastAsia"/>
                <w:color w:val="auto"/>
                <w:sz w:val="24"/>
              </w:rPr>
              <w:t>，不外排</w:t>
            </w:r>
            <w:r>
              <w:rPr>
                <w:rFonts w:hint="eastAsia"/>
                <w:color w:val="auto"/>
                <w:sz w:val="24"/>
                <w:szCs w:val="24"/>
                <w:lang w:val="en-US" w:eastAsia="zh-CN"/>
              </w:rPr>
              <w:t>，</w:t>
            </w:r>
            <w:r>
              <w:rPr>
                <w:color w:val="auto"/>
                <w:sz w:val="24"/>
                <w:szCs w:val="24"/>
              </w:rPr>
              <w:t>对区域地表水环境影响较小，不会改变评价区水环境功能区划要求。因此，项目建设符合区域水环境质量底线要求。</w:t>
            </w:r>
          </w:p>
          <w:p>
            <w:pPr>
              <w:pStyle w:val="60"/>
              <w:ind w:firstLine="42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color w:val="auto"/>
                <w:sz w:val="24"/>
                <w:szCs w:val="24"/>
              </w:rPr>
              <w:t>资源利用上线</w:t>
            </w:r>
          </w:p>
          <w:p>
            <w:pPr>
              <w:pStyle w:val="60"/>
              <w:ind w:firstLine="420"/>
              <w:rPr>
                <w:color w:val="auto"/>
                <w:sz w:val="24"/>
                <w:szCs w:val="24"/>
              </w:rPr>
            </w:pPr>
            <w:r>
              <w:rPr>
                <w:color w:val="auto"/>
                <w:sz w:val="24"/>
                <w:szCs w:val="24"/>
              </w:rPr>
              <w:t>本项目运营过程中消耗一定量的电源、水资源等，项目消耗量相对区域资源利用总量较少，不触及区域资源利用上限。</w:t>
            </w:r>
          </w:p>
          <w:p>
            <w:pPr>
              <w:pStyle w:val="60"/>
              <w:ind w:firstLine="42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color w:val="auto"/>
                <w:sz w:val="24"/>
                <w:szCs w:val="24"/>
              </w:rPr>
              <w:t>环境准入清单</w:t>
            </w:r>
          </w:p>
          <w:p>
            <w:pPr>
              <w:pStyle w:val="60"/>
              <w:ind w:firstLine="420"/>
              <w:rPr>
                <w:color w:val="auto"/>
                <w:sz w:val="24"/>
                <w:szCs w:val="24"/>
              </w:rPr>
            </w:pPr>
            <w:r>
              <w:rPr>
                <w:color w:val="auto"/>
                <w:sz w:val="24"/>
                <w:szCs w:val="24"/>
                <w:highlight w:val="none"/>
              </w:rPr>
              <w:t>根据</w:t>
            </w:r>
            <w:r>
              <w:rPr>
                <w:rFonts w:hint="eastAsia"/>
                <w:color w:val="auto"/>
                <w:sz w:val="24"/>
                <w:szCs w:val="24"/>
                <w:highlight w:val="none"/>
                <w:lang w:val="en-US" w:eastAsia="zh-CN"/>
              </w:rPr>
              <w:t>《</w:t>
            </w:r>
            <w:r>
              <w:rPr>
                <w:rFonts w:hint="eastAsia"/>
                <w:color w:val="auto"/>
                <w:sz w:val="24"/>
                <w:szCs w:val="24"/>
                <w:highlight w:val="none"/>
              </w:rPr>
              <w:t>庆阳</w:t>
            </w:r>
            <w:r>
              <w:rPr>
                <w:color w:val="auto"/>
                <w:sz w:val="24"/>
                <w:szCs w:val="24"/>
                <w:highlight w:val="none"/>
              </w:rPr>
              <w:t>市生态环境准入清单</w:t>
            </w:r>
            <w:r>
              <w:rPr>
                <w:rFonts w:hint="eastAsia"/>
                <w:color w:val="auto"/>
                <w:sz w:val="24"/>
                <w:szCs w:val="24"/>
                <w:highlight w:val="none"/>
                <w:lang w:val="en-US" w:eastAsia="zh-CN"/>
              </w:rPr>
              <w:t>》</w:t>
            </w:r>
            <w:r>
              <w:rPr>
                <w:color w:val="auto"/>
                <w:sz w:val="24"/>
                <w:szCs w:val="24"/>
                <w:highlight w:val="none"/>
              </w:rPr>
              <w:t>，</w:t>
            </w:r>
            <w:r>
              <w:rPr>
                <w:rFonts w:hint="eastAsia"/>
                <w:color w:val="auto"/>
                <w:sz w:val="24"/>
                <w:szCs w:val="24"/>
                <w:highlight w:val="none"/>
                <w:lang w:val="en-US" w:eastAsia="zh-CN"/>
              </w:rPr>
              <w:t>本项目位于宁县中村镇秦店村，项目占地范围内涉及优先保护单元中的一般生态空间及重点管控单元，根据宁县国土资源局出具的关于《宁县成盛建材有限责任公司》用地不涉及生态保护红线等有关情况的说明中经套合“三区三线”划定成果，该项目用地不涉及我县生态保护红线范围，拟纳入宁县中村镇秦店村村庄规划。项目运行过程中产生的废气及噪声通过污染防治措施处理后达标排放；废水及固体废物通过污染防治措施合理处置符合相关标准，因此项目符合环境准入清单</w:t>
            </w:r>
            <w:r>
              <w:rPr>
                <w:color w:val="auto"/>
                <w:sz w:val="24"/>
                <w:szCs w:val="24"/>
              </w:rPr>
              <w:t>。</w:t>
            </w:r>
          </w:p>
          <w:p>
            <w:pPr>
              <w:pStyle w:val="60"/>
              <w:ind w:left="0" w:leftChars="0" w:firstLine="0" w:firstLineChars="0"/>
              <w:rPr>
                <w:b/>
                <w:bCs/>
                <w:color w:val="auto"/>
                <w:sz w:val="24"/>
                <w:szCs w:val="24"/>
              </w:rPr>
            </w:pPr>
            <w:r>
              <w:rPr>
                <w:rFonts w:hint="eastAsia"/>
                <w:b/>
                <w:bCs/>
                <w:color w:val="auto"/>
                <w:sz w:val="24"/>
                <w:szCs w:val="24"/>
                <w:lang w:val="en-US" w:eastAsia="zh-CN"/>
              </w:rPr>
              <w:t>1.8</w:t>
            </w:r>
            <w:r>
              <w:rPr>
                <w:b/>
                <w:bCs/>
                <w:color w:val="auto"/>
                <w:sz w:val="24"/>
                <w:szCs w:val="24"/>
              </w:rPr>
              <w:t>与《工业炉窑大气污染综合治理方案》（环大气[2019]56号）符合性分析</w:t>
            </w:r>
          </w:p>
          <w:p>
            <w:pPr>
              <w:pStyle w:val="66"/>
              <w:adjustRightInd/>
              <w:snapToGrid/>
              <w:spacing w:line="240" w:lineRule="auto"/>
              <w:ind w:firstLine="0" w:firstLineChars="0"/>
              <w:jc w:val="center"/>
              <w:rPr>
                <w:b/>
                <w:bCs/>
                <w:color w:val="auto"/>
                <w:sz w:val="21"/>
              </w:rPr>
            </w:pPr>
            <w:r>
              <w:rPr>
                <w:b/>
                <w:bCs/>
                <w:color w:val="auto"/>
                <w:sz w:val="21"/>
              </w:rPr>
              <w:t>表1-</w:t>
            </w:r>
            <w:r>
              <w:rPr>
                <w:rFonts w:hint="eastAsia"/>
                <w:b/>
                <w:bCs/>
                <w:color w:val="auto"/>
                <w:sz w:val="21"/>
                <w:lang w:val="en-US" w:eastAsia="zh-CN"/>
              </w:rPr>
              <w:t>9</w:t>
            </w:r>
            <w:r>
              <w:rPr>
                <w:b/>
                <w:bCs/>
                <w:color w:val="auto"/>
                <w:sz w:val="21"/>
              </w:rPr>
              <w:t xml:space="preserve">  </w:t>
            </w:r>
            <w:r>
              <w:rPr>
                <w:rFonts w:hint="eastAsia"/>
                <w:b/>
                <w:bCs/>
                <w:color w:val="auto"/>
                <w:sz w:val="21"/>
                <w:lang w:val="en-US" w:eastAsia="zh-CN"/>
              </w:rPr>
              <w:t xml:space="preserve"> </w:t>
            </w:r>
            <w:r>
              <w:rPr>
                <w:b/>
                <w:bCs/>
                <w:color w:val="auto"/>
                <w:sz w:val="21"/>
              </w:rPr>
              <w:t>与（环大气[2019]56号）符合性分析</w:t>
            </w:r>
          </w:p>
          <w:tbl>
            <w:tblPr>
              <w:tblStyle w:val="28"/>
              <w:tblW w:w="4997" w:type="pct"/>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3"/>
              <w:gridCol w:w="3376"/>
              <w:gridCol w:w="2005"/>
              <w:gridCol w:w="7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43" w:type="pct"/>
                  <w:noWrap w:val="0"/>
                  <w:vAlign w:val="center"/>
                </w:tcPr>
                <w:p>
                  <w:pPr>
                    <w:widowControl/>
                    <w:jc w:val="center"/>
                    <w:rPr>
                      <w:rFonts w:hint="eastAsia"/>
                      <w:b/>
                      <w:bCs/>
                      <w:color w:val="auto"/>
                      <w:kern w:val="0"/>
                      <w:lang w:bidi="ar"/>
                    </w:rPr>
                  </w:pPr>
                  <w:r>
                    <w:rPr>
                      <w:rFonts w:hint="eastAsia"/>
                      <w:b/>
                      <w:bCs/>
                      <w:color w:val="auto"/>
                      <w:kern w:val="0"/>
                      <w:lang w:bidi="ar"/>
                    </w:rPr>
                    <w:t>文件</w:t>
                  </w:r>
                </w:p>
                <w:p>
                  <w:pPr>
                    <w:widowControl/>
                    <w:jc w:val="center"/>
                    <w:rPr>
                      <w:rFonts w:hint="eastAsia"/>
                      <w:b/>
                      <w:bCs/>
                      <w:color w:val="auto"/>
                      <w:kern w:val="0"/>
                      <w:lang w:bidi="ar"/>
                    </w:rPr>
                  </w:pPr>
                  <w:r>
                    <w:rPr>
                      <w:rFonts w:hint="eastAsia"/>
                      <w:b/>
                      <w:bCs/>
                      <w:color w:val="auto"/>
                      <w:kern w:val="0"/>
                      <w:lang w:bidi="ar"/>
                    </w:rPr>
                    <w:t>名称</w:t>
                  </w:r>
                </w:p>
              </w:tc>
              <w:tc>
                <w:tcPr>
                  <w:tcW w:w="2340" w:type="pct"/>
                  <w:noWrap w:val="0"/>
                  <w:vAlign w:val="center"/>
                </w:tcPr>
                <w:p>
                  <w:pPr>
                    <w:widowControl/>
                    <w:jc w:val="center"/>
                    <w:rPr>
                      <w:rFonts w:hint="eastAsia"/>
                      <w:b/>
                      <w:bCs/>
                      <w:color w:val="auto"/>
                    </w:rPr>
                  </w:pPr>
                  <w:r>
                    <w:rPr>
                      <w:rFonts w:hint="eastAsia"/>
                      <w:b/>
                      <w:bCs/>
                      <w:color w:val="auto"/>
                    </w:rPr>
                    <w:t>内容</w:t>
                  </w:r>
                </w:p>
              </w:tc>
              <w:tc>
                <w:tcPr>
                  <w:tcW w:w="1389" w:type="pct"/>
                  <w:noWrap w:val="0"/>
                  <w:vAlign w:val="center"/>
                </w:tcPr>
                <w:p>
                  <w:pPr>
                    <w:widowControl/>
                    <w:jc w:val="center"/>
                    <w:rPr>
                      <w:rFonts w:hint="eastAsia"/>
                      <w:b/>
                      <w:bCs/>
                      <w:color w:val="auto"/>
                      <w:kern w:val="0"/>
                      <w:lang w:bidi="ar"/>
                    </w:rPr>
                  </w:pPr>
                  <w:r>
                    <w:rPr>
                      <w:rFonts w:hint="eastAsia"/>
                      <w:b/>
                      <w:bCs/>
                      <w:color w:val="auto"/>
                      <w:kern w:val="0"/>
                      <w:lang w:bidi="ar"/>
                    </w:rPr>
                    <w:t>本项目情况</w:t>
                  </w:r>
                </w:p>
              </w:tc>
              <w:tc>
                <w:tcPr>
                  <w:tcW w:w="52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b/>
                      <w:bCs/>
                      <w:color w:val="auto"/>
                      <w:kern w:val="0"/>
                      <w:lang w:bidi="ar"/>
                    </w:rPr>
                  </w:pPr>
                  <w:r>
                    <w:rPr>
                      <w:rFonts w:hint="eastAsia"/>
                      <w:b/>
                      <w:bCs/>
                      <w:color w:val="auto"/>
                      <w:kern w:val="0"/>
                      <w:lang w:bidi="ar"/>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743" w:type="pct"/>
                  <w:vMerge w:val="restart"/>
                  <w:noWrap w:val="0"/>
                  <w:vAlign w:val="center"/>
                </w:tcPr>
                <w:p>
                  <w:pPr>
                    <w:widowControl/>
                    <w:jc w:val="both"/>
                    <w:rPr>
                      <w:color w:val="auto"/>
                      <w:kern w:val="0"/>
                      <w:lang w:bidi="ar"/>
                    </w:rPr>
                  </w:pPr>
                  <w:r>
                    <w:rPr>
                      <w:rFonts w:hint="eastAsia"/>
                      <w:color w:val="auto"/>
                      <w:kern w:val="0"/>
                      <w:lang w:bidi="ar"/>
                    </w:rPr>
                    <w:t>《工业炉窑大气污染综合治理方案》（环大气[2019]56号）</w:t>
                  </w:r>
                </w:p>
              </w:tc>
              <w:tc>
                <w:tcPr>
                  <w:tcW w:w="2340" w:type="pct"/>
                  <w:noWrap w:val="0"/>
                  <w:vAlign w:val="center"/>
                </w:tcPr>
                <w:p>
                  <w:pPr>
                    <w:widowControl/>
                    <w:jc w:val="both"/>
                    <w:rPr>
                      <w:color w:val="auto"/>
                      <w:kern w:val="0"/>
                      <w:lang w:bidi="ar"/>
                    </w:rPr>
                  </w:pPr>
                  <w:r>
                    <w:rPr>
                      <w:rFonts w:hint="eastAsia"/>
                      <w:color w:val="auto"/>
                    </w:rPr>
                    <w:t>（一）加大产业结构调整力度。严格建设项目环境准入。新建涉工业炉窑的建设项目，原则上要入园区，配套建设高效环保治理设施。</w:t>
                  </w:r>
                </w:p>
              </w:tc>
              <w:tc>
                <w:tcPr>
                  <w:tcW w:w="1389" w:type="pct"/>
                  <w:noWrap w:val="0"/>
                  <w:vAlign w:val="center"/>
                </w:tcPr>
                <w:p>
                  <w:pPr>
                    <w:widowControl/>
                    <w:jc w:val="both"/>
                    <w:rPr>
                      <w:rFonts w:hint="eastAsia"/>
                      <w:color w:val="auto"/>
                      <w:kern w:val="0"/>
                      <w:lang w:bidi="ar"/>
                    </w:rPr>
                  </w:pPr>
                  <w:r>
                    <w:rPr>
                      <w:rFonts w:hint="eastAsia"/>
                      <w:color w:val="auto"/>
                    </w:rPr>
                    <w:t>本项目为淘汰原</w:t>
                  </w:r>
                  <w:r>
                    <w:rPr>
                      <w:rFonts w:hint="eastAsia"/>
                      <w:color w:val="auto"/>
                      <w:lang w:val="en-US" w:eastAsia="zh-CN"/>
                    </w:rPr>
                    <w:t>宁县成盛建材有限责任公司的</w:t>
                  </w:r>
                  <w:r>
                    <w:rPr>
                      <w:rFonts w:hint="eastAsia"/>
                      <w:color w:val="auto"/>
                    </w:rPr>
                    <w:t>轮窑，技术改造为隧道窑，并配套建设</w:t>
                  </w:r>
                  <w:r>
                    <w:rPr>
                      <w:rFonts w:hint="eastAsia"/>
                      <w:color w:val="auto"/>
                      <w:lang w:val="en-US" w:eastAsia="zh-CN"/>
                    </w:rPr>
                    <w:t>SNCR脱硝+袋式除尘+湿法（喷淋）脱硫并协同脱氟装置处理隧道窑烟气后通过33m高排气筒排放且项目不属于新建项目</w:t>
                  </w:r>
                </w:p>
              </w:tc>
              <w:tc>
                <w:tcPr>
                  <w:tcW w:w="52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eastAsia="宋体"/>
                      <w:color w:val="auto"/>
                      <w:kern w:val="0"/>
                      <w:lang w:val="en-US" w:eastAsia="zh-CN" w:bidi="ar"/>
                    </w:rPr>
                  </w:pPr>
                  <w:r>
                    <w:rPr>
                      <w:rFonts w:hint="eastAsia"/>
                      <w:color w:val="auto"/>
                      <w:kern w:val="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743" w:type="pct"/>
                  <w:vMerge w:val="continue"/>
                  <w:noWrap w:val="0"/>
                  <w:vAlign w:val="center"/>
                </w:tcPr>
                <w:p>
                  <w:pPr>
                    <w:widowControl/>
                    <w:jc w:val="both"/>
                    <w:rPr>
                      <w:rFonts w:hint="eastAsia"/>
                      <w:color w:val="auto"/>
                      <w:kern w:val="0"/>
                      <w:lang w:bidi="ar"/>
                    </w:rPr>
                  </w:pPr>
                </w:p>
              </w:tc>
              <w:tc>
                <w:tcPr>
                  <w:tcW w:w="2340" w:type="pct"/>
                  <w:noWrap w:val="0"/>
                  <w:vAlign w:val="center"/>
                </w:tcPr>
                <w:p>
                  <w:pPr>
                    <w:widowControl/>
                    <w:jc w:val="both"/>
                    <w:rPr>
                      <w:rFonts w:hint="eastAsia"/>
                      <w:color w:val="auto"/>
                      <w:kern w:val="0"/>
                      <w:lang w:bidi="ar"/>
                    </w:rPr>
                  </w:pPr>
                  <w:r>
                    <w:rPr>
                      <w:rFonts w:hint="eastAsia"/>
                      <w:color w:val="auto"/>
                    </w:rPr>
                    <w:t>（二）加大产业结构调整力度。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tc>
              <w:tc>
                <w:tcPr>
                  <w:tcW w:w="1389" w:type="pct"/>
                  <w:noWrap w:val="0"/>
                  <w:vAlign w:val="center"/>
                </w:tcPr>
                <w:p>
                  <w:pPr>
                    <w:widowControl/>
                    <w:jc w:val="both"/>
                    <w:rPr>
                      <w:rFonts w:hint="eastAsia"/>
                      <w:color w:val="auto"/>
                      <w:kern w:val="0"/>
                      <w:lang w:bidi="ar"/>
                    </w:rPr>
                  </w:pPr>
                  <w:r>
                    <w:rPr>
                      <w:rFonts w:hint="eastAsia"/>
                      <w:color w:val="auto"/>
                      <w:lang w:val="en-US" w:eastAsia="zh-CN"/>
                    </w:rPr>
                    <w:t>本项目不属于落后产能项目，项目破碎及筛分过程中产生的废气经集气罩收集后通过布袋除尘器处理后通过15m排气筒排放；隧道窑烟气在经SNCR脱硝+袋式除尘+湿法（喷淋）脱硫并协同脱氟装置处理后均能达标排放；废水合理利用不外排；固体废物收集后合理处置；噪声通过降噪措施后能达标排放。项目的生产过程以机械为主人工为辅工作方式，自动化程度较高，项目物料在皮带运输环节均为密封状态。</w:t>
                  </w:r>
                </w:p>
              </w:tc>
              <w:tc>
                <w:tcPr>
                  <w:tcW w:w="52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color w:val="auto"/>
                      <w:kern w:val="0"/>
                      <w:lang w:bidi="ar"/>
                    </w:rPr>
                  </w:pPr>
                  <w:r>
                    <w:rPr>
                      <w:rFonts w:hint="eastAsia"/>
                      <w:color w:val="auto"/>
                      <w:kern w:val="0"/>
                      <w:lang w:bidi="ar"/>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743" w:type="pct"/>
                  <w:vMerge w:val="continue"/>
                  <w:noWrap w:val="0"/>
                  <w:vAlign w:val="center"/>
                </w:tcPr>
                <w:p>
                  <w:pPr>
                    <w:widowControl/>
                    <w:jc w:val="both"/>
                    <w:rPr>
                      <w:rFonts w:hint="eastAsia"/>
                      <w:color w:val="auto"/>
                      <w:kern w:val="0"/>
                      <w:lang w:bidi="ar"/>
                    </w:rPr>
                  </w:pPr>
                </w:p>
              </w:tc>
              <w:tc>
                <w:tcPr>
                  <w:tcW w:w="2340" w:type="pct"/>
                  <w:noWrap w:val="0"/>
                  <w:vAlign w:val="center"/>
                </w:tcPr>
                <w:p>
                  <w:pPr>
                    <w:adjustRightInd w:val="0"/>
                    <w:snapToGrid w:val="0"/>
                    <w:jc w:val="both"/>
                    <w:rPr>
                      <w:color w:val="auto"/>
                      <w:kern w:val="0"/>
                      <w:lang w:bidi="ar"/>
                    </w:rPr>
                  </w:pPr>
                  <w:r>
                    <w:rPr>
                      <w:rFonts w:hint="eastAsia"/>
                      <w:color w:val="auto"/>
                    </w:rPr>
                    <w:t>（三）加快燃料清洁低碳化替代。对以煤、石油焦、渣油、重油等为燃料的工业炉窑，加快使用清洁低碳能源以及利用工厂余热、电厂热力等进行替代。</w:t>
                  </w:r>
                </w:p>
              </w:tc>
              <w:tc>
                <w:tcPr>
                  <w:tcW w:w="1389" w:type="pct"/>
                  <w:noWrap w:val="0"/>
                  <w:vAlign w:val="center"/>
                </w:tcPr>
                <w:p>
                  <w:pPr>
                    <w:widowControl/>
                    <w:jc w:val="both"/>
                    <w:rPr>
                      <w:rFonts w:hint="eastAsia"/>
                      <w:color w:val="auto"/>
                      <w:kern w:val="0"/>
                      <w:lang w:bidi="ar"/>
                    </w:rPr>
                  </w:pPr>
                  <w:r>
                    <w:rPr>
                      <w:rFonts w:hint="eastAsia"/>
                      <w:color w:val="auto"/>
                      <w:kern w:val="0"/>
                      <w:lang w:bidi="ar"/>
                    </w:rPr>
                    <w:t>隧道窑焙烧所需热量由砖坯中煤矸石燃烧提供，利用煤矸石自身热量，采取纯内燃方式烧制砖。</w:t>
                  </w:r>
                </w:p>
              </w:tc>
              <w:tc>
                <w:tcPr>
                  <w:tcW w:w="52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color w:val="auto"/>
                      <w:kern w:val="0"/>
                      <w:lang w:bidi="ar"/>
                    </w:rPr>
                  </w:pPr>
                  <w:r>
                    <w:rPr>
                      <w:rFonts w:hint="eastAsia"/>
                      <w:color w:val="auto"/>
                      <w:kern w:val="0"/>
                      <w:lang w:bidi="ar"/>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743" w:type="pct"/>
                  <w:vMerge w:val="continue"/>
                  <w:noWrap w:val="0"/>
                  <w:vAlign w:val="center"/>
                </w:tcPr>
                <w:p>
                  <w:pPr>
                    <w:widowControl/>
                    <w:jc w:val="both"/>
                    <w:rPr>
                      <w:rFonts w:hint="eastAsia"/>
                      <w:color w:val="auto"/>
                      <w:kern w:val="0"/>
                      <w:lang w:bidi="ar"/>
                    </w:rPr>
                  </w:pPr>
                </w:p>
              </w:tc>
              <w:tc>
                <w:tcPr>
                  <w:tcW w:w="2340" w:type="pct"/>
                  <w:noWrap w:val="0"/>
                  <w:vAlign w:val="center"/>
                </w:tcPr>
                <w:p>
                  <w:pPr>
                    <w:adjustRightInd w:val="0"/>
                    <w:snapToGrid w:val="0"/>
                    <w:jc w:val="both"/>
                    <w:rPr>
                      <w:rFonts w:hint="eastAsia"/>
                      <w:b/>
                      <w:bCs/>
                      <w:color w:val="auto"/>
                      <w:kern w:val="0"/>
                      <w:lang w:bidi="ar"/>
                    </w:rPr>
                  </w:pPr>
                  <w:r>
                    <w:rPr>
                      <w:rFonts w:hint="eastAsia"/>
                      <w:color w:val="auto"/>
                    </w:rPr>
                    <w:t>（四）实施污染深度治理。推进工业炉窑全面达标排放。已有行业排放标准的工业炉窑（即：砖瓦工业大气污染物排放标准（ GB29620-2013 ）），严格执行行业排放标准相关规定，配套建设高效脱硫脱硝除尘设施（即：以煤、煤矸石等为燃料的烧结砖瓦窑应配备高效除尘设施，配备石灰石石膏法等高效脱硫设施；以天然气为燃料的烧结砖瓦窑配备除尘设施。），确保稳定达标排放。</w:t>
                  </w:r>
                </w:p>
              </w:tc>
              <w:tc>
                <w:tcPr>
                  <w:tcW w:w="1389" w:type="pct"/>
                  <w:noWrap w:val="0"/>
                  <w:vAlign w:val="center"/>
                </w:tcPr>
                <w:p>
                  <w:pPr>
                    <w:widowControl/>
                    <w:jc w:val="both"/>
                    <w:rPr>
                      <w:rFonts w:hint="eastAsia"/>
                      <w:color w:val="auto"/>
                      <w:kern w:val="0"/>
                      <w:lang w:bidi="ar"/>
                    </w:rPr>
                  </w:pPr>
                  <w:r>
                    <w:rPr>
                      <w:rFonts w:hint="eastAsia"/>
                      <w:color w:val="auto"/>
                      <w:kern w:val="0"/>
                      <w:lang w:bidi="ar"/>
                    </w:rPr>
                    <w:t>本项目</w:t>
                  </w:r>
                  <w:r>
                    <w:rPr>
                      <w:rFonts w:hint="eastAsia"/>
                      <w:color w:val="auto"/>
                      <w:kern w:val="0"/>
                      <w:lang w:val="en-US" w:eastAsia="zh-CN" w:bidi="ar"/>
                    </w:rPr>
                    <w:t>废气</w:t>
                  </w:r>
                  <w:r>
                    <w:rPr>
                      <w:rFonts w:hint="eastAsia"/>
                      <w:color w:val="auto"/>
                      <w:kern w:val="0"/>
                      <w:lang w:bidi="ar"/>
                    </w:rPr>
                    <w:t>执行</w:t>
                  </w:r>
                  <w:r>
                    <w:rPr>
                      <w:rFonts w:hint="eastAsia"/>
                      <w:color w:val="auto"/>
                      <w:kern w:val="0"/>
                      <w:lang w:eastAsia="zh-CN" w:bidi="ar"/>
                    </w:rPr>
                    <w:t>《</w:t>
                  </w:r>
                  <w:r>
                    <w:rPr>
                      <w:rFonts w:hint="eastAsia"/>
                      <w:color w:val="auto"/>
                      <w:kern w:val="0"/>
                      <w:lang w:bidi="ar"/>
                    </w:rPr>
                    <w:t>砖瓦工业大气污染物排放标准</w:t>
                  </w:r>
                  <w:r>
                    <w:rPr>
                      <w:rFonts w:hint="eastAsia"/>
                      <w:color w:val="auto"/>
                      <w:kern w:val="0"/>
                      <w:lang w:eastAsia="zh-CN" w:bidi="ar"/>
                    </w:rPr>
                    <w:t>》</w:t>
                  </w:r>
                  <w:r>
                    <w:rPr>
                      <w:rFonts w:hint="eastAsia"/>
                      <w:color w:val="auto"/>
                      <w:kern w:val="0"/>
                      <w:lang w:bidi="ar"/>
                    </w:rPr>
                    <w:t>（GB29620-2013）</w:t>
                  </w:r>
                  <w:r>
                    <w:rPr>
                      <w:rFonts w:hint="eastAsia"/>
                      <w:color w:val="auto"/>
                      <w:kern w:val="0"/>
                      <w:lang w:val="en-US" w:eastAsia="zh-CN" w:bidi="ar"/>
                    </w:rPr>
                    <w:t>及其修改单</w:t>
                  </w:r>
                  <w:r>
                    <w:rPr>
                      <w:rFonts w:hint="eastAsia"/>
                      <w:color w:val="auto"/>
                      <w:kern w:val="0"/>
                      <w:lang w:bidi="ar"/>
                    </w:rPr>
                    <w:t>，</w:t>
                  </w:r>
                  <w:r>
                    <w:rPr>
                      <w:rFonts w:hint="eastAsia"/>
                      <w:color w:val="auto"/>
                      <w:kern w:val="0"/>
                      <w:lang w:val="en-US" w:eastAsia="zh-CN" w:bidi="ar"/>
                    </w:rPr>
                    <w:t>废气经</w:t>
                  </w:r>
                  <w:r>
                    <w:rPr>
                      <w:rFonts w:hint="eastAsia"/>
                      <w:color w:val="auto"/>
                      <w:kern w:val="0"/>
                    </w:rPr>
                    <w:t>SNCR脱硝+袋式除尘+湿法（喷淋）脱硫并协同脱氟</w:t>
                  </w:r>
                  <w:r>
                    <w:rPr>
                      <w:rFonts w:hint="eastAsia"/>
                      <w:color w:val="auto"/>
                      <w:kern w:val="0"/>
                      <w:lang w:val="en-US" w:eastAsia="zh-CN"/>
                    </w:rPr>
                    <w:t>的烟气处理设施处理后能达标排放</w:t>
                  </w:r>
                  <w:r>
                    <w:rPr>
                      <w:rFonts w:hint="eastAsia"/>
                      <w:color w:val="auto"/>
                      <w:kern w:val="0"/>
                    </w:rPr>
                    <w:t>。</w:t>
                  </w:r>
                </w:p>
              </w:tc>
              <w:tc>
                <w:tcPr>
                  <w:tcW w:w="52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eastAsia="宋体"/>
                      <w:color w:val="auto"/>
                      <w:kern w:val="0"/>
                      <w:lang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43" w:type="pct"/>
                  <w:vMerge w:val="continue"/>
                  <w:noWrap w:val="0"/>
                  <w:vAlign w:val="center"/>
                </w:tcPr>
                <w:p>
                  <w:pPr>
                    <w:widowControl/>
                    <w:jc w:val="both"/>
                    <w:rPr>
                      <w:rFonts w:hint="eastAsia"/>
                      <w:color w:val="auto"/>
                      <w:kern w:val="0"/>
                      <w:lang w:bidi="ar"/>
                    </w:rPr>
                  </w:pPr>
                </w:p>
              </w:tc>
              <w:tc>
                <w:tcPr>
                  <w:tcW w:w="2340" w:type="pct"/>
                  <w:noWrap w:val="0"/>
                  <w:vAlign w:val="center"/>
                </w:tcPr>
                <w:p>
                  <w:pPr>
                    <w:adjustRightInd w:val="0"/>
                    <w:snapToGrid w:val="0"/>
                    <w:jc w:val="both"/>
                    <w:rPr>
                      <w:rFonts w:hint="eastAsia"/>
                      <w:b/>
                      <w:bCs/>
                      <w:color w:val="auto"/>
                      <w:kern w:val="0"/>
                      <w:lang w:bidi="ar"/>
                    </w:rPr>
                  </w:pPr>
                  <w:r>
                    <w:rPr>
                      <w:rFonts w:hint="eastAsia"/>
                      <w:color w:val="auto"/>
                    </w:rPr>
                    <w:t>全面加强无组织排放管理。严格控制工业炉窑生产工艺过程及相关物料储存、输送等无组织排放，在保障生产安全的前提下，采取密闭、封闭等有效措施（见附件 5 ），有效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tc>
              <w:tc>
                <w:tcPr>
                  <w:tcW w:w="1389" w:type="pct"/>
                  <w:noWrap w:val="0"/>
                  <w:vAlign w:val="center"/>
                </w:tcPr>
                <w:p>
                  <w:pPr>
                    <w:widowControl/>
                    <w:jc w:val="both"/>
                    <w:rPr>
                      <w:rFonts w:hint="eastAsia"/>
                      <w:color w:val="auto"/>
                      <w:kern w:val="0"/>
                      <w:lang w:bidi="ar"/>
                    </w:rPr>
                  </w:pPr>
                  <w:r>
                    <w:rPr>
                      <w:rFonts w:hint="eastAsia"/>
                      <w:color w:val="auto"/>
                      <w:kern w:val="0"/>
                    </w:rPr>
                    <w:t>本项目原料储存采用全封闭棚储存，输送采用密闭廊道输送，生产工艺破碎</w:t>
                  </w:r>
                  <w:r>
                    <w:rPr>
                      <w:rFonts w:hint="eastAsia"/>
                      <w:color w:val="auto"/>
                      <w:kern w:val="0"/>
                      <w:lang w:eastAsia="zh-CN"/>
                    </w:rPr>
                    <w:t>、</w:t>
                  </w:r>
                  <w:r>
                    <w:rPr>
                      <w:rFonts w:hint="eastAsia"/>
                      <w:color w:val="auto"/>
                      <w:kern w:val="0"/>
                      <w:lang w:val="en-US" w:eastAsia="zh-CN"/>
                    </w:rPr>
                    <w:t>筛分</w:t>
                  </w:r>
                  <w:r>
                    <w:rPr>
                      <w:rFonts w:hint="eastAsia"/>
                      <w:color w:val="auto"/>
                      <w:kern w:val="0"/>
                    </w:rPr>
                    <w:t>点采用集气罩收集</w:t>
                  </w:r>
                  <w:r>
                    <w:rPr>
                      <w:rFonts w:hint="eastAsia"/>
                      <w:color w:val="auto"/>
                      <w:kern w:val="0"/>
                      <w:lang w:val="en-US" w:eastAsia="zh-CN"/>
                    </w:rPr>
                    <w:t>后经布袋除尘器处理后经15m排气筒达标排放。</w:t>
                  </w:r>
                </w:p>
              </w:tc>
              <w:tc>
                <w:tcPr>
                  <w:tcW w:w="52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color w:val="auto"/>
                      <w:kern w:val="0"/>
                      <w:lang w:bidi="ar"/>
                    </w:rPr>
                  </w:pPr>
                  <w:r>
                    <w:rPr>
                      <w:rFonts w:hint="eastAsia"/>
                      <w:color w:val="auto"/>
                      <w:kern w:val="0"/>
                      <w:lang w:bidi="ar"/>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43" w:type="pct"/>
                  <w:vMerge w:val="continue"/>
                  <w:noWrap w:val="0"/>
                  <w:vAlign w:val="center"/>
                </w:tcPr>
                <w:p>
                  <w:pPr>
                    <w:widowControl/>
                    <w:jc w:val="both"/>
                    <w:rPr>
                      <w:rFonts w:hint="eastAsia"/>
                      <w:color w:val="auto"/>
                      <w:kern w:val="0"/>
                      <w:lang w:bidi="ar"/>
                    </w:rPr>
                  </w:pPr>
                </w:p>
              </w:tc>
              <w:tc>
                <w:tcPr>
                  <w:tcW w:w="2340" w:type="pct"/>
                  <w:noWrap w:val="0"/>
                  <w:vAlign w:val="center"/>
                </w:tcPr>
                <w:p>
                  <w:pPr>
                    <w:adjustRightInd w:val="0"/>
                    <w:snapToGrid w:val="0"/>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sz w:val="21"/>
                      <w:szCs w:val="21"/>
                      <w:lang w:val="en-US" w:eastAsia="zh-CN" w:bidi="ar"/>
                    </w:rPr>
                    <w:t>建立健全监测监控体系。加强重点污染源自动监控体系建设。排气口高度超过45米的高架源，纳入重点排污单位名录，督促企业安装烟气排放自动监控设施。钢铁、焦化、水泥、平板玻璃、陶瓷、氮肥、有色金属冶炼、再生有色金属等行业，严格按照排污许可管理规定安装和运行自动监控设施。加快其他行业工业炉窑大气污染物排放自动监控设施建设，重点区域内冲天炉、玻璃熔窑、以煤和煤矸石为燃料的砖瓦烧结窑、耐火材料焙烧窑（电窑除外）、炭素焙（煅）烧炉（窑）、石灰窑、铬盐焙烧窑、磷化工焙烧窑、铁合金矿热炉和精炼炉等，原则上应纳入重点排污单位名录，安装自动监控设施。具备条件的企业，应通过分布式控制系统（DCS）等，自动连续记录工业炉窑环保设施运行及相关生产过程主要参数。推进焦炉炉体等关键环节安装视频监控系统。自动监控、DCS监控等数据至少要保存一年，视频监控数据至少要保存三个月</w:t>
                  </w:r>
                </w:p>
              </w:tc>
              <w:tc>
                <w:tcPr>
                  <w:tcW w:w="1389" w:type="pct"/>
                  <w:noWrap w:val="0"/>
                  <w:vAlign w:val="center"/>
                </w:tcPr>
                <w:p>
                  <w:pPr>
                    <w:widowControl/>
                    <w:rPr>
                      <w:rFonts w:hint="eastAsia" w:ascii="Times New Roman" w:hAnsi="Times New Roman" w:eastAsia="宋体" w:cs="Times New Roman"/>
                      <w:color w:val="auto"/>
                      <w:kern w:val="0"/>
                      <w:sz w:val="21"/>
                      <w:szCs w:val="24"/>
                      <w:lang w:val="en-US" w:eastAsia="zh-CN" w:bidi="ar-SA"/>
                    </w:rPr>
                  </w:pPr>
                  <w:r>
                    <w:rPr>
                      <w:rFonts w:hint="eastAsia"/>
                      <w:color w:val="auto"/>
                      <w:kern w:val="0"/>
                      <w:lang w:val="en-US" w:eastAsia="zh-CN"/>
                    </w:rPr>
                    <w:t>本项目是以煤矸石和粘土为原料的砖瓦烧结窑，企业建成后将安装在固定污染源在线自动监控设施。</w:t>
                  </w:r>
                </w:p>
              </w:tc>
              <w:tc>
                <w:tcPr>
                  <w:tcW w:w="52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eastAsia="宋体"/>
                      <w:color w:val="auto"/>
                      <w:kern w:val="0"/>
                      <w:lang w:val="en-US" w:eastAsia="zh-CN" w:bidi="ar"/>
                    </w:rPr>
                  </w:pPr>
                  <w:r>
                    <w:rPr>
                      <w:rFonts w:hint="eastAsia"/>
                      <w:color w:val="auto"/>
                      <w:kern w:val="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43" w:type="pct"/>
                  <w:vMerge w:val="continue"/>
                  <w:noWrap w:val="0"/>
                  <w:vAlign w:val="center"/>
                </w:tcPr>
                <w:p>
                  <w:pPr>
                    <w:widowControl/>
                    <w:jc w:val="both"/>
                    <w:rPr>
                      <w:rFonts w:hint="eastAsia"/>
                      <w:color w:val="auto"/>
                      <w:kern w:val="0"/>
                      <w:lang w:bidi="ar"/>
                    </w:rPr>
                  </w:pPr>
                </w:p>
              </w:tc>
              <w:tc>
                <w:tcPr>
                  <w:tcW w:w="2340" w:type="pct"/>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2"/>
                      <w:sz w:val="21"/>
                      <w:szCs w:val="21"/>
                      <w:shd w:val="clear" w:color="auto" w:fill="FFFFFF"/>
                      <w:lang w:val="en-US" w:eastAsia="zh-CN" w:bidi="ar-SA"/>
                    </w:rPr>
                    <w:t>加强排污许可管理。按照排污许可管理名录规定按期完成涉工业炉窑行业排污许可证核发。开展固定污染源排污许可清理整顿工作，“核发一个行业、清理一个行业、达标一个行业、规范一个行业”。加大依证监管执法和处罚力度，确保排污单位落实持证排污、按证排污的环境管理主体责任。对无证排污、超标超总量排放以及逃避监管方式排放大气污染物的，依法予以停产整治，情节严重的，报经有批准权的人民政府批准，责令停业、关闭。建立企业信用记录，对于无证排污、不按规定提交执行报告和严重超标超总量排污的，纳入全国信用信息共享平台，通过“信用中国”等网站定期向社会公布</w:t>
                  </w:r>
                </w:p>
              </w:tc>
              <w:tc>
                <w:tcPr>
                  <w:tcW w:w="1389" w:type="pct"/>
                  <w:noWrap w:val="0"/>
                  <w:vAlign w:val="center"/>
                </w:tcPr>
                <w:p>
                  <w:pPr>
                    <w:widowControl/>
                    <w:jc w:val="center"/>
                    <w:rPr>
                      <w:rFonts w:hint="eastAsia" w:ascii="Times New Roman" w:hAnsi="Times New Roman" w:eastAsia="宋体" w:cs="Times New Roman"/>
                      <w:color w:val="auto"/>
                      <w:kern w:val="0"/>
                      <w:sz w:val="21"/>
                      <w:szCs w:val="24"/>
                      <w:lang w:val="en-US" w:eastAsia="zh-CN" w:bidi="ar-SA"/>
                    </w:rPr>
                  </w:pPr>
                  <w:r>
                    <w:rPr>
                      <w:rFonts w:hint="eastAsia"/>
                      <w:color w:val="auto"/>
                      <w:kern w:val="0"/>
                      <w:lang w:val="en-US" w:eastAsia="zh-CN"/>
                    </w:rPr>
                    <w:t>本项目在完成技术改造后将对排污许可证进行重新申请，并按规定提交执行报告</w:t>
                  </w:r>
                </w:p>
              </w:tc>
              <w:tc>
                <w:tcPr>
                  <w:tcW w:w="52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eastAsia="宋体"/>
                      <w:color w:val="auto"/>
                      <w:kern w:val="0"/>
                      <w:lang w:val="en-US" w:eastAsia="zh-CN" w:bidi="ar"/>
                    </w:rPr>
                  </w:pPr>
                  <w:r>
                    <w:rPr>
                      <w:rFonts w:hint="eastAsia"/>
                      <w:color w:val="auto"/>
                      <w:kern w:val="0"/>
                      <w:lang w:val="en-US" w:eastAsia="zh-CN" w:bidi="ar"/>
                    </w:rPr>
                    <w:t>符合</w:t>
                  </w:r>
                </w:p>
              </w:tc>
            </w:tr>
          </w:tbl>
          <w:p>
            <w:pPr>
              <w:pStyle w:val="60"/>
              <w:ind w:left="0" w:leftChars="0" w:firstLine="0" w:firstLineChars="0"/>
              <w:rPr>
                <w:b/>
                <w:bCs/>
                <w:color w:val="auto"/>
                <w:sz w:val="24"/>
                <w:szCs w:val="24"/>
              </w:rPr>
            </w:pPr>
            <w:r>
              <w:rPr>
                <w:rFonts w:hint="eastAsia"/>
                <w:b/>
                <w:bCs/>
                <w:color w:val="auto"/>
                <w:sz w:val="24"/>
                <w:szCs w:val="24"/>
                <w:lang w:val="en-US" w:eastAsia="zh-CN"/>
              </w:rPr>
              <w:t>1.9</w:t>
            </w:r>
            <w:r>
              <w:rPr>
                <w:b/>
                <w:bCs/>
                <w:color w:val="auto"/>
                <w:sz w:val="24"/>
                <w:szCs w:val="24"/>
              </w:rPr>
              <w:t>与《关于促进建材工业稳增长调结构增效益的指导意见》（国办发〔2016〕34号）文件符合性分析</w:t>
            </w:r>
          </w:p>
          <w:p>
            <w:pPr>
              <w:pStyle w:val="66"/>
              <w:adjustRightInd/>
              <w:snapToGrid/>
              <w:spacing w:line="240" w:lineRule="auto"/>
              <w:ind w:firstLine="0" w:firstLineChars="0"/>
              <w:jc w:val="center"/>
              <w:rPr>
                <w:b/>
                <w:bCs/>
                <w:color w:val="auto"/>
                <w:sz w:val="21"/>
              </w:rPr>
            </w:pPr>
            <w:r>
              <w:rPr>
                <w:b/>
                <w:bCs/>
                <w:color w:val="auto"/>
                <w:sz w:val="21"/>
              </w:rPr>
              <w:t>表1-</w:t>
            </w:r>
            <w:r>
              <w:rPr>
                <w:rFonts w:hint="eastAsia"/>
                <w:b/>
                <w:bCs/>
                <w:color w:val="auto"/>
                <w:sz w:val="21"/>
                <w:lang w:val="en-US" w:eastAsia="zh-CN"/>
              </w:rPr>
              <w:t>10</w:t>
            </w:r>
            <w:r>
              <w:rPr>
                <w:b/>
                <w:bCs/>
                <w:color w:val="auto"/>
                <w:sz w:val="21"/>
              </w:rPr>
              <w:t xml:space="preserve"> </w:t>
            </w:r>
            <w:r>
              <w:rPr>
                <w:rFonts w:hint="eastAsia"/>
                <w:b/>
                <w:bCs/>
                <w:color w:val="auto"/>
                <w:sz w:val="21"/>
                <w:lang w:val="en-US" w:eastAsia="zh-CN"/>
              </w:rPr>
              <w:t xml:space="preserve"> </w:t>
            </w:r>
            <w:r>
              <w:rPr>
                <w:b/>
                <w:bCs/>
                <w:color w:val="auto"/>
                <w:sz w:val="21"/>
              </w:rPr>
              <w:t xml:space="preserve"> 与国办发〔2016〕34号符合性分析</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85"/>
              <w:gridCol w:w="3286"/>
              <w:gridCol w:w="2508"/>
              <w:gridCol w:w="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noWrap w:val="0"/>
                  <w:vAlign w:val="center"/>
                </w:tcPr>
                <w:p>
                  <w:pPr>
                    <w:jc w:val="center"/>
                    <w:rPr>
                      <w:color w:val="auto"/>
                    </w:rPr>
                  </w:pPr>
                  <w:r>
                    <w:rPr>
                      <w:color w:val="auto"/>
                    </w:rPr>
                    <w:t>序号</w:t>
                  </w:r>
                </w:p>
              </w:tc>
              <w:tc>
                <w:tcPr>
                  <w:tcW w:w="3286" w:type="dxa"/>
                  <w:tcBorders>
                    <w:tl2br w:val="nil"/>
                    <w:tr2bl w:val="nil"/>
                  </w:tcBorders>
                  <w:noWrap w:val="0"/>
                  <w:vAlign w:val="center"/>
                </w:tcPr>
                <w:p>
                  <w:pPr>
                    <w:jc w:val="center"/>
                    <w:rPr>
                      <w:color w:val="auto"/>
                    </w:rPr>
                  </w:pPr>
                  <w:r>
                    <w:rPr>
                      <w:color w:val="auto"/>
                    </w:rPr>
                    <w:t>指导意见内容</w:t>
                  </w:r>
                </w:p>
              </w:tc>
              <w:tc>
                <w:tcPr>
                  <w:tcW w:w="2508" w:type="dxa"/>
                  <w:tcBorders>
                    <w:tl2br w:val="nil"/>
                    <w:tr2bl w:val="nil"/>
                  </w:tcBorders>
                  <w:noWrap w:val="0"/>
                  <w:vAlign w:val="center"/>
                </w:tcPr>
                <w:p>
                  <w:pPr>
                    <w:jc w:val="center"/>
                    <w:rPr>
                      <w:color w:val="auto"/>
                    </w:rPr>
                  </w:pPr>
                  <w:r>
                    <w:rPr>
                      <w:color w:val="auto"/>
                    </w:rPr>
                    <w:t>本项情况</w:t>
                  </w:r>
                </w:p>
              </w:tc>
              <w:tc>
                <w:tcPr>
                  <w:tcW w:w="828" w:type="dxa"/>
                  <w:tcBorders>
                    <w:tl2br w:val="nil"/>
                    <w:tr2bl w:val="nil"/>
                  </w:tcBorders>
                  <w:noWrap w:val="0"/>
                  <w:vAlign w:val="center"/>
                </w:tcPr>
                <w:p>
                  <w:pPr>
                    <w:jc w:val="center"/>
                    <w:rPr>
                      <w:color w:val="auto"/>
                    </w:rPr>
                  </w:pPr>
                  <w:r>
                    <w:rPr>
                      <w:color w:val="auto"/>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noWrap w:val="0"/>
                  <w:vAlign w:val="center"/>
                </w:tcPr>
                <w:p>
                  <w:pPr>
                    <w:jc w:val="center"/>
                    <w:rPr>
                      <w:color w:val="auto"/>
                    </w:rPr>
                  </w:pPr>
                  <w:r>
                    <w:rPr>
                      <w:color w:val="auto"/>
                    </w:rPr>
                    <w:t>1</w:t>
                  </w:r>
                </w:p>
              </w:tc>
              <w:tc>
                <w:tcPr>
                  <w:tcW w:w="3286" w:type="dxa"/>
                  <w:tcBorders>
                    <w:tl2br w:val="nil"/>
                    <w:tr2bl w:val="nil"/>
                  </w:tcBorders>
                  <w:noWrap w:val="0"/>
                  <w:vAlign w:val="center"/>
                </w:tcPr>
                <w:p>
                  <w:pPr>
                    <w:jc w:val="center"/>
                    <w:rPr>
                      <w:color w:val="auto"/>
                    </w:rPr>
                  </w:pPr>
                  <w:r>
                    <w:rPr>
                      <w:color w:val="auto"/>
                      <w:shd w:val="clear" w:color="auto" w:fill="FFFFFF"/>
                    </w:rPr>
                    <w:t>2020年底前，严禁备案和新建扩大产能的水泥熟料、平板玻璃建设项目</w:t>
                  </w:r>
                </w:p>
              </w:tc>
              <w:tc>
                <w:tcPr>
                  <w:tcW w:w="2508" w:type="dxa"/>
                  <w:tcBorders>
                    <w:tl2br w:val="nil"/>
                    <w:tr2bl w:val="nil"/>
                  </w:tcBorders>
                  <w:noWrap w:val="0"/>
                  <w:vAlign w:val="center"/>
                </w:tcPr>
                <w:p>
                  <w:pPr>
                    <w:jc w:val="center"/>
                    <w:rPr>
                      <w:color w:val="auto"/>
                    </w:rPr>
                  </w:pPr>
                  <w:r>
                    <w:rPr>
                      <w:color w:val="auto"/>
                    </w:rPr>
                    <w:t>本项目为烧结砖制造，不属于</w:t>
                  </w:r>
                  <w:r>
                    <w:rPr>
                      <w:color w:val="auto"/>
                      <w:shd w:val="clear" w:color="auto" w:fill="FFFFFF"/>
                    </w:rPr>
                    <w:t>水泥熟料、平板玻璃建设项目</w:t>
                  </w:r>
                </w:p>
              </w:tc>
              <w:tc>
                <w:tcPr>
                  <w:tcW w:w="828" w:type="dxa"/>
                  <w:tcBorders>
                    <w:tl2br w:val="nil"/>
                    <w:tr2bl w:val="nil"/>
                  </w:tcBorders>
                  <w:noWrap w:val="0"/>
                  <w:vAlign w:val="center"/>
                </w:tcPr>
                <w:p>
                  <w:pPr>
                    <w:jc w:val="center"/>
                    <w:rPr>
                      <w:color w:val="auto"/>
                    </w:rPr>
                  </w:pPr>
                  <w:r>
                    <w:rPr>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noWrap w:val="0"/>
                  <w:vAlign w:val="center"/>
                </w:tcPr>
                <w:p>
                  <w:pPr>
                    <w:jc w:val="center"/>
                    <w:rPr>
                      <w:color w:val="auto"/>
                    </w:rPr>
                  </w:pPr>
                  <w:r>
                    <w:rPr>
                      <w:color w:val="auto"/>
                    </w:rPr>
                    <w:t>2</w:t>
                  </w:r>
                </w:p>
              </w:tc>
              <w:tc>
                <w:tcPr>
                  <w:tcW w:w="3286" w:type="dxa"/>
                  <w:tcBorders>
                    <w:tl2br w:val="nil"/>
                    <w:tr2bl w:val="nil"/>
                  </w:tcBorders>
                  <w:noWrap w:val="0"/>
                  <w:vAlign w:val="center"/>
                </w:tcPr>
                <w:p>
                  <w:pPr>
                    <w:jc w:val="center"/>
                    <w:rPr>
                      <w:color w:val="auto"/>
                    </w:rPr>
                  </w:pPr>
                  <w:r>
                    <w:rPr>
                      <w:color w:val="auto"/>
                      <w:shd w:val="clear" w:color="auto" w:fill="FFFFFF"/>
                    </w:rPr>
                    <w:t>支持优势企业搭建产能整合平台，利用市场化手段推进联合重组，整合产权或经营权，优化产能布局，提高生产集中度，并结合联合重组、技术改造，优化生产要素配置，主动压减竞争乏力的过剩产能。</w:t>
                  </w:r>
                </w:p>
              </w:tc>
              <w:tc>
                <w:tcPr>
                  <w:tcW w:w="2508" w:type="dxa"/>
                  <w:vMerge w:val="restart"/>
                  <w:tcBorders>
                    <w:tl2br w:val="nil"/>
                    <w:tr2bl w:val="nil"/>
                  </w:tcBorders>
                  <w:noWrap w:val="0"/>
                  <w:vAlign w:val="center"/>
                </w:tcPr>
                <w:p>
                  <w:pPr>
                    <w:jc w:val="center"/>
                    <w:rPr>
                      <w:color w:val="auto"/>
                    </w:rPr>
                  </w:pPr>
                  <w:r>
                    <w:rPr>
                      <w:color w:val="auto"/>
                    </w:rPr>
                    <w:t>本项目</w:t>
                  </w:r>
                  <w:r>
                    <w:rPr>
                      <w:rFonts w:hint="eastAsia"/>
                      <w:color w:val="auto"/>
                      <w:lang w:val="en-US" w:eastAsia="zh-CN"/>
                    </w:rPr>
                    <w:t>煤矸石为原料</w:t>
                  </w:r>
                  <w:r>
                    <w:rPr>
                      <w:color w:val="auto"/>
                    </w:rPr>
                    <w:t>，</w:t>
                  </w:r>
                  <w:r>
                    <w:rPr>
                      <w:rFonts w:hint="eastAsia"/>
                      <w:color w:val="auto"/>
                      <w:lang w:val="en-US" w:eastAsia="zh-CN"/>
                    </w:rPr>
                    <w:t>实现</w:t>
                  </w:r>
                  <w:r>
                    <w:rPr>
                      <w:color w:val="auto"/>
                    </w:rPr>
                    <w:t>资源再利用</w:t>
                  </w:r>
                </w:p>
              </w:tc>
              <w:tc>
                <w:tcPr>
                  <w:tcW w:w="828" w:type="dxa"/>
                  <w:vMerge w:val="restart"/>
                  <w:tcBorders>
                    <w:tl2br w:val="nil"/>
                    <w:tr2bl w:val="nil"/>
                  </w:tcBorders>
                  <w:noWrap w:val="0"/>
                  <w:vAlign w:val="center"/>
                </w:tcPr>
                <w:p>
                  <w:pPr>
                    <w:jc w:val="center"/>
                    <w:rPr>
                      <w:color w:val="auto"/>
                    </w:rPr>
                  </w:pPr>
                  <w:r>
                    <w:rPr>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noWrap w:val="0"/>
                  <w:vAlign w:val="center"/>
                </w:tcPr>
                <w:p>
                  <w:pPr>
                    <w:jc w:val="center"/>
                    <w:rPr>
                      <w:color w:val="auto"/>
                    </w:rPr>
                  </w:pPr>
                  <w:r>
                    <w:rPr>
                      <w:color w:val="auto"/>
                    </w:rPr>
                    <w:t>3</w:t>
                  </w:r>
                </w:p>
              </w:tc>
              <w:tc>
                <w:tcPr>
                  <w:tcW w:w="3286" w:type="dxa"/>
                  <w:tcBorders>
                    <w:tl2br w:val="nil"/>
                    <w:tr2bl w:val="nil"/>
                  </w:tcBorders>
                  <w:noWrap w:val="0"/>
                  <w:vAlign w:val="center"/>
                </w:tcPr>
                <w:p>
                  <w:pPr>
                    <w:jc w:val="center"/>
                    <w:rPr>
                      <w:color w:val="auto"/>
                    </w:rPr>
                  </w:pPr>
                  <w:r>
                    <w:rPr>
                      <w:color w:val="auto"/>
                      <w:shd w:val="clear" w:color="auto" w:fill="FFFFFF"/>
                    </w:rPr>
                    <w:t>支持企业开展清洁能源开发替代、清洁生产和资源综合利用、智能制造、新材料开发、产品深加工等转型升级改造</w:t>
                  </w:r>
                </w:p>
              </w:tc>
              <w:tc>
                <w:tcPr>
                  <w:tcW w:w="2508" w:type="dxa"/>
                  <w:vMerge w:val="continue"/>
                  <w:tcBorders>
                    <w:tl2br w:val="nil"/>
                    <w:tr2bl w:val="nil"/>
                  </w:tcBorders>
                  <w:noWrap w:val="0"/>
                  <w:vAlign w:val="center"/>
                </w:tcPr>
                <w:p>
                  <w:pPr>
                    <w:jc w:val="center"/>
                    <w:rPr>
                      <w:color w:val="auto"/>
                    </w:rPr>
                  </w:pPr>
                </w:p>
              </w:tc>
              <w:tc>
                <w:tcPr>
                  <w:tcW w:w="828" w:type="dxa"/>
                  <w:vMerge w:val="continue"/>
                  <w:tcBorders>
                    <w:tl2br w:val="nil"/>
                    <w:tr2bl w:val="nil"/>
                  </w:tcBorders>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tcBorders>
                    <w:tl2br w:val="nil"/>
                    <w:tr2bl w:val="nil"/>
                  </w:tcBorders>
                  <w:noWrap w:val="0"/>
                  <w:vAlign w:val="center"/>
                </w:tcPr>
                <w:p>
                  <w:pPr>
                    <w:jc w:val="center"/>
                    <w:rPr>
                      <w:color w:val="auto"/>
                    </w:rPr>
                  </w:pPr>
                  <w:r>
                    <w:rPr>
                      <w:color w:val="auto"/>
                    </w:rPr>
                    <w:t>4</w:t>
                  </w:r>
                </w:p>
              </w:tc>
              <w:tc>
                <w:tcPr>
                  <w:tcW w:w="3286" w:type="dxa"/>
                  <w:tcBorders>
                    <w:tl2br w:val="nil"/>
                    <w:tr2bl w:val="nil"/>
                  </w:tcBorders>
                  <w:noWrap w:val="0"/>
                  <w:vAlign w:val="center"/>
                </w:tcPr>
                <w:p>
                  <w:pPr>
                    <w:jc w:val="center"/>
                    <w:rPr>
                      <w:color w:val="auto"/>
                    </w:rPr>
                  </w:pPr>
                  <w:r>
                    <w:rPr>
                      <w:color w:val="auto"/>
                      <w:shd w:val="clear" w:color="auto" w:fill="FFFFFF"/>
                    </w:rPr>
                    <w:t>污染物排放达不到要求或超总量排污的，实施按日连续处罚；情节严重的，报经有批准权的人民政府批准，责令停业、关闭</w:t>
                  </w:r>
                </w:p>
              </w:tc>
              <w:tc>
                <w:tcPr>
                  <w:tcW w:w="2508" w:type="dxa"/>
                  <w:tcBorders>
                    <w:tl2br w:val="nil"/>
                    <w:tr2bl w:val="nil"/>
                  </w:tcBorders>
                  <w:noWrap w:val="0"/>
                  <w:vAlign w:val="center"/>
                </w:tcPr>
                <w:p>
                  <w:pPr>
                    <w:jc w:val="center"/>
                    <w:rPr>
                      <w:color w:val="auto"/>
                    </w:rPr>
                  </w:pPr>
                  <w:r>
                    <w:rPr>
                      <w:color w:val="auto"/>
                    </w:rPr>
                    <w:t>企业通过采取有效的措施，本项目各污染物均可达标排放</w:t>
                  </w:r>
                </w:p>
              </w:tc>
              <w:tc>
                <w:tcPr>
                  <w:tcW w:w="828" w:type="dxa"/>
                  <w:tcBorders>
                    <w:tl2br w:val="nil"/>
                    <w:tr2bl w:val="nil"/>
                  </w:tcBorders>
                  <w:noWrap w:val="0"/>
                  <w:vAlign w:val="center"/>
                </w:tcPr>
                <w:p>
                  <w:pPr>
                    <w:jc w:val="center"/>
                    <w:rPr>
                      <w:color w:val="auto"/>
                    </w:rPr>
                  </w:pPr>
                  <w:r>
                    <w:rPr>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noWrap w:val="0"/>
                  <w:vAlign w:val="center"/>
                </w:tcPr>
                <w:p>
                  <w:pPr>
                    <w:jc w:val="center"/>
                    <w:rPr>
                      <w:color w:val="auto"/>
                    </w:rPr>
                  </w:pPr>
                  <w:r>
                    <w:rPr>
                      <w:color w:val="auto"/>
                    </w:rPr>
                    <w:t>5</w:t>
                  </w:r>
                </w:p>
              </w:tc>
              <w:tc>
                <w:tcPr>
                  <w:tcW w:w="3286" w:type="dxa"/>
                  <w:tcBorders>
                    <w:tl2br w:val="nil"/>
                    <w:tr2bl w:val="nil"/>
                  </w:tcBorders>
                  <w:noWrap w:val="0"/>
                  <w:vAlign w:val="center"/>
                </w:tcPr>
                <w:p>
                  <w:pPr>
                    <w:jc w:val="center"/>
                    <w:rPr>
                      <w:color w:val="auto"/>
                    </w:rPr>
                  </w:pPr>
                  <w:r>
                    <w:rPr>
                      <w:color w:val="auto"/>
                      <w:shd w:val="clear" w:color="auto" w:fill="FFFFFF"/>
                    </w:rPr>
                    <w:t>使用《产业结构调整指导目录》淘汰类工艺技术与装备的产能，要立即关停退出</w:t>
                  </w:r>
                </w:p>
              </w:tc>
              <w:tc>
                <w:tcPr>
                  <w:tcW w:w="2508" w:type="dxa"/>
                  <w:tcBorders>
                    <w:tl2br w:val="nil"/>
                    <w:tr2bl w:val="nil"/>
                  </w:tcBorders>
                  <w:noWrap w:val="0"/>
                  <w:vAlign w:val="center"/>
                </w:tcPr>
                <w:p>
                  <w:pPr>
                    <w:jc w:val="center"/>
                    <w:rPr>
                      <w:color w:val="auto"/>
                    </w:rPr>
                  </w:pPr>
                  <w:r>
                    <w:rPr>
                      <w:color w:val="auto"/>
                    </w:rPr>
                    <w:t>对照</w:t>
                  </w:r>
                  <w:r>
                    <w:rPr>
                      <w:color w:val="auto"/>
                      <w:shd w:val="clear" w:color="auto" w:fill="FFFFFF"/>
                    </w:rPr>
                    <w:t>《产业结构调整指导目录》（2019年本），本项目不涉及淘汰工业及设备</w:t>
                  </w:r>
                </w:p>
              </w:tc>
              <w:tc>
                <w:tcPr>
                  <w:tcW w:w="828" w:type="dxa"/>
                  <w:tcBorders>
                    <w:tl2br w:val="nil"/>
                    <w:tr2bl w:val="nil"/>
                  </w:tcBorders>
                  <w:noWrap w:val="0"/>
                  <w:vAlign w:val="center"/>
                </w:tcPr>
                <w:p>
                  <w:pPr>
                    <w:jc w:val="center"/>
                    <w:rPr>
                      <w:color w:val="auto"/>
                    </w:rPr>
                  </w:pPr>
                  <w:r>
                    <w:rPr>
                      <w:color w:val="auto"/>
                    </w:rPr>
                    <w:t>符合</w:t>
                  </w:r>
                </w:p>
              </w:tc>
            </w:tr>
          </w:tbl>
          <w:p>
            <w:pPr>
              <w:pStyle w:val="60"/>
              <w:ind w:firstLine="420"/>
              <w:rPr>
                <w:color w:val="auto"/>
                <w:sz w:val="24"/>
                <w:szCs w:val="24"/>
              </w:rPr>
            </w:pPr>
            <w:r>
              <w:rPr>
                <w:color w:val="auto"/>
                <w:sz w:val="24"/>
                <w:szCs w:val="24"/>
              </w:rPr>
              <w:t>综上，本项目符合《关于促进建材工业稳增长调结构增效益的指导意见》（国办发〔2016〕34号）中的要求。</w:t>
            </w:r>
          </w:p>
          <w:p>
            <w:pPr>
              <w:pStyle w:val="60"/>
              <w:spacing w:line="360" w:lineRule="auto"/>
              <w:ind w:left="0" w:leftChars="0" w:firstLine="0" w:firstLineChars="0"/>
              <w:rPr>
                <w:b/>
                <w:bCs/>
                <w:color w:val="auto"/>
                <w:sz w:val="24"/>
                <w:szCs w:val="24"/>
              </w:rPr>
            </w:pPr>
            <w:r>
              <w:rPr>
                <w:rFonts w:hint="eastAsia"/>
                <w:b/>
                <w:bCs/>
                <w:color w:val="auto"/>
                <w:sz w:val="24"/>
                <w:szCs w:val="24"/>
                <w:lang w:val="en-US" w:eastAsia="zh-CN"/>
              </w:rPr>
              <w:t>1.10</w:t>
            </w:r>
            <w:r>
              <w:rPr>
                <w:b/>
                <w:bCs/>
                <w:color w:val="auto"/>
                <w:sz w:val="24"/>
                <w:szCs w:val="24"/>
              </w:rPr>
              <w:t>本项目与《促进绿色建材生产和应用行动方案》符合性分析</w:t>
            </w:r>
          </w:p>
          <w:p>
            <w:pPr>
              <w:pStyle w:val="66"/>
              <w:adjustRightInd/>
              <w:snapToGrid/>
              <w:spacing w:line="240" w:lineRule="auto"/>
              <w:ind w:left="0" w:leftChars="0" w:firstLine="0" w:firstLineChars="0"/>
              <w:jc w:val="center"/>
              <w:rPr>
                <w:b/>
                <w:bCs/>
                <w:color w:val="auto"/>
                <w:sz w:val="21"/>
              </w:rPr>
            </w:pPr>
            <w:r>
              <w:rPr>
                <w:b/>
                <w:bCs/>
                <w:color w:val="auto"/>
                <w:sz w:val="21"/>
              </w:rPr>
              <w:t>表1-</w:t>
            </w:r>
            <w:r>
              <w:rPr>
                <w:rFonts w:hint="eastAsia"/>
                <w:b/>
                <w:bCs/>
                <w:color w:val="auto"/>
                <w:sz w:val="21"/>
                <w:lang w:val="en-US" w:eastAsia="zh-CN"/>
              </w:rPr>
              <w:t>11</w:t>
            </w:r>
            <w:r>
              <w:rPr>
                <w:b/>
                <w:bCs/>
                <w:color w:val="auto"/>
                <w:sz w:val="21"/>
              </w:rPr>
              <w:t xml:space="preserve">   与《促进绿色建材生产和应用行动方案》符合性</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41"/>
              <w:gridCol w:w="3519"/>
              <w:gridCol w:w="2194"/>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noWrap w:val="0"/>
                  <w:vAlign w:val="center"/>
                </w:tcPr>
                <w:p>
                  <w:pPr>
                    <w:adjustRightInd w:val="0"/>
                    <w:snapToGrid w:val="0"/>
                    <w:jc w:val="center"/>
                    <w:rPr>
                      <w:b/>
                      <w:bCs/>
                      <w:color w:val="auto"/>
                    </w:rPr>
                  </w:pPr>
                  <w:r>
                    <w:rPr>
                      <w:b/>
                      <w:bCs/>
                      <w:color w:val="auto"/>
                    </w:rPr>
                    <w:t>序号</w:t>
                  </w:r>
                </w:p>
              </w:tc>
              <w:tc>
                <w:tcPr>
                  <w:tcW w:w="3317" w:type="dxa"/>
                  <w:tcBorders>
                    <w:tl2br w:val="nil"/>
                    <w:tr2bl w:val="nil"/>
                  </w:tcBorders>
                  <w:noWrap w:val="0"/>
                  <w:vAlign w:val="center"/>
                </w:tcPr>
                <w:p>
                  <w:pPr>
                    <w:adjustRightInd w:val="0"/>
                    <w:snapToGrid w:val="0"/>
                    <w:jc w:val="center"/>
                    <w:rPr>
                      <w:b/>
                      <w:bCs/>
                      <w:color w:val="auto"/>
                    </w:rPr>
                  </w:pPr>
                  <w:r>
                    <w:rPr>
                      <w:b/>
                      <w:bCs/>
                      <w:color w:val="auto"/>
                    </w:rPr>
                    <w:t>意见要求</w:t>
                  </w:r>
                </w:p>
              </w:tc>
              <w:tc>
                <w:tcPr>
                  <w:tcW w:w="2068" w:type="dxa"/>
                  <w:tcBorders>
                    <w:tl2br w:val="nil"/>
                    <w:tr2bl w:val="nil"/>
                  </w:tcBorders>
                  <w:noWrap w:val="0"/>
                  <w:vAlign w:val="center"/>
                </w:tcPr>
                <w:p>
                  <w:pPr>
                    <w:adjustRightInd w:val="0"/>
                    <w:snapToGrid w:val="0"/>
                    <w:jc w:val="center"/>
                    <w:rPr>
                      <w:b/>
                      <w:bCs/>
                      <w:color w:val="auto"/>
                    </w:rPr>
                  </w:pPr>
                  <w:r>
                    <w:rPr>
                      <w:b/>
                      <w:bCs/>
                      <w:color w:val="auto"/>
                    </w:rPr>
                    <w:t>本项目情况</w:t>
                  </w:r>
                </w:p>
              </w:tc>
              <w:tc>
                <w:tcPr>
                  <w:tcW w:w="804" w:type="dxa"/>
                  <w:tcBorders>
                    <w:tl2br w:val="nil"/>
                    <w:tr2bl w:val="nil"/>
                  </w:tcBorders>
                  <w:noWrap w:val="0"/>
                  <w:vAlign w:val="center"/>
                </w:tcPr>
                <w:p>
                  <w:pPr>
                    <w:adjustRightInd w:val="0"/>
                    <w:snapToGrid w:val="0"/>
                    <w:jc w:val="center"/>
                    <w:rPr>
                      <w:b/>
                      <w:bCs/>
                      <w:color w:val="auto"/>
                    </w:rPr>
                  </w:pPr>
                  <w:r>
                    <w:rPr>
                      <w:b/>
                      <w:bCs/>
                      <w:color w:val="auto"/>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noWrap w:val="0"/>
                  <w:vAlign w:val="center"/>
                </w:tcPr>
                <w:p>
                  <w:pPr>
                    <w:adjustRightInd w:val="0"/>
                    <w:snapToGrid w:val="0"/>
                    <w:jc w:val="center"/>
                    <w:rPr>
                      <w:color w:val="auto"/>
                    </w:rPr>
                  </w:pPr>
                  <w:r>
                    <w:rPr>
                      <w:color w:val="auto"/>
                    </w:rPr>
                    <w:t>1</w:t>
                  </w:r>
                </w:p>
              </w:tc>
              <w:tc>
                <w:tcPr>
                  <w:tcW w:w="3317" w:type="dxa"/>
                  <w:tcBorders>
                    <w:tl2br w:val="nil"/>
                    <w:tr2bl w:val="nil"/>
                  </w:tcBorders>
                  <w:noWrap w:val="0"/>
                  <w:vAlign w:val="center"/>
                </w:tcPr>
                <w:p>
                  <w:pPr>
                    <w:adjustRightInd w:val="0"/>
                    <w:snapToGrid w:val="0"/>
                    <w:jc w:val="center"/>
                    <w:rPr>
                      <w:color w:val="auto"/>
                    </w:rPr>
                  </w:pPr>
                  <w:r>
                    <w:rPr>
                      <w:color w:val="auto"/>
                    </w:rPr>
                    <w:t>支持现有企业实施技术改造，提高绿色制造水平。推广应用建材窑炉烟气脱硫脱硝除尘、煤洁净气化以及建材智能制造、资源综合利用等共性技术，优先支持建筑卫生陶瓷行业清洁生产技术改造。</w:t>
                  </w:r>
                </w:p>
              </w:tc>
              <w:tc>
                <w:tcPr>
                  <w:tcW w:w="2068" w:type="dxa"/>
                  <w:tcBorders>
                    <w:tl2br w:val="nil"/>
                    <w:tr2bl w:val="nil"/>
                  </w:tcBorders>
                  <w:noWrap w:val="0"/>
                  <w:vAlign w:val="center"/>
                </w:tcPr>
                <w:p>
                  <w:pPr>
                    <w:adjustRightInd w:val="0"/>
                    <w:snapToGrid w:val="0"/>
                    <w:jc w:val="center"/>
                    <w:rPr>
                      <w:color w:val="auto"/>
                    </w:rPr>
                  </w:pPr>
                  <w:r>
                    <w:rPr>
                      <w:color w:val="auto"/>
                    </w:rPr>
                    <w:t>本项目隧道窑</w:t>
                  </w:r>
                  <w:r>
                    <w:rPr>
                      <w:rFonts w:hint="eastAsia"/>
                      <w:color w:val="auto"/>
                      <w:lang w:val="en-US" w:eastAsia="zh-CN"/>
                    </w:rPr>
                    <w:t>烟气</w:t>
                  </w:r>
                  <w:r>
                    <w:rPr>
                      <w:color w:val="auto"/>
                    </w:rPr>
                    <w:t>经</w:t>
                  </w:r>
                  <w:r>
                    <w:rPr>
                      <w:rFonts w:hint="eastAsia"/>
                      <w:color w:val="auto"/>
                    </w:rPr>
                    <w:t>SNCR</w:t>
                  </w:r>
                  <w:r>
                    <w:rPr>
                      <w:rFonts w:hint="eastAsia"/>
                      <w:color w:val="auto"/>
                      <w:lang w:val="en-US" w:eastAsia="zh-CN"/>
                    </w:rPr>
                    <w:t>脱硝</w:t>
                  </w:r>
                  <w:r>
                    <w:rPr>
                      <w:rFonts w:hint="eastAsia"/>
                      <w:color w:val="auto"/>
                    </w:rPr>
                    <w:t>+袋式除尘+湿</w:t>
                  </w:r>
                  <w:r>
                    <w:rPr>
                      <w:color w:val="auto"/>
                    </w:rPr>
                    <w:t>法</w:t>
                  </w:r>
                  <w:r>
                    <w:rPr>
                      <w:rFonts w:hint="eastAsia"/>
                      <w:color w:val="auto"/>
                    </w:rPr>
                    <w:t>（喷淋）</w:t>
                  </w:r>
                  <w:r>
                    <w:rPr>
                      <w:color w:val="auto"/>
                    </w:rPr>
                    <w:t>脱硫</w:t>
                  </w:r>
                  <w:r>
                    <w:rPr>
                      <w:rFonts w:hint="eastAsia"/>
                      <w:color w:val="auto"/>
                    </w:rPr>
                    <w:t>并协同脱氟</w:t>
                  </w:r>
                  <w:r>
                    <w:rPr>
                      <w:color w:val="auto"/>
                    </w:rPr>
                    <w:t>处理后经</w:t>
                  </w:r>
                  <w:r>
                    <w:rPr>
                      <w:rFonts w:hint="eastAsia"/>
                      <w:color w:val="auto"/>
                    </w:rPr>
                    <w:t>33</w:t>
                  </w:r>
                  <w:r>
                    <w:rPr>
                      <w:color w:val="auto"/>
                    </w:rPr>
                    <w:t>m高排气筒排放。</w:t>
                  </w:r>
                </w:p>
              </w:tc>
              <w:tc>
                <w:tcPr>
                  <w:tcW w:w="804" w:type="dxa"/>
                  <w:tcBorders>
                    <w:tl2br w:val="nil"/>
                    <w:tr2bl w:val="nil"/>
                  </w:tcBorders>
                  <w:noWrap w:val="0"/>
                  <w:vAlign w:val="center"/>
                </w:tcPr>
                <w:p>
                  <w:pPr>
                    <w:adjustRightInd w:val="0"/>
                    <w:snapToGrid w:val="0"/>
                    <w:jc w:val="center"/>
                    <w:rPr>
                      <w:color w:val="auto"/>
                    </w:rPr>
                  </w:pPr>
                  <w:r>
                    <w:rPr>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noWrap w:val="0"/>
                  <w:vAlign w:val="center"/>
                </w:tcPr>
                <w:p>
                  <w:pPr>
                    <w:adjustRightInd w:val="0"/>
                    <w:snapToGrid w:val="0"/>
                    <w:jc w:val="center"/>
                    <w:rPr>
                      <w:color w:val="auto"/>
                    </w:rPr>
                  </w:pPr>
                  <w:r>
                    <w:rPr>
                      <w:color w:val="auto"/>
                    </w:rPr>
                    <w:t>2</w:t>
                  </w:r>
                </w:p>
              </w:tc>
              <w:tc>
                <w:tcPr>
                  <w:tcW w:w="3317" w:type="dxa"/>
                  <w:tcBorders>
                    <w:tl2br w:val="nil"/>
                    <w:tr2bl w:val="nil"/>
                  </w:tcBorders>
                  <w:noWrap w:val="0"/>
                  <w:vAlign w:val="center"/>
                </w:tcPr>
                <w:p>
                  <w:pPr>
                    <w:adjustRightInd w:val="0"/>
                    <w:snapToGrid w:val="0"/>
                    <w:jc w:val="center"/>
                    <w:rPr>
                      <w:color w:val="auto"/>
                    </w:rPr>
                  </w:pPr>
                  <w:r>
                    <w:rPr>
                      <w:color w:val="auto"/>
                    </w:rPr>
                    <w:t>支持利用尾矿、产业固体废弃物，生产新型墙体材料、机制砂石等。以建筑垃圾处理和再利用为重点，加强再生建材生产技术和工艺研发，提高固体废弃物消纳量和产品质量</w:t>
                  </w:r>
                </w:p>
              </w:tc>
              <w:tc>
                <w:tcPr>
                  <w:tcW w:w="2068" w:type="dxa"/>
                  <w:tcBorders>
                    <w:tl2br w:val="nil"/>
                    <w:tr2bl w:val="nil"/>
                  </w:tcBorders>
                  <w:noWrap w:val="0"/>
                  <w:vAlign w:val="center"/>
                </w:tcPr>
                <w:p>
                  <w:pPr>
                    <w:adjustRightInd w:val="0"/>
                    <w:snapToGrid w:val="0"/>
                    <w:jc w:val="center"/>
                    <w:rPr>
                      <w:color w:val="auto"/>
                    </w:rPr>
                  </w:pPr>
                  <w:r>
                    <w:rPr>
                      <w:color w:val="auto"/>
                    </w:rPr>
                    <w:t>本项目利用</w:t>
                  </w:r>
                  <w:r>
                    <w:rPr>
                      <w:rFonts w:hint="eastAsia"/>
                      <w:color w:val="auto"/>
                      <w:lang w:val="en-US" w:eastAsia="zh-CN"/>
                    </w:rPr>
                    <w:t>煤矸石</w:t>
                  </w:r>
                  <w:r>
                    <w:rPr>
                      <w:color w:val="auto"/>
                    </w:rPr>
                    <w:t>作为原料</w:t>
                  </w:r>
                </w:p>
              </w:tc>
              <w:tc>
                <w:tcPr>
                  <w:tcW w:w="804" w:type="dxa"/>
                  <w:tcBorders>
                    <w:tl2br w:val="nil"/>
                    <w:tr2bl w:val="nil"/>
                  </w:tcBorders>
                  <w:noWrap w:val="0"/>
                  <w:vAlign w:val="center"/>
                </w:tcPr>
                <w:p>
                  <w:pPr>
                    <w:adjustRightInd w:val="0"/>
                    <w:snapToGrid w:val="0"/>
                    <w:jc w:val="center"/>
                    <w:rPr>
                      <w:color w:val="auto"/>
                    </w:rPr>
                  </w:pPr>
                  <w:r>
                    <w:rPr>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noWrap w:val="0"/>
                  <w:vAlign w:val="center"/>
                </w:tcPr>
                <w:p>
                  <w:pPr>
                    <w:adjustRightInd w:val="0"/>
                    <w:snapToGrid w:val="0"/>
                    <w:jc w:val="center"/>
                    <w:rPr>
                      <w:color w:val="auto"/>
                    </w:rPr>
                  </w:pPr>
                  <w:r>
                    <w:rPr>
                      <w:color w:val="auto"/>
                    </w:rPr>
                    <w:t>3</w:t>
                  </w:r>
                </w:p>
              </w:tc>
              <w:tc>
                <w:tcPr>
                  <w:tcW w:w="3317" w:type="dxa"/>
                  <w:tcBorders>
                    <w:tl2br w:val="nil"/>
                    <w:tr2bl w:val="nil"/>
                  </w:tcBorders>
                  <w:noWrap w:val="0"/>
                  <w:vAlign w:val="center"/>
                </w:tcPr>
                <w:p>
                  <w:pPr>
                    <w:adjustRightInd w:val="0"/>
                    <w:snapToGrid w:val="0"/>
                    <w:jc w:val="center"/>
                    <w:rPr>
                      <w:color w:val="auto"/>
                    </w:rPr>
                  </w:pPr>
                  <w:r>
                    <w:rPr>
                      <w:color w:val="auto"/>
                    </w:rPr>
                    <w:t>新型墙体材料革新。重点发展本质安全和节能环保、轻质高强的墙体和屋面材料，引导利用可再生资源制备新型墙体材料。</w:t>
                  </w:r>
                </w:p>
              </w:tc>
              <w:tc>
                <w:tcPr>
                  <w:tcW w:w="2068" w:type="dxa"/>
                  <w:tcBorders>
                    <w:tl2br w:val="nil"/>
                    <w:tr2bl w:val="nil"/>
                  </w:tcBorders>
                  <w:noWrap w:val="0"/>
                  <w:vAlign w:val="center"/>
                </w:tcPr>
                <w:p>
                  <w:pPr>
                    <w:adjustRightInd w:val="0"/>
                    <w:snapToGrid w:val="0"/>
                    <w:jc w:val="center"/>
                    <w:rPr>
                      <w:color w:val="auto"/>
                    </w:rPr>
                  </w:pPr>
                  <w:r>
                    <w:rPr>
                      <w:color w:val="auto"/>
                    </w:rPr>
                    <w:t>本项目生产的烧结砖具有质轻、强度高、消耗原料少等优势</w:t>
                  </w:r>
                </w:p>
              </w:tc>
              <w:tc>
                <w:tcPr>
                  <w:tcW w:w="804" w:type="dxa"/>
                  <w:tcBorders>
                    <w:tl2br w:val="nil"/>
                    <w:tr2bl w:val="nil"/>
                  </w:tcBorders>
                  <w:noWrap w:val="0"/>
                  <w:vAlign w:val="center"/>
                </w:tcPr>
                <w:p>
                  <w:pPr>
                    <w:adjustRightInd w:val="0"/>
                    <w:snapToGrid w:val="0"/>
                    <w:jc w:val="center"/>
                    <w:rPr>
                      <w:color w:val="auto"/>
                    </w:rPr>
                  </w:pPr>
                  <w:r>
                    <w:rPr>
                      <w:color w:val="auto"/>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noWrap w:val="0"/>
                  <w:vAlign w:val="center"/>
                </w:tcPr>
                <w:p>
                  <w:pPr>
                    <w:adjustRightInd w:val="0"/>
                    <w:snapToGrid w:val="0"/>
                    <w:jc w:val="center"/>
                    <w:rPr>
                      <w:color w:val="auto"/>
                    </w:rPr>
                  </w:pPr>
                  <w:r>
                    <w:rPr>
                      <w:color w:val="auto"/>
                    </w:rPr>
                    <w:t>4</w:t>
                  </w:r>
                </w:p>
              </w:tc>
              <w:tc>
                <w:tcPr>
                  <w:tcW w:w="3317" w:type="dxa"/>
                  <w:tcBorders>
                    <w:tl2br w:val="nil"/>
                    <w:tr2bl w:val="nil"/>
                  </w:tcBorders>
                  <w:noWrap w:val="0"/>
                  <w:vAlign w:val="center"/>
                </w:tcPr>
                <w:p>
                  <w:pPr>
                    <w:adjustRightInd w:val="0"/>
                    <w:snapToGrid w:val="0"/>
                    <w:jc w:val="center"/>
                    <w:rPr>
                      <w:color w:val="auto"/>
                    </w:rPr>
                  </w:pPr>
                  <w:r>
                    <w:rPr>
                      <w:color w:val="auto"/>
                    </w:rPr>
                    <w:t>发展高效节能保温材料。鼓励发展保温、隔热及防火性能良好、施工便利、使用寿命长的外墙保温材料，开发推广结构与保温装饰一体化外墙板</w:t>
                  </w:r>
                </w:p>
              </w:tc>
              <w:tc>
                <w:tcPr>
                  <w:tcW w:w="2068" w:type="dxa"/>
                  <w:tcBorders>
                    <w:tl2br w:val="nil"/>
                    <w:tr2bl w:val="nil"/>
                  </w:tcBorders>
                  <w:noWrap w:val="0"/>
                  <w:vAlign w:val="center"/>
                </w:tcPr>
                <w:p>
                  <w:pPr>
                    <w:adjustRightInd w:val="0"/>
                    <w:snapToGrid w:val="0"/>
                    <w:jc w:val="center"/>
                    <w:rPr>
                      <w:color w:val="auto"/>
                    </w:rPr>
                  </w:pPr>
                  <w:r>
                    <w:rPr>
                      <w:color w:val="auto"/>
                    </w:rPr>
                    <w:t>本项目产品可节省燃料10%～20%</w:t>
                  </w:r>
                </w:p>
              </w:tc>
              <w:tc>
                <w:tcPr>
                  <w:tcW w:w="804" w:type="dxa"/>
                  <w:tcBorders>
                    <w:tl2br w:val="nil"/>
                    <w:tr2bl w:val="nil"/>
                  </w:tcBorders>
                  <w:noWrap w:val="0"/>
                  <w:vAlign w:val="center"/>
                </w:tcPr>
                <w:p>
                  <w:pPr>
                    <w:adjustRightInd w:val="0"/>
                    <w:snapToGrid w:val="0"/>
                    <w:jc w:val="center"/>
                    <w:rPr>
                      <w:color w:val="auto"/>
                    </w:rPr>
                  </w:pPr>
                  <w:r>
                    <w:rPr>
                      <w:color w:val="auto"/>
                    </w:rPr>
                    <w:t>符合</w:t>
                  </w:r>
                </w:p>
              </w:tc>
            </w:tr>
          </w:tbl>
          <w:p>
            <w:pPr>
              <w:pStyle w:val="60"/>
              <w:ind w:firstLine="422"/>
              <w:rPr>
                <w:rFonts w:hint="eastAsia" w:eastAsia="宋体"/>
                <w:b/>
                <w:bCs/>
                <w:color w:val="auto"/>
                <w:sz w:val="24"/>
                <w:szCs w:val="24"/>
                <w:lang w:val="en-US" w:eastAsia="zh-CN"/>
              </w:rPr>
            </w:pPr>
            <w:r>
              <w:rPr>
                <w:color w:val="auto"/>
                <w:kern w:val="2"/>
                <w:sz w:val="24"/>
                <w:szCs w:val="24"/>
              </w:rPr>
              <w:t>综上，本项目符合《促进绿色建材生产和应用行动方案》中要求。</w:t>
            </w:r>
          </w:p>
          <w:p>
            <w:pPr>
              <w:keepNext/>
              <w:adjustRightInd w:val="0"/>
              <w:snapToGrid w:val="0"/>
              <w:spacing w:line="360" w:lineRule="auto"/>
              <w:outlineLvl w:val="3"/>
              <w:rPr>
                <w:b/>
                <w:bCs/>
                <w:kern w:val="0"/>
                <w:sz w:val="24"/>
              </w:rPr>
            </w:pPr>
            <w:r>
              <w:rPr>
                <w:rFonts w:hint="eastAsia"/>
                <w:b/>
                <w:bCs/>
                <w:sz w:val="24"/>
                <w:lang w:val="en-US" w:eastAsia="zh-CN"/>
              </w:rPr>
              <w:t>1.11本项目</w:t>
            </w:r>
            <w:r>
              <w:rPr>
                <w:b/>
                <w:bCs/>
                <w:kern w:val="0"/>
                <w:sz w:val="24"/>
              </w:rPr>
              <w:t>与《甘肃省庆阳市生态市建设规划》（2009-2020）的符合性分析</w:t>
            </w:r>
          </w:p>
          <w:p>
            <w:pPr>
              <w:autoSpaceDE w:val="0"/>
              <w:autoSpaceDN w:val="0"/>
              <w:adjustRightInd w:val="0"/>
              <w:snapToGrid w:val="0"/>
              <w:spacing w:line="360" w:lineRule="auto"/>
              <w:ind w:firstLine="480" w:firstLineChars="200"/>
              <w:rPr>
                <w:kern w:val="0"/>
                <w:sz w:val="24"/>
              </w:rPr>
            </w:pPr>
            <w:r>
              <w:rPr>
                <w:kern w:val="0"/>
                <w:sz w:val="24"/>
              </w:rPr>
              <w:t>根据《甘肃省庆阳市生态市建设规划》（2009-2020），庆阳市划分为4个生态功能区，“中部残塬沟壑综合生态经济发展区”划分为6个亚区，划分方案见表1-</w:t>
            </w:r>
            <w:r>
              <w:rPr>
                <w:rFonts w:hint="eastAsia"/>
                <w:kern w:val="0"/>
                <w:sz w:val="24"/>
                <w:lang w:val="en-US" w:eastAsia="zh-CN"/>
              </w:rPr>
              <w:t>12</w:t>
            </w:r>
            <w:r>
              <w:rPr>
                <w:kern w:val="0"/>
                <w:sz w:val="24"/>
              </w:rPr>
              <w:t>。</w:t>
            </w:r>
          </w:p>
          <w:p>
            <w:pPr>
              <w:jc w:val="center"/>
              <w:rPr>
                <w:b/>
                <w:color w:val="000000"/>
                <w:szCs w:val="21"/>
                <w:lang w:val="en-GB"/>
              </w:rPr>
            </w:pPr>
            <w:r>
              <w:rPr>
                <w:b/>
                <w:color w:val="000000"/>
                <w:szCs w:val="21"/>
                <w:lang w:val="en-GB"/>
              </w:rPr>
              <w:t>表1-</w:t>
            </w:r>
            <w:r>
              <w:rPr>
                <w:rFonts w:hint="eastAsia"/>
                <w:b/>
                <w:color w:val="000000"/>
                <w:szCs w:val="21"/>
                <w:lang w:val="en-US" w:eastAsia="zh-CN"/>
              </w:rPr>
              <w:t>12</w:t>
            </w:r>
            <w:r>
              <w:rPr>
                <w:b/>
                <w:color w:val="000000"/>
                <w:szCs w:val="21"/>
                <w:lang w:val="en-GB"/>
              </w:rPr>
              <w:t xml:space="preserve">  庆阳市生态功能区划方案</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290"/>
              <w:gridCol w:w="932"/>
              <w:gridCol w:w="305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tcBorders>
                    <w:tl2br w:val="nil"/>
                    <w:tr2bl w:val="nil"/>
                  </w:tcBorders>
                  <w:noWrap w:val="0"/>
                  <w:vAlign w:val="center"/>
                </w:tcPr>
                <w:p>
                  <w:pPr>
                    <w:spacing w:line="240" w:lineRule="atLeast"/>
                    <w:jc w:val="center"/>
                    <w:rPr>
                      <w:b/>
                      <w:bCs/>
                      <w:szCs w:val="21"/>
                    </w:rPr>
                  </w:pPr>
                  <w:r>
                    <w:rPr>
                      <w:b/>
                      <w:bCs/>
                      <w:szCs w:val="21"/>
                    </w:rPr>
                    <w:t>一级区</w:t>
                  </w:r>
                </w:p>
              </w:tc>
              <w:tc>
                <w:tcPr>
                  <w:tcW w:w="1588" w:type="pct"/>
                  <w:tcBorders>
                    <w:tl2br w:val="nil"/>
                    <w:tr2bl w:val="nil"/>
                  </w:tcBorders>
                  <w:noWrap w:val="0"/>
                  <w:vAlign w:val="center"/>
                </w:tcPr>
                <w:p>
                  <w:pPr>
                    <w:spacing w:line="240" w:lineRule="atLeast"/>
                    <w:jc w:val="center"/>
                    <w:rPr>
                      <w:b/>
                      <w:bCs/>
                      <w:szCs w:val="21"/>
                    </w:rPr>
                  </w:pPr>
                  <w:r>
                    <w:rPr>
                      <w:b/>
                      <w:bCs/>
                      <w:szCs w:val="21"/>
                    </w:rPr>
                    <w:t>名称</w:t>
                  </w:r>
                </w:p>
              </w:tc>
              <w:tc>
                <w:tcPr>
                  <w:tcW w:w="646" w:type="pct"/>
                  <w:tcBorders>
                    <w:tl2br w:val="nil"/>
                    <w:tr2bl w:val="nil"/>
                  </w:tcBorders>
                  <w:noWrap w:val="0"/>
                  <w:vAlign w:val="center"/>
                </w:tcPr>
                <w:p>
                  <w:pPr>
                    <w:spacing w:line="240" w:lineRule="atLeast"/>
                    <w:jc w:val="center"/>
                    <w:rPr>
                      <w:b/>
                      <w:bCs/>
                      <w:szCs w:val="21"/>
                    </w:rPr>
                  </w:pPr>
                  <w:r>
                    <w:rPr>
                      <w:b/>
                      <w:bCs/>
                      <w:szCs w:val="21"/>
                    </w:rPr>
                    <w:t>亚区</w:t>
                  </w:r>
                </w:p>
              </w:tc>
              <w:tc>
                <w:tcPr>
                  <w:tcW w:w="2119" w:type="pct"/>
                  <w:tcBorders>
                    <w:tl2br w:val="nil"/>
                    <w:tr2bl w:val="nil"/>
                  </w:tcBorders>
                  <w:noWrap w:val="0"/>
                  <w:vAlign w:val="center"/>
                </w:tcPr>
                <w:p>
                  <w:pPr>
                    <w:spacing w:line="240" w:lineRule="atLeast"/>
                    <w:jc w:val="center"/>
                    <w:rPr>
                      <w:b/>
                      <w:bCs/>
                      <w:szCs w:val="21"/>
                    </w:rPr>
                  </w:pPr>
                  <w:r>
                    <w:rPr>
                      <w:b/>
                      <w:bCs/>
                      <w:szCs w:val="21"/>
                    </w:rPr>
                    <w:t>名称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tcBorders>
                    <w:tl2br w:val="nil"/>
                    <w:tr2bl w:val="nil"/>
                  </w:tcBorders>
                  <w:noWrap w:val="0"/>
                  <w:vAlign w:val="center"/>
                </w:tcPr>
                <w:p>
                  <w:pPr>
                    <w:spacing w:line="240" w:lineRule="atLeast"/>
                    <w:jc w:val="center"/>
                    <w:rPr>
                      <w:szCs w:val="21"/>
                    </w:rPr>
                  </w:pPr>
                  <w:r>
                    <w:rPr>
                      <w:szCs w:val="21"/>
                    </w:rPr>
                    <w:t>Ⅰ</w:t>
                  </w:r>
                </w:p>
              </w:tc>
              <w:tc>
                <w:tcPr>
                  <w:tcW w:w="1588" w:type="pct"/>
                  <w:tcBorders>
                    <w:tl2br w:val="nil"/>
                    <w:tr2bl w:val="nil"/>
                  </w:tcBorders>
                  <w:noWrap w:val="0"/>
                  <w:vAlign w:val="center"/>
                </w:tcPr>
                <w:p>
                  <w:pPr>
                    <w:spacing w:line="240" w:lineRule="atLeast"/>
                    <w:jc w:val="center"/>
                    <w:rPr>
                      <w:szCs w:val="21"/>
                    </w:rPr>
                  </w:pPr>
                  <w:r>
                    <w:rPr>
                      <w:szCs w:val="21"/>
                    </w:rPr>
                    <w:t>东部子午岭天然次生林水源涵养保护区</w:t>
                  </w:r>
                </w:p>
              </w:tc>
              <w:tc>
                <w:tcPr>
                  <w:tcW w:w="646" w:type="pct"/>
                  <w:tcBorders>
                    <w:tl2br w:val="nil"/>
                    <w:tr2bl w:val="nil"/>
                  </w:tcBorders>
                  <w:noWrap w:val="0"/>
                  <w:vAlign w:val="center"/>
                </w:tcPr>
                <w:p>
                  <w:pPr>
                    <w:spacing w:line="240" w:lineRule="atLeast"/>
                    <w:jc w:val="center"/>
                    <w:rPr>
                      <w:szCs w:val="21"/>
                    </w:rPr>
                  </w:pPr>
                  <w:r>
                    <w:rPr>
                      <w:szCs w:val="21"/>
                    </w:rPr>
                    <w:t>--</w:t>
                  </w:r>
                </w:p>
              </w:tc>
              <w:tc>
                <w:tcPr>
                  <w:tcW w:w="2119" w:type="pct"/>
                  <w:tcBorders>
                    <w:tl2br w:val="nil"/>
                    <w:tr2bl w:val="nil"/>
                  </w:tcBorders>
                  <w:noWrap w:val="0"/>
                  <w:vAlign w:val="center"/>
                </w:tcPr>
                <w:p>
                  <w:pPr>
                    <w:spacing w:line="240" w:lineRule="atLeast"/>
                    <w:jc w:val="center"/>
                    <w:rPr>
                      <w:szCs w:val="21"/>
                    </w:rPr>
                  </w:pPr>
                  <w:r>
                    <w:rPr>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restart"/>
                  <w:tcBorders>
                    <w:tl2br w:val="nil"/>
                    <w:tr2bl w:val="nil"/>
                  </w:tcBorders>
                  <w:noWrap w:val="0"/>
                  <w:vAlign w:val="center"/>
                </w:tcPr>
                <w:p>
                  <w:pPr>
                    <w:spacing w:line="240" w:lineRule="atLeast"/>
                    <w:jc w:val="center"/>
                    <w:rPr>
                      <w:szCs w:val="21"/>
                    </w:rPr>
                  </w:pPr>
                  <w:r>
                    <w:rPr>
                      <w:szCs w:val="21"/>
                    </w:rPr>
                    <w:t>Ⅱ</w:t>
                  </w:r>
                </w:p>
              </w:tc>
              <w:tc>
                <w:tcPr>
                  <w:tcW w:w="1588" w:type="pct"/>
                  <w:vMerge w:val="restart"/>
                  <w:tcBorders>
                    <w:tl2br w:val="nil"/>
                    <w:tr2bl w:val="nil"/>
                  </w:tcBorders>
                  <w:noWrap w:val="0"/>
                  <w:vAlign w:val="center"/>
                </w:tcPr>
                <w:p>
                  <w:pPr>
                    <w:spacing w:line="240" w:lineRule="atLeast"/>
                    <w:jc w:val="center"/>
                    <w:rPr>
                      <w:szCs w:val="21"/>
                    </w:rPr>
                  </w:pPr>
                  <w:r>
                    <w:rPr>
                      <w:szCs w:val="21"/>
                    </w:rPr>
                    <w:t>中部残塬沟壑</w:t>
                  </w:r>
                </w:p>
                <w:p>
                  <w:pPr>
                    <w:spacing w:line="240" w:lineRule="atLeast"/>
                    <w:jc w:val="center"/>
                    <w:rPr>
                      <w:szCs w:val="21"/>
                    </w:rPr>
                  </w:pPr>
                  <w:r>
                    <w:rPr>
                      <w:szCs w:val="21"/>
                    </w:rPr>
                    <w:t>综合发展区</w:t>
                  </w:r>
                </w:p>
              </w:tc>
              <w:tc>
                <w:tcPr>
                  <w:tcW w:w="646" w:type="pct"/>
                  <w:tcBorders>
                    <w:tl2br w:val="nil"/>
                    <w:tr2bl w:val="nil"/>
                  </w:tcBorders>
                  <w:noWrap w:val="0"/>
                  <w:vAlign w:val="center"/>
                </w:tcPr>
                <w:p>
                  <w:pPr>
                    <w:spacing w:line="240" w:lineRule="atLeast"/>
                    <w:jc w:val="center"/>
                    <w:rPr>
                      <w:szCs w:val="21"/>
                    </w:rPr>
                  </w:pPr>
                  <w:r>
                    <w:rPr>
                      <w:szCs w:val="21"/>
                    </w:rPr>
                    <w:t>Ⅱ-1</w:t>
                  </w:r>
                </w:p>
              </w:tc>
              <w:tc>
                <w:tcPr>
                  <w:tcW w:w="2119" w:type="pct"/>
                  <w:tcBorders>
                    <w:tl2br w:val="nil"/>
                    <w:tr2bl w:val="nil"/>
                  </w:tcBorders>
                  <w:noWrap w:val="0"/>
                  <w:vAlign w:val="center"/>
                </w:tcPr>
                <w:p>
                  <w:pPr>
                    <w:spacing w:line="240" w:lineRule="atLeast"/>
                    <w:jc w:val="center"/>
                    <w:rPr>
                      <w:szCs w:val="21"/>
                    </w:rPr>
                  </w:pPr>
                  <w:r>
                    <w:rPr>
                      <w:szCs w:val="21"/>
                    </w:rPr>
                    <w:t>中部林缘旱作农业</w:t>
                  </w:r>
                </w:p>
                <w:p>
                  <w:pPr>
                    <w:spacing w:line="240" w:lineRule="atLeast"/>
                    <w:jc w:val="center"/>
                    <w:rPr>
                      <w:szCs w:val="21"/>
                    </w:rPr>
                  </w:pPr>
                  <w:r>
                    <w:rPr>
                      <w:szCs w:val="21"/>
                    </w:rPr>
                    <w:t>及林果产业发展亚区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tcBorders>
                    <w:tl2br w:val="nil"/>
                    <w:tr2bl w:val="nil"/>
                  </w:tcBorders>
                  <w:noWrap w:val="0"/>
                  <w:vAlign w:val="center"/>
                </w:tcPr>
                <w:p>
                  <w:pPr>
                    <w:spacing w:line="240" w:lineRule="atLeast"/>
                    <w:jc w:val="center"/>
                    <w:rPr>
                      <w:szCs w:val="21"/>
                    </w:rPr>
                  </w:pPr>
                </w:p>
              </w:tc>
              <w:tc>
                <w:tcPr>
                  <w:tcW w:w="1588" w:type="pct"/>
                  <w:vMerge w:val="continue"/>
                  <w:tcBorders>
                    <w:tl2br w:val="nil"/>
                    <w:tr2bl w:val="nil"/>
                  </w:tcBorders>
                  <w:noWrap w:val="0"/>
                  <w:vAlign w:val="center"/>
                </w:tcPr>
                <w:p>
                  <w:pPr>
                    <w:spacing w:line="240" w:lineRule="atLeast"/>
                    <w:jc w:val="center"/>
                    <w:rPr>
                      <w:szCs w:val="21"/>
                    </w:rPr>
                  </w:pPr>
                </w:p>
              </w:tc>
              <w:tc>
                <w:tcPr>
                  <w:tcW w:w="646" w:type="pct"/>
                  <w:tcBorders>
                    <w:tl2br w:val="nil"/>
                    <w:tr2bl w:val="nil"/>
                  </w:tcBorders>
                  <w:noWrap w:val="0"/>
                  <w:vAlign w:val="center"/>
                </w:tcPr>
                <w:p>
                  <w:pPr>
                    <w:spacing w:line="240" w:lineRule="atLeast"/>
                    <w:jc w:val="center"/>
                    <w:rPr>
                      <w:szCs w:val="21"/>
                    </w:rPr>
                  </w:pPr>
                  <w:r>
                    <w:rPr>
                      <w:szCs w:val="21"/>
                    </w:rPr>
                    <w:t>Ⅱ-2</w:t>
                  </w:r>
                </w:p>
              </w:tc>
              <w:tc>
                <w:tcPr>
                  <w:tcW w:w="2119" w:type="pct"/>
                  <w:tcBorders>
                    <w:tl2br w:val="nil"/>
                    <w:tr2bl w:val="nil"/>
                  </w:tcBorders>
                  <w:noWrap w:val="0"/>
                  <w:vAlign w:val="center"/>
                </w:tcPr>
                <w:p>
                  <w:pPr>
                    <w:spacing w:line="240" w:lineRule="atLeast"/>
                    <w:jc w:val="center"/>
                    <w:rPr>
                      <w:szCs w:val="21"/>
                    </w:rPr>
                  </w:pPr>
                  <w:r>
                    <w:rPr>
                      <w:szCs w:val="21"/>
                    </w:rPr>
                    <w:t>中南部生态工业集中</w:t>
                  </w:r>
                </w:p>
                <w:p>
                  <w:pPr>
                    <w:spacing w:line="240" w:lineRule="atLeast"/>
                    <w:jc w:val="center"/>
                    <w:rPr>
                      <w:szCs w:val="21"/>
                    </w:rPr>
                  </w:pPr>
                  <w:r>
                    <w:rPr>
                      <w:szCs w:val="21"/>
                    </w:rPr>
                    <w:t>发展亚区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tcBorders>
                    <w:tl2br w:val="nil"/>
                    <w:tr2bl w:val="nil"/>
                  </w:tcBorders>
                  <w:noWrap w:val="0"/>
                  <w:vAlign w:val="center"/>
                </w:tcPr>
                <w:p>
                  <w:pPr>
                    <w:spacing w:line="240" w:lineRule="atLeast"/>
                    <w:jc w:val="center"/>
                    <w:rPr>
                      <w:szCs w:val="21"/>
                    </w:rPr>
                  </w:pPr>
                </w:p>
              </w:tc>
              <w:tc>
                <w:tcPr>
                  <w:tcW w:w="1588" w:type="pct"/>
                  <w:vMerge w:val="continue"/>
                  <w:tcBorders>
                    <w:tl2br w:val="nil"/>
                    <w:tr2bl w:val="nil"/>
                  </w:tcBorders>
                  <w:noWrap w:val="0"/>
                  <w:vAlign w:val="center"/>
                </w:tcPr>
                <w:p>
                  <w:pPr>
                    <w:spacing w:line="240" w:lineRule="atLeast"/>
                    <w:jc w:val="center"/>
                    <w:rPr>
                      <w:szCs w:val="21"/>
                    </w:rPr>
                  </w:pPr>
                </w:p>
              </w:tc>
              <w:tc>
                <w:tcPr>
                  <w:tcW w:w="646" w:type="pct"/>
                  <w:tcBorders>
                    <w:tl2br w:val="nil"/>
                    <w:tr2bl w:val="nil"/>
                  </w:tcBorders>
                  <w:noWrap w:val="0"/>
                  <w:vAlign w:val="center"/>
                </w:tcPr>
                <w:p>
                  <w:pPr>
                    <w:spacing w:line="240" w:lineRule="atLeast"/>
                    <w:jc w:val="center"/>
                    <w:rPr>
                      <w:szCs w:val="21"/>
                    </w:rPr>
                  </w:pPr>
                  <w:r>
                    <w:rPr>
                      <w:szCs w:val="21"/>
                    </w:rPr>
                    <w:t>Ⅱ-3</w:t>
                  </w:r>
                </w:p>
              </w:tc>
              <w:tc>
                <w:tcPr>
                  <w:tcW w:w="2119" w:type="pct"/>
                  <w:tcBorders>
                    <w:tl2br w:val="nil"/>
                    <w:tr2bl w:val="nil"/>
                  </w:tcBorders>
                  <w:noWrap w:val="0"/>
                  <w:vAlign w:val="center"/>
                </w:tcPr>
                <w:p>
                  <w:pPr>
                    <w:spacing w:line="240" w:lineRule="atLeast"/>
                    <w:jc w:val="center"/>
                    <w:rPr>
                      <w:szCs w:val="21"/>
                    </w:rPr>
                  </w:pPr>
                  <w:r>
                    <w:rPr>
                      <w:szCs w:val="21"/>
                    </w:rPr>
                    <w:t>重要水源地保护亚区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tcBorders>
                    <w:tl2br w:val="nil"/>
                    <w:tr2bl w:val="nil"/>
                  </w:tcBorders>
                  <w:noWrap w:val="0"/>
                  <w:vAlign w:val="center"/>
                </w:tcPr>
                <w:p>
                  <w:pPr>
                    <w:spacing w:line="240" w:lineRule="atLeast"/>
                    <w:jc w:val="center"/>
                    <w:rPr>
                      <w:szCs w:val="21"/>
                    </w:rPr>
                  </w:pPr>
                </w:p>
              </w:tc>
              <w:tc>
                <w:tcPr>
                  <w:tcW w:w="1588" w:type="pct"/>
                  <w:vMerge w:val="continue"/>
                  <w:tcBorders>
                    <w:tl2br w:val="nil"/>
                    <w:tr2bl w:val="nil"/>
                  </w:tcBorders>
                  <w:noWrap w:val="0"/>
                  <w:vAlign w:val="center"/>
                </w:tcPr>
                <w:p>
                  <w:pPr>
                    <w:spacing w:line="240" w:lineRule="atLeast"/>
                    <w:jc w:val="center"/>
                    <w:rPr>
                      <w:szCs w:val="21"/>
                    </w:rPr>
                  </w:pPr>
                </w:p>
              </w:tc>
              <w:tc>
                <w:tcPr>
                  <w:tcW w:w="646" w:type="pct"/>
                  <w:tcBorders>
                    <w:tl2br w:val="nil"/>
                    <w:tr2bl w:val="nil"/>
                  </w:tcBorders>
                  <w:noWrap w:val="0"/>
                  <w:vAlign w:val="center"/>
                </w:tcPr>
                <w:p>
                  <w:pPr>
                    <w:spacing w:line="240" w:lineRule="atLeast"/>
                    <w:jc w:val="center"/>
                    <w:rPr>
                      <w:szCs w:val="21"/>
                    </w:rPr>
                  </w:pPr>
                  <w:r>
                    <w:rPr>
                      <w:szCs w:val="21"/>
                    </w:rPr>
                    <w:t>Ⅱ-4</w:t>
                  </w:r>
                </w:p>
              </w:tc>
              <w:tc>
                <w:tcPr>
                  <w:tcW w:w="2119" w:type="pct"/>
                  <w:tcBorders>
                    <w:tl2br w:val="nil"/>
                    <w:tr2bl w:val="nil"/>
                  </w:tcBorders>
                  <w:noWrap w:val="0"/>
                  <w:vAlign w:val="center"/>
                </w:tcPr>
                <w:p>
                  <w:pPr>
                    <w:spacing w:line="240" w:lineRule="atLeast"/>
                    <w:jc w:val="center"/>
                    <w:rPr>
                      <w:szCs w:val="21"/>
                    </w:rPr>
                  </w:pPr>
                  <w:r>
                    <w:rPr>
                      <w:szCs w:val="21"/>
                    </w:rPr>
                    <w:t>中部残塬沟壑粮</w:t>
                  </w:r>
                </w:p>
                <w:p>
                  <w:pPr>
                    <w:spacing w:line="240" w:lineRule="atLeast"/>
                    <w:jc w:val="center"/>
                    <w:rPr>
                      <w:szCs w:val="21"/>
                    </w:rPr>
                  </w:pPr>
                  <w:r>
                    <w:rPr>
                      <w:szCs w:val="21"/>
                    </w:rPr>
                    <w:t>食基地生产亚区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tcBorders>
                    <w:tl2br w:val="nil"/>
                    <w:tr2bl w:val="nil"/>
                  </w:tcBorders>
                  <w:noWrap w:val="0"/>
                  <w:vAlign w:val="center"/>
                </w:tcPr>
                <w:p>
                  <w:pPr>
                    <w:spacing w:line="240" w:lineRule="atLeast"/>
                    <w:jc w:val="center"/>
                    <w:rPr>
                      <w:szCs w:val="21"/>
                    </w:rPr>
                  </w:pPr>
                </w:p>
              </w:tc>
              <w:tc>
                <w:tcPr>
                  <w:tcW w:w="1588" w:type="pct"/>
                  <w:vMerge w:val="continue"/>
                  <w:tcBorders>
                    <w:tl2br w:val="nil"/>
                    <w:tr2bl w:val="nil"/>
                  </w:tcBorders>
                  <w:noWrap w:val="0"/>
                  <w:vAlign w:val="center"/>
                </w:tcPr>
                <w:p>
                  <w:pPr>
                    <w:spacing w:line="240" w:lineRule="atLeast"/>
                    <w:jc w:val="center"/>
                    <w:rPr>
                      <w:szCs w:val="21"/>
                    </w:rPr>
                  </w:pPr>
                </w:p>
              </w:tc>
              <w:tc>
                <w:tcPr>
                  <w:tcW w:w="646" w:type="pct"/>
                  <w:tcBorders>
                    <w:tl2br w:val="nil"/>
                    <w:tr2bl w:val="nil"/>
                  </w:tcBorders>
                  <w:noWrap w:val="0"/>
                  <w:vAlign w:val="center"/>
                </w:tcPr>
                <w:p>
                  <w:pPr>
                    <w:spacing w:line="240" w:lineRule="atLeast"/>
                    <w:jc w:val="center"/>
                    <w:rPr>
                      <w:szCs w:val="21"/>
                    </w:rPr>
                  </w:pPr>
                  <w:r>
                    <w:rPr>
                      <w:szCs w:val="21"/>
                    </w:rPr>
                    <w:t>Ⅱ-5</w:t>
                  </w:r>
                </w:p>
              </w:tc>
              <w:tc>
                <w:tcPr>
                  <w:tcW w:w="2119" w:type="pct"/>
                  <w:tcBorders>
                    <w:tl2br w:val="nil"/>
                    <w:tr2bl w:val="nil"/>
                  </w:tcBorders>
                  <w:noWrap w:val="0"/>
                  <w:vAlign w:val="center"/>
                </w:tcPr>
                <w:p>
                  <w:pPr>
                    <w:spacing w:line="240" w:lineRule="atLeast"/>
                    <w:jc w:val="center"/>
                    <w:rPr>
                      <w:szCs w:val="21"/>
                    </w:rPr>
                  </w:pPr>
                  <w:r>
                    <w:rPr>
                      <w:szCs w:val="21"/>
                    </w:rPr>
                    <w:t>环江沿线工矿型</w:t>
                  </w:r>
                </w:p>
                <w:p>
                  <w:pPr>
                    <w:spacing w:line="240" w:lineRule="atLeast"/>
                    <w:jc w:val="center"/>
                    <w:rPr>
                      <w:szCs w:val="21"/>
                    </w:rPr>
                  </w:pPr>
                  <w:r>
                    <w:rPr>
                      <w:szCs w:val="21"/>
                    </w:rPr>
                    <w:t>能源化工产业发展亚区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tcBorders>
                    <w:tl2br w:val="nil"/>
                    <w:tr2bl w:val="nil"/>
                  </w:tcBorders>
                  <w:noWrap w:val="0"/>
                  <w:vAlign w:val="center"/>
                </w:tcPr>
                <w:p>
                  <w:pPr>
                    <w:spacing w:line="240" w:lineRule="atLeast"/>
                    <w:jc w:val="center"/>
                    <w:rPr>
                      <w:szCs w:val="21"/>
                    </w:rPr>
                  </w:pPr>
                </w:p>
              </w:tc>
              <w:tc>
                <w:tcPr>
                  <w:tcW w:w="1588" w:type="pct"/>
                  <w:vMerge w:val="continue"/>
                  <w:tcBorders>
                    <w:tl2br w:val="nil"/>
                    <w:tr2bl w:val="nil"/>
                  </w:tcBorders>
                  <w:noWrap w:val="0"/>
                  <w:vAlign w:val="center"/>
                </w:tcPr>
                <w:p>
                  <w:pPr>
                    <w:spacing w:line="240" w:lineRule="atLeast"/>
                    <w:jc w:val="center"/>
                    <w:rPr>
                      <w:szCs w:val="21"/>
                    </w:rPr>
                  </w:pPr>
                </w:p>
              </w:tc>
              <w:tc>
                <w:tcPr>
                  <w:tcW w:w="646" w:type="pct"/>
                  <w:tcBorders>
                    <w:tl2br w:val="nil"/>
                    <w:tr2bl w:val="nil"/>
                  </w:tcBorders>
                  <w:noWrap w:val="0"/>
                  <w:vAlign w:val="center"/>
                </w:tcPr>
                <w:p>
                  <w:pPr>
                    <w:spacing w:line="240" w:lineRule="atLeast"/>
                    <w:jc w:val="center"/>
                    <w:rPr>
                      <w:szCs w:val="21"/>
                    </w:rPr>
                  </w:pPr>
                  <w:r>
                    <w:rPr>
                      <w:szCs w:val="21"/>
                    </w:rPr>
                    <w:t>Ⅱ-6</w:t>
                  </w:r>
                </w:p>
              </w:tc>
              <w:tc>
                <w:tcPr>
                  <w:tcW w:w="2119" w:type="pct"/>
                  <w:tcBorders>
                    <w:tl2br w:val="nil"/>
                    <w:tr2bl w:val="nil"/>
                  </w:tcBorders>
                  <w:noWrap w:val="0"/>
                  <w:vAlign w:val="center"/>
                </w:tcPr>
                <w:p>
                  <w:pPr>
                    <w:spacing w:line="240" w:lineRule="atLeast"/>
                    <w:jc w:val="center"/>
                    <w:rPr>
                      <w:szCs w:val="21"/>
                    </w:rPr>
                  </w:pPr>
                  <w:r>
                    <w:rPr>
                      <w:szCs w:val="21"/>
                    </w:rPr>
                    <w:t>中西部丘陵沟壑农牧业与工矿型产业发展亚区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tcBorders>
                    <w:tl2br w:val="nil"/>
                    <w:tr2bl w:val="nil"/>
                  </w:tcBorders>
                  <w:noWrap w:val="0"/>
                  <w:vAlign w:val="center"/>
                </w:tcPr>
                <w:p>
                  <w:pPr>
                    <w:spacing w:line="240" w:lineRule="atLeast"/>
                    <w:jc w:val="center"/>
                    <w:rPr>
                      <w:szCs w:val="21"/>
                    </w:rPr>
                  </w:pPr>
                  <w:r>
                    <w:rPr>
                      <w:szCs w:val="21"/>
                    </w:rPr>
                    <w:t>Ⅲ</w:t>
                  </w:r>
                </w:p>
              </w:tc>
              <w:tc>
                <w:tcPr>
                  <w:tcW w:w="1588" w:type="pct"/>
                  <w:tcBorders>
                    <w:tl2br w:val="nil"/>
                    <w:tr2bl w:val="nil"/>
                  </w:tcBorders>
                  <w:noWrap w:val="0"/>
                  <w:vAlign w:val="center"/>
                </w:tcPr>
                <w:p>
                  <w:pPr>
                    <w:spacing w:line="240" w:lineRule="atLeast"/>
                    <w:jc w:val="center"/>
                    <w:rPr>
                      <w:szCs w:val="21"/>
                    </w:rPr>
                  </w:pPr>
                  <w:r>
                    <w:rPr>
                      <w:szCs w:val="21"/>
                    </w:rPr>
                    <w:t>北部丘陵沟壑生态恢复与治理区</w:t>
                  </w:r>
                </w:p>
              </w:tc>
              <w:tc>
                <w:tcPr>
                  <w:tcW w:w="646" w:type="pct"/>
                  <w:tcBorders>
                    <w:tl2br w:val="nil"/>
                    <w:tr2bl w:val="nil"/>
                  </w:tcBorders>
                  <w:noWrap w:val="0"/>
                  <w:vAlign w:val="center"/>
                </w:tcPr>
                <w:p>
                  <w:pPr>
                    <w:spacing w:line="240" w:lineRule="atLeast"/>
                    <w:jc w:val="center"/>
                    <w:rPr>
                      <w:szCs w:val="21"/>
                    </w:rPr>
                  </w:pPr>
                  <w:r>
                    <w:rPr>
                      <w:szCs w:val="21"/>
                    </w:rPr>
                    <w:t>--</w:t>
                  </w:r>
                </w:p>
              </w:tc>
              <w:tc>
                <w:tcPr>
                  <w:tcW w:w="2119" w:type="pct"/>
                  <w:tcBorders>
                    <w:tl2br w:val="nil"/>
                    <w:tr2bl w:val="nil"/>
                  </w:tcBorders>
                  <w:noWrap w:val="0"/>
                  <w:vAlign w:val="center"/>
                </w:tcPr>
                <w:p>
                  <w:pPr>
                    <w:spacing w:line="240" w:lineRule="atLeast"/>
                    <w:jc w:val="center"/>
                    <w:rPr>
                      <w:szCs w:val="21"/>
                    </w:rPr>
                  </w:pPr>
                  <w:r>
                    <w:rPr>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tcBorders>
                    <w:tl2br w:val="nil"/>
                    <w:tr2bl w:val="nil"/>
                  </w:tcBorders>
                  <w:noWrap w:val="0"/>
                  <w:vAlign w:val="center"/>
                </w:tcPr>
                <w:p>
                  <w:pPr>
                    <w:spacing w:line="240" w:lineRule="atLeast"/>
                    <w:jc w:val="center"/>
                    <w:rPr>
                      <w:szCs w:val="21"/>
                    </w:rPr>
                  </w:pPr>
                  <w:r>
                    <w:rPr>
                      <w:szCs w:val="21"/>
                    </w:rPr>
                    <w:t>Ⅳ</w:t>
                  </w:r>
                </w:p>
              </w:tc>
              <w:tc>
                <w:tcPr>
                  <w:tcW w:w="1588" w:type="pct"/>
                  <w:tcBorders>
                    <w:tl2br w:val="nil"/>
                    <w:tr2bl w:val="nil"/>
                  </w:tcBorders>
                  <w:noWrap w:val="0"/>
                  <w:vAlign w:val="center"/>
                </w:tcPr>
                <w:p>
                  <w:pPr>
                    <w:spacing w:line="240" w:lineRule="atLeast"/>
                    <w:jc w:val="center"/>
                    <w:rPr>
                      <w:szCs w:val="21"/>
                    </w:rPr>
                  </w:pPr>
                  <w:r>
                    <w:rPr>
                      <w:szCs w:val="21"/>
                    </w:rPr>
                    <w:t>西南部高原沟壑生态恢复区</w:t>
                  </w:r>
                </w:p>
              </w:tc>
              <w:tc>
                <w:tcPr>
                  <w:tcW w:w="646" w:type="pct"/>
                  <w:tcBorders>
                    <w:tl2br w:val="nil"/>
                    <w:tr2bl w:val="nil"/>
                  </w:tcBorders>
                  <w:noWrap w:val="0"/>
                  <w:vAlign w:val="center"/>
                </w:tcPr>
                <w:p>
                  <w:pPr>
                    <w:spacing w:line="240" w:lineRule="atLeast"/>
                    <w:jc w:val="center"/>
                    <w:rPr>
                      <w:szCs w:val="21"/>
                    </w:rPr>
                  </w:pPr>
                  <w:r>
                    <w:rPr>
                      <w:szCs w:val="21"/>
                    </w:rPr>
                    <w:t>--</w:t>
                  </w:r>
                </w:p>
              </w:tc>
              <w:tc>
                <w:tcPr>
                  <w:tcW w:w="2119" w:type="pct"/>
                  <w:tcBorders>
                    <w:tl2br w:val="nil"/>
                    <w:tr2bl w:val="nil"/>
                  </w:tcBorders>
                  <w:noWrap w:val="0"/>
                  <w:vAlign w:val="center"/>
                </w:tcPr>
                <w:p>
                  <w:pPr>
                    <w:spacing w:line="240" w:lineRule="atLeast"/>
                    <w:jc w:val="center"/>
                    <w:rPr>
                      <w:szCs w:val="21"/>
                    </w:rPr>
                  </w:pPr>
                  <w:r>
                    <w:rPr>
                      <w:szCs w:val="21"/>
                    </w:rPr>
                    <w:t>/</w:t>
                  </w:r>
                </w:p>
              </w:tc>
            </w:tr>
          </w:tbl>
          <w:p>
            <w:pPr>
              <w:autoSpaceDE w:val="0"/>
              <w:autoSpaceDN w:val="0"/>
              <w:adjustRightInd w:val="0"/>
              <w:snapToGrid w:val="0"/>
              <w:spacing w:line="360" w:lineRule="auto"/>
              <w:ind w:firstLine="480" w:firstLineChars="200"/>
              <w:rPr>
                <w:kern w:val="0"/>
                <w:sz w:val="24"/>
              </w:rPr>
            </w:pPr>
            <w:r>
              <w:rPr>
                <w:kern w:val="0"/>
                <w:sz w:val="24"/>
              </w:rPr>
              <w:t>根据庆阳市生态市建设规划，</w:t>
            </w:r>
            <w:r>
              <w:rPr>
                <w:sz w:val="24"/>
              </w:rPr>
              <w:t>本项目位于宁县</w:t>
            </w:r>
            <w:r>
              <w:rPr>
                <w:rFonts w:hint="eastAsia"/>
                <w:sz w:val="24"/>
                <w:lang w:val="en-US" w:eastAsia="zh-CN"/>
              </w:rPr>
              <w:t>中村镇秦店村</w:t>
            </w:r>
            <w:r>
              <w:rPr>
                <w:sz w:val="24"/>
              </w:rPr>
              <w:t>，所处生态环境功能区为Ⅱ-2中南部生态工业集中发展亚区，具体见附图1-3。</w:t>
            </w:r>
          </w:p>
          <w:p>
            <w:pPr>
              <w:adjustRightInd w:val="0"/>
              <w:snapToGrid w:val="0"/>
              <w:spacing w:line="360" w:lineRule="auto"/>
              <w:ind w:firstLine="480" w:firstLineChars="200"/>
              <w:rPr>
                <w:rFonts w:hint="eastAsia" w:eastAsia="宋体"/>
                <w:color w:val="auto"/>
                <w:lang w:val="en-US" w:eastAsia="zh-CN"/>
              </w:rPr>
            </w:pPr>
            <w:r>
              <w:rPr>
                <w:color w:val="000000"/>
                <w:kern w:val="0"/>
                <w:sz w:val="24"/>
              </w:rPr>
              <w:t>本项目为砖瓦制造，</w:t>
            </w:r>
            <w:r>
              <w:rPr>
                <w:color w:val="000000"/>
                <w:kern w:val="24"/>
                <w:sz w:val="24"/>
              </w:rPr>
              <w:t>施工期和运营期产生的污染影响和生态影响，建设单位拟采取相应的环保措施和管理要求，能够满足《规划》中提出的环保目标，符合规划要求。</w:t>
            </w:r>
          </w:p>
        </w:tc>
      </w:tr>
    </w:tbl>
    <w:p>
      <w:pPr>
        <w:spacing w:line="360" w:lineRule="auto"/>
        <w:outlineLvl w:val="0"/>
        <w:rPr>
          <w:rFonts w:eastAsia="黑体"/>
          <w:color w:val="auto"/>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hint="eastAsia" w:ascii="宋体" w:hAnsi="宋体" w:eastAsia="宋体" w:cs="宋体"/>
          <w:b/>
          <w:bCs/>
          <w:snapToGrid w:val="0"/>
          <w:color w:val="auto"/>
          <w:sz w:val="30"/>
          <w:szCs w:val="30"/>
          <w:lang w:val="en-US" w:eastAsia="zh-CN"/>
        </w:rPr>
      </w:pPr>
      <w:r>
        <w:rPr>
          <w:rFonts w:hint="eastAsia" w:ascii="宋体" w:hAnsi="宋体" w:eastAsia="宋体" w:cs="宋体"/>
          <w:b/>
          <w:bCs/>
          <w:snapToGrid w:val="0"/>
          <w:color w:val="auto"/>
          <w:sz w:val="30"/>
          <w:szCs w:val="30"/>
        </w:rPr>
        <w:t>二、建设</w:t>
      </w:r>
      <w:r>
        <w:rPr>
          <w:rFonts w:hint="eastAsia" w:cs="宋体"/>
          <w:b/>
          <w:bCs/>
          <w:snapToGrid w:val="0"/>
          <w:color w:val="auto"/>
          <w:sz w:val="30"/>
          <w:szCs w:val="30"/>
          <w:lang w:val="en-US" w:eastAsia="zh-CN"/>
        </w:rPr>
        <w:t>内容</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
        <w:gridCol w:w="81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416" w:type="dxa"/>
            <w:vAlign w:val="center"/>
          </w:tcPr>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地理位置</w:t>
            </w:r>
          </w:p>
        </w:tc>
        <w:tc>
          <w:tcPr>
            <w:tcW w:w="8101" w:type="dxa"/>
          </w:tcPr>
          <w:p>
            <w:pPr>
              <w:pStyle w:val="60"/>
              <w:ind w:firstLine="420"/>
              <w:rPr>
                <w:rFonts w:hint="eastAsia" w:eastAsia="宋体"/>
                <w:color w:val="auto"/>
                <w:sz w:val="24"/>
                <w:szCs w:val="24"/>
                <w:lang w:eastAsia="zh-CN"/>
              </w:rPr>
            </w:pPr>
            <w:r>
              <w:rPr>
                <w:rFonts w:hint="eastAsia"/>
                <w:color w:val="auto"/>
                <w:sz w:val="24"/>
                <w:szCs w:val="24"/>
                <w:lang w:val="en-US" w:eastAsia="zh-CN"/>
              </w:rPr>
              <w:t>拟建项目位于庆阳市宁县中村镇秦店村</w:t>
            </w:r>
            <w:r>
              <w:rPr>
                <w:color w:val="auto"/>
                <w:sz w:val="24"/>
                <w:szCs w:val="24"/>
              </w:rPr>
              <w:t>（</w:t>
            </w:r>
            <w:r>
              <w:rPr>
                <w:rFonts w:hint="eastAsia"/>
                <w:color w:val="auto"/>
                <w:sz w:val="24"/>
                <w:szCs w:val="24"/>
                <w:lang w:val="en-US" w:eastAsia="zh-CN"/>
              </w:rPr>
              <w:t>宁县成盛建材有限责任公司“《年产500万块空心新型砖生产线项目》”</w:t>
            </w:r>
            <w:r>
              <w:rPr>
                <w:color w:val="auto"/>
                <w:sz w:val="24"/>
                <w:szCs w:val="24"/>
              </w:rPr>
              <w:t>旧址）</w:t>
            </w:r>
            <w:r>
              <w:rPr>
                <w:rFonts w:hint="eastAsia"/>
                <w:color w:val="auto"/>
                <w:sz w:val="24"/>
                <w:szCs w:val="24"/>
                <w:lang w:eastAsia="zh-CN"/>
              </w:rPr>
              <w:t>（</w:t>
            </w:r>
            <w:r>
              <w:rPr>
                <w:rFonts w:hint="eastAsia"/>
                <w:color w:val="auto"/>
                <w:sz w:val="24"/>
                <w:szCs w:val="24"/>
                <w:lang w:val="en-US" w:eastAsia="zh-CN"/>
              </w:rPr>
              <w:t>中心坐标为</w:t>
            </w:r>
            <w:r>
              <w:rPr>
                <w:rFonts w:hint="eastAsia"/>
                <w:color w:val="auto"/>
                <w:sz w:val="24"/>
                <w:szCs w:val="24"/>
              </w:rPr>
              <w:t>东经</w:t>
            </w:r>
            <w:r>
              <w:rPr>
                <w:color w:val="auto"/>
                <w:sz w:val="24"/>
                <w:szCs w:val="24"/>
                <w:u w:val="none"/>
              </w:rPr>
              <w:t>10</w:t>
            </w:r>
            <w:r>
              <w:rPr>
                <w:rFonts w:hint="eastAsia"/>
                <w:color w:val="auto"/>
                <w:sz w:val="24"/>
                <w:szCs w:val="24"/>
                <w:u w:val="none"/>
                <w:lang w:val="en-US" w:eastAsia="zh-CN"/>
              </w:rPr>
              <w:t>8</w:t>
            </w:r>
            <w:r>
              <w:rPr>
                <w:color w:val="auto"/>
                <w:sz w:val="24"/>
                <w:szCs w:val="24"/>
                <w:u w:val="none"/>
              </w:rPr>
              <w:t>度</w:t>
            </w:r>
            <w:r>
              <w:rPr>
                <w:rFonts w:hint="eastAsia"/>
                <w:color w:val="auto"/>
                <w:sz w:val="24"/>
                <w:szCs w:val="24"/>
                <w:u w:val="none"/>
                <w:lang w:val="en-US" w:eastAsia="zh-CN"/>
              </w:rPr>
              <w:t>0</w:t>
            </w:r>
            <w:r>
              <w:rPr>
                <w:color w:val="auto"/>
                <w:sz w:val="24"/>
                <w:szCs w:val="24"/>
                <w:u w:val="none"/>
              </w:rPr>
              <w:t>分</w:t>
            </w:r>
            <w:r>
              <w:rPr>
                <w:rFonts w:hint="eastAsia"/>
                <w:color w:val="auto"/>
                <w:sz w:val="24"/>
                <w:szCs w:val="24"/>
                <w:u w:val="none"/>
                <w:lang w:val="en-US" w:eastAsia="zh-CN"/>
              </w:rPr>
              <w:t>31.664</w:t>
            </w:r>
            <w:r>
              <w:rPr>
                <w:color w:val="auto"/>
                <w:sz w:val="24"/>
                <w:szCs w:val="24"/>
                <w:u w:val="none"/>
              </w:rPr>
              <w:t>秒，</w:t>
            </w:r>
            <w:r>
              <w:rPr>
                <w:rFonts w:hint="eastAsia"/>
                <w:color w:val="auto"/>
                <w:sz w:val="24"/>
                <w:szCs w:val="24"/>
                <w:u w:val="none"/>
              </w:rPr>
              <w:t>北纬</w:t>
            </w:r>
            <w:r>
              <w:rPr>
                <w:color w:val="auto"/>
                <w:sz w:val="24"/>
                <w:szCs w:val="24"/>
                <w:u w:val="none"/>
              </w:rPr>
              <w:t>3</w:t>
            </w:r>
            <w:r>
              <w:rPr>
                <w:rFonts w:hint="eastAsia"/>
                <w:color w:val="auto"/>
                <w:sz w:val="24"/>
                <w:szCs w:val="24"/>
                <w:u w:val="none"/>
                <w:lang w:val="en-US" w:eastAsia="zh-CN"/>
              </w:rPr>
              <w:t>5</w:t>
            </w:r>
            <w:r>
              <w:rPr>
                <w:color w:val="auto"/>
                <w:sz w:val="24"/>
                <w:szCs w:val="24"/>
                <w:u w:val="none"/>
              </w:rPr>
              <w:t>度</w:t>
            </w:r>
            <w:r>
              <w:rPr>
                <w:rFonts w:hint="eastAsia"/>
                <w:color w:val="auto"/>
                <w:sz w:val="24"/>
                <w:szCs w:val="24"/>
                <w:u w:val="none"/>
                <w:lang w:val="en-US" w:eastAsia="zh-CN"/>
              </w:rPr>
              <w:t>20</w:t>
            </w:r>
            <w:r>
              <w:rPr>
                <w:color w:val="auto"/>
                <w:sz w:val="24"/>
                <w:szCs w:val="24"/>
                <w:u w:val="none"/>
              </w:rPr>
              <w:t>分</w:t>
            </w:r>
            <w:r>
              <w:rPr>
                <w:rFonts w:hint="eastAsia"/>
                <w:color w:val="auto"/>
                <w:sz w:val="24"/>
                <w:szCs w:val="24"/>
                <w:u w:val="none"/>
                <w:lang w:val="en-US" w:eastAsia="zh-CN"/>
              </w:rPr>
              <w:t>28.771</w:t>
            </w:r>
            <w:r>
              <w:rPr>
                <w:color w:val="auto"/>
                <w:sz w:val="24"/>
                <w:szCs w:val="24"/>
                <w:u w:val="none"/>
              </w:rPr>
              <w:t>秒</w:t>
            </w:r>
            <w:r>
              <w:rPr>
                <w:rFonts w:hint="eastAsia"/>
                <w:color w:val="auto"/>
                <w:sz w:val="24"/>
                <w:szCs w:val="24"/>
                <w:lang w:eastAsia="zh-CN"/>
              </w:rPr>
              <w:t>）</w:t>
            </w:r>
            <w:r>
              <w:rPr>
                <w:color w:val="auto"/>
                <w:sz w:val="24"/>
                <w:szCs w:val="24"/>
              </w:rPr>
              <w:t>，地理位置见附图1</w:t>
            </w:r>
            <w:r>
              <w:rPr>
                <w:rFonts w:hint="eastAsia"/>
                <w:color w:val="auto"/>
                <w:sz w:val="24"/>
                <w:szCs w:val="24"/>
                <w:lang w:eastAsia="zh-CN"/>
              </w:rPr>
              <w:t>。</w:t>
            </w:r>
            <w:r>
              <w:rPr>
                <w:color w:val="auto"/>
                <w:sz w:val="24"/>
                <w:szCs w:val="24"/>
              </w:rPr>
              <w:t>项目</w:t>
            </w:r>
            <w:r>
              <w:rPr>
                <w:rFonts w:hint="eastAsia"/>
                <w:color w:val="auto"/>
                <w:sz w:val="24"/>
                <w:szCs w:val="24"/>
                <w:lang w:val="en-US" w:eastAsia="zh-CN"/>
              </w:rPr>
              <w:t>西侧、北侧、南侧均为山地，东侧为耕地，距离本项目最近的居民为东北方向258m</w:t>
            </w:r>
            <w:r>
              <w:rPr>
                <w:color w:val="auto"/>
                <w:sz w:val="24"/>
                <w:szCs w:val="24"/>
              </w:rPr>
              <w:t>。周围环境关系及环境保护目标分布图见附图</w:t>
            </w:r>
            <w:r>
              <w:rPr>
                <w:rFonts w:hint="eastAsia"/>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dxa"/>
            <w:vAlign w:val="center"/>
          </w:tcPr>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项目组成及规模</w:t>
            </w:r>
          </w:p>
          <w:p>
            <w:pPr>
              <w:pStyle w:val="24"/>
              <w:adjustRightInd w:val="0"/>
              <w:snapToGrid w:val="0"/>
              <w:spacing w:before="0" w:beforeAutospacing="0" w:after="0" w:afterAutospacing="0"/>
              <w:jc w:val="center"/>
              <w:rPr>
                <w:rFonts w:ascii="Times New Roman" w:hAnsi="Times New Roman"/>
                <w:color w:val="auto"/>
                <w:sz w:val="24"/>
                <w:szCs w:val="24"/>
              </w:rPr>
            </w:pPr>
            <w:r>
              <w:rPr>
                <w:rFonts w:ascii="Times New Roman" w:hAnsi="Times New Roman"/>
                <w:color w:val="auto"/>
                <w:sz w:val="24"/>
                <w:szCs w:val="24"/>
              </w:rPr>
              <w:t>工艺流程和产排污环节</w:t>
            </w:r>
          </w:p>
        </w:tc>
        <w:tc>
          <w:tcPr>
            <w:tcW w:w="8101" w:type="dxa"/>
          </w:tcPr>
          <w:p>
            <w:pPr>
              <w:pStyle w:val="60"/>
              <w:ind w:left="0" w:leftChars="0" w:firstLine="0" w:firstLineChars="0"/>
              <w:rPr>
                <w:rFonts w:hint="default"/>
                <w:b/>
                <w:bCs/>
                <w:color w:val="auto"/>
                <w:sz w:val="24"/>
                <w:szCs w:val="24"/>
                <w:lang w:val="en-US" w:eastAsia="zh-CN"/>
              </w:rPr>
            </w:pPr>
            <w:r>
              <w:rPr>
                <w:rFonts w:hint="eastAsia"/>
                <w:b/>
                <w:bCs/>
                <w:color w:val="auto"/>
                <w:sz w:val="24"/>
                <w:szCs w:val="24"/>
                <w:lang w:val="en-US" w:eastAsia="zh-CN"/>
              </w:rPr>
              <w:t>1项目组成</w:t>
            </w:r>
          </w:p>
          <w:p>
            <w:pPr>
              <w:pStyle w:val="60"/>
              <w:ind w:left="0" w:leftChars="0" w:firstLine="480" w:firstLineChars="200"/>
              <w:rPr>
                <w:rFonts w:hint="eastAsia"/>
                <w:b/>
                <w:bCs/>
                <w:color w:val="auto"/>
                <w:sz w:val="24"/>
                <w:szCs w:val="24"/>
                <w:lang w:val="en-US" w:eastAsia="zh-CN"/>
              </w:rPr>
            </w:pPr>
            <w:bookmarkStart w:id="1" w:name="_Hlk116474802"/>
            <w:r>
              <w:rPr>
                <w:sz w:val="24"/>
              </w:rPr>
              <w:t>本项目</w:t>
            </w:r>
            <w:r>
              <w:rPr>
                <w:color w:val="auto"/>
                <w:sz w:val="24"/>
              </w:rPr>
              <w:t>包含采土场和</w:t>
            </w:r>
            <w:r>
              <w:rPr>
                <w:rFonts w:hint="eastAsia"/>
                <w:color w:val="auto"/>
                <w:sz w:val="24"/>
              </w:rPr>
              <w:t>制砖区</w:t>
            </w:r>
            <w:r>
              <w:rPr>
                <w:color w:val="auto"/>
                <w:sz w:val="24"/>
              </w:rPr>
              <w:t>两部</w:t>
            </w:r>
            <w:r>
              <w:rPr>
                <w:sz w:val="24"/>
              </w:rPr>
              <w:t>分，采土场位于厂区</w:t>
            </w:r>
            <w:r>
              <w:rPr>
                <w:rFonts w:hint="eastAsia"/>
                <w:sz w:val="24"/>
                <w:lang w:val="en-US" w:eastAsia="zh-CN"/>
              </w:rPr>
              <w:t>西南</w:t>
            </w:r>
            <w:r>
              <w:rPr>
                <w:sz w:val="24"/>
              </w:rPr>
              <w:t>侧，为露天开采。本次砖厂新建隧道窑一座，建成年生产能力</w:t>
            </w:r>
            <w:bookmarkEnd w:id="1"/>
            <w:r>
              <w:rPr>
                <w:rFonts w:hint="eastAsia"/>
                <w:color w:val="auto"/>
                <w:sz w:val="24"/>
                <w:szCs w:val="24"/>
                <w:lang w:val="en-US" w:eastAsia="zh-CN"/>
              </w:rPr>
              <w:t>6</w:t>
            </w:r>
            <w:r>
              <w:rPr>
                <w:rFonts w:hint="eastAsia"/>
                <w:color w:val="auto"/>
                <w:sz w:val="24"/>
                <w:szCs w:val="24"/>
                <w:lang w:eastAsia="zh-CN"/>
              </w:rPr>
              <w:t>000万</w:t>
            </w:r>
            <w:r>
              <w:rPr>
                <w:rFonts w:hint="eastAsia"/>
                <w:color w:val="auto"/>
                <w:sz w:val="24"/>
                <w:szCs w:val="24"/>
                <w:lang w:val="en-US" w:eastAsia="zh-CN"/>
              </w:rPr>
              <w:t>块烧结空心砖及空心砌块。</w:t>
            </w:r>
          </w:p>
          <w:p>
            <w:pPr>
              <w:pStyle w:val="60"/>
              <w:ind w:left="2159" w:leftChars="228" w:hanging="1680" w:hangingChars="700"/>
              <w:rPr>
                <w:rFonts w:hint="default" w:eastAsia="宋体"/>
                <w:color w:val="auto"/>
                <w:sz w:val="24"/>
                <w:szCs w:val="24"/>
                <w:lang w:val="en-US" w:eastAsia="zh-CN"/>
              </w:rPr>
            </w:pPr>
            <w:r>
              <w:rPr>
                <w:color w:val="auto"/>
                <w:sz w:val="24"/>
                <w:szCs w:val="24"/>
              </w:rPr>
              <w:t>（1）项目名称：</w:t>
            </w:r>
            <w:r>
              <w:rPr>
                <w:rFonts w:hint="eastAsia"/>
                <w:color w:val="auto"/>
                <w:sz w:val="24"/>
                <w:szCs w:val="24"/>
                <w:lang w:val="en-US" w:eastAsia="zh-CN"/>
              </w:rPr>
              <w:t>宁县成盛建材有限责任公司年产6000万块（折合标砖）烧结空心砖及空心砌块煤矸石综合利用项目</w:t>
            </w:r>
          </w:p>
          <w:p>
            <w:pPr>
              <w:pStyle w:val="60"/>
              <w:ind w:firstLine="420"/>
              <w:rPr>
                <w:rFonts w:hint="default" w:eastAsia="宋体"/>
                <w:color w:val="auto"/>
                <w:sz w:val="24"/>
                <w:szCs w:val="24"/>
                <w:lang w:val="en-US" w:eastAsia="zh-CN"/>
              </w:rPr>
            </w:pPr>
            <w:r>
              <w:rPr>
                <w:color w:val="auto"/>
                <w:sz w:val="24"/>
                <w:szCs w:val="24"/>
              </w:rPr>
              <w:t>（2）建设单位：</w:t>
            </w:r>
            <w:r>
              <w:rPr>
                <w:rFonts w:hint="eastAsia"/>
                <w:color w:val="auto"/>
                <w:sz w:val="24"/>
                <w:szCs w:val="24"/>
                <w:lang w:val="en-US" w:eastAsia="zh-CN"/>
              </w:rPr>
              <w:t>宁县成盛建材有限责任公司</w:t>
            </w:r>
          </w:p>
          <w:p>
            <w:pPr>
              <w:pStyle w:val="60"/>
              <w:ind w:firstLine="420"/>
              <w:rPr>
                <w:rFonts w:hint="default" w:eastAsia="宋体"/>
                <w:color w:val="auto"/>
                <w:sz w:val="24"/>
                <w:szCs w:val="24"/>
                <w:lang w:val="en-US" w:eastAsia="zh-CN"/>
              </w:rPr>
            </w:pPr>
            <w:r>
              <w:rPr>
                <w:color w:val="auto"/>
                <w:sz w:val="24"/>
                <w:szCs w:val="24"/>
              </w:rPr>
              <w:t>（3）项目性质：</w:t>
            </w:r>
            <w:r>
              <w:rPr>
                <w:rFonts w:hint="eastAsia"/>
                <w:color w:val="auto"/>
                <w:sz w:val="24"/>
                <w:szCs w:val="24"/>
                <w:lang w:val="en-US" w:eastAsia="zh-CN"/>
              </w:rPr>
              <w:t>技术改造</w:t>
            </w:r>
          </w:p>
          <w:p>
            <w:pPr>
              <w:pStyle w:val="60"/>
              <w:ind w:firstLine="420"/>
              <w:rPr>
                <w:color w:val="auto"/>
                <w:sz w:val="24"/>
                <w:szCs w:val="24"/>
              </w:rPr>
            </w:pPr>
            <w:r>
              <w:rPr>
                <w:color w:val="auto"/>
                <w:sz w:val="24"/>
                <w:szCs w:val="24"/>
              </w:rPr>
              <w:t>（4）项目投资：</w:t>
            </w:r>
            <w:r>
              <w:rPr>
                <w:rFonts w:hint="eastAsia"/>
                <w:color w:val="auto"/>
                <w:sz w:val="24"/>
                <w:szCs w:val="24"/>
                <w:lang w:val="en-US" w:eastAsia="zh-CN"/>
              </w:rPr>
              <w:t>1280</w:t>
            </w:r>
            <w:r>
              <w:rPr>
                <w:color w:val="auto"/>
                <w:sz w:val="24"/>
                <w:szCs w:val="24"/>
              </w:rPr>
              <w:t>万元</w:t>
            </w:r>
          </w:p>
          <w:p>
            <w:pPr>
              <w:pStyle w:val="60"/>
              <w:ind w:left="0" w:leftChars="0" w:firstLine="0" w:firstLineChars="0"/>
              <w:rPr>
                <w:rFonts w:hint="default"/>
                <w:b/>
                <w:bCs/>
                <w:color w:val="auto"/>
                <w:sz w:val="24"/>
                <w:szCs w:val="24"/>
                <w:lang w:val="en-US" w:eastAsia="zh-CN"/>
              </w:rPr>
            </w:pPr>
            <w:r>
              <w:rPr>
                <w:rFonts w:hint="eastAsia"/>
                <w:b/>
                <w:bCs/>
                <w:color w:val="auto"/>
                <w:sz w:val="24"/>
                <w:szCs w:val="24"/>
                <w:lang w:val="en-US" w:eastAsia="zh-CN"/>
              </w:rPr>
              <w:t>1.1采土场</w:t>
            </w:r>
          </w:p>
          <w:p>
            <w:pPr>
              <w:spacing w:line="360" w:lineRule="auto"/>
              <w:ind w:firstLine="480" w:firstLineChars="200"/>
              <w:jc w:val="left"/>
              <w:rPr>
                <w:bCs/>
                <w:color w:val="000000"/>
                <w:sz w:val="24"/>
              </w:rPr>
            </w:pPr>
            <w:r>
              <w:rPr>
                <w:bCs/>
                <w:color w:val="000000"/>
                <w:sz w:val="24"/>
              </w:rPr>
              <w:t>（1）开采范围</w:t>
            </w:r>
          </w:p>
          <w:p>
            <w:pPr>
              <w:pStyle w:val="60"/>
              <w:ind w:left="0" w:leftChars="0" w:firstLine="480" w:firstLineChars="200"/>
              <w:rPr>
                <w:rFonts w:hint="eastAsia" w:eastAsia="宋体"/>
                <w:b/>
                <w:bCs/>
                <w:color w:val="auto"/>
                <w:sz w:val="24"/>
                <w:szCs w:val="24"/>
                <w:lang w:val="en-US" w:eastAsia="zh-CN"/>
              </w:rPr>
            </w:pPr>
            <w:r>
              <w:rPr>
                <w:color w:val="000000"/>
                <w:sz w:val="24"/>
              </w:rPr>
              <w:t>根据项目《采矿许可证》划定的粘土开采范围，项目粘土开采区由</w:t>
            </w:r>
            <w:r>
              <w:rPr>
                <w:rFonts w:hint="eastAsia"/>
                <w:color w:val="000000"/>
                <w:sz w:val="24"/>
                <w:lang w:val="en-US" w:eastAsia="zh-CN"/>
              </w:rPr>
              <w:t>5</w:t>
            </w:r>
            <w:r>
              <w:rPr>
                <w:color w:val="000000"/>
                <w:sz w:val="24"/>
              </w:rPr>
              <w:t>个拐点组成，具体拐点信息见表2-1所示，采矿许可证见附件</w:t>
            </w:r>
            <w:r>
              <w:rPr>
                <w:rFonts w:hint="eastAsia"/>
                <w:color w:val="000000"/>
                <w:sz w:val="24"/>
                <w:lang w:eastAsia="zh-CN"/>
              </w:rPr>
              <w:t>。</w:t>
            </w:r>
          </w:p>
          <w:p>
            <w:pPr>
              <w:jc w:val="center"/>
              <w:rPr>
                <w:b/>
                <w:color w:val="000000"/>
                <w:szCs w:val="21"/>
                <w:lang w:val="en-GB"/>
              </w:rPr>
            </w:pPr>
            <w:r>
              <w:rPr>
                <w:b/>
                <w:color w:val="000000"/>
                <w:szCs w:val="21"/>
                <w:lang w:val="en-GB"/>
              </w:rPr>
              <w:t>表2-1  粘土开采区拐点坐标（西安80坐标）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610"/>
              <w:gridCol w:w="245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restart"/>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序号</w:t>
                  </w:r>
                </w:p>
              </w:tc>
              <w:tc>
                <w:tcPr>
                  <w:tcW w:w="1610" w:type="dxa"/>
                  <w:vMerge w:val="restart"/>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名称</w:t>
                  </w:r>
                </w:p>
              </w:tc>
              <w:tc>
                <w:tcPr>
                  <w:tcW w:w="5105" w:type="dxa"/>
                  <w:gridSpan w:val="2"/>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noWrap w:val="0"/>
                  <w:vAlign w:val="center"/>
                </w:tcPr>
                <w:p>
                  <w:pPr>
                    <w:jc w:val="center"/>
                    <w:rPr>
                      <w:bCs/>
                      <w:color w:val="000000" w:themeColor="text1"/>
                      <w14:textFill>
                        <w14:solidFill>
                          <w14:schemeClr w14:val="tx1"/>
                        </w14:solidFill>
                      </w14:textFill>
                    </w:rPr>
                  </w:pPr>
                </w:p>
              </w:tc>
              <w:tc>
                <w:tcPr>
                  <w:tcW w:w="1610" w:type="dxa"/>
                  <w:vMerge w:val="continue"/>
                  <w:noWrap w:val="0"/>
                  <w:vAlign w:val="center"/>
                </w:tcPr>
                <w:p>
                  <w:pPr>
                    <w:jc w:val="center"/>
                    <w:rPr>
                      <w:bCs/>
                      <w:color w:val="000000" w:themeColor="text1"/>
                      <w14:textFill>
                        <w14:solidFill>
                          <w14:schemeClr w14:val="tx1"/>
                        </w14:solidFill>
                      </w14:textFill>
                    </w:rPr>
                  </w:pPr>
                </w:p>
              </w:tc>
              <w:tc>
                <w:tcPr>
                  <w:tcW w:w="2450" w:type="dxa"/>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X</w:t>
                  </w:r>
                </w:p>
              </w:tc>
              <w:tc>
                <w:tcPr>
                  <w:tcW w:w="2655" w:type="dxa"/>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1</w:t>
                  </w:r>
                </w:p>
              </w:tc>
              <w:tc>
                <w:tcPr>
                  <w:tcW w:w="1610" w:type="dxa"/>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拐点1</w:t>
                  </w:r>
                </w:p>
              </w:tc>
              <w:tc>
                <w:tcPr>
                  <w:tcW w:w="2450" w:type="dxa"/>
                  <w:noWrap w:val="0"/>
                  <w:vAlign w:val="center"/>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3912411.92</w:t>
                  </w:r>
                </w:p>
              </w:tc>
              <w:tc>
                <w:tcPr>
                  <w:tcW w:w="2655" w:type="dxa"/>
                  <w:noWrap w:val="0"/>
                  <w:vAlign w:val="center"/>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36500686.23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2</w:t>
                  </w:r>
                </w:p>
              </w:tc>
              <w:tc>
                <w:tcPr>
                  <w:tcW w:w="1610" w:type="dxa"/>
                  <w:noWrap w:val="0"/>
                  <w:vAlign w:val="top"/>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拐点2</w:t>
                  </w:r>
                </w:p>
              </w:tc>
              <w:tc>
                <w:tcPr>
                  <w:tcW w:w="2450" w:type="dxa"/>
                  <w:noWrap w:val="0"/>
                  <w:vAlign w:val="top"/>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3912428.88</w:t>
                  </w:r>
                </w:p>
              </w:tc>
              <w:tc>
                <w:tcPr>
                  <w:tcW w:w="2655" w:type="dxa"/>
                  <w:noWrap w:val="0"/>
                  <w:vAlign w:val="top"/>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36500752.03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3</w:t>
                  </w:r>
                </w:p>
              </w:tc>
              <w:tc>
                <w:tcPr>
                  <w:tcW w:w="1610" w:type="dxa"/>
                  <w:noWrap w:val="0"/>
                  <w:vAlign w:val="top"/>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拐点3</w:t>
                  </w:r>
                </w:p>
              </w:tc>
              <w:tc>
                <w:tcPr>
                  <w:tcW w:w="2450" w:type="dxa"/>
                  <w:noWrap w:val="0"/>
                  <w:vAlign w:val="top"/>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3912432.45</w:t>
                  </w:r>
                </w:p>
              </w:tc>
              <w:tc>
                <w:tcPr>
                  <w:tcW w:w="2655" w:type="dxa"/>
                  <w:noWrap w:val="0"/>
                  <w:vAlign w:val="top"/>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36500812.87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4</w:t>
                  </w:r>
                </w:p>
              </w:tc>
              <w:tc>
                <w:tcPr>
                  <w:tcW w:w="1610" w:type="dxa"/>
                  <w:noWrap w:val="0"/>
                  <w:vAlign w:val="top"/>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拐点4</w:t>
                  </w:r>
                </w:p>
              </w:tc>
              <w:tc>
                <w:tcPr>
                  <w:tcW w:w="2450" w:type="dxa"/>
                  <w:noWrap w:val="0"/>
                  <w:vAlign w:val="top"/>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3912363.43</w:t>
                  </w:r>
                </w:p>
              </w:tc>
              <w:tc>
                <w:tcPr>
                  <w:tcW w:w="2655" w:type="dxa"/>
                  <w:noWrap w:val="0"/>
                  <w:vAlign w:val="top"/>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36500793.95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jc w:val="center"/>
                    <w:rPr>
                      <w:rFonts w:hint="eastAsia"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5</w:t>
                  </w:r>
                </w:p>
              </w:tc>
              <w:tc>
                <w:tcPr>
                  <w:tcW w:w="1610" w:type="dxa"/>
                  <w:noWrap w:val="0"/>
                  <w:vAlign w:val="top"/>
                </w:tcPr>
                <w:p>
                  <w:pPr>
                    <w:jc w:val="center"/>
                    <w:rPr>
                      <w:rFonts w:hint="eastAsia" w:eastAsia="宋体"/>
                      <w:bCs/>
                      <w:color w:val="000000" w:themeColor="text1"/>
                      <w:lang w:val="en-US" w:eastAsia="zh-CN"/>
                      <w14:textFill>
                        <w14:solidFill>
                          <w14:schemeClr w14:val="tx1"/>
                        </w14:solidFill>
                      </w14:textFill>
                    </w:rPr>
                  </w:pPr>
                  <w:r>
                    <w:rPr>
                      <w:bCs/>
                      <w:color w:val="000000" w:themeColor="text1"/>
                      <w14:textFill>
                        <w14:solidFill>
                          <w14:schemeClr w14:val="tx1"/>
                        </w14:solidFill>
                      </w14:textFill>
                    </w:rPr>
                    <w:t>拐点</w:t>
                  </w:r>
                  <w:r>
                    <w:rPr>
                      <w:rFonts w:hint="eastAsia"/>
                      <w:bCs/>
                      <w:color w:val="000000" w:themeColor="text1"/>
                      <w:lang w:val="en-US" w:eastAsia="zh-CN"/>
                      <w14:textFill>
                        <w14:solidFill>
                          <w14:schemeClr w14:val="tx1"/>
                        </w14:solidFill>
                      </w14:textFill>
                    </w:rPr>
                    <w:t>5</w:t>
                  </w:r>
                </w:p>
              </w:tc>
              <w:tc>
                <w:tcPr>
                  <w:tcW w:w="2450" w:type="dxa"/>
                  <w:noWrap w:val="0"/>
                  <w:vAlign w:val="top"/>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3912337.27</w:t>
                  </w:r>
                </w:p>
              </w:tc>
              <w:tc>
                <w:tcPr>
                  <w:tcW w:w="2655" w:type="dxa"/>
                  <w:noWrap w:val="0"/>
                  <w:vAlign w:val="top"/>
                </w:tcPr>
                <w:p>
                  <w:pPr>
                    <w:jc w:val="center"/>
                    <w:rPr>
                      <w:rFonts w:hint="default"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36500728.73</w:t>
                  </w:r>
                </w:p>
              </w:tc>
            </w:tr>
          </w:tbl>
          <w:p>
            <w:pPr>
              <w:spacing w:line="360" w:lineRule="auto"/>
              <w:ind w:firstLine="480" w:firstLineChars="200"/>
              <w:jc w:val="left"/>
              <w:rPr>
                <w:bCs/>
                <w:color w:val="000000"/>
                <w:sz w:val="24"/>
              </w:rPr>
            </w:pPr>
            <w:r>
              <w:rPr>
                <w:bCs/>
                <w:color w:val="000000"/>
                <w:sz w:val="24"/>
              </w:rPr>
              <w:t>（2）开采方式</w:t>
            </w:r>
          </w:p>
          <w:p>
            <w:pPr>
              <w:spacing w:line="360" w:lineRule="auto"/>
              <w:ind w:firstLine="480" w:firstLineChars="200"/>
              <w:jc w:val="left"/>
              <w:rPr>
                <w:color w:val="000000"/>
                <w:sz w:val="24"/>
              </w:rPr>
            </w:pPr>
            <w:r>
              <w:rPr>
                <w:color w:val="000000"/>
                <w:sz w:val="24"/>
              </w:rPr>
              <w:t>粘土矿山开采方式为露天开采；采矿方法为台阶缓坡陡采，先清理表层废物，然后挖取粘土，用推土机推至制砖区；开采顺序严格遵守从上至下的台阶式开采原则。</w:t>
            </w:r>
          </w:p>
          <w:p>
            <w:pPr>
              <w:spacing w:line="360" w:lineRule="auto"/>
              <w:ind w:firstLine="480" w:firstLineChars="200"/>
              <w:jc w:val="left"/>
              <w:rPr>
                <w:bCs/>
                <w:color w:val="000000"/>
                <w:sz w:val="24"/>
              </w:rPr>
            </w:pPr>
            <w:r>
              <w:rPr>
                <w:bCs/>
                <w:color w:val="000000"/>
                <w:sz w:val="24"/>
              </w:rPr>
              <w:t>（3）建设内容</w:t>
            </w:r>
          </w:p>
          <w:p>
            <w:pPr>
              <w:jc w:val="center"/>
              <w:rPr>
                <w:b/>
                <w:color w:val="000000"/>
                <w:szCs w:val="21"/>
                <w:lang w:val="en-GB"/>
              </w:rPr>
            </w:pPr>
            <w:r>
              <w:rPr>
                <w:b/>
                <w:color w:val="000000"/>
                <w:szCs w:val="21"/>
                <w:lang w:val="en-GB"/>
              </w:rPr>
              <w:t>表2-2  采土场建设内容组成一览表</w:t>
            </w:r>
          </w:p>
          <w:tbl>
            <w:tblPr>
              <w:tblStyle w:val="28"/>
              <w:tblpPr w:leftFromText="181" w:rightFromText="181" w:vertAnchor="text" w:horzAnchor="page"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07"/>
              <w:gridCol w:w="14"/>
              <w:gridCol w:w="1016"/>
              <w:gridCol w:w="5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9" w:type="pct"/>
                  <w:tcBorders>
                    <w:tl2br w:val="nil"/>
                    <w:tr2bl w:val="nil"/>
                  </w:tcBorders>
                  <w:noWrap w:val="0"/>
                  <w:tcMar>
                    <w:left w:w="57" w:type="dxa"/>
                    <w:right w:w="57" w:type="dxa"/>
                  </w:tcMar>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工程类别</w:t>
                  </w:r>
                </w:p>
              </w:tc>
              <w:tc>
                <w:tcPr>
                  <w:tcW w:w="1102" w:type="pct"/>
                  <w:gridSpan w:val="3"/>
                  <w:tcBorders>
                    <w:tl2br w:val="nil"/>
                    <w:tr2bl w:val="nil"/>
                  </w:tcBorders>
                  <w:noWrap w:val="0"/>
                  <w:tcMar>
                    <w:left w:w="57" w:type="dxa"/>
                    <w:right w:w="57" w:type="dxa"/>
                  </w:tcMar>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工程名称</w:t>
                  </w:r>
                </w:p>
              </w:tc>
              <w:tc>
                <w:tcPr>
                  <w:tcW w:w="3427" w:type="pct"/>
                  <w:tcBorders>
                    <w:tl2br w:val="nil"/>
                    <w:tr2bl w:val="nil"/>
                  </w:tcBorders>
                  <w:noWrap w:val="0"/>
                  <w:tcMar>
                    <w:left w:w="57" w:type="dxa"/>
                    <w:right w:w="57" w:type="dxa"/>
                  </w:tcMar>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69" w:type="pct"/>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主体工程</w:t>
                  </w:r>
                </w:p>
              </w:tc>
              <w:tc>
                <w:tcPr>
                  <w:tcW w:w="1102" w:type="pct"/>
                  <w:gridSpan w:val="3"/>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露天开采区</w:t>
                  </w:r>
                </w:p>
              </w:tc>
              <w:tc>
                <w:tcPr>
                  <w:tcW w:w="3427" w:type="pct"/>
                  <w:tcBorders>
                    <w:tl2br w:val="nil"/>
                    <w:tr2bl w:val="nil"/>
                  </w:tcBorders>
                  <w:noWrap w:val="0"/>
                  <w:tcMar>
                    <w:left w:w="57" w:type="dxa"/>
                    <w:right w:w="57" w:type="dxa"/>
                  </w:tcMar>
                  <w:vAlign w:val="center"/>
                </w:tcPr>
                <w:p>
                  <w:pPr>
                    <w:jc w:val="both"/>
                    <w:rPr>
                      <w:color w:val="000000" w:themeColor="text1"/>
                      <w14:textFill>
                        <w14:solidFill>
                          <w14:schemeClr w14:val="tx1"/>
                        </w14:solidFill>
                      </w14:textFill>
                    </w:rPr>
                  </w:pPr>
                  <w:r>
                    <w:rPr>
                      <w:color w:val="000000" w:themeColor="text1"/>
                      <w:szCs w:val="21"/>
                      <w:lang w:bidi="ar"/>
                      <w14:textFill>
                        <w14:solidFill>
                          <w14:schemeClr w14:val="tx1"/>
                        </w14:solidFill>
                      </w14:textFill>
                    </w:rPr>
                    <w:t>矿区</w:t>
                  </w:r>
                  <w:r>
                    <w:rPr>
                      <w:rFonts w:hint="eastAsia"/>
                      <w:color w:val="000000" w:themeColor="text1"/>
                      <w:szCs w:val="21"/>
                      <w:lang w:val="en-US" w:eastAsia="zh-CN" w:bidi="ar"/>
                      <w14:textFill>
                        <w14:solidFill>
                          <w14:schemeClr w14:val="tx1"/>
                        </w14:solidFill>
                      </w14:textFill>
                    </w:rPr>
                    <w:t>总</w:t>
                  </w:r>
                  <w:r>
                    <w:rPr>
                      <w:color w:val="000000" w:themeColor="text1"/>
                      <w:szCs w:val="21"/>
                      <w:lang w:bidi="ar"/>
                      <w14:textFill>
                        <w14:solidFill>
                          <w14:schemeClr w14:val="tx1"/>
                        </w14:solidFill>
                      </w14:textFill>
                    </w:rPr>
                    <w:t>面积为0.0</w:t>
                  </w:r>
                  <w:r>
                    <w:rPr>
                      <w:rFonts w:hint="eastAsia"/>
                      <w:color w:val="000000" w:themeColor="text1"/>
                      <w:szCs w:val="21"/>
                      <w:lang w:val="en-US" w:eastAsia="zh-CN" w:bidi="ar"/>
                      <w14:textFill>
                        <w14:solidFill>
                          <w14:schemeClr w14:val="tx1"/>
                        </w14:solidFill>
                      </w14:textFill>
                    </w:rPr>
                    <w:t>166</w:t>
                  </w:r>
                  <w:r>
                    <w:rPr>
                      <w:color w:val="000000" w:themeColor="text1"/>
                      <w:szCs w:val="21"/>
                      <w:lang w:bidi="ar"/>
                      <w14:textFill>
                        <w14:solidFill>
                          <w14:schemeClr w14:val="tx1"/>
                        </w14:solidFill>
                      </w14:textFill>
                    </w:rPr>
                    <w:t>km</w:t>
                  </w:r>
                  <w:r>
                    <w:rPr>
                      <w:color w:val="000000" w:themeColor="text1"/>
                      <w:szCs w:val="21"/>
                      <w:vertAlign w:val="superscript"/>
                      <w:lang w:bidi="ar"/>
                      <w14:textFill>
                        <w14:solidFill>
                          <w14:schemeClr w14:val="tx1"/>
                        </w14:solidFill>
                      </w14:textFill>
                    </w:rPr>
                    <w:t>2</w:t>
                  </w:r>
                  <w:r>
                    <w:rPr>
                      <w:color w:val="000000" w:themeColor="text1"/>
                      <w:szCs w:val="21"/>
                      <w:lang w:bidi="ar"/>
                      <w14:textFill>
                        <w14:solidFill>
                          <w14:schemeClr w14:val="tx1"/>
                        </w14:solidFill>
                      </w14:textFill>
                    </w:rPr>
                    <w:t>，</w:t>
                  </w:r>
                  <w:r>
                    <w:rPr>
                      <w:rFonts w:hint="eastAsia"/>
                      <w:color w:val="000000" w:themeColor="text1"/>
                      <w:szCs w:val="21"/>
                      <w:lang w:val="en-US" w:eastAsia="zh-CN" w:bidi="ar"/>
                      <w14:textFill>
                        <w14:solidFill>
                          <w14:schemeClr w14:val="tx1"/>
                        </w14:solidFill>
                      </w14:textFill>
                    </w:rPr>
                    <w:t>现剩余采矿面积7010m</w:t>
                  </w:r>
                  <w:r>
                    <w:rPr>
                      <w:rFonts w:hint="eastAsia"/>
                      <w:color w:val="000000" w:themeColor="text1"/>
                      <w:szCs w:val="21"/>
                      <w:vertAlign w:val="superscript"/>
                      <w:lang w:val="en-US" w:eastAsia="zh-CN" w:bidi="ar"/>
                      <w14:textFill>
                        <w14:solidFill>
                          <w14:schemeClr w14:val="tx1"/>
                        </w14:solidFill>
                      </w14:textFill>
                    </w:rPr>
                    <w:t>2</w:t>
                  </w:r>
                  <w:r>
                    <w:rPr>
                      <w:rFonts w:hint="eastAsia"/>
                      <w:color w:val="000000" w:themeColor="text1"/>
                      <w:szCs w:val="21"/>
                      <w:lang w:val="en-US" w:eastAsia="zh-CN" w:bidi="ar"/>
                      <w14:textFill>
                        <w14:solidFill>
                          <w14:schemeClr w14:val="tx1"/>
                        </w14:solidFill>
                      </w14:textFill>
                    </w:rPr>
                    <w:t>。</w:t>
                  </w:r>
                  <w:r>
                    <w:rPr>
                      <w:color w:val="000000" w:themeColor="text1"/>
                      <w:szCs w:val="21"/>
                      <w:lang w:bidi="ar"/>
                      <w14:textFill>
                        <w14:solidFill>
                          <w14:schemeClr w14:val="tx1"/>
                        </w14:solidFill>
                      </w14:textFill>
                    </w:rPr>
                    <w:t>圈定标高为</w:t>
                  </w:r>
                  <w:r>
                    <w:rPr>
                      <w:rFonts w:hint="eastAsia"/>
                      <w:color w:val="000000" w:themeColor="text1"/>
                      <w:szCs w:val="21"/>
                      <w:lang w:val="en-US" w:eastAsia="zh-CN" w:bidi="ar"/>
                      <w14:textFill>
                        <w14:solidFill>
                          <w14:schemeClr w14:val="tx1"/>
                        </w14:solidFill>
                      </w14:textFill>
                    </w:rPr>
                    <w:t>1220.41</w:t>
                  </w:r>
                  <w:r>
                    <w:rPr>
                      <w:color w:val="000000" w:themeColor="text1"/>
                      <w:szCs w:val="21"/>
                      <w:lang w:bidi="ar"/>
                      <w14:textFill>
                        <w14:solidFill>
                          <w14:schemeClr w14:val="tx1"/>
                        </w14:solidFill>
                      </w14:textFill>
                    </w:rPr>
                    <w:t>m～1</w:t>
                  </w:r>
                  <w:r>
                    <w:rPr>
                      <w:rFonts w:hint="eastAsia"/>
                      <w:color w:val="000000" w:themeColor="text1"/>
                      <w:szCs w:val="21"/>
                      <w:lang w:val="en-US" w:eastAsia="zh-CN" w:bidi="ar"/>
                      <w14:textFill>
                        <w14:solidFill>
                          <w14:schemeClr w14:val="tx1"/>
                        </w14:solidFill>
                      </w14:textFill>
                    </w:rPr>
                    <w:t>208.88</w:t>
                  </w:r>
                  <w:r>
                    <w:rPr>
                      <w:color w:val="000000" w:themeColor="text1"/>
                      <w:szCs w:val="21"/>
                      <w:lang w:bidi="ar"/>
                      <w14:textFill>
                        <w14:solidFill>
                          <w14:schemeClr w14:val="tx1"/>
                        </w14:solidFill>
                      </w14:textFill>
                    </w:rPr>
                    <w:t>m，由</w:t>
                  </w:r>
                  <w:r>
                    <w:rPr>
                      <w:rFonts w:hint="eastAsia"/>
                      <w:color w:val="000000" w:themeColor="text1"/>
                      <w:szCs w:val="21"/>
                      <w:lang w:val="en-US" w:eastAsia="zh-CN" w:bidi="ar"/>
                      <w14:textFill>
                        <w14:solidFill>
                          <w14:schemeClr w14:val="tx1"/>
                        </w14:solidFill>
                      </w14:textFill>
                    </w:rPr>
                    <w:t>5</w:t>
                  </w:r>
                  <w:r>
                    <w:rPr>
                      <w:color w:val="000000" w:themeColor="text1"/>
                      <w:szCs w:val="21"/>
                      <w:lang w:bidi="ar"/>
                      <w14:textFill>
                        <w14:solidFill>
                          <w14:schemeClr w14:val="tx1"/>
                        </w14:solidFill>
                      </w14:textFill>
                    </w:rPr>
                    <w:t>个拐点圈定，开采方式为露天开采，采矿方法为：组合台阶自上而下的开采。设计台阶高度为10m，台阶坡面角定为50°，安全平台宽度确定为3m，最终边坡脚</w:t>
                  </w:r>
                  <w:r>
                    <w:rPr>
                      <w:rFonts w:hint="eastAsia" w:ascii="宋体" w:hAnsi="宋体" w:cs="宋体"/>
                      <w:color w:val="000000" w:themeColor="text1"/>
                      <w:szCs w:val="21"/>
                      <w:lang w:bidi="ar"/>
                      <w14:textFill>
                        <w14:solidFill>
                          <w14:schemeClr w14:val="tx1"/>
                        </w14:solidFill>
                      </w14:textFill>
                    </w:rPr>
                    <w:t>≦</w:t>
                  </w:r>
                  <w:r>
                    <w:rPr>
                      <w:color w:val="000000" w:themeColor="text1"/>
                      <w:szCs w:val="21"/>
                      <w:lang w:bidi="ar"/>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69" w:type="pct"/>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储运工程</w:t>
                  </w:r>
                </w:p>
              </w:tc>
              <w:tc>
                <w:tcPr>
                  <w:tcW w:w="1102" w:type="pct"/>
                  <w:gridSpan w:val="3"/>
                  <w:tcBorders>
                    <w:tl2br w:val="nil"/>
                    <w:tr2bl w:val="nil"/>
                  </w:tcBorders>
                  <w:noWrap w:val="0"/>
                  <w:tcMar>
                    <w:left w:w="57" w:type="dxa"/>
                    <w:right w:w="57" w:type="dxa"/>
                  </w:tcMar>
                  <w:vAlign w:val="center"/>
                </w:tcPr>
                <w:p>
                  <w:pPr>
                    <w:jc w:val="center"/>
                    <w:rPr>
                      <w:color w:val="auto"/>
                      <w:highlight w:val="yellow"/>
                    </w:rPr>
                  </w:pPr>
                  <w:r>
                    <w:rPr>
                      <w:color w:val="auto"/>
                      <w:highlight w:val="none"/>
                    </w:rPr>
                    <w:t>表土堆场</w:t>
                  </w:r>
                </w:p>
              </w:tc>
              <w:tc>
                <w:tcPr>
                  <w:tcW w:w="3427" w:type="pct"/>
                  <w:tcBorders>
                    <w:tl2br w:val="nil"/>
                    <w:tr2bl w:val="nil"/>
                  </w:tcBorders>
                  <w:noWrap w:val="0"/>
                  <w:tcMar>
                    <w:left w:w="57" w:type="dxa"/>
                    <w:right w:w="57" w:type="dxa"/>
                  </w:tcMar>
                  <w:vAlign w:val="center"/>
                </w:tcPr>
                <w:p>
                  <w:pPr>
                    <w:jc w:val="center"/>
                    <w:rPr>
                      <w:color w:val="auto"/>
                      <w:highlight w:val="yellow"/>
                    </w:rPr>
                  </w:pPr>
                  <w:r>
                    <w:rPr>
                      <w:rFonts w:hint="eastAsia" w:ascii="Times New Roman" w:hAnsi="Times New Roman" w:eastAsia="宋体" w:cs="Times New Roman"/>
                      <w:color w:val="auto"/>
                      <w:szCs w:val="21"/>
                      <w:lang w:val="en-US" w:eastAsia="zh-CN"/>
                    </w:rPr>
                    <w:t>根据本项目水土保持方案报告表内容</w:t>
                  </w:r>
                  <w:r>
                    <w:rPr>
                      <w:rFonts w:hint="default" w:ascii="Times New Roman" w:hAnsi="Times New Roman" w:eastAsia="宋体" w:cs="Times New Roman"/>
                      <w:color w:val="auto"/>
                      <w:szCs w:val="21"/>
                      <w:lang w:val="en-US" w:eastAsia="zh-CN"/>
                    </w:rPr>
                    <w:t>，项目建设中为恢复和保持绿化区土壤肥力，提高林草成活率和确保林草正常生长，按水土保持技术规范要求，在项目开工建设前，对表层有机土进行剥离并单独堆存，在项目后期绿化时进行表土回覆。因本项目为原有场地基础上的改建砖窑生产线项目，项目扰动原地貌无表土可剥离，因此本</w:t>
                  </w:r>
                  <w:r>
                    <w:rPr>
                      <w:rFonts w:hint="eastAsia" w:ascii="Times New Roman" w:hAnsi="Times New Roman" w:eastAsia="宋体" w:cs="Times New Roman"/>
                      <w:color w:val="auto"/>
                      <w:szCs w:val="21"/>
                      <w:lang w:val="en-US" w:eastAsia="zh-CN"/>
                    </w:rPr>
                    <w:t>项目</w:t>
                  </w:r>
                  <w:r>
                    <w:rPr>
                      <w:rFonts w:hint="default" w:ascii="Times New Roman" w:hAnsi="Times New Roman" w:eastAsia="宋体" w:cs="Times New Roman"/>
                      <w:color w:val="auto"/>
                      <w:szCs w:val="21"/>
                      <w:lang w:val="en-US" w:eastAsia="zh-CN"/>
                    </w:rPr>
                    <w:t>不进行表土剥离设计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9" w:type="pct"/>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附属工程</w:t>
                  </w:r>
                </w:p>
              </w:tc>
              <w:tc>
                <w:tcPr>
                  <w:tcW w:w="1102" w:type="pct"/>
                  <w:gridSpan w:val="3"/>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矿区道路</w:t>
                  </w:r>
                </w:p>
              </w:tc>
              <w:tc>
                <w:tcPr>
                  <w:tcW w:w="3427" w:type="pct"/>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矿区道路全长</w:t>
                  </w:r>
                  <w:r>
                    <w:rPr>
                      <w:rFonts w:hint="eastAsia"/>
                      <w:color w:val="000000" w:themeColor="text1"/>
                      <w:lang w:val="en-US" w:eastAsia="zh-CN"/>
                      <w14:textFill>
                        <w14:solidFill>
                          <w14:schemeClr w14:val="tx1"/>
                        </w14:solidFill>
                      </w14:textFill>
                    </w:rPr>
                    <w:t>115</w:t>
                  </w:r>
                  <w:r>
                    <w:rPr>
                      <w:color w:val="000000" w:themeColor="text1"/>
                      <w14:textFill>
                        <w14:solidFill>
                          <w14:schemeClr w14:val="tx1"/>
                        </w14:solidFill>
                      </w14:textFill>
                    </w:rPr>
                    <w:t>m，砂石路面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9" w:type="pct"/>
                  <w:vMerge w:val="restart"/>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环保工程</w:t>
                  </w:r>
                </w:p>
              </w:tc>
              <w:tc>
                <w:tcPr>
                  <w:tcW w:w="448" w:type="pct"/>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废气治理</w:t>
                  </w:r>
                </w:p>
              </w:tc>
              <w:tc>
                <w:tcPr>
                  <w:tcW w:w="653" w:type="pct"/>
                  <w:gridSpan w:val="2"/>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采土扬尘</w:t>
                  </w:r>
                </w:p>
              </w:tc>
              <w:tc>
                <w:tcPr>
                  <w:tcW w:w="3427" w:type="pct"/>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9" w:type="pct"/>
                  <w:vMerge w:val="continue"/>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p>
              </w:tc>
              <w:tc>
                <w:tcPr>
                  <w:tcW w:w="448" w:type="pct"/>
                  <w:vMerge w:val="restart"/>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废水治理</w:t>
                  </w:r>
                </w:p>
              </w:tc>
              <w:tc>
                <w:tcPr>
                  <w:tcW w:w="653" w:type="pct"/>
                  <w:gridSpan w:val="2"/>
                  <w:tcBorders>
                    <w:tl2br w:val="nil"/>
                    <w:tr2bl w:val="nil"/>
                  </w:tcBorders>
                  <w:noWrap w:val="0"/>
                  <w:tcMar>
                    <w:left w:w="57" w:type="dxa"/>
                    <w:right w:w="57" w:type="dxa"/>
                  </w:tcMar>
                  <w:vAlign w:val="center"/>
                </w:tcPr>
                <w:p>
                  <w:pPr>
                    <w:jc w:val="center"/>
                    <w:rPr>
                      <w:rFonts w:hint="eastAsia" w:eastAsia="宋体"/>
                      <w:color w:val="auto"/>
                      <w:highlight w:val="none"/>
                      <w:lang w:eastAsia="zh-CN"/>
                    </w:rPr>
                  </w:pPr>
                  <w:r>
                    <w:rPr>
                      <w:rFonts w:hint="eastAsia"/>
                      <w:color w:val="auto"/>
                      <w:highlight w:val="none"/>
                      <w:lang w:eastAsia="zh-CN"/>
                    </w:rPr>
                    <w:t>雨水</w:t>
                  </w:r>
                </w:p>
              </w:tc>
              <w:tc>
                <w:tcPr>
                  <w:tcW w:w="3427" w:type="pct"/>
                  <w:tcBorders>
                    <w:tl2br w:val="nil"/>
                    <w:tr2bl w:val="nil"/>
                  </w:tcBorders>
                  <w:noWrap w:val="0"/>
                  <w:tcMar>
                    <w:left w:w="57" w:type="dxa"/>
                    <w:right w:w="57" w:type="dxa"/>
                  </w:tcMar>
                  <w:vAlign w:val="center"/>
                </w:tcPr>
                <w:p>
                  <w:pPr>
                    <w:jc w:val="center"/>
                    <w:rPr>
                      <w:color w:val="auto"/>
                      <w:highlight w:val="none"/>
                    </w:rPr>
                  </w:pPr>
                  <w:r>
                    <w:rPr>
                      <w:color w:val="auto"/>
                      <w:highlight w:val="none"/>
                    </w:rPr>
                    <w:t>在项目区地势较低处设置一个容积为</w:t>
                  </w:r>
                  <w:r>
                    <w:rPr>
                      <w:rFonts w:hint="eastAsia"/>
                      <w:color w:val="auto"/>
                      <w:highlight w:val="none"/>
                      <w:lang w:val="en-US" w:eastAsia="zh-CN"/>
                    </w:rPr>
                    <w:t>250</w:t>
                  </w:r>
                  <w:r>
                    <w:rPr>
                      <w:color w:val="auto"/>
                      <w:highlight w:val="none"/>
                    </w:rPr>
                    <w:t>m</w:t>
                  </w:r>
                  <w:r>
                    <w:rPr>
                      <w:color w:val="auto"/>
                      <w:highlight w:val="none"/>
                      <w:vertAlign w:val="superscript"/>
                    </w:rPr>
                    <w:t>3</w:t>
                  </w:r>
                  <w:r>
                    <w:rPr>
                      <w:color w:val="auto"/>
                      <w:highlight w:val="none"/>
                    </w:rPr>
                    <w:t>的雨水收集池将雨水收集后回用于生产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9" w:type="pct"/>
                  <w:vMerge w:val="continue"/>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p>
              </w:tc>
              <w:tc>
                <w:tcPr>
                  <w:tcW w:w="448" w:type="pct"/>
                  <w:vMerge w:val="continue"/>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p>
              </w:tc>
              <w:tc>
                <w:tcPr>
                  <w:tcW w:w="653" w:type="pct"/>
                  <w:gridSpan w:val="2"/>
                  <w:tcBorders>
                    <w:tl2br w:val="nil"/>
                    <w:tr2bl w:val="nil"/>
                  </w:tcBorders>
                  <w:noWrap w:val="0"/>
                  <w:tcMar>
                    <w:left w:w="57" w:type="dxa"/>
                    <w:right w:w="57" w:type="dxa"/>
                  </w:tcMar>
                  <w:vAlign w:val="center"/>
                </w:tcPr>
                <w:p>
                  <w:pPr>
                    <w:jc w:val="center"/>
                    <w:rPr>
                      <w:color w:val="auto"/>
                    </w:rPr>
                  </w:pPr>
                  <w:r>
                    <w:rPr>
                      <w:color w:val="auto"/>
                    </w:rPr>
                    <w:t>截排水沟</w:t>
                  </w:r>
                </w:p>
              </w:tc>
              <w:tc>
                <w:tcPr>
                  <w:tcW w:w="3427" w:type="pct"/>
                  <w:tcBorders>
                    <w:tl2br w:val="nil"/>
                    <w:tr2bl w:val="nil"/>
                  </w:tcBorders>
                  <w:noWrap w:val="0"/>
                  <w:tcMar>
                    <w:left w:w="57" w:type="dxa"/>
                    <w:right w:w="57" w:type="dxa"/>
                  </w:tcMar>
                  <w:vAlign w:val="center"/>
                </w:tcPr>
                <w:p>
                  <w:pPr>
                    <w:jc w:val="center"/>
                    <w:rPr>
                      <w:color w:val="auto"/>
                    </w:rPr>
                  </w:pPr>
                  <w:r>
                    <w:rPr>
                      <w:color w:val="auto"/>
                    </w:rPr>
                    <w:t>截排水沟长约</w:t>
                  </w:r>
                  <w:r>
                    <w:rPr>
                      <w:rFonts w:hint="eastAsia"/>
                      <w:color w:val="auto"/>
                      <w:lang w:val="en-US" w:eastAsia="zh-CN"/>
                    </w:rPr>
                    <w:t>180</w:t>
                  </w:r>
                  <w:r>
                    <w:rPr>
                      <w:color w:val="auto"/>
                    </w:rPr>
                    <w:t>m，断面0.5×0.5m明沟，采用预制混凝土建造，位于露天采场最终开采境界外围。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9" w:type="pct"/>
                  <w:vMerge w:val="continue"/>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p>
              </w:tc>
              <w:tc>
                <w:tcPr>
                  <w:tcW w:w="1102" w:type="pct"/>
                  <w:gridSpan w:val="3"/>
                  <w:tcBorders>
                    <w:tl2br w:val="nil"/>
                    <w:tr2bl w:val="nil"/>
                  </w:tcBorders>
                  <w:noWrap w:val="0"/>
                  <w:tcMar>
                    <w:left w:w="57" w:type="dxa"/>
                    <w:right w:w="57" w:type="dxa"/>
                  </w:tcMar>
                  <w:vAlign w:val="center"/>
                </w:tcPr>
                <w:p>
                  <w:pPr>
                    <w:jc w:val="center"/>
                    <w:rPr>
                      <w:color w:val="auto"/>
                    </w:rPr>
                  </w:pPr>
                  <w:r>
                    <w:rPr>
                      <w:color w:val="auto"/>
                    </w:rPr>
                    <w:t>噪声</w:t>
                  </w:r>
                </w:p>
              </w:tc>
              <w:tc>
                <w:tcPr>
                  <w:tcW w:w="3427" w:type="pct"/>
                  <w:tcBorders>
                    <w:tl2br w:val="nil"/>
                    <w:tr2bl w:val="nil"/>
                  </w:tcBorders>
                  <w:noWrap w:val="0"/>
                  <w:tcMar>
                    <w:left w:w="57" w:type="dxa"/>
                    <w:right w:w="57" w:type="dxa"/>
                  </w:tcMar>
                  <w:vAlign w:val="center"/>
                </w:tcPr>
                <w:p>
                  <w:pPr>
                    <w:jc w:val="center"/>
                    <w:rPr>
                      <w:rFonts w:hint="default" w:eastAsia="宋体"/>
                      <w:color w:val="auto"/>
                      <w:lang w:val="en-US" w:eastAsia="zh-CN"/>
                    </w:rPr>
                  </w:pPr>
                  <w:r>
                    <w:rPr>
                      <w:rFonts w:hint="eastAsia"/>
                      <w:color w:val="auto"/>
                      <w:lang w:val="en-US" w:eastAsia="zh-CN"/>
                    </w:rPr>
                    <w:t>低速行驶、禁止鸣笛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9" w:type="pct"/>
                  <w:vMerge w:val="continue"/>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p>
              </w:tc>
              <w:tc>
                <w:tcPr>
                  <w:tcW w:w="457" w:type="pct"/>
                  <w:gridSpan w:val="2"/>
                  <w:vMerge w:val="restart"/>
                  <w:tcBorders>
                    <w:tl2br w:val="nil"/>
                    <w:tr2bl w:val="nil"/>
                  </w:tcBorders>
                  <w:noWrap w:val="0"/>
                  <w:tcMar>
                    <w:left w:w="57" w:type="dxa"/>
                    <w:right w:w="57" w:type="dxa"/>
                  </w:tcMar>
                  <w:vAlign w:val="center"/>
                </w:tcPr>
                <w:p>
                  <w:pPr>
                    <w:jc w:val="center"/>
                    <w:rPr>
                      <w:color w:val="auto"/>
                    </w:rPr>
                  </w:pPr>
                  <w:r>
                    <w:rPr>
                      <w:rFonts w:hint="eastAsia"/>
                      <w:color w:val="auto"/>
                    </w:rPr>
                    <w:t>生态治理</w:t>
                  </w:r>
                </w:p>
              </w:tc>
              <w:tc>
                <w:tcPr>
                  <w:tcW w:w="645" w:type="pct"/>
                  <w:tcBorders>
                    <w:tl2br w:val="nil"/>
                    <w:tr2bl w:val="nil"/>
                  </w:tcBorders>
                  <w:noWrap w:val="0"/>
                  <w:tcMar>
                    <w:left w:w="57" w:type="dxa"/>
                    <w:right w:w="57" w:type="dxa"/>
                  </w:tcMar>
                  <w:vAlign w:val="center"/>
                </w:tcPr>
                <w:p>
                  <w:pPr>
                    <w:pStyle w:val="57"/>
                    <w:rPr>
                      <w:rFonts w:ascii="Times New Roman" w:hAnsi="Times New Roman" w:eastAsia="宋体" w:cs="Times New Roman"/>
                      <w:color w:val="auto"/>
                      <w:kern w:val="2"/>
                      <w:sz w:val="21"/>
                      <w:szCs w:val="24"/>
                      <w:lang w:val="en-US" w:eastAsia="zh-CN" w:bidi="ar-SA"/>
                    </w:rPr>
                  </w:pPr>
                  <w:r>
                    <w:rPr>
                      <w:rFonts w:hint="eastAsia"/>
                      <w:color w:val="auto"/>
                    </w:rPr>
                    <w:t>施工期</w:t>
                  </w:r>
                </w:p>
              </w:tc>
              <w:tc>
                <w:tcPr>
                  <w:tcW w:w="3427" w:type="pct"/>
                  <w:tcBorders>
                    <w:tl2br w:val="nil"/>
                    <w:tr2bl w:val="nil"/>
                  </w:tcBorders>
                  <w:noWrap w:val="0"/>
                  <w:tcMar>
                    <w:left w:w="57" w:type="dxa"/>
                    <w:right w:w="57" w:type="dxa"/>
                  </w:tcMar>
                  <w:vAlign w:val="center"/>
                </w:tcPr>
                <w:p>
                  <w:pPr>
                    <w:pStyle w:val="57"/>
                    <w:rPr>
                      <w:rFonts w:hint="eastAsia" w:ascii="Times New Roman" w:hAnsi="Times New Roman" w:eastAsia="宋体" w:cs="Times New Roman"/>
                      <w:color w:val="auto"/>
                      <w:kern w:val="2"/>
                      <w:sz w:val="21"/>
                      <w:szCs w:val="24"/>
                      <w:lang w:val="en-US" w:eastAsia="zh-CN" w:bidi="ar-SA"/>
                    </w:rPr>
                  </w:pPr>
                  <w:r>
                    <w:rPr>
                      <w:rFonts w:hint="eastAsia"/>
                      <w:color w:val="auto"/>
                    </w:rPr>
                    <w:t>施工临时用地进行生态恢复，粘土采矿区进行边坡治理，以防发生滑坡、水土流失等生态环境问题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9" w:type="pct"/>
                  <w:vMerge w:val="continue"/>
                  <w:tcBorders>
                    <w:tl2br w:val="nil"/>
                    <w:tr2bl w:val="nil"/>
                  </w:tcBorders>
                  <w:noWrap w:val="0"/>
                  <w:tcMar>
                    <w:left w:w="57" w:type="dxa"/>
                    <w:right w:w="57" w:type="dxa"/>
                  </w:tcMar>
                  <w:vAlign w:val="center"/>
                </w:tcPr>
                <w:p>
                  <w:pPr>
                    <w:jc w:val="center"/>
                    <w:rPr>
                      <w:color w:val="000000" w:themeColor="text1"/>
                      <w14:textFill>
                        <w14:solidFill>
                          <w14:schemeClr w14:val="tx1"/>
                        </w14:solidFill>
                      </w14:textFill>
                    </w:rPr>
                  </w:pPr>
                </w:p>
              </w:tc>
              <w:tc>
                <w:tcPr>
                  <w:tcW w:w="457" w:type="pct"/>
                  <w:gridSpan w:val="2"/>
                  <w:vMerge w:val="continue"/>
                  <w:tcBorders>
                    <w:tl2br w:val="nil"/>
                    <w:tr2bl w:val="nil"/>
                  </w:tcBorders>
                  <w:noWrap w:val="0"/>
                  <w:tcMar>
                    <w:left w:w="57" w:type="dxa"/>
                    <w:right w:w="57" w:type="dxa"/>
                  </w:tcMar>
                  <w:vAlign w:val="center"/>
                </w:tcPr>
                <w:p>
                  <w:pPr>
                    <w:jc w:val="center"/>
                    <w:rPr>
                      <w:color w:val="auto"/>
                    </w:rPr>
                  </w:pPr>
                </w:p>
              </w:tc>
              <w:tc>
                <w:tcPr>
                  <w:tcW w:w="645" w:type="pct"/>
                  <w:tcBorders>
                    <w:tl2br w:val="nil"/>
                    <w:tr2bl w:val="nil"/>
                  </w:tcBorders>
                  <w:noWrap w:val="0"/>
                  <w:tcMar>
                    <w:left w:w="57" w:type="dxa"/>
                    <w:right w:w="57" w:type="dxa"/>
                  </w:tcMar>
                  <w:vAlign w:val="center"/>
                </w:tcPr>
                <w:p>
                  <w:pPr>
                    <w:jc w:val="center"/>
                    <w:rPr>
                      <w:rFonts w:ascii="Times New Roman" w:hAnsi="Times New Roman" w:eastAsia="宋体" w:cs="Times New Roman"/>
                      <w:color w:val="auto"/>
                      <w:kern w:val="2"/>
                      <w:sz w:val="21"/>
                      <w:szCs w:val="24"/>
                      <w:lang w:val="en-US" w:eastAsia="zh-CN" w:bidi="ar-SA"/>
                    </w:rPr>
                  </w:pPr>
                  <w:r>
                    <w:rPr>
                      <w:rFonts w:hint="eastAsia"/>
                      <w:color w:val="auto"/>
                    </w:rPr>
                    <w:t>运营期</w:t>
                  </w:r>
                </w:p>
              </w:tc>
              <w:tc>
                <w:tcPr>
                  <w:tcW w:w="3427" w:type="pct"/>
                  <w:tcBorders>
                    <w:tl2br w:val="nil"/>
                    <w:tr2bl w:val="nil"/>
                  </w:tcBorders>
                  <w:noWrap w:val="0"/>
                  <w:tcMar>
                    <w:left w:w="57" w:type="dxa"/>
                    <w:right w:w="57" w:type="dxa"/>
                  </w:tcMar>
                  <w:vAlign w:val="center"/>
                </w:tcPr>
                <w:p>
                  <w:pPr>
                    <w:rPr>
                      <w:color w:val="auto"/>
                    </w:rPr>
                  </w:pPr>
                  <w:r>
                    <w:rPr>
                      <w:rFonts w:hint="eastAsia"/>
                      <w:color w:val="auto"/>
                    </w:rPr>
                    <w:t>①</w:t>
                  </w:r>
                  <w:r>
                    <w:rPr>
                      <w:rFonts w:hint="eastAsia"/>
                      <w:color w:val="auto"/>
                      <w:lang w:val="en-US" w:eastAsia="zh-CN"/>
                    </w:rPr>
                    <w:t>粘土</w:t>
                  </w:r>
                  <w:r>
                    <w:rPr>
                      <w:color w:val="auto"/>
                    </w:rPr>
                    <w:t>开采应严格按照国土部门核准的开采方案进行开采。</w:t>
                  </w:r>
                </w:p>
                <w:p>
                  <w:pPr>
                    <w:rPr>
                      <w:color w:val="auto"/>
                    </w:rPr>
                  </w:pPr>
                  <w:r>
                    <w:rPr>
                      <w:rFonts w:hint="eastAsia"/>
                      <w:color w:val="auto"/>
                    </w:rPr>
                    <w:t>②</w:t>
                  </w:r>
                  <w:r>
                    <w:rPr>
                      <w:color w:val="auto"/>
                    </w:rPr>
                    <w:t>加强矿区及生产厂区的植被恢复工作，同时在项目取土场、砖厂生产及生活区设置</w:t>
                  </w:r>
                  <w:r>
                    <w:rPr>
                      <w:rFonts w:hint="eastAsia"/>
                      <w:color w:val="auto"/>
                    </w:rPr>
                    <w:t>300</w:t>
                  </w:r>
                  <w:r>
                    <w:rPr>
                      <w:color w:val="auto"/>
                    </w:rPr>
                    <w:t>m</w:t>
                  </w:r>
                  <w:r>
                    <w:rPr>
                      <w:color w:val="auto"/>
                      <w:vertAlign w:val="superscript"/>
                    </w:rPr>
                    <w:t>2</w:t>
                  </w:r>
                  <w:r>
                    <w:rPr>
                      <w:color w:val="auto"/>
                    </w:rPr>
                    <w:t>的绿化面积。植物应选择生长快、适应性强、抗逆性好的植物；进行植被恢复时，应将乔、灌、草综合起来进行恢复，采场平台覆土种草种树，覆土厚度0.5m，种植树，覆土厚度0.5m，采场边坡种植藤本植物。</w:t>
                  </w:r>
                </w:p>
                <w:p>
                  <w:pPr>
                    <w:rPr>
                      <w:color w:val="auto"/>
                    </w:rPr>
                  </w:pPr>
                  <w:r>
                    <w:rPr>
                      <w:rFonts w:hint="eastAsia"/>
                      <w:color w:val="auto"/>
                    </w:rPr>
                    <w:t>③</w:t>
                  </w:r>
                  <w:r>
                    <w:rPr>
                      <w:color w:val="auto"/>
                    </w:rPr>
                    <w:t>及时对开采完成的区域进行复垦，要做到采完一片，及时复垦处理一片</w:t>
                  </w:r>
                  <w:r>
                    <w:rPr>
                      <w:rFonts w:hint="eastAsia"/>
                      <w:color w:val="auto"/>
                      <w:lang w:eastAsia="zh-CN"/>
                    </w:rPr>
                    <w:t>，</w:t>
                  </w:r>
                  <w:r>
                    <w:rPr>
                      <w:color w:val="auto"/>
                    </w:rPr>
                    <w:t>不允许复垦区裸地暴露时间超过一年。</w:t>
                  </w:r>
                </w:p>
                <w:p>
                  <w:pPr>
                    <w:rPr>
                      <w:rFonts w:hint="eastAsia" w:ascii="Times New Roman" w:hAnsi="Times New Roman" w:eastAsia="宋体" w:cs="Times New Roman"/>
                      <w:color w:val="auto"/>
                      <w:kern w:val="2"/>
                      <w:sz w:val="21"/>
                      <w:szCs w:val="24"/>
                      <w:lang w:val="en-US" w:eastAsia="zh-CN" w:bidi="ar-SA"/>
                    </w:rPr>
                  </w:pPr>
                  <w:r>
                    <w:rPr>
                      <w:rFonts w:hint="eastAsia"/>
                      <w:color w:val="auto"/>
                    </w:rPr>
                    <w:t>④</w:t>
                  </w:r>
                  <w:r>
                    <w:rPr>
                      <w:color w:val="auto"/>
                    </w:rPr>
                    <w:t>矿山在服务期满后，应及时对其进行植被恢复，采用灌、草结合的方式进行复垦</w:t>
                  </w:r>
                </w:p>
              </w:tc>
            </w:tr>
          </w:tbl>
          <w:p>
            <w:pPr>
              <w:pStyle w:val="60"/>
              <w:ind w:firstLine="42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color w:val="auto"/>
                <w:sz w:val="24"/>
                <w:szCs w:val="24"/>
              </w:rPr>
              <w:t>矿体特征</w:t>
            </w:r>
          </w:p>
          <w:p>
            <w:pPr>
              <w:pStyle w:val="60"/>
              <w:ind w:firstLine="420"/>
              <w:rPr>
                <w:color w:val="auto"/>
                <w:sz w:val="24"/>
                <w:szCs w:val="24"/>
              </w:rPr>
            </w:pPr>
            <w:r>
              <w:rPr>
                <w:color w:val="auto"/>
                <w:sz w:val="24"/>
                <w:szCs w:val="24"/>
              </w:rPr>
              <w:t>本项目粘土矿矿体主要为上更新统马兰组黄土层。位于地表浅部</w:t>
            </w:r>
            <w:r>
              <w:rPr>
                <w:rFonts w:hint="eastAsia"/>
                <w:color w:val="auto"/>
                <w:sz w:val="24"/>
                <w:szCs w:val="24"/>
                <w:lang w:val="en-US" w:eastAsia="zh-CN"/>
              </w:rPr>
              <w:t>10</w:t>
            </w:r>
            <w:r>
              <w:rPr>
                <w:color w:val="auto"/>
                <w:sz w:val="24"/>
                <w:szCs w:val="24"/>
              </w:rPr>
              <w:t>m深度范围内，以水平层状产出，多裸露于地表，层位、厚度较为稳定；粘土矿层属于黄土高原晚期风成的新黄土，多为淡黄色、粉土质、无层理，为厚层块状，局部垂直节理发育，并见虫孔和钙质结核，但少而小，零星分散，其质量沿纵向和横向无明显变化。</w:t>
            </w:r>
          </w:p>
          <w:p>
            <w:pPr>
              <w:pStyle w:val="60"/>
              <w:ind w:firstLine="420"/>
              <w:rPr>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color w:val="auto"/>
                <w:sz w:val="24"/>
                <w:szCs w:val="24"/>
              </w:rPr>
              <w:t>粘土矿体成分</w:t>
            </w:r>
          </w:p>
          <w:p>
            <w:pPr>
              <w:pStyle w:val="60"/>
              <w:ind w:firstLine="420"/>
              <w:rPr>
                <w:color w:val="auto"/>
                <w:sz w:val="24"/>
                <w:szCs w:val="24"/>
              </w:rPr>
            </w:pPr>
            <w:r>
              <w:rPr>
                <w:color w:val="auto"/>
                <w:sz w:val="24"/>
                <w:szCs w:val="24"/>
              </w:rPr>
              <w:t>本项目粘土矿呈黄色，细粉块状，松散容重1.022g/cm</w:t>
            </w:r>
            <w:r>
              <w:rPr>
                <w:color w:val="auto"/>
                <w:sz w:val="24"/>
                <w:szCs w:val="24"/>
                <w:vertAlign w:val="superscript"/>
              </w:rPr>
              <w:t>3</w:t>
            </w:r>
            <w:r>
              <w:rPr>
                <w:color w:val="auto"/>
                <w:sz w:val="24"/>
                <w:szCs w:val="24"/>
              </w:rPr>
              <w:t>，自然含水率9.3%；莫氏平均硬度1.1，主要成分见下表</w:t>
            </w:r>
            <w:r>
              <w:rPr>
                <w:rFonts w:hint="eastAsia"/>
                <w:color w:val="auto"/>
                <w:sz w:val="24"/>
                <w:szCs w:val="24"/>
                <w:lang w:val="en-US" w:eastAsia="zh-CN"/>
              </w:rPr>
              <w:t>2-3</w:t>
            </w:r>
            <w:r>
              <w:rPr>
                <w:color w:val="auto"/>
                <w:sz w:val="24"/>
                <w:szCs w:val="24"/>
              </w:rPr>
              <w:t>，物理性质见表</w:t>
            </w:r>
            <w:r>
              <w:rPr>
                <w:rFonts w:hint="eastAsia"/>
                <w:color w:val="auto"/>
                <w:sz w:val="24"/>
                <w:szCs w:val="24"/>
                <w:lang w:val="en-US" w:eastAsia="zh-CN"/>
              </w:rPr>
              <w:t>24</w:t>
            </w:r>
            <w:r>
              <w:rPr>
                <w:color w:val="auto"/>
                <w:sz w:val="24"/>
                <w:szCs w:val="24"/>
              </w:rPr>
              <w:t>。</w:t>
            </w:r>
          </w:p>
          <w:p>
            <w:pPr>
              <w:pStyle w:val="14"/>
              <w:keepNext/>
              <w:spacing w:line="240" w:lineRule="auto"/>
              <w:rPr>
                <w:rFonts w:cs="Times New Roman"/>
                <w:color w:val="auto"/>
              </w:rPr>
            </w:pPr>
            <w:r>
              <w:rPr>
                <w:rFonts w:eastAsia="宋体" w:cs="Times New Roman"/>
                <w:color w:val="auto"/>
              </w:rPr>
              <w:t>表</w:t>
            </w:r>
            <w:r>
              <w:rPr>
                <w:rFonts w:hint="eastAsia" w:eastAsia="宋体" w:cs="Times New Roman"/>
                <w:color w:val="auto"/>
                <w:lang w:val="en-US" w:eastAsia="zh-CN"/>
              </w:rPr>
              <w:t xml:space="preserve">2-3  </w:t>
            </w:r>
            <w:r>
              <w:rPr>
                <w:rFonts w:eastAsia="宋体" w:cs="Times New Roman"/>
                <w:color w:val="auto"/>
              </w:rPr>
              <w:t>粘土矿化学成分组成表</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23"/>
              <w:gridCol w:w="753"/>
              <w:gridCol w:w="753"/>
              <w:gridCol w:w="630"/>
              <w:gridCol w:w="692"/>
              <w:gridCol w:w="619"/>
              <w:gridCol w:w="717"/>
              <w:gridCol w:w="582"/>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1" w:type="pct"/>
                  <w:vAlign w:val="center"/>
                </w:tcPr>
                <w:p>
                  <w:pPr>
                    <w:pStyle w:val="57"/>
                    <w:rPr>
                      <w:color w:val="auto"/>
                    </w:rPr>
                  </w:pPr>
                  <w:r>
                    <w:rPr>
                      <w:color w:val="auto"/>
                    </w:rPr>
                    <w:t>成分</w:t>
                  </w:r>
                </w:p>
              </w:tc>
              <w:tc>
                <w:tcPr>
                  <w:tcW w:w="459" w:type="pct"/>
                  <w:vAlign w:val="center"/>
                </w:tcPr>
                <w:p>
                  <w:pPr>
                    <w:pStyle w:val="57"/>
                    <w:rPr>
                      <w:color w:val="auto"/>
                    </w:rPr>
                  </w:pPr>
                  <w:r>
                    <w:rPr>
                      <w:color w:val="auto"/>
                    </w:rPr>
                    <w:t>SiO</w:t>
                  </w:r>
                  <w:r>
                    <w:rPr>
                      <w:color w:val="auto"/>
                      <w:vertAlign w:val="subscript"/>
                    </w:rPr>
                    <w:t>2</w:t>
                  </w:r>
                </w:p>
              </w:tc>
              <w:tc>
                <w:tcPr>
                  <w:tcW w:w="478" w:type="pct"/>
                  <w:vAlign w:val="center"/>
                </w:tcPr>
                <w:p>
                  <w:pPr>
                    <w:pStyle w:val="57"/>
                    <w:rPr>
                      <w:color w:val="auto"/>
                    </w:rPr>
                  </w:pPr>
                  <w:r>
                    <w:rPr>
                      <w:color w:val="auto"/>
                    </w:rPr>
                    <w:t>Al</w:t>
                  </w:r>
                  <w:r>
                    <w:rPr>
                      <w:color w:val="auto"/>
                      <w:vertAlign w:val="subscript"/>
                    </w:rPr>
                    <w:t>2</w:t>
                  </w:r>
                  <w:r>
                    <w:rPr>
                      <w:color w:val="auto"/>
                    </w:rPr>
                    <w:t>O</w:t>
                  </w:r>
                  <w:r>
                    <w:rPr>
                      <w:color w:val="auto"/>
                      <w:vertAlign w:val="subscript"/>
                    </w:rPr>
                    <w:t>3</w:t>
                  </w:r>
                </w:p>
              </w:tc>
              <w:tc>
                <w:tcPr>
                  <w:tcW w:w="478" w:type="pct"/>
                  <w:vAlign w:val="center"/>
                </w:tcPr>
                <w:p>
                  <w:pPr>
                    <w:pStyle w:val="57"/>
                    <w:rPr>
                      <w:color w:val="auto"/>
                    </w:rPr>
                  </w:pPr>
                  <w:r>
                    <w:rPr>
                      <w:color w:val="auto"/>
                    </w:rPr>
                    <w:t>Fe</w:t>
                  </w:r>
                  <w:r>
                    <w:rPr>
                      <w:color w:val="auto"/>
                      <w:vertAlign w:val="subscript"/>
                    </w:rPr>
                    <w:t>2</w:t>
                  </w:r>
                  <w:r>
                    <w:rPr>
                      <w:color w:val="auto"/>
                    </w:rPr>
                    <w:t>O</w:t>
                  </w:r>
                  <w:r>
                    <w:rPr>
                      <w:color w:val="auto"/>
                      <w:vertAlign w:val="subscript"/>
                    </w:rPr>
                    <w:t>3</w:t>
                  </w:r>
                </w:p>
              </w:tc>
              <w:tc>
                <w:tcPr>
                  <w:tcW w:w="400" w:type="pct"/>
                  <w:vAlign w:val="center"/>
                </w:tcPr>
                <w:p>
                  <w:pPr>
                    <w:pStyle w:val="57"/>
                    <w:rPr>
                      <w:color w:val="auto"/>
                    </w:rPr>
                  </w:pPr>
                  <w:r>
                    <w:rPr>
                      <w:color w:val="auto"/>
                    </w:rPr>
                    <w:t>CaO</w:t>
                  </w:r>
                </w:p>
              </w:tc>
              <w:tc>
                <w:tcPr>
                  <w:tcW w:w="439" w:type="pct"/>
                  <w:vAlign w:val="center"/>
                </w:tcPr>
                <w:p>
                  <w:pPr>
                    <w:pStyle w:val="57"/>
                    <w:rPr>
                      <w:color w:val="auto"/>
                    </w:rPr>
                  </w:pPr>
                  <w:r>
                    <w:rPr>
                      <w:color w:val="auto"/>
                    </w:rPr>
                    <w:t>MgO</w:t>
                  </w:r>
                </w:p>
              </w:tc>
              <w:tc>
                <w:tcPr>
                  <w:tcW w:w="393" w:type="pct"/>
                  <w:vAlign w:val="center"/>
                </w:tcPr>
                <w:p>
                  <w:pPr>
                    <w:pStyle w:val="57"/>
                    <w:rPr>
                      <w:color w:val="auto"/>
                    </w:rPr>
                  </w:pPr>
                  <w:r>
                    <w:rPr>
                      <w:color w:val="auto"/>
                    </w:rPr>
                    <w:t>K</w:t>
                  </w:r>
                  <w:r>
                    <w:rPr>
                      <w:color w:val="auto"/>
                      <w:vertAlign w:val="subscript"/>
                    </w:rPr>
                    <w:t>2</w:t>
                  </w:r>
                  <w:r>
                    <w:rPr>
                      <w:color w:val="auto"/>
                    </w:rPr>
                    <w:t>O</w:t>
                  </w:r>
                </w:p>
              </w:tc>
              <w:tc>
                <w:tcPr>
                  <w:tcW w:w="455" w:type="pct"/>
                  <w:vAlign w:val="center"/>
                </w:tcPr>
                <w:p>
                  <w:pPr>
                    <w:pStyle w:val="57"/>
                    <w:rPr>
                      <w:color w:val="auto"/>
                    </w:rPr>
                  </w:pPr>
                  <w:r>
                    <w:rPr>
                      <w:color w:val="auto"/>
                    </w:rPr>
                    <w:t>Na</w:t>
                  </w:r>
                  <w:r>
                    <w:rPr>
                      <w:color w:val="auto"/>
                      <w:vertAlign w:val="subscript"/>
                    </w:rPr>
                    <w:t>2</w:t>
                  </w:r>
                  <w:r>
                    <w:rPr>
                      <w:color w:val="auto"/>
                    </w:rPr>
                    <w:t>O</w:t>
                  </w:r>
                </w:p>
              </w:tc>
              <w:tc>
                <w:tcPr>
                  <w:tcW w:w="369" w:type="pct"/>
                  <w:vAlign w:val="center"/>
                </w:tcPr>
                <w:p>
                  <w:pPr>
                    <w:pStyle w:val="57"/>
                    <w:rPr>
                      <w:color w:val="auto"/>
                    </w:rPr>
                  </w:pPr>
                  <w:r>
                    <w:rPr>
                      <w:color w:val="auto"/>
                    </w:rPr>
                    <w:t>SO</w:t>
                  </w:r>
                  <w:r>
                    <w:rPr>
                      <w:color w:val="auto"/>
                      <w:vertAlign w:val="subscript"/>
                    </w:rPr>
                    <w:t>3</w:t>
                  </w:r>
                </w:p>
              </w:tc>
              <w:tc>
                <w:tcPr>
                  <w:tcW w:w="562" w:type="pct"/>
                  <w:vAlign w:val="center"/>
                </w:tcPr>
                <w:p>
                  <w:pPr>
                    <w:pStyle w:val="57"/>
                    <w:rPr>
                      <w:color w:val="auto"/>
                    </w:rPr>
                  </w:pPr>
                  <w:r>
                    <w:rPr>
                      <w:color w:val="auto"/>
                    </w:rPr>
                    <w:t>烧失量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1" w:type="pct"/>
                  <w:vAlign w:val="center"/>
                </w:tcPr>
                <w:p>
                  <w:pPr>
                    <w:pStyle w:val="57"/>
                    <w:rPr>
                      <w:color w:val="auto"/>
                    </w:rPr>
                  </w:pPr>
                  <w:r>
                    <w:rPr>
                      <w:color w:val="auto"/>
                    </w:rPr>
                    <w:t>百分比（%）</w:t>
                  </w:r>
                </w:p>
              </w:tc>
              <w:tc>
                <w:tcPr>
                  <w:tcW w:w="459" w:type="pct"/>
                  <w:vAlign w:val="center"/>
                </w:tcPr>
                <w:p>
                  <w:pPr>
                    <w:pStyle w:val="57"/>
                    <w:rPr>
                      <w:color w:val="auto"/>
                    </w:rPr>
                  </w:pPr>
                  <w:r>
                    <w:rPr>
                      <w:color w:val="auto"/>
                    </w:rPr>
                    <w:t>62.65</w:t>
                  </w:r>
                </w:p>
              </w:tc>
              <w:tc>
                <w:tcPr>
                  <w:tcW w:w="478" w:type="pct"/>
                  <w:vAlign w:val="center"/>
                </w:tcPr>
                <w:p>
                  <w:pPr>
                    <w:pStyle w:val="57"/>
                    <w:rPr>
                      <w:color w:val="auto"/>
                    </w:rPr>
                  </w:pPr>
                  <w:r>
                    <w:rPr>
                      <w:color w:val="auto"/>
                    </w:rPr>
                    <w:t>12.31</w:t>
                  </w:r>
                </w:p>
              </w:tc>
              <w:tc>
                <w:tcPr>
                  <w:tcW w:w="478" w:type="pct"/>
                  <w:vAlign w:val="center"/>
                </w:tcPr>
                <w:p>
                  <w:pPr>
                    <w:pStyle w:val="57"/>
                    <w:rPr>
                      <w:color w:val="auto"/>
                    </w:rPr>
                  </w:pPr>
                  <w:r>
                    <w:rPr>
                      <w:color w:val="auto"/>
                    </w:rPr>
                    <w:t>4.98</w:t>
                  </w:r>
                </w:p>
              </w:tc>
              <w:tc>
                <w:tcPr>
                  <w:tcW w:w="400" w:type="pct"/>
                  <w:vAlign w:val="center"/>
                </w:tcPr>
                <w:p>
                  <w:pPr>
                    <w:pStyle w:val="57"/>
                    <w:rPr>
                      <w:color w:val="auto"/>
                    </w:rPr>
                  </w:pPr>
                  <w:r>
                    <w:rPr>
                      <w:color w:val="auto"/>
                    </w:rPr>
                    <w:t>3.6</w:t>
                  </w:r>
                </w:p>
              </w:tc>
              <w:tc>
                <w:tcPr>
                  <w:tcW w:w="439" w:type="pct"/>
                  <w:vAlign w:val="center"/>
                </w:tcPr>
                <w:p>
                  <w:pPr>
                    <w:pStyle w:val="57"/>
                    <w:rPr>
                      <w:color w:val="auto"/>
                    </w:rPr>
                  </w:pPr>
                  <w:r>
                    <w:rPr>
                      <w:color w:val="auto"/>
                    </w:rPr>
                    <w:t>2.69</w:t>
                  </w:r>
                </w:p>
              </w:tc>
              <w:tc>
                <w:tcPr>
                  <w:tcW w:w="393" w:type="pct"/>
                  <w:vAlign w:val="center"/>
                </w:tcPr>
                <w:p>
                  <w:pPr>
                    <w:pStyle w:val="57"/>
                    <w:rPr>
                      <w:color w:val="auto"/>
                    </w:rPr>
                  </w:pPr>
                  <w:r>
                    <w:rPr>
                      <w:color w:val="auto"/>
                    </w:rPr>
                    <w:t>2.49</w:t>
                  </w:r>
                </w:p>
              </w:tc>
              <w:tc>
                <w:tcPr>
                  <w:tcW w:w="455" w:type="pct"/>
                  <w:vAlign w:val="center"/>
                </w:tcPr>
                <w:p>
                  <w:pPr>
                    <w:pStyle w:val="57"/>
                    <w:rPr>
                      <w:color w:val="auto"/>
                    </w:rPr>
                  </w:pPr>
                  <w:r>
                    <w:rPr>
                      <w:color w:val="auto"/>
                    </w:rPr>
                    <w:t>1.93</w:t>
                  </w:r>
                </w:p>
              </w:tc>
              <w:tc>
                <w:tcPr>
                  <w:tcW w:w="369" w:type="pct"/>
                  <w:vAlign w:val="center"/>
                </w:tcPr>
                <w:p>
                  <w:pPr>
                    <w:pStyle w:val="57"/>
                    <w:rPr>
                      <w:color w:val="auto"/>
                    </w:rPr>
                  </w:pPr>
                  <w:r>
                    <w:rPr>
                      <w:color w:val="auto"/>
                    </w:rPr>
                    <w:t>0</w:t>
                  </w:r>
                </w:p>
              </w:tc>
              <w:tc>
                <w:tcPr>
                  <w:tcW w:w="562" w:type="pct"/>
                  <w:vAlign w:val="center"/>
                </w:tcPr>
                <w:p>
                  <w:pPr>
                    <w:pStyle w:val="57"/>
                    <w:rPr>
                      <w:color w:val="auto"/>
                    </w:rPr>
                  </w:pPr>
                  <w:r>
                    <w:rPr>
                      <w:color w:val="auto"/>
                    </w:rPr>
                    <w:t>7.36</w:t>
                  </w:r>
                </w:p>
              </w:tc>
            </w:tr>
          </w:tbl>
          <w:p>
            <w:pPr>
              <w:pStyle w:val="14"/>
              <w:keepNext/>
              <w:keepLines w:val="0"/>
              <w:pageBreakBefore w:val="0"/>
              <w:widowControl w:val="0"/>
              <w:kinsoku/>
              <w:wordWrap/>
              <w:overflowPunct/>
              <w:topLinePunct w:val="0"/>
              <w:autoSpaceDE/>
              <w:autoSpaceDN/>
              <w:bidi w:val="0"/>
              <w:adjustRightInd/>
              <w:snapToGrid/>
              <w:spacing w:before="63" w:beforeLines="20" w:line="240" w:lineRule="auto"/>
              <w:textAlignment w:val="auto"/>
              <w:rPr>
                <w:rFonts w:cs="Times New Roman"/>
                <w:color w:val="auto"/>
              </w:rPr>
            </w:pPr>
            <w:r>
              <w:rPr>
                <w:rFonts w:eastAsia="宋体" w:cs="Times New Roman"/>
                <w:color w:val="auto"/>
              </w:rPr>
              <w:t>表</w:t>
            </w:r>
            <w:r>
              <w:rPr>
                <w:rFonts w:hint="eastAsia" w:eastAsia="宋体" w:cs="Times New Roman"/>
                <w:color w:val="auto"/>
                <w:lang w:val="en-US" w:eastAsia="zh-CN"/>
              </w:rPr>
              <w:t xml:space="preserve">2-4  </w:t>
            </w:r>
            <w:r>
              <w:rPr>
                <w:rFonts w:eastAsia="宋体" w:cs="Times New Roman"/>
                <w:color w:val="auto"/>
              </w:rPr>
              <w:t>粘土矿物理性质表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513"/>
              <w:gridCol w:w="1513"/>
              <w:gridCol w:w="912"/>
              <w:gridCol w:w="91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1" w:type="pct"/>
                  <w:vAlign w:val="center"/>
                </w:tcPr>
                <w:p>
                  <w:pPr>
                    <w:pStyle w:val="57"/>
                    <w:rPr>
                      <w:color w:val="auto"/>
                    </w:rPr>
                  </w:pPr>
                  <w:r>
                    <w:rPr>
                      <w:color w:val="auto"/>
                    </w:rPr>
                    <w:t>物理性能</w:t>
                  </w:r>
                </w:p>
              </w:tc>
              <w:tc>
                <w:tcPr>
                  <w:tcW w:w="961" w:type="pct"/>
                  <w:vAlign w:val="center"/>
                </w:tcPr>
                <w:p>
                  <w:pPr>
                    <w:pStyle w:val="57"/>
                    <w:rPr>
                      <w:color w:val="auto"/>
                    </w:rPr>
                  </w:pPr>
                  <w:r>
                    <w:rPr>
                      <w:color w:val="auto"/>
                    </w:rPr>
                    <w:t>干敏系数</w:t>
                  </w:r>
                </w:p>
              </w:tc>
              <w:tc>
                <w:tcPr>
                  <w:tcW w:w="961" w:type="pct"/>
                  <w:vAlign w:val="center"/>
                </w:tcPr>
                <w:p>
                  <w:pPr>
                    <w:pStyle w:val="57"/>
                    <w:rPr>
                      <w:color w:val="auto"/>
                    </w:rPr>
                  </w:pPr>
                  <w:r>
                    <w:rPr>
                      <w:color w:val="auto"/>
                    </w:rPr>
                    <w:t>总收缩率</w:t>
                  </w:r>
                </w:p>
              </w:tc>
              <w:tc>
                <w:tcPr>
                  <w:tcW w:w="579" w:type="pct"/>
                  <w:vAlign w:val="center"/>
                </w:tcPr>
                <w:p>
                  <w:pPr>
                    <w:pStyle w:val="57"/>
                    <w:rPr>
                      <w:color w:val="auto"/>
                    </w:rPr>
                  </w:pPr>
                  <w:r>
                    <w:rPr>
                      <w:color w:val="auto"/>
                    </w:rPr>
                    <w:t>液限</w:t>
                  </w:r>
                </w:p>
              </w:tc>
              <w:tc>
                <w:tcPr>
                  <w:tcW w:w="579" w:type="pct"/>
                  <w:vAlign w:val="center"/>
                </w:tcPr>
                <w:p>
                  <w:pPr>
                    <w:pStyle w:val="57"/>
                    <w:rPr>
                      <w:color w:val="auto"/>
                    </w:rPr>
                  </w:pPr>
                  <w:r>
                    <w:rPr>
                      <w:color w:val="auto"/>
                    </w:rPr>
                    <w:t>塑限</w:t>
                  </w:r>
                </w:p>
              </w:tc>
              <w:tc>
                <w:tcPr>
                  <w:tcW w:w="958" w:type="pct"/>
                  <w:vAlign w:val="center"/>
                </w:tcPr>
                <w:p>
                  <w:pPr>
                    <w:pStyle w:val="57"/>
                    <w:rPr>
                      <w:color w:val="auto"/>
                    </w:rPr>
                  </w:pPr>
                  <w:r>
                    <w:rPr>
                      <w:color w:val="auto"/>
                    </w:rPr>
                    <w:t>塑性指数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1" w:type="pct"/>
                  <w:vAlign w:val="center"/>
                </w:tcPr>
                <w:p>
                  <w:pPr>
                    <w:pStyle w:val="57"/>
                    <w:rPr>
                      <w:color w:val="auto"/>
                    </w:rPr>
                  </w:pPr>
                  <w:r>
                    <w:rPr>
                      <w:color w:val="auto"/>
                    </w:rPr>
                    <w:t>数值</w:t>
                  </w:r>
                </w:p>
              </w:tc>
              <w:tc>
                <w:tcPr>
                  <w:tcW w:w="961" w:type="pct"/>
                  <w:vAlign w:val="center"/>
                </w:tcPr>
                <w:p>
                  <w:pPr>
                    <w:pStyle w:val="57"/>
                    <w:rPr>
                      <w:color w:val="auto"/>
                    </w:rPr>
                  </w:pPr>
                  <w:r>
                    <w:rPr>
                      <w:color w:val="auto"/>
                    </w:rPr>
                    <w:t>0.7</w:t>
                  </w:r>
                </w:p>
              </w:tc>
              <w:tc>
                <w:tcPr>
                  <w:tcW w:w="961" w:type="pct"/>
                  <w:vAlign w:val="center"/>
                </w:tcPr>
                <w:p>
                  <w:pPr>
                    <w:pStyle w:val="57"/>
                    <w:rPr>
                      <w:color w:val="auto"/>
                    </w:rPr>
                  </w:pPr>
                  <w:r>
                    <w:rPr>
                      <w:color w:val="auto"/>
                    </w:rPr>
                    <w:t>4.13</w:t>
                  </w:r>
                </w:p>
              </w:tc>
              <w:tc>
                <w:tcPr>
                  <w:tcW w:w="579" w:type="pct"/>
                  <w:vAlign w:val="center"/>
                </w:tcPr>
                <w:p>
                  <w:pPr>
                    <w:pStyle w:val="57"/>
                    <w:rPr>
                      <w:color w:val="auto"/>
                    </w:rPr>
                  </w:pPr>
                  <w:r>
                    <w:rPr>
                      <w:color w:val="auto"/>
                    </w:rPr>
                    <w:t>16.0</w:t>
                  </w:r>
                </w:p>
              </w:tc>
              <w:tc>
                <w:tcPr>
                  <w:tcW w:w="579" w:type="pct"/>
                  <w:vAlign w:val="center"/>
                </w:tcPr>
                <w:p>
                  <w:pPr>
                    <w:pStyle w:val="57"/>
                    <w:rPr>
                      <w:color w:val="auto"/>
                    </w:rPr>
                  </w:pPr>
                  <w:r>
                    <w:rPr>
                      <w:color w:val="auto"/>
                    </w:rPr>
                    <w:t>25.5</w:t>
                  </w:r>
                </w:p>
              </w:tc>
              <w:tc>
                <w:tcPr>
                  <w:tcW w:w="958" w:type="pct"/>
                  <w:vAlign w:val="center"/>
                </w:tcPr>
                <w:p>
                  <w:pPr>
                    <w:pStyle w:val="57"/>
                    <w:rPr>
                      <w:color w:val="auto"/>
                    </w:rPr>
                  </w:pPr>
                  <w:r>
                    <w:rPr>
                      <w:color w:val="auto"/>
                    </w:rPr>
                    <w:t>7.5</w:t>
                  </w:r>
                </w:p>
              </w:tc>
            </w:tr>
          </w:tbl>
          <w:p>
            <w:pPr>
              <w:pStyle w:val="60"/>
              <w:ind w:left="0" w:leftChars="0" w:firstLine="0" w:firstLineChars="0"/>
              <w:rPr>
                <w:rFonts w:hint="default"/>
                <w:b/>
                <w:bCs/>
                <w:color w:val="auto"/>
                <w:sz w:val="24"/>
                <w:szCs w:val="24"/>
                <w:lang w:val="en-US"/>
              </w:rPr>
            </w:pPr>
            <w:r>
              <w:rPr>
                <w:rFonts w:hint="eastAsia"/>
                <w:b/>
                <w:bCs/>
                <w:color w:val="auto"/>
                <w:sz w:val="24"/>
                <w:szCs w:val="24"/>
                <w:lang w:val="en-US" w:eastAsia="zh-CN"/>
              </w:rPr>
              <w:t>1.2制砖区建设内容</w:t>
            </w:r>
          </w:p>
          <w:p>
            <w:pPr>
              <w:pStyle w:val="60"/>
              <w:ind w:left="0" w:leftChars="0" w:firstLine="480" w:firstLineChars="200"/>
              <w:rPr>
                <w:rFonts w:hint="default" w:eastAsia="宋体"/>
                <w:color w:val="auto"/>
                <w:sz w:val="24"/>
                <w:szCs w:val="24"/>
                <w:lang w:val="en-US" w:eastAsia="zh-CN"/>
              </w:rPr>
            </w:pPr>
            <w:r>
              <w:rPr>
                <w:color w:val="auto"/>
                <w:sz w:val="24"/>
                <w:szCs w:val="24"/>
              </w:rPr>
              <w:t>本项目</w:t>
            </w:r>
            <w:r>
              <w:rPr>
                <w:rFonts w:hint="eastAsia"/>
                <w:color w:val="auto"/>
                <w:sz w:val="24"/>
                <w:szCs w:val="24"/>
                <w:lang w:val="en-US" w:eastAsia="zh-CN"/>
              </w:rPr>
              <w:t>制砖区占地面积6800</w:t>
            </w:r>
            <w:r>
              <w:rPr>
                <w:color w:val="auto"/>
                <w:sz w:val="24"/>
                <w:szCs w:val="24"/>
              </w:rPr>
              <w:t>m</w:t>
            </w:r>
            <w:r>
              <w:rPr>
                <w:color w:val="auto"/>
                <w:sz w:val="24"/>
                <w:szCs w:val="24"/>
                <w:vertAlign w:val="superscript"/>
              </w:rPr>
              <w:t>2</w:t>
            </w:r>
            <w:r>
              <w:rPr>
                <w:rFonts w:hint="eastAsia"/>
                <w:color w:val="auto"/>
                <w:sz w:val="24"/>
                <w:szCs w:val="24"/>
                <w:vertAlign w:val="baseline"/>
                <w:lang w:eastAsia="zh-CN"/>
              </w:rPr>
              <w:t>，</w:t>
            </w:r>
            <w:r>
              <w:rPr>
                <w:rFonts w:hint="eastAsia"/>
                <w:color w:val="auto"/>
                <w:sz w:val="24"/>
                <w:szCs w:val="24"/>
                <w:vertAlign w:val="baseline"/>
                <w:lang w:val="en-US" w:eastAsia="zh-CN"/>
              </w:rPr>
              <w:t>建筑面积5800m</w:t>
            </w:r>
            <w:r>
              <w:rPr>
                <w:rFonts w:hint="eastAsia"/>
                <w:color w:val="auto"/>
                <w:sz w:val="24"/>
                <w:szCs w:val="24"/>
                <w:vertAlign w:val="superscript"/>
                <w:lang w:val="en-US" w:eastAsia="zh-CN"/>
              </w:rPr>
              <w:t>2</w:t>
            </w:r>
            <w:r>
              <w:rPr>
                <w:color w:val="auto"/>
                <w:sz w:val="24"/>
                <w:szCs w:val="24"/>
              </w:rPr>
              <w:t>，</w:t>
            </w:r>
            <w:r>
              <w:rPr>
                <w:rFonts w:hint="eastAsia"/>
                <w:color w:val="auto"/>
                <w:sz w:val="24"/>
                <w:szCs w:val="24"/>
                <w:lang w:val="en-US" w:eastAsia="zh-CN"/>
              </w:rPr>
              <w:t>主要建设固定式</w:t>
            </w:r>
            <w:r>
              <w:rPr>
                <w:color w:val="auto"/>
                <w:sz w:val="24"/>
                <w:szCs w:val="24"/>
              </w:rPr>
              <w:t>隧道窑烧结砖生产线</w:t>
            </w:r>
            <w:r>
              <w:rPr>
                <w:rFonts w:hint="eastAsia"/>
                <w:color w:val="auto"/>
                <w:sz w:val="24"/>
                <w:szCs w:val="24"/>
                <w:lang w:eastAsia="zh-CN"/>
              </w:rPr>
              <w:t>，</w:t>
            </w:r>
            <w:r>
              <w:rPr>
                <w:color w:val="auto"/>
                <w:sz w:val="24"/>
                <w:szCs w:val="24"/>
              </w:rPr>
              <w:t>包括</w:t>
            </w:r>
            <w:r>
              <w:rPr>
                <w:rFonts w:hint="eastAsia"/>
                <w:color w:val="auto"/>
                <w:sz w:val="24"/>
                <w:szCs w:val="24"/>
                <w:lang w:val="en-US" w:eastAsia="zh-CN"/>
              </w:rPr>
              <w:t>原料库</w:t>
            </w:r>
            <w:r>
              <w:rPr>
                <w:color w:val="auto"/>
                <w:sz w:val="24"/>
                <w:szCs w:val="24"/>
              </w:rPr>
              <w:t>、</w:t>
            </w:r>
            <w:r>
              <w:rPr>
                <w:rFonts w:hint="eastAsia"/>
                <w:color w:val="auto"/>
                <w:sz w:val="24"/>
                <w:szCs w:val="24"/>
              </w:rPr>
              <w:t>陈化库、</w:t>
            </w:r>
            <w:r>
              <w:rPr>
                <w:rFonts w:hint="eastAsia"/>
                <w:color w:val="auto"/>
                <w:sz w:val="24"/>
                <w:szCs w:val="24"/>
                <w:lang w:val="en-US" w:eastAsia="zh-CN"/>
              </w:rPr>
              <w:t>砖机车间、</w:t>
            </w:r>
            <w:r>
              <w:rPr>
                <w:color w:val="auto"/>
                <w:sz w:val="24"/>
                <w:szCs w:val="24"/>
              </w:rPr>
              <w:t>焙烧</w:t>
            </w:r>
            <w:r>
              <w:rPr>
                <w:rFonts w:hint="eastAsia"/>
                <w:color w:val="auto"/>
                <w:sz w:val="24"/>
                <w:szCs w:val="24"/>
                <w:lang w:val="en-US" w:eastAsia="zh-CN"/>
              </w:rPr>
              <w:t>隧道窑等，并进行必要的内部道路、供水、供电等基础配套工程。工程</w:t>
            </w:r>
            <w:r>
              <w:rPr>
                <w:color w:val="auto"/>
                <w:sz w:val="24"/>
                <w:szCs w:val="24"/>
              </w:rPr>
              <w:t>组成见下表。</w:t>
            </w:r>
          </w:p>
          <w:p>
            <w:pPr>
              <w:pStyle w:val="14"/>
              <w:keepNext/>
              <w:spacing w:line="240" w:lineRule="auto"/>
              <w:rPr>
                <w:rFonts w:cs="Times New Roman"/>
                <w:color w:val="auto"/>
              </w:rPr>
            </w:pPr>
            <w:r>
              <w:rPr>
                <w:rFonts w:eastAsia="宋体" w:cs="Times New Roman"/>
                <w:color w:val="auto"/>
              </w:rPr>
              <w:t>表</w:t>
            </w:r>
            <w:r>
              <w:rPr>
                <w:rFonts w:hint="eastAsia" w:eastAsia="宋体" w:cs="Times New Roman"/>
                <w:color w:val="auto"/>
                <w:lang w:val="en-US" w:eastAsia="zh-CN"/>
              </w:rPr>
              <w:t xml:space="preserve">2-5   </w:t>
            </w:r>
            <w:r>
              <w:rPr>
                <w:rFonts w:eastAsia="宋体" w:cs="Times New Roman"/>
                <w:color w:val="auto"/>
              </w:rPr>
              <w:t>工程组成一览表</w:t>
            </w:r>
          </w:p>
          <w:tbl>
            <w:tblPr>
              <w:tblStyle w:val="30"/>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48"/>
              <w:gridCol w:w="882"/>
              <w:gridCol w:w="1995"/>
              <w:gridCol w:w="239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noWrap/>
                  <w:vAlign w:val="center"/>
                </w:tcPr>
                <w:p>
                  <w:pPr>
                    <w:pStyle w:val="57"/>
                    <w:rPr>
                      <w:color w:val="auto"/>
                    </w:rPr>
                  </w:pPr>
                  <w:r>
                    <w:rPr>
                      <w:color w:val="auto"/>
                    </w:rPr>
                    <w:t>工程类别</w:t>
                  </w:r>
                </w:p>
              </w:tc>
              <w:tc>
                <w:tcPr>
                  <w:tcW w:w="948" w:type="dxa"/>
                  <w:noWrap/>
                  <w:vAlign w:val="center"/>
                </w:tcPr>
                <w:p>
                  <w:pPr>
                    <w:pStyle w:val="57"/>
                    <w:rPr>
                      <w:color w:val="auto"/>
                    </w:rPr>
                  </w:pPr>
                  <w:r>
                    <w:rPr>
                      <w:color w:val="auto"/>
                    </w:rPr>
                    <w:t>工程</w:t>
                  </w:r>
                </w:p>
                <w:p>
                  <w:pPr>
                    <w:pStyle w:val="57"/>
                    <w:rPr>
                      <w:color w:val="auto"/>
                    </w:rPr>
                  </w:pPr>
                  <w:r>
                    <w:rPr>
                      <w:color w:val="auto"/>
                    </w:rPr>
                    <w:t>名称</w:t>
                  </w:r>
                </w:p>
              </w:tc>
              <w:tc>
                <w:tcPr>
                  <w:tcW w:w="2877" w:type="dxa"/>
                  <w:gridSpan w:val="2"/>
                  <w:noWrap/>
                  <w:vAlign w:val="center"/>
                </w:tcPr>
                <w:p>
                  <w:pPr>
                    <w:pStyle w:val="57"/>
                    <w:rPr>
                      <w:color w:val="auto"/>
                    </w:rPr>
                  </w:pPr>
                  <w:r>
                    <w:rPr>
                      <w:color w:val="auto"/>
                    </w:rPr>
                    <w:t>建设内容</w:t>
                  </w:r>
                </w:p>
              </w:tc>
              <w:tc>
                <w:tcPr>
                  <w:tcW w:w="3332" w:type="dxa"/>
                  <w:gridSpan w:val="2"/>
                  <w:noWrap/>
                  <w:vAlign w:val="center"/>
                </w:tcPr>
                <w:p>
                  <w:pPr>
                    <w:pStyle w:val="57"/>
                    <w:rPr>
                      <w:color w:val="auto"/>
                    </w:rPr>
                  </w:pPr>
                  <w:r>
                    <w:rPr>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restart"/>
                  <w:noWrap/>
                  <w:vAlign w:val="center"/>
                </w:tcPr>
                <w:p>
                  <w:pPr>
                    <w:pStyle w:val="57"/>
                    <w:rPr>
                      <w:color w:val="auto"/>
                    </w:rPr>
                  </w:pPr>
                  <w:r>
                    <w:rPr>
                      <w:color w:val="auto"/>
                    </w:rPr>
                    <w:t>主体工程</w:t>
                  </w:r>
                </w:p>
              </w:tc>
              <w:tc>
                <w:tcPr>
                  <w:tcW w:w="948" w:type="dxa"/>
                  <w:vMerge w:val="restart"/>
                  <w:noWrap/>
                  <w:vAlign w:val="center"/>
                </w:tcPr>
                <w:p>
                  <w:pPr>
                    <w:pStyle w:val="57"/>
                    <w:rPr>
                      <w:color w:val="auto"/>
                    </w:rPr>
                  </w:pPr>
                  <w:r>
                    <w:rPr>
                      <w:rFonts w:hint="eastAsia"/>
                      <w:color w:val="auto"/>
                      <w:lang w:val="en-US" w:eastAsia="zh-CN"/>
                    </w:rPr>
                    <w:t>固定式</w:t>
                  </w:r>
                  <w:r>
                    <w:rPr>
                      <w:color w:val="auto"/>
                    </w:rPr>
                    <w:t>隧道窑烧结砖生产线</w:t>
                  </w:r>
                </w:p>
              </w:tc>
              <w:tc>
                <w:tcPr>
                  <w:tcW w:w="882" w:type="dxa"/>
                  <w:noWrap w:val="0"/>
                  <w:vAlign w:val="center"/>
                </w:tcPr>
                <w:p>
                  <w:pPr>
                    <w:pStyle w:val="57"/>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焙烧</w:t>
                  </w:r>
                </w:p>
                <w:p>
                  <w:pPr>
                    <w:pStyle w:val="57"/>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车间</w:t>
                  </w:r>
                </w:p>
              </w:tc>
              <w:tc>
                <w:tcPr>
                  <w:tcW w:w="1995" w:type="dxa"/>
                  <w:noWrap w:val="0"/>
                  <w:vAlign w:val="center"/>
                </w:tcPr>
                <w:p>
                  <w:pPr>
                    <w:pStyle w:val="57"/>
                    <w:rPr>
                      <w:color w:val="auto"/>
                      <w:vertAlign w:val="superscript"/>
                    </w:rPr>
                  </w:pPr>
                  <w:r>
                    <w:rPr>
                      <w:color w:val="auto"/>
                    </w:rPr>
                    <w:t>占地面积</w:t>
                  </w:r>
                  <w:r>
                    <w:rPr>
                      <w:rFonts w:hint="eastAsia"/>
                      <w:color w:val="auto"/>
                      <w:lang w:val="en-US" w:eastAsia="zh-CN"/>
                    </w:rPr>
                    <w:t>1760</w:t>
                  </w:r>
                  <w:r>
                    <w:rPr>
                      <w:color w:val="auto"/>
                    </w:rPr>
                    <w:t>m</w:t>
                  </w:r>
                  <w:r>
                    <w:rPr>
                      <w:color w:val="auto"/>
                      <w:vertAlign w:val="superscript"/>
                    </w:rPr>
                    <w:t>2</w:t>
                  </w:r>
                </w:p>
                <w:p>
                  <w:pPr>
                    <w:pStyle w:val="57"/>
                    <w:rPr>
                      <w:rFonts w:hint="default" w:ascii="Times New Roman" w:hAnsi="Times New Roman" w:eastAsia="宋体" w:cs="Times New Roman"/>
                      <w:color w:val="auto"/>
                      <w:kern w:val="2"/>
                      <w:sz w:val="21"/>
                      <w:szCs w:val="24"/>
                      <w:lang w:val="en-US" w:eastAsia="zh-CN" w:bidi="ar-SA"/>
                    </w:rPr>
                  </w:pPr>
                  <w:r>
                    <w:rPr>
                      <w:rFonts w:hint="eastAsia"/>
                      <w:color w:val="auto"/>
                    </w:rPr>
                    <w:t>（</w:t>
                  </w:r>
                  <w:r>
                    <w:rPr>
                      <w:rFonts w:hint="eastAsia"/>
                      <w:color w:val="auto"/>
                      <w:lang w:val="en-US" w:eastAsia="zh-CN"/>
                    </w:rPr>
                    <w:t>矩形</w:t>
                  </w:r>
                  <w:r>
                    <w:rPr>
                      <w:rFonts w:hint="eastAsia"/>
                      <w:color w:val="auto"/>
                    </w:rPr>
                    <w:t>）</w:t>
                  </w:r>
                  <w:r>
                    <w:rPr>
                      <w:color w:val="auto"/>
                    </w:rPr>
                    <w:t>1F、</w:t>
                  </w:r>
                  <w:r>
                    <w:rPr>
                      <w:rFonts w:hint="eastAsia"/>
                      <w:color w:val="auto"/>
                      <w:lang w:val="en-US" w:eastAsia="zh-CN"/>
                    </w:rPr>
                    <w:t>混凝土+砖混</w:t>
                  </w:r>
                </w:p>
              </w:tc>
              <w:tc>
                <w:tcPr>
                  <w:tcW w:w="2393" w:type="dxa"/>
                  <w:noWrap/>
                  <w:vAlign w:val="center"/>
                </w:tcPr>
                <w:p>
                  <w:pPr>
                    <w:pStyle w:val="57"/>
                    <w:jc w:val="both"/>
                    <w:rPr>
                      <w:color w:val="auto"/>
                    </w:rPr>
                  </w:pPr>
                  <w:r>
                    <w:rPr>
                      <w:rFonts w:hint="eastAsia"/>
                      <w:bCs/>
                      <w:color w:val="auto"/>
                      <w:sz w:val="21"/>
                      <w:szCs w:val="21"/>
                      <w:lang w:eastAsia="zh-CN"/>
                    </w:rPr>
                    <w:t>新建</w:t>
                  </w:r>
                  <w:r>
                    <w:rPr>
                      <w:rFonts w:hint="eastAsia"/>
                      <w:bCs/>
                      <w:color w:val="auto"/>
                      <w:sz w:val="21"/>
                      <w:szCs w:val="21"/>
                      <w:lang w:val="en-US" w:eastAsia="zh-CN"/>
                    </w:rPr>
                    <w:t>矩形固定式</w:t>
                  </w:r>
                  <w:r>
                    <w:rPr>
                      <w:rFonts w:hint="eastAsia"/>
                      <w:bCs/>
                      <w:color w:val="auto"/>
                      <w:sz w:val="21"/>
                      <w:szCs w:val="21"/>
                      <w:lang w:eastAsia="zh-CN"/>
                    </w:rPr>
                    <w:t>隧道窑</w:t>
                  </w:r>
                  <w:r>
                    <w:rPr>
                      <w:rFonts w:hint="eastAsia"/>
                      <w:bCs/>
                      <w:color w:val="auto"/>
                      <w:sz w:val="21"/>
                      <w:szCs w:val="21"/>
                      <w:lang w:val="en-US" w:eastAsia="zh-CN"/>
                    </w:rPr>
                    <w:t>1</w:t>
                  </w:r>
                  <w:r>
                    <w:rPr>
                      <w:rFonts w:hint="eastAsia"/>
                      <w:bCs/>
                      <w:color w:val="auto"/>
                      <w:sz w:val="21"/>
                      <w:szCs w:val="21"/>
                      <w:lang w:eastAsia="zh-CN"/>
                    </w:rPr>
                    <w:t>座（</w:t>
                  </w:r>
                  <w:r>
                    <w:rPr>
                      <w:rFonts w:hint="eastAsia"/>
                      <w:bCs/>
                      <w:color w:val="auto"/>
                      <w:sz w:val="21"/>
                      <w:szCs w:val="21"/>
                      <w:lang w:val="en-US" w:eastAsia="zh-CN"/>
                    </w:rPr>
                    <w:t>内设1条烧结砖、空心砌块生产线</w:t>
                  </w:r>
                  <w:r>
                    <w:rPr>
                      <w:rFonts w:hint="eastAsia"/>
                      <w:bCs/>
                      <w:color w:val="auto"/>
                      <w:sz w:val="21"/>
                      <w:szCs w:val="21"/>
                      <w:lang w:eastAsia="zh-CN"/>
                    </w:rPr>
                    <w:t>），</w:t>
                  </w:r>
                  <w:r>
                    <w:rPr>
                      <w:rFonts w:hint="eastAsia"/>
                      <w:bCs/>
                      <w:color w:val="auto"/>
                      <w:sz w:val="21"/>
                      <w:szCs w:val="21"/>
                      <w:lang w:val="en-US" w:eastAsia="zh-CN"/>
                    </w:rPr>
                    <w:t>钢筋混凝土结构</w:t>
                  </w:r>
                  <w:r>
                    <w:rPr>
                      <w:rFonts w:hint="eastAsia"/>
                      <w:bCs/>
                      <w:color w:val="auto"/>
                      <w:sz w:val="21"/>
                      <w:szCs w:val="21"/>
                      <w:lang w:eastAsia="zh-CN"/>
                    </w:rPr>
                    <w:t>，宽度为</w:t>
                  </w:r>
                  <w:r>
                    <w:rPr>
                      <w:rFonts w:hint="eastAsia"/>
                      <w:bCs/>
                      <w:color w:val="auto"/>
                      <w:sz w:val="21"/>
                      <w:szCs w:val="21"/>
                      <w:lang w:val="en-US" w:eastAsia="zh-CN"/>
                    </w:rPr>
                    <w:t>16</w:t>
                  </w:r>
                  <w:r>
                    <w:rPr>
                      <w:rFonts w:hint="eastAsia"/>
                      <w:bCs/>
                      <w:color w:val="auto"/>
                      <w:sz w:val="21"/>
                      <w:szCs w:val="21"/>
                      <w:lang w:eastAsia="zh-CN"/>
                    </w:rPr>
                    <w:t>m，</w:t>
                  </w:r>
                  <w:r>
                    <w:rPr>
                      <w:rFonts w:hint="eastAsia"/>
                      <w:bCs/>
                      <w:color w:val="auto"/>
                      <w:sz w:val="21"/>
                      <w:szCs w:val="21"/>
                      <w:lang w:val="en-US" w:eastAsia="zh-CN"/>
                    </w:rPr>
                    <w:t>长110m</w:t>
                  </w:r>
                </w:p>
              </w:tc>
              <w:tc>
                <w:tcPr>
                  <w:tcW w:w="939" w:type="dxa"/>
                  <w:noWrap/>
                  <w:vAlign w:val="center"/>
                </w:tcPr>
                <w:p>
                  <w:pPr>
                    <w:pStyle w:val="57"/>
                    <w:rPr>
                      <w:rFonts w:hint="eastAsia" w:eastAsia="宋体"/>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ign w:val="center"/>
                </w:tcPr>
                <w:p>
                  <w:pPr>
                    <w:pStyle w:val="57"/>
                    <w:rPr>
                      <w:color w:val="auto"/>
                    </w:rPr>
                  </w:pPr>
                </w:p>
              </w:tc>
              <w:tc>
                <w:tcPr>
                  <w:tcW w:w="948" w:type="dxa"/>
                  <w:vMerge w:val="continue"/>
                  <w:noWrap/>
                  <w:vAlign w:val="center"/>
                </w:tcPr>
                <w:p>
                  <w:pPr>
                    <w:pStyle w:val="57"/>
                    <w:rPr>
                      <w:color w:val="auto"/>
                    </w:rPr>
                  </w:pPr>
                </w:p>
              </w:tc>
              <w:tc>
                <w:tcPr>
                  <w:tcW w:w="882" w:type="dxa"/>
                  <w:noWrap w:val="0"/>
                  <w:vAlign w:val="center"/>
                </w:tcPr>
                <w:p>
                  <w:pPr>
                    <w:pStyle w:val="57"/>
                    <w:rPr>
                      <w:rFonts w:hint="default" w:eastAsia="宋体"/>
                      <w:color w:val="auto"/>
                      <w:lang w:val="en-US" w:eastAsia="zh-CN"/>
                    </w:rPr>
                  </w:pPr>
                  <w:r>
                    <w:rPr>
                      <w:rFonts w:hint="eastAsia"/>
                      <w:color w:val="auto"/>
                      <w:lang w:val="en-US" w:eastAsia="zh-CN"/>
                    </w:rPr>
                    <w:t>原料加工车间</w:t>
                  </w:r>
                </w:p>
              </w:tc>
              <w:tc>
                <w:tcPr>
                  <w:tcW w:w="1995" w:type="dxa"/>
                  <w:noWrap w:val="0"/>
                  <w:vAlign w:val="center"/>
                </w:tcPr>
                <w:p>
                  <w:pPr>
                    <w:pStyle w:val="57"/>
                    <w:rPr>
                      <w:rFonts w:hint="eastAsia"/>
                      <w:color w:val="auto"/>
                      <w:vertAlign w:val="baseline"/>
                      <w:lang w:eastAsia="zh-CN"/>
                    </w:rPr>
                  </w:pPr>
                  <w:r>
                    <w:rPr>
                      <w:color w:val="auto"/>
                    </w:rPr>
                    <w:t>占地面积</w:t>
                  </w:r>
                  <w:r>
                    <w:rPr>
                      <w:rFonts w:hint="eastAsia"/>
                      <w:color w:val="auto"/>
                      <w:lang w:val="en-US" w:eastAsia="zh-CN"/>
                    </w:rPr>
                    <w:t>600</w:t>
                  </w:r>
                  <w:r>
                    <w:rPr>
                      <w:color w:val="auto"/>
                    </w:rPr>
                    <w:t>m</w:t>
                  </w:r>
                  <w:r>
                    <w:rPr>
                      <w:color w:val="auto"/>
                      <w:vertAlign w:val="superscript"/>
                    </w:rPr>
                    <w:t>2</w:t>
                  </w:r>
                </w:p>
                <w:p>
                  <w:pPr>
                    <w:pStyle w:val="57"/>
                    <w:rPr>
                      <w:color w:val="auto"/>
                    </w:rPr>
                  </w:pPr>
                  <w:r>
                    <w:rPr>
                      <w:color w:val="auto"/>
                    </w:rPr>
                    <w:t>1F、钢结构</w:t>
                  </w:r>
                </w:p>
              </w:tc>
              <w:tc>
                <w:tcPr>
                  <w:tcW w:w="2393" w:type="dxa"/>
                  <w:noWrap/>
                  <w:vAlign w:val="center"/>
                </w:tcPr>
                <w:p>
                  <w:pPr>
                    <w:adjustRightInd w:val="0"/>
                    <w:snapToGrid w:val="0"/>
                    <w:spacing w:line="320" w:lineRule="exact"/>
                    <w:ind w:firstLine="0" w:firstLineChars="0"/>
                    <w:jc w:val="left"/>
                    <w:rPr>
                      <w:rFonts w:hint="eastAsia" w:eastAsia="宋体"/>
                      <w:bCs/>
                      <w:color w:val="auto"/>
                      <w:kern w:val="2"/>
                      <w:sz w:val="21"/>
                      <w:szCs w:val="21"/>
                      <w:lang w:val="en-US" w:eastAsia="zh-CN" w:bidi="ar-SA"/>
                    </w:rPr>
                  </w:pPr>
                  <w:r>
                    <w:rPr>
                      <w:bCs/>
                      <w:color w:val="auto"/>
                      <w:sz w:val="21"/>
                      <w:szCs w:val="21"/>
                    </w:rPr>
                    <w:t>设</w:t>
                  </w:r>
                  <w:r>
                    <w:rPr>
                      <w:rFonts w:hint="eastAsia"/>
                      <w:bCs/>
                      <w:color w:val="auto"/>
                      <w:sz w:val="21"/>
                      <w:szCs w:val="21"/>
                      <w:lang w:val="en-US" w:eastAsia="zh-CN"/>
                    </w:rPr>
                    <w:t>打土机、</w:t>
                  </w:r>
                  <w:r>
                    <w:rPr>
                      <w:bCs/>
                      <w:color w:val="auto"/>
                      <w:sz w:val="21"/>
                      <w:szCs w:val="21"/>
                    </w:rPr>
                    <w:t>破碎机、振动筛</w:t>
                  </w:r>
                  <w:r>
                    <w:rPr>
                      <w:rFonts w:hint="eastAsia"/>
                      <w:bCs/>
                      <w:color w:val="auto"/>
                      <w:sz w:val="21"/>
                      <w:szCs w:val="21"/>
                      <w:lang w:eastAsia="zh-CN"/>
                    </w:rPr>
                    <w:t>、</w:t>
                  </w:r>
                  <w:r>
                    <w:rPr>
                      <w:rFonts w:hint="eastAsia"/>
                      <w:bCs/>
                      <w:color w:val="auto"/>
                      <w:sz w:val="21"/>
                      <w:szCs w:val="21"/>
                      <w:lang w:val="en-US" w:eastAsia="zh-CN"/>
                    </w:rPr>
                    <w:t>搅拌机</w:t>
                  </w:r>
                  <w:r>
                    <w:rPr>
                      <w:bCs/>
                      <w:color w:val="auto"/>
                      <w:sz w:val="21"/>
                      <w:szCs w:val="21"/>
                    </w:rPr>
                    <w:t>等设备，用于原材料的粉碎</w:t>
                  </w:r>
                  <w:r>
                    <w:rPr>
                      <w:rFonts w:hint="eastAsia"/>
                      <w:bCs/>
                      <w:color w:val="auto"/>
                      <w:sz w:val="21"/>
                      <w:szCs w:val="21"/>
                    </w:rPr>
                    <w:t>，地面采用水泥硬化</w:t>
                  </w:r>
                </w:p>
              </w:tc>
              <w:tc>
                <w:tcPr>
                  <w:tcW w:w="939" w:type="dxa"/>
                  <w:noWrap/>
                  <w:vAlign w:val="center"/>
                </w:tcPr>
                <w:p>
                  <w:pPr>
                    <w:pStyle w:val="57"/>
                    <w:rPr>
                      <w:rFonts w:hint="eastAsia" w:eastAsia="宋体"/>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18" w:type="dxa"/>
                  <w:vMerge w:val="continue"/>
                  <w:noWrap w:val="0"/>
                  <w:vAlign w:val="center"/>
                </w:tcPr>
                <w:p>
                  <w:pPr>
                    <w:pStyle w:val="57"/>
                    <w:rPr>
                      <w:color w:val="auto"/>
                    </w:rPr>
                  </w:pPr>
                </w:p>
              </w:tc>
              <w:tc>
                <w:tcPr>
                  <w:tcW w:w="948" w:type="dxa"/>
                  <w:vMerge w:val="continue"/>
                  <w:noWrap w:val="0"/>
                  <w:vAlign w:val="center"/>
                </w:tcPr>
                <w:p>
                  <w:pPr>
                    <w:pStyle w:val="57"/>
                    <w:rPr>
                      <w:color w:val="auto"/>
                    </w:rPr>
                  </w:pPr>
                </w:p>
              </w:tc>
              <w:tc>
                <w:tcPr>
                  <w:tcW w:w="882" w:type="dxa"/>
                  <w:noWrap w:val="0"/>
                  <w:vAlign w:val="center"/>
                </w:tcPr>
                <w:p>
                  <w:pPr>
                    <w:pStyle w:val="57"/>
                    <w:rPr>
                      <w:rFonts w:hint="eastAsia"/>
                      <w:color w:val="auto"/>
                      <w:lang w:val="en-US" w:eastAsia="zh-CN"/>
                    </w:rPr>
                  </w:pPr>
                  <w:r>
                    <w:rPr>
                      <w:rFonts w:hint="eastAsia"/>
                      <w:color w:val="auto"/>
                      <w:lang w:val="en-US" w:eastAsia="zh-CN"/>
                    </w:rPr>
                    <w:t>砖机</w:t>
                  </w:r>
                </w:p>
                <w:p>
                  <w:pPr>
                    <w:pStyle w:val="57"/>
                    <w:rPr>
                      <w:rFonts w:hint="default" w:eastAsia="宋体"/>
                      <w:color w:val="auto"/>
                      <w:lang w:val="en-US" w:eastAsia="zh-CN"/>
                    </w:rPr>
                  </w:pPr>
                  <w:r>
                    <w:rPr>
                      <w:rFonts w:hint="eastAsia"/>
                      <w:color w:val="auto"/>
                      <w:lang w:val="en-US" w:eastAsia="zh-CN"/>
                    </w:rPr>
                    <w:t>车间</w:t>
                  </w:r>
                </w:p>
              </w:tc>
              <w:tc>
                <w:tcPr>
                  <w:tcW w:w="1995" w:type="dxa"/>
                  <w:noWrap w:val="0"/>
                  <w:vAlign w:val="center"/>
                </w:tcPr>
                <w:p>
                  <w:pPr>
                    <w:pStyle w:val="57"/>
                    <w:rPr>
                      <w:rFonts w:hint="eastAsia"/>
                      <w:color w:val="auto"/>
                      <w:vertAlign w:val="baseline"/>
                      <w:lang w:eastAsia="zh-CN"/>
                    </w:rPr>
                  </w:pPr>
                  <w:r>
                    <w:rPr>
                      <w:color w:val="auto"/>
                    </w:rPr>
                    <w:t>占地面积</w:t>
                  </w:r>
                  <w:r>
                    <w:rPr>
                      <w:rFonts w:hint="eastAsia"/>
                      <w:color w:val="auto"/>
                      <w:lang w:val="en-US" w:eastAsia="zh-CN"/>
                    </w:rPr>
                    <w:t>500</w:t>
                  </w:r>
                  <w:r>
                    <w:rPr>
                      <w:color w:val="auto"/>
                    </w:rPr>
                    <w:t>m</w:t>
                  </w:r>
                  <w:r>
                    <w:rPr>
                      <w:color w:val="auto"/>
                      <w:vertAlign w:val="superscript"/>
                    </w:rPr>
                    <w:t>2</w:t>
                  </w:r>
                </w:p>
                <w:p>
                  <w:pPr>
                    <w:pStyle w:val="57"/>
                    <w:rPr>
                      <w:color w:val="auto"/>
                    </w:rPr>
                  </w:pPr>
                  <w:r>
                    <w:rPr>
                      <w:color w:val="auto"/>
                    </w:rPr>
                    <w:t>1F、钢结构</w:t>
                  </w:r>
                </w:p>
              </w:tc>
              <w:tc>
                <w:tcPr>
                  <w:tcW w:w="2393" w:type="dxa"/>
                  <w:noWrap/>
                  <w:vAlign w:val="center"/>
                </w:tcPr>
                <w:p>
                  <w:pPr>
                    <w:adjustRightInd w:val="0"/>
                    <w:snapToGrid w:val="0"/>
                    <w:spacing w:line="320" w:lineRule="exact"/>
                    <w:ind w:firstLine="0" w:firstLineChars="0"/>
                    <w:jc w:val="left"/>
                    <w:rPr>
                      <w:rFonts w:hint="eastAsia" w:eastAsia="宋体"/>
                      <w:bCs/>
                      <w:color w:val="auto"/>
                      <w:kern w:val="2"/>
                      <w:sz w:val="21"/>
                      <w:szCs w:val="21"/>
                      <w:lang w:val="en-US" w:eastAsia="zh-CN" w:bidi="ar-SA"/>
                    </w:rPr>
                  </w:pPr>
                  <w:r>
                    <w:rPr>
                      <w:rFonts w:hint="eastAsia"/>
                      <w:bCs/>
                      <w:color w:val="auto"/>
                      <w:sz w:val="21"/>
                      <w:szCs w:val="21"/>
                      <w:lang w:val="en-US" w:eastAsia="zh-CN"/>
                    </w:rPr>
                    <w:t>设给料机、挤出机、</w:t>
                  </w:r>
                  <w:r>
                    <w:rPr>
                      <w:bCs/>
                      <w:color w:val="auto"/>
                      <w:sz w:val="21"/>
                      <w:szCs w:val="21"/>
                    </w:rPr>
                    <w:t>切坯机、码坯机等设备，用于制坯</w:t>
                  </w:r>
                  <w:r>
                    <w:rPr>
                      <w:rFonts w:hint="eastAsia"/>
                      <w:bCs/>
                      <w:color w:val="auto"/>
                      <w:sz w:val="21"/>
                      <w:szCs w:val="21"/>
                      <w:lang w:eastAsia="zh-CN"/>
                    </w:rPr>
                    <w:t>，</w:t>
                  </w:r>
                  <w:r>
                    <w:rPr>
                      <w:rFonts w:hint="eastAsia"/>
                      <w:bCs/>
                      <w:color w:val="auto"/>
                      <w:sz w:val="21"/>
                      <w:szCs w:val="21"/>
                    </w:rPr>
                    <w:t>地面采用水泥硬化</w:t>
                  </w:r>
                  <w:r>
                    <w:rPr>
                      <w:rFonts w:hint="eastAsia"/>
                      <w:bCs/>
                      <w:color w:val="auto"/>
                      <w:sz w:val="21"/>
                      <w:szCs w:val="21"/>
                      <w:lang w:eastAsia="zh-CN"/>
                    </w:rPr>
                    <w:t>。</w:t>
                  </w:r>
                </w:p>
              </w:tc>
              <w:tc>
                <w:tcPr>
                  <w:tcW w:w="939" w:type="dxa"/>
                  <w:noWrap/>
                  <w:vAlign w:val="center"/>
                </w:tcPr>
                <w:p>
                  <w:pPr>
                    <w:pStyle w:val="57"/>
                    <w:rPr>
                      <w:rFonts w:hint="eastAsia" w:eastAsia="宋体"/>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18" w:type="dxa"/>
                  <w:vMerge w:val="continue"/>
                  <w:noWrap w:val="0"/>
                  <w:vAlign w:val="center"/>
                </w:tcPr>
                <w:p>
                  <w:pPr>
                    <w:pStyle w:val="57"/>
                    <w:rPr>
                      <w:color w:val="auto"/>
                    </w:rPr>
                  </w:pPr>
                </w:p>
              </w:tc>
              <w:tc>
                <w:tcPr>
                  <w:tcW w:w="948" w:type="dxa"/>
                  <w:vMerge w:val="continue"/>
                  <w:noWrap w:val="0"/>
                  <w:vAlign w:val="center"/>
                </w:tcPr>
                <w:p>
                  <w:pPr>
                    <w:pStyle w:val="57"/>
                    <w:rPr>
                      <w:color w:val="auto"/>
                    </w:rPr>
                  </w:pPr>
                </w:p>
              </w:tc>
              <w:tc>
                <w:tcPr>
                  <w:tcW w:w="882" w:type="dxa"/>
                  <w:noWrap w:val="0"/>
                  <w:vAlign w:val="center"/>
                </w:tcPr>
                <w:p>
                  <w:pPr>
                    <w:pStyle w:val="57"/>
                    <w:rPr>
                      <w:rFonts w:hint="default" w:eastAsia="宋体"/>
                      <w:color w:val="auto"/>
                      <w:lang w:val="en-US" w:eastAsia="zh-CN"/>
                    </w:rPr>
                  </w:pPr>
                  <w:r>
                    <w:rPr>
                      <w:rFonts w:hint="eastAsia" w:eastAsia="宋体"/>
                      <w:color w:val="auto"/>
                      <w:lang w:val="en-US" w:eastAsia="zh-CN"/>
                    </w:rPr>
                    <w:t>陈化库</w:t>
                  </w:r>
                </w:p>
              </w:tc>
              <w:tc>
                <w:tcPr>
                  <w:tcW w:w="1995" w:type="dxa"/>
                  <w:noWrap w:val="0"/>
                  <w:vAlign w:val="center"/>
                </w:tcPr>
                <w:p>
                  <w:pPr>
                    <w:pStyle w:val="57"/>
                    <w:rPr>
                      <w:rFonts w:hint="eastAsia"/>
                      <w:color w:val="auto"/>
                      <w:vertAlign w:val="baseline"/>
                      <w:lang w:eastAsia="zh-CN"/>
                    </w:rPr>
                  </w:pPr>
                  <w:r>
                    <w:rPr>
                      <w:color w:val="auto"/>
                    </w:rPr>
                    <w:t>占地面积</w:t>
                  </w:r>
                  <w:r>
                    <w:rPr>
                      <w:rFonts w:hint="eastAsia"/>
                      <w:color w:val="auto"/>
                      <w:lang w:val="en-US" w:eastAsia="zh-CN"/>
                    </w:rPr>
                    <w:t>500</w:t>
                  </w:r>
                  <w:r>
                    <w:rPr>
                      <w:color w:val="auto"/>
                    </w:rPr>
                    <w:t>m</w:t>
                  </w:r>
                  <w:r>
                    <w:rPr>
                      <w:color w:val="auto"/>
                      <w:vertAlign w:val="superscript"/>
                    </w:rPr>
                    <w:t>2</w:t>
                  </w:r>
                </w:p>
                <w:p>
                  <w:pPr>
                    <w:pStyle w:val="57"/>
                    <w:rPr>
                      <w:color w:val="auto"/>
                    </w:rPr>
                  </w:pPr>
                  <w:r>
                    <w:rPr>
                      <w:color w:val="auto"/>
                    </w:rPr>
                    <w:t>1F、钢结构</w:t>
                  </w:r>
                </w:p>
              </w:tc>
              <w:tc>
                <w:tcPr>
                  <w:tcW w:w="2393" w:type="dxa"/>
                  <w:noWrap/>
                  <w:vAlign w:val="center"/>
                </w:tcPr>
                <w:p>
                  <w:pPr>
                    <w:adjustRightInd w:val="0"/>
                    <w:snapToGrid w:val="0"/>
                    <w:spacing w:line="320" w:lineRule="exact"/>
                    <w:ind w:firstLine="0" w:firstLineChars="0"/>
                    <w:jc w:val="center"/>
                    <w:rPr>
                      <w:rFonts w:hint="default"/>
                      <w:bCs/>
                      <w:color w:val="auto"/>
                      <w:sz w:val="21"/>
                      <w:szCs w:val="21"/>
                      <w:lang w:val="en-US" w:eastAsia="zh-CN"/>
                    </w:rPr>
                  </w:pPr>
                  <w:r>
                    <w:rPr>
                      <w:rFonts w:hint="eastAsia"/>
                      <w:bCs/>
                      <w:color w:val="auto"/>
                      <w:sz w:val="21"/>
                      <w:szCs w:val="21"/>
                      <w:lang w:val="en-US" w:eastAsia="zh-CN"/>
                    </w:rPr>
                    <w:t>主要进行原料陈化处理</w:t>
                  </w:r>
                </w:p>
              </w:tc>
              <w:tc>
                <w:tcPr>
                  <w:tcW w:w="939" w:type="dxa"/>
                  <w:noWrap/>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18" w:type="dxa"/>
                  <w:vMerge w:val="continue"/>
                  <w:noWrap w:val="0"/>
                  <w:vAlign w:val="center"/>
                </w:tcPr>
                <w:p>
                  <w:pPr>
                    <w:pStyle w:val="57"/>
                    <w:rPr>
                      <w:color w:val="auto"/>
                    </w:rPr>
                  </w:pPr>
                </w:p>
              </w:tc>
              <w:tc>
                <w:tcPr>
                  <w:tcW w:w="948" w:type="dxa"/>
                  <w:vMerge w:val="continue"/>
                  <w:noWrap w:val="0"/>
                  <w:vAlign w:val="center"/>
                </w:tcPr>
                <w:p>
                  <w:pPr>
                    <w:pStyle w:val="57"/>
                    <w:rPr>
                      <w:color w:val="auto"/>
                    </w:rPr>
                  </w:pPr>
                </w:p>
              </w:tc>
              <w:tc>
                <w:tcPr>
                  <w:tcW w:w="882" w:type="dxa"/>
                  <w:noWrap w:val="0"/>
                  <w:vAlign w:val="center"/>
                </w:tcPr>
                <w:p>
                  <w:pPr>
                    <w:pStyle w:val="57"/>
                    <w:rPr>
                      <w:rFonts w:hint="eastAsia"/>
                      <w:color w:val="auto"/>
                      <w:lang w:val="en-US" w:eastAsia="zh-CN"/>
                    </w:rPr>
                  </w:pPr>
                  <w:r>
                    <w:rPr>
                      <w:rFonts w:hint="eastAsia"/>
                      <w:color w:val="auto"/>
                      <w:lang w:val="en-US" w:eastAsia="zh-CN"/>
                    </w:rPr>
                    <w:t>晾坯</w:t>
                  </w:r>
                </w:p>
                <w:p>
                  <w:pPr>
                    <w:pStyle w:val="57"/>
                    <w:rPr>
                      <w:rFonts w:hint="default" w:eastAsia="宋体"/>
                      <w:color w:val="auto"/>
                      <w:lang w:val="en-US" w:eastAsia="zh-CN"/>
                    </w:rPr>
                  </w:pPr>
                  <w:r>
                    <w:rPr>
                      <w:rFonts w:hint="eastAsia"/>
                      <w:color w:val="auto"/>
                      <w:lang w:val="en-US" w:eastAsia="zh-CN"/>
                    </w:rPr>
                    <w:t>车间</w:t>
                  </w:r>
                </w:p>
              </w:tc>
              <w:tc>
                <w:tcPr>
                  <w:tcW w:w="1995" w:type="dxa"/>
                  <w:noWrap w:val="0"/>
                  <w:vAlign w:val="center"/>
                </w:tcPr>
                <w:p>
                  <w:pPr>
                    <w:pStyle w:val="57"/>
                    <w:rPr>
                      <w:rFonts w:hint="eastAsia"/>
                      <w:color w:val="auto"/>
                      <w:vertAlign w:val="baseline"/>
                      <w:lang w:eastAsia="zh-CN"/>
                    </w:rPr>
                  </w:pPr>
                  <w:r>
                    <w:rPr>
                      <w:color w:val="auto"/>
                    </w:rPr>
                    <w:t>占地面积</w:t>
                  </w:r>
                  <w:r>
                    <w:rPr>
                      <w:rFonts w:hint="eastAsia"/>
                      <w:color w:val="auto"/>
                      <w:lang w:val="en-US" w:eastAsia="zh-CN"/>
                    </w:rPr>
                    <w:t>800</w:t>
                  </w:r>
                  <w:r>
                    <w:rPr>
                      <w:color w:val="auto"/>
                    </w:rPr>
                    <w:t>m</w:t>
                  </w:r>
                  <w:r>
                    <w:rPr>
                      <w:color w:val="auto"/>
                      <w:vertAlign w:val="superscript"/>
                    </w:rPr>
                    <w:t>2</w:t>
                  </w:r>
                </w:p>
                <w:p>
                  <w:pPr>
                    <w:pStyle w:val="57"/>
                    <w:rPr>
                      <w:color w:val="auto"/>
                    </w:rPr>
                  </w:pPr>
                  <w:r>
                    <w:rPr>
                      <w:color w:val="auto"/>
                    </w:rPr>
                    <w:t>1F、钢结构</w:t>
                  </w:r>
                </w:p>
              </w:tc>
              <w:tc>
                <w:tcPr>
                  <w:tcW w:w="2393" w:type="dxa"/>
                  <w:noWrap/>
                  <w:vAlign w:val="center"/>
                </w:tcPr>
                <w:p>
                  <w:pPr>
                    <w:adjustRightInd w:val="0"/>
                    <w:snapToGrid w:val="0"/>
                    <w:spacing w:line="320" w:lineRule="exact"/>
                    <w:ind w:firstLine="0" w:firstLineChars="0"/>
                    <w:jc w:val="center"/>
                    <w:rPr>
                      <w:rFonts w:hint="default"/>
                      <w:bCs/>
                      <w:color w:val="auto"/>
                      <w:sz w:val="21"/>
                      <w:szCs w:val="21"/>
                      <w:lang w:val="en-US" w:eastAsia="zh-CN"/>
                    </w:rPr>
                  </w:pPr>
                  <w:r>
                    <w:rPr>
                      <w:rFonts w:hint="eastAsia"/>
                      <w:bCs/>
                      <w:color w:val="auto"/>
                      <w:sz w:val="21"/>
                      <w:szCs w:val="21"/>
                      <w:lang w:val="en-US" w:eastAsia="zh-CN"/>
                    </w:rPr>
                    <w:t>主要进行砖坯晾晒</w:t>
                  </w:r>
                </w:p>
              </w:tc>
              <w:tc>
                <w:tcPr>
                  <w:tcW w:w="939" w:type="dxa"/>
                  <w:noWrap/>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18" w:type="dxa"/>
                  <w:vMerge w:val="continue"/>
                  <w:noWrap w:val="0"/>
                  <w:vAlign w:val="center"/>
                </w:tcPr>
                <w:p>
                  <w:pPr>
                    <w:pStyle w:val="57"/>
                    <w:rPr>
                      <w:color w:val="auto"/>
                    </w:rPr>
                  </w:pPr>
                </w:p>
              </w:tc>
              <w:tc>
                <w:tcPr>
                  <w:tcW w:w="948" w:type="dxa"/>
                  <w:vMerge w:val="continue"/>
                  <w:noWrap w:val="0"/>
                  <w:vAlign w:val="center"/>
                </w:tcPr>
                <w:p>
                  <w:pPr>
                    <w:pStyle w:val="57"/>
                    <w:rPr>
                      <w:color w:val="auto"/>
                    </w:rPr>
                  </w:pPr>
                </w:p>
              </w:tc>
              <w:tc>
                <w:tcPr>
                  <w:tcW w:w="882" w:type="dxa"/>
                  <w:noWrap w:val="0"/>
                  <w:vAlign w:val="center"/>
                </w:tcPr>
                <w:p>
                  <w:pPr>
                    <w:pStyle w:val="57"/>
                    <w:jc w:val="center"/>
                    <w:rPr>
                      <w:rFonts w:hint="default" w:eastAsia="宋体"/>
                      <w:color w:val="auto"/>
                      <w:lang w:val="en-US" w:eastAsia="zh-CN"/>
                    </w:rPr>
                  </w:pPr>
                  <w:r>
                    <w:rPr>
                      <w:rFonts w:hint="eastAsia"/>
                      <w:color w:val="auto"/>
                      <w:lang w:val="en-US" w:eastAsia="zh-CN"/>
                    </w:rPr>
                    <w:t>卸砖区</w:t>
                  </w:r>
                </w:p>
              </w:tc>
              <w:tc>
                <w:tcPr>
                  <w:tcW w:w="1995" w:type="dxa"/>
                  <w:noWrap w:val="0"/>
                  <w:vAlign w:val="center"/>
                </w:tcPr>
                <w:p>
                  <w:pPr>
                    <w:pStyle w:val="57"/>
                    <w:rPr>
                      <w:rFonts w:hint="eastAsia"/>
                      <w:color w:val="auto"/>
                      <w:vertAlign w:val="baseline"/>
                      <w:lang w:eastAsia="zh-CN"/>
                    </w:rPr>
                  </w:pPr>
                  <w:r>
                    <w:rPr>
                      <w:color w:val="auto"/>
                    </w:rPr>
                    <w:t>占地面积</w:t>
                  </w:r>
                  <w:r>
                    <w:rPr>
                      <w:rFonts w:hint="eastAsia"/>
                      <w:color w:val="auto"/>
                      <w:lang w:val="en-US" w:eastAsia="zh-CN"/>
                    </w:rPr>
                    <w:t>900</w:t>
                  </w:r>
                  <w:r>
                    <w:rPr>
                      <w:color w:val="auto"/>
                    </w:rPr>
                    <w:t>m</w:t>
                  </w:r>
                  <w:r>
                    <w:rPr>
                      <w:color w:val="auto"/>
                      <w:vertAlign w:val="superscript"/>
                    </w:rPr>
                    <w:t>2</w:t>
                  </w:r>
                </w:p>
                <w:p>
                  <w:pPr>
                    <w:pStyle w:val="57"/>
                    <w:rPr>
                      <w:color w:val="auto"/>
                    </w:rPr>
                  </w:pPr>
                  <w:r>
                    <w:rPr>
                      <w:color w:val="auto"/>
                    </w:rPr>
                    <w:t>1F、钢结构</w:t>
                  </w:r>
                </w:p>
              </w:tc>
              <w:tc>
                <w:tcPr>
                  <w:tcW w:w="2393" w:type="dxa"/>
                  <w:noWrap/>
                  <w:vAlign w:val="center"/>
                </w:tcPr>
                <w:p>
                  <w:pPr>
                    <w:adjustRightInd w:val="0"/>
                    <w:snapToGrid w:val="0"/>
                    <w:spacing w:line="320" w:lineRule="exact"/>
                    <w:ind w:firstLine="0" w:firstLineChars="0"/>
                    <w:jc w:val="center"/>
                    <w:rPr>
                      <w:rFonts w:hint="default"/>
                      <w:bCs/>
                      <w:color w:val="auto"/>
                      <w:sz w:val="21"/>
                      <w:szCs w:val="21"/>
                      <w:lang w:val="en-US" w:eastAsia="zh-CN"/>
                    </w:rPr>
                  </w:pPr>
                  <w:r>
                    <w:rPr>
                      <w:rFonts w:hint="eastAsia"/>
                      <w:bCs/>
                      <w:color w:val="auto"/>
                      <w:sz w:val="21"/>
                      <w:szCs w:val="21"/>
                      <w:lang w:val="en-US" w:eastAsia="zh-CN"/>
                    </w:rPr>
                    <w:t>主要进行成品装卸作业</w:t>
                  </w:r>
                </w:p>
              </w:tc>
              <w:tc>
                <w:tcPr>
                  <w:tcW w:w="939" w:type="dxa"/>
                  <w:noWrap/>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8" w:type="dxa"/>
                  <w:vMerge w:val="continue"/>
                  <w:noWrap w:val="0"/>
                  <w:vAlign w:val="center"/>
                </w:tcPr>
                <w:p>
                  <w:pPr>
                    <w:pStyle w:val="57"/>
                    <w:rPr>
                      <w:color w:val="auto"/>
                    </w:rPr>
                  </w:pPr>
                </w:p>
              </w:tc>
              <w:tc>
                <w:tcPr>
                  <w:tcW w:w="948" w:type="dxa"/>
                  <w:noWrap/>
                  <w:vAlign w:val="center"/>
                </w:tcPr>
                <w:p>
                  <w:pPr>
                    <w:pStyle w:val="57"/>
                    <w:rPr>
                      <w:color w:val="auto"/>
                    </w:rPr>
                  </w:pPr>
                  <w:r>
                    <w:rPr>
                      <w:color w:val="auto"/>
                    </w:rPr>
                    <w:t>粘土</w:t>
                  </w:r>
                </w:p>
                <w:p>
                  <w:pPr>
                    <w:pStyle w:val="57"/>
                    <w:rPr>
                      <w:color w:val="auto"/>
                    </w:rPr>
                  </w:pPr>
                  <w:r>
                    <w:rPr>
                      <w:color w:val="auto"/>
                    </w:rPr>
                    <w:t>矿区</w:t>
                  </w:r>
                </w:p>
              </w:tc>
              <w:tc>
                <w:tcPr>
                  <w:tcW w:w="2877" w:type="dxa"/>
                  <w:gridSpan w:val="2"/>
                  <w:noWrap/>
                  <w:vAlign w:val="center"/>
                </w:tcPr>
                <w:p>
                  <w:pPr>
                    <w:pStyle w:val="57"/>
                    <w:rPr>
                      <w:rFonts w:hint="default" w:eastAsia="宋体"/>
                      <w:color w:val="auto"/>
                      <w:vertAlign w:val="baseline"/>
                      <w:lang w:val="en-US" w:eastAsia="zh-CN"/>
                    </w:rPr>
                  </w:pPr>
                  <w:r>
                    <w:rPr>
                      <w:color w:val="auto"/>
                    </w:rPr>
                    <w:t>矿区</w:t>
                  </w:r>
                  <w:r>
                    <w:rPr>
                      <w:rFonts w:hint="eastAsia"/>
                      <w:color w:val="auto"/>
                      <w:lang w:val="en-US" w:eastAsia="zh-CN"/>
                    </w:rPr>
                    <w:t>占地</w:t>
                  </w:r>
                  <w:r>
                    <w:rPr>
                      <w:color w:val="auto"/>
                    </w:rPr>
                    <w:t>面积</w:t>
                  </w:r>
                  <w:r>
                    <w:rPr>
                      <w:rFonts w:hint="eastAsia"/>
                      <w:color w:val="auto"/>
                      <w:lang w:val="en-US" w:eastAsia="zh-CN"/>
                    </w:rPr>
                    <w:t>7010</w:t>
                  </w:r>
                  <w:r>
                    <w:rPr>
                      <w:color w:val="auto"/>
                    </w:rPr>
                    <w:t>m</w:t>
                  </w:r>
                  <w:r>
                    <w:rPr>
                      <w:color w:val="auto"/>
                      <w:vertAlign w:val="superscript"/>
                    </w:rPr>
                    <w:t>2</w:t>
                  </w:r>
                </w:p>
              </w:tc>
              <w:tc>
                <w:tcPr>
                  <w:tcW w:w="2393" w:type="dxa"/>
                  <w:noWrap/>
                  <w:vAlign w:val="center"/>
                </w:tcPr>
                <w:p>
                  <w:pPr>
                    <w:pStyle w:val="57"/>
                    <w:rPr>
                      <w:rFonts w:hint="default" w:eastAsia="宋体"/>
                      <w:color w:val="auto"/>
                      <w:lang w:val="en-US" w:eastAsia="zh-CN"/>
                    </w:rPr>
                  </w:pPr>
                  <w:r>
                    <w:rPr>
                      <w:rFonts w:hint="eastAsia"/>
                      <w:color w:val="auto"/>
                      <w:lang w:val="en-US" w:eastAsia="zh-CN"/>
                    </w:rPr>
                    <w:t>厂区西侧</w:t>
                  </w:r>
                </w:p>
              </w:tc>
              <w:tc>
                <w:tcPr>
                  <w:tcW w:w="939" w:type="dxa"/>
                  <w:noWrap/>
                  <w:vAlign w:val="center"/>
                </w:tcPr>
                <w:p>
                  <w:pPr>
                    <w:pStyle w:val="57"/>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18" w:type="dxa"/>
                  <w:vMerge w:val="restart"/>
                  <w:noWrap/>
                  <w:vAlign w:val="center"/>
                </w:tcPr>
                <w:p>
                  <w:pPr>
                    <w:pStyle w:val="57"/>
                    <w:rPr>
                      <w:color w:val="auto"/>
                    </w:rPr>
                  </w:pPr>
                  <w:r>
                    <w:rPr>
                      <w:color w:val="auto"/>
                    </w:rPr>
                    <w:t>辅助工程</w:t>
                  </w:r>
                </w:p>
              </w:tc>
              <w:tc>
                <w:tcPr>
                  <w:tcW w:w="948" w:type="dxa"/>
                  <w:noWrap/>
                  <w:vAlign w:val="center"/>
                </w:tcPr>
                <w:p>
                  <w:pPr>
                    <w:pStyle w:val="57"/>
                    <w:rPr>
                      <w:color w:val="auto"/>
                    </w:rPr>
                  </w:pPr>
                  <w:r>
                    <w:rPr>
                      <w:rFonts w:hint="eastAsia"/>
                      <w:color w:val="auto"/>
                      <w:lang w:val="en-US" w:eastAsia="zh-CN"/>
                    </w:rPr>
                    <w:t>综合</w:t>
                  </w:r>
                  <w:r>
                    <w:rPr>
                      <w:rFonts w:hint="eastAsia"/>
                      <w:color w:val="auto"/>
                    </w:rPr>
                    <w:t>办公区</w:t>
                  </w:r>
                </w:p>
              </w:tc>
              <w:tc>
                <w:tcPr>
                  <w:tcW w:w="2877" w:type="dxa"/>
                  <w:gridSpan w:val="2"/>
                  <w:noWrap/>
                  <w:vAlign w:val="center"/>
                </w:tcPr>
                <w:p>
                  <w:pPr>
                    <w:pStyle w:val="57"/>
                    <w:rPr>
                      <w:rFonts w:hint="default" w:eastAsia="宋体"/>
                      <w:color w:val="auto"/>
                      <w:lang w:val="en-US" w:eastAsia="zh-CN"/>
                    </w:rPr>
                  </w:pPr>
                  <w:r>
                    <w:rPr>
                      <w:rFonts w:hint="eastAsia"/>
                      <w:color w:val="auto"/>
                    </w:rPr>
                    <w:t>占地面积</w:t>
                  </w:r>
                  <w:r>
                    <w:rPr>
                      <w:rFonts w:hint="eastAsia"/>
                      <w:color w:val="auto"/>
                      <w:lang w:val="en-US" w:eastAsia="zh-CN"/>
                    </w:rPr>
                    <w:t>400</w:t>
                  </w:r>
                  <w:r>
                    <w:rPr>
                      <w:rFonts w:hint="eastAsia"/>
                      <w:color w:val="auto"/>
                    </w:rPr>
                    <w:t>m</w:t>
                  </w:r>
                  <w:r>
                    <w:rPr>
                      <w:color w:val="auto"/>
                      <w:vertAlign w:val="superscript"/>
                    </w:rPr>
                    <w:t>2</w:t>
                  </w:r>
                  <w:r>
                    <w:rPr>
                      <w:rFonts w:hint="eastAsia"/>
                      <w:color w:val="auto"/>
                      <w:vertAlign w:val="baseline"/>
                      <w:lang w:eastAsia="zh-CN"/>
                    </w:rPr>
                    <w:t>，</w:t>
                  </w:r>
                  <w:r>
                    <w:rPr>
                      <w:rFonts w:hint="eastAsia"/>
                      <w:color w:val="auto"/>
                      <w:vertAlign w:val="baseline"/>
                      <w:lang w:val="en-US" w:eastAsia="zh-CN"/>
                    </w:rPr>
                    <w:t>2F砖混结构</w:t>
                  </w:r>
                </w:p>
              </w:tc>
              <w:tc>
                <w:tcPr>
                  <w:tcW w:w="2393" w:type="dxa"/>
                  <w:noWrap/>
                  <w:vAlign w:val="center"/>
                </w:tcPr>
                <w:p>
                  <w:pPr>
                    <w:pStyle w:val="57"/>
                    <w:rPr>
                      <w:rFonts w:hint="default" w:eastAsia="宋体"/>
                      <w:color w:val="auto"/>
                      <w:lang w:val="en-US" w:eastAsia="zh-CN"/>
                    </w:rPr>
                  </w:pPr>
                  <w:r>
                    <w:rPr>
                      <w:rFonts w:hint="eastAsia"/>
                      <w:color w:val="auto"/>
                      <w:lang w:val="en-US" w:eastAsia="zh-CN"/>
                    </w:rPr>
                    <w:t>厂区东侧</w:t>
                  </w:r>
                </w:p>
              </w:tc>
              <w:tc>
                <w:tcPr>
                  <w:tcW w:w="939" w:type="dxa"/>
                  <w:noWrap/>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ign w:val="center"/>
                </w:tcPr>
                <w:p>
                  <w:pPr>
                    <w:pStyle w:val="57"/>
                    <w:rPr>
                      <w:color w:val="auto"/>
                    </w:rPr>
                  </w:pPr>
                </w:p>
              </w:tc>
              <w:tc>
                <w:tcPr>
                  <w:tcW w:w="948" w:type="dxa"/>
                  <w:noWrap/>
                  <w:vAlign w:val="center"/>
                </w:tcPr>
                <w:p>
                  <w:pPr>
                    <w:pStyle w:val="57"/>
                    <w:rPr>
                      <w:rFonts w:hint="default"/>
                      <w:color w:val="auto"/>
                      <w:lang w:val="en-US" w:eastAsia="zh-CN"/>
                    </w:rPr>
                  </w:pPr>
                  <w:r>
                    <w:rPr>
                      <w:rFonts w:hint="eastAsia"/>
                      <w:color w:val="auto"/>
                      <w:lang w:val="en-US" w:eastAsia="zh-CN"/>
                    </w:rPr>
                    <w:t>配电室</w:t>
                  </w:r>
                </w:p>
              </w:tc>
              <w:tc>
                <w:tcPr>
                  <w:tcW w:w="2877" w:type="dxa"/>
                  <w:gridSpan w:val="2"/>
                  <w:noWrap/>
                  <w:vAlign w:val="center"/>
                </w:tcPr>
                <w:p>
                  <w:pPr>
                    <w:pStyle w:val="57"/>
                    <w:rPr>
                      <w:rFonts w:hint="eastAsia"/>
                      <w:color w:val="auto"/>
                    </w:rPr>
                  </w:pPr>
                  <w:r>
                    <w:rPr>
                      <w:rFonts w:hint="eastAsia"/>
                      <w:color w:val="auto"/>
                    </w:rPr>
                    <w:t>占地面积</w:t>
                  </w:r>
                  <w:r>
                    <w:rPr>
                      <w:rFonts w:hint="eastAsia"/>
                      <w:color w:val="auto"/>
                      <w:lang w:val="en-US" w:eastAsia="zh-CN"/>
                    </w:rPr>
                    <w:t>20</w:t>
                  </w:r>
                  <w:r>
                    <w:rPr>
                      <w:rFonts w:hint="eastAsia"/>
                      <w:color w:val="auto"/>
                    </w:rPr>
                    <w:t>m</w:t>
                  </w:r>
                  <w:r>
                    <w:rPr>
                      <w:color w:val="auto"/>
                      <w:vertAlign w:val="superscript"/>
                    </w:rPr>
                    <w:t>2</w:t>
                  </w:r>
                  <w:r>
                    <w:rPr>
                      <w:rFonts w:hint="eastAsia"/>
                      <w:color w:val="auto"/>
                      <w:vertAlign w:val="baseline"/>
                      <w:lang w:eastAsia="zh-CN"/>
                    </w:rPr>
                    <w:t>，</w:t>
                  </w:r>
                  <w:r>
                    <w:rPr>
                      <w:rFonts w:hint="eastAsia"/>
                      <w:color w:val="auto"/>
                      <w:vertAlign w:val="baseline"/>
                      <w:lang w:val="en-US" w:eastAsia="zh-CN"/>
                    </w:rPr>
                    <w:t>1F砖混结构</w:t>
                  </w:r>
                </w:p>
              </w:tc>
              <w:tc>
                <w:tcPr>
                  <w:tcW w:w="2393" w:type="dxa"/>
                  <w:noWrap/>
                  <w:vAlign w:val="center"/>
                </w:tcPr>
                <w:p>
                  <w:pPr>
                    <w:pStyle w:val="57"/>
                    <w:rPr>
                      <w:rFonts w:hint="default" w:eastAsia="宋体"/>
                      <w:color w:val="auto"/>
                      <w:lang w:val="en-US" w:eastAsia="zh-CN"/>
                    </w:rPr>
                  </w:pPr>
                  <w:r>
                    <w:rPr>
                      <w:rFonts w:hint="eastAsia"/>
                      <w:color w:val="auto"/>
                      <w:lang w:val="en-US" w:eastAsia="zh-CN"/>
                    </w:rPr>
                    <w:t>隧道窑南侧</w:t>
                  </w:r>
                </w:p>
              </w:tc>
              <w:tc>
                <w:tcPr>
                  <w:tcW w:w="939" w:type="dxa"/>
                  <w:noWrap/>
                  <w:vAlign w:val="center"/>
                </w:tcPr>
                <w:p>
                  <w:pPr>
                    <w:pStyle w:val="57"/>
                    <w:rPr>
                      <w:rFonts w:hint="eastAsia" w:eastAsia="宋体"/>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ign w:val="center"/>
                </w:tcPr>
                <w:p>
                  <w:pPr>
                    <w:pStyle w:val="57"/>
                    <w:rPr>
                      <w:color w:val="auto"/>
                    </w:rPr>
                  </w:pPr>
                </w:p>
              </w:tc>
              <w:tc>
                <w:tcPr>
                  <w:tcW w:w="948" w:type="dxa"/>
                  <w:noWrap/>
                  <w:vAlign w:val="center"/>
                </w:tcPr>
                <w:p>
                  <w:pPr>
                    <w:pStyle w:val="57"/>
                    <w:rPr>
                      <w:rFonts w:hint="default"/>
                      <w:color w:val="auto"/>
                      <w:lang w:val="en-US" w:eastAsia="zh-CN"/>
                    </w:rPr>
                  </w:pPr>
                  <w:r>
                    <w:rPr>
                      <w:rFonts w:hint="eastAsia"/>
                      <w:color w:val="auto"/>
                      <w:lang w:val="en-US" w:eastAsia="zh-CN"/>
                    </w:rPr>
                    <w:t>在线监测设备机房</w:t>
                  </w:r>
                </w:p>
              </w:tc>
              <w:tc>
                <w:tcPr>
                  <w:tcW w:w="2877" w:type="dxa"/>
                  <w:gridSpan w:val="2"/>
                  <w:noWrap/>
                  <w:vAlign w:val="center"/>
                </w:tcPr>
                <w:p>
                  <w:pPr>
                    <w:pStyle w:val="57"/>
                    <w:rPr>
                      <w:rFonts w:hint="default" w:eastAsia="宋体"/>
                      <w:color w:val="auto"/>
                      <w:lang w:val="en-US" w:eastAsia="zh-CN"/>
                    </w:rPr>
                  </w:pPr>
                  <w:r>
                    <w:rPr>
                      <w:rFonts w:hint="eastAsia"/>
                      <w:color w:val="auto"/>
                      <w:lang w:val="en-US" w:eastAsia="zh-CN"/>
                    </w:rPr>
                    <w:t>占地面积15m</w:t>
                  </w:r>
                  <w:r>
                    <w:rPr>
                      <w:rFonts w:hint="eastAsia"/>
                      <w:color w:val="auto"/>
                      <w:vertAlign w:val="superscript"/>
                      <w:lang w:val="en-US" w:eastAsia="zh-CN"/>
                    </w:rPr>
                    <w:t>2</w:t>
                  </w:r>
                  <w:r>
                    <w:rPr>
                      <w:rFonts w:hint="eastAsia"/>
                      <w:color w:val="auto"/>
                      <w:lang w:val="en-US" w:eastAsia="zh-CN"/>
                    </w:rPr>
                    <w:t>,1F砖混结构</w:t>
                  </w:r>
                </w:p>
              </w:tc>
              <w:tc>
                <w:tcPr>
                  <w:tcW w:w="2393" w:type="dxa"/>
                  <w:noWrap/>
                  <w:vAlign w:val="center"/>
                </w:tcPr>
                <w:p>
                  <w:pPr>
                    <w:pStyle w:val="57"/>
                    <w:rPr>
                      <w:rFonts w:hint="default"/>
                      <w:color w:val="auto"/>
                      <w:lang w:val="en-US" w:eastAsia="zh-CN"/>
                    </w:rPr>
                  </w:pPr>
                  <w:r>
                    <w:rPr>
                      <w:rFonts w:hint="eastAsia"/>
                      <w:color w:val="auto"/>
                      <w:lang w:val="en-US" w:eastAsia="zh-CN"/>
                    </w:rPr>
                    <w:t>焙烧窑北侧</w:t>
                  </w:r>
                </w:p>
              </w:tc>
              <w:tc>
                <w:tcPr>
                  <w:tcW w:w="939" w:type="dxa"/>
                  <w:noWrap/>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18" w:type="dxa"/>
                  <w:vMerge w:val="restart"/>
                  <w:noWrap w:val="0"/>
                  <w:vAlign w:val="center"/>
                </w:tcPr>
                <w:p>
                  <w:pPr>
                    <w:pStyle w:val="57"/>
                    <w:rPr>
                      <w:rFonts w:hint="default" w:eastAsia="宋体"/>
                      <w:color w:val="auto"/>
                      <w:lang w:val="en-US" w:eastAsia="zh-CN"/>
                    </w:rPr>
                  </w:pPr>
                  <w:r>
                    <w:rPr>
                      <w:rFonts w:hint="eastAsia"/>
                      <w:color w:val="auto"/>
                      <w:lang w:val="en-US" w:eastAsia="zh-CN"/>
                    </w:rPr>
                    <w:t>储运工程</w:t>
                  </w:r>
                </w:p>
              </w:tc>
              <w:tc>
                <w:tcPr>
                  <w:tcW w:w="948" w:type="dxa"/>
                  <w:noWrap/>
                  <w:vAlign w:val="center"/>
                </w:tcPr>
                <w:p>
                  <w:pPr>
                    <w:pStyle w:val="57"/>
                    <w:rPr>
                      <w:rFonts w:hint="eastAsia" w:eastAsia="宋体"/>
                      <w:color w:val="auto"/>
                      <w:lang w:val="en-US" w:eastAsia="zh-CN"/>
                    </w:rPr>
                  </w:pPr>
                  <w:r>
                    <w:rPr>
                      <w:color w:val="auto"/>
                    </w:rPr>
                    <w:t>煤</w:t>
                  </w:r>
                  <w:r>
                    <w:rPr>
                      <w:rFonts w:hint="eastAsia"/>
                      <w:color w:val="auto"/>
                      <w:lang w:eastAsia="zh-CN"/>
                    </w:rPr>
                    <w:t>、</w:t>
                  </w:r>
                  <w:r>
                    <w:rPr>
                      <w:color w:val="auto"/>
                    </w:rPr>
                    <w:t>煤矸石</w:t>
                  </w:r>
                  <w:r>
                    <w:rPr>
                      <w:rFonts w:hint="eastAsia"/>
                      <w:color w:val="auto"/>
                      <w:lang w:val="en-US" w:eastAsia="zh-CN"/>
                    </w:rPr>
                    <w:t>堆棚</w:t>
                  </w:r>
                </w:p>
              </w:tc>
              <w:tc>
                <w:tcPr>
                  <w:tcW w:w="2877" w:type="dxa"/>
                  <w:gridSpan w:val="2"/>
                  <w:noWrap w:val="0"/>
                  <w:vAlign w:val="center"/>
                </w:tcPr>
                <w:p>
                  <w:pPr>
                    <w:pStyle w:val="57"/>
                    <w:rPr>
                      <w:color w:val="auto"/>
                    </w:rPr>
                  </w:pPr>
                  <w:r>
                    <w:rPr>
                      <w:color w:val="auto"/>
                    </w:rPr>
                    <w:t>占地面积</w:t>
                  </w:r>
                  <w:r>
                    <w:rPr>
                      <w:rFonts w:hint="eastAsia"/>
                      <w:color w:val="auto"/>
                      <w:lang w:val="en-US" w:eastAsia="zh-CN"/>
                    </w:rPr>
                    <w:t>300</w:t>
                  </w:r>
                  <w:r>
                    <w:rPr>
                      <w:color w:val="auto"/>
                    </w:rPr>
                    <w:t>m</w:t>
                  </w:r>
                  <w:r>
                    <w:rPr>
                      <w:color w:val="auto"/>
                      <w:vertAlign w:val="superscript"/>
                    </w:rPr>
                    <w:t>2</w:t>
                  </w:r>
                  <w:r>
                    <w:rPr>
                      <w:color w:val="auto"/>
                    </w:rPr>
                    <w:t>，设置</w:t>
                  </w:r>
                  <w:r>
                    <w:rPr>
                      <w:rFonts w:hint="eastAsia"/>
                      <w:color w:val="auto"/>
                    </w:rPr>
                    <w:t>防扬散、防雨和防流失措施</w:t>
                  </w:r>
                  <w:r>
                    <w:rPr>
                      <w:rFonts w:hint="eastAsia"/>
                      <w:color w:val="auto"/>
                      <w:lang w:eastAsia="zh-CN"/>
                    </w:rPr>
                    <w:t>，</w:t>
                  </w:r>
                  <w:r>
                    <w:rPr>
                      <w:rFonts w:hint="eastAsia"/>
                      <w:color w:val="auto"/>
                      <w:lang w:val="en-US" w:eastAsia="zh-CN"/>
                    </w:rPr>
                    <w:t>全封闭式</w:t>
                  </w:r>
                </w:p>
              </w:tc>
              <w:tc>
                <w:tcPr>
                  <w:tcW w:w="2393" w:type="dxa"/>
                  <w:noWrap/>
                  <w:vAlign w:val="center"/>
                </w:tcPr>
                <w:p>
                  <w:pPr>
                    <w:pStyle w:val="57"/>
                    <w:rPr>
                      <w:rFonts w:hint="default"/>
                      <w:color w:val="auto"/>
                      <w:lang w:val="en-US"/>
                    </w:rPr>
                  </w:pPr>
                  <w:r>
                    <w:rPr>
                      <w:rFonts w:hint="eastAsia"/>
                      <w:color w:val="auto"/>
                      <w:lang w:val="en-US" w:eastAsia="zh-CN"/>
                    </w:rPr>
                    <w:t>位于砖机车间南侧</w:t>
                  </w:r>
                </w:p>
              </w:tc>
              <w:tc>
                <w:tcPr>
                  <w:tcW w:w="939" w:type="dxa"/>
                  <w:noWrap/>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0"/>
                  <w:vAlign w:val="center"/>
                </w:tcPr>
                <w:p>
                  <w:pPr>
                    <w:pStyle w:val="57"/>
                    <w:rPr>
                      <w:color w:val="auto"/>
                    </w:rPr>
                  </w:pPr>
                </w:p>
              </w:tc>
              <w:tc>
                <w:tcPr>
                  <w:tcW w:w="948" w:type="dxa"/>
                  <w:noWrap/>
                  <w:vAlign w:val="center"/>
                </w:tcPr>
                <w:p>
                  <w:pPr>
                    <w:pStyle w:val="57"/>
                    <w:rPr>
                      <w:rFonts w:hint="default" w:eastAsia="宋体"/>
                      <w:color w:val="auto"/>
                      <w:lang w:val="en-US" w:eastAsia="zh-CN"/>
                    </w:rPr>
                  </w:pPr>
                  <w:r>
                    <w:rPr>
                      <w:rFonts w:hint="eastAsia"/>
                      <w:color w:val="auto"/>
                      <w:lang w:val="en-US" w:eastAsia="zh-CN"/>
                    </w:rPr>
                    <w:t>成品砖堆场</w:t>
                  </w:r>
                </w:p>
              </w:tc>
              <w:tc>
                <w:tcPr>
                  <w:tcW w:w="2877" w:type="dxa"/>
                  <w:gridSpan w:val="2"/>
                  <w:noWrap w:val="0"/>
                  <w:vAlign w:val="center"/>
                </w:tcPr>
                <w:p>
                  <w:pPr>
                    <w:pStyle w:val="57"/>
                    <w:rPr>
                      <w:rFonts w:hint="default" w:eastAsia="宋体"/>
                      <w:color w:val="auto"/>
                      <w:vertAlign w:val="baseline"/>
                      <w:lang w:val="en-US" w:eastAsia="zh-CN"/>
                    </w:rPr>
                  </w:pPr>
                  <w:r>
                    <w:rPr>
                      <w:rFonts w:hint="eastAsia"/>
                      <w:color w:val="auto"/>
                      <w:lang w:val="en-US" w:eastAsia="zh-CN"/>
                    </w:rPr>
                    <w:t>占地面积1000m</w:t>
                  </w:r>
                  <w:r>
                    <w:rPr>
                      <w:rFonts w:hint="eastAsia"/>
                      <w:color w:val="auto"/>
                      <w:vertAlign w:val="superscript"/>
                      <w:lang w:val="en-US" w:eastAsia="zh-CN"/>
                    </w:rPr>
                    <w:t>2</w:t>
                  </w:r>
                  <w:r>
                    <w:rPr>
                      <w:rFonts w:hint="eastAsia"/>
                      <w:color w:val="auto"/>
                      <w:vertAlign w:val="baseline"/>
                      <w:lang w:val="en-US" w:eastAsia="zh-CN"/>
                    </w:rPr>
                    <w:t>，露天堆放</w:t>
                  </w:r>
                </w:p>
              </w:tc>
              <w:tc>
                <w:tcPr>
                  <w:tcW w:w="2393" w:type="dxa"/>
                  <w:noWrap/>
                  <w:vAlign w:val="center"/>
                </w:tcPr>
                <w:p>
                  <w:pPr>
                    <w:pStyle w:val="57"/>
                    <w:rPr>
                      <w:rFonts w:hint="default"/>
                      <w:color w:val="auto"/>
                      <w:lang w:val="en-US" w:eastAsia="zh-CN"/>
                    </w:rPr>
                  </w:pPr>
                  <w:r>
                    <w:rPr>
                      <w:rFonts w:hint="eastAsia"/>
                      <w:color w:val="auto"/>
                      <w:lang w:val="en-US" w:eastAsia="zh-CN"/>
                    </w:rPr>
                    <w:t>位于原料库南侧</w:t>
                  </w:r>
                </w:p>
              </w:tc>
              <w:tc>
                <w:tcPr>
                  <w:tcW w:w="939" w:type="dxa"/>
                  <w:noWrap/>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0"/>
                  <w:vAlign w:val="center"/>
                </w:tcPr>
                <w:p>
                  <w:pPr>
                    <w:pStyle w:val="57"/>
                    <w:rPr>
                      <w:color w:val="auto"/>
                    </w:rPr>
                  </w:pPr>
                </w:p>
              </w:tc>
              <w:tc>
                <w:tcPr>
                  <w:tcW w:w="948" w:type="dxa"/>
                  <w:noWrap/>
                  <w:vAlign w:val="center"/>
                </w:tcPr>
                <w:p>
                  <w:pPr>
                    <w:pStyle w:val="57"/>
                    <w:rPr>
                      <w:color w:val="auto"/>
                    </w:rPr>
                  </w:pPr>
                  <w:r>
                    <w:rPr>
                      <w:color w:val="auto"/>
                    </w:rPr>
                    <w:t>辅料</w:t>
                  </w:r>
                </w:p>
                <w:p>
                  <w:pPr>
                    <w:pStyle w:val="57"/>
                    <w:rPr>
                      <w:rFonts w:hint="eastAsia" w:eastAsia="宋体"/>
                      <w:color w:val="auto"/>
                      <w:lang w:val="en-US" w:eastAsia="zh-CN"/>
                    </w:rPr>
                  </w:pPr>
                  <w:r>
                    <w:rPr>
                      <w:rFonts w:hint="eastAsia"/>
                      <w:color w:val="auto"/>
                      <w:lang w:val="en-US" w:eastAsia="zh-CN"/>
                    </w:rPr>
                    <w:t>库房</w:t>
                  </w:r>
                </w:p>
              </w:tc>
              <w:tc>
                <w:tcPr>
                  <w:tcW w:w="2877" w:type="dxa"/>
                  <w:gridSpan w:val="2"/>
                  <w:noWrap w:val="0"/>
                  <w:vAlign w:val="center"/>
                </w:tcPr>
                <w:p>
                  <w:pPr>
                    <w:pStyle w:val="57"/>
                    <w:rPr>
                      <w:rFonts w:hint="default" w:eastAsia="宋体"/>
                      <w:color w:val="auto"/>
                      <w:lang w:val="en-US" w:eastAsia="zh-CN"/>
                    </w:rPr>
                  </w:pPr>
                  <w:r>
                    <w:rPr>
                      <w:color w:val="auto"/>
                    </w:rPr>
                    <w:t>占地面积</w:t>
                  </w:r>
                  <w:r>
                    <w:rPr>
                      <w:rFonts w:hint="eastAsia"/>
                      <w:color w:val="auto"/>
                      <w:lang w:val="en-US" w:eastAsia="zh-CN"/>
                    </w:rPr>
                    <w:t>40</w:t>
                  </w:r>
                  <w:r>
                    <w:rPr>
                      <w:color w:val="auto"/>
                    </w:rPr>
                    <w:t>m</w:t>
                  </w:r>
                  <w:r>
                    <w:rPr>
                      <w:color w:val="auto"/>
                      <w:vertAlign w:val="superscript"/>
                    </w:rPr>
                    <w:t>2</w:t>
                  </w:r>
                  <w:r>
                    <w:rPr>
                      <w:color w:val="auto"/>
                    </w:rPr>
                    <w:t>，存储石灰、氢氧化钠、尿素等</w:t>
                  </w:r>
                  <w:r>
                    <w:rPr>
                      <w:rFonts w:hint="eastAsia"/>
                      <w:color w:val="auto"/>
                      <w:lang w:eastAsia="zh-CN"/>
                    </w:rPr>
                    <w:t>，</w:t>
                  </w:r>
                  <w:r>
                    <w:rPr>
                      <w:rFonts w:hint="eastAsia"/>
                      <w:color w:val="auto"/>
                      <w:lang w:val="en-US" w:eastAsia="zh-CN"/>
                    </w:rPr>
                    <w:t>为全封闭式</w:t>
                  </w:r>
                </w:p>
              </w:tc>
              <w:tc>
                <w:tcPr>
                  <w:tcW w:w="2393" w:type="dxa"/>
                  <w:noWrap/>
                  <w:vAlign w:val="center"/>
                </w:tcPr>
                <w:p>
                  <w:pPr>
                    <w:pStyle w:val="57"/>
                    <w:rPr>
                      <w:color w:val="auto"/>
                    </w:rPr>
                  </w:pPr>
                  <w:r>
                    <w:rPr>
                      <w:rFonts w:hint="eastAsia"/>
                      <w:color w:val="auto"/>
                      <w:lang w:val="en-US" w:eastAsia="zh-CN"/>
                    </w:rPr>
                    <w:t>成品卸料区北侧，硬化防渗</w:t>
                  </w:r>
                </w:p>
              </w:tc>
              <w:tc>
                <w:tcPr>
                  <w:tcW w:w="939" w:type="dxa"/>
                  <w:noWrap/>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restart"/>
                  <w:noWrap/>
                  <w:vAlign w:val="center"/>
                </w:tcPr>
                <w:p>
                  <w:pPr>
                    <w:pStyle w:val="57"/>
                    <w:rPr>
                      <w:color w:val="auto"/>
                    </w:rPr>
                  </w:pPr>
                  <w:r>
                    <w:rPr>
                      <w:color w:val="auto"/>
                    </w:rPr>
                    <w:t>公用工程</w:t>
                  </w:r>
                </w:p>
              </w:tc>
              <w:tc>
                <w:tcPr>
                  <w:tcW w:w="948" w:type="dxa"/>
                  <w:noWrap/>
                  <w:vAlign w:val="center"/>
                </w:tcPr>
                <w:p>
                  <w:pPr>
                    <w:pStyle w:val="57"/>
                    <w:rPr>
                      <w:color w:val="auto"/>
                    </w:rPr>
                  </w:pPr>
                  <w:r>
                    <w:rPr>
                      <w:color w:val="auto"/>
                    </w:rPr>
                    <w:t>给水</w:t>
                  </w:r>
                </w:p>
                <w:p>
                  <w:pPr>
                    <w:pStyle w:val="57"/>
                    <w:rPr>
                      <w:color w:val="auto"/>
                    </w:rPr>
                  </w:pPr>
                  <w:r>
                    <w:rPr>
                      <w:color w:val="auto"/>
                    </w:rPr>
                    <w:t>系统</w:t>
                  </w:r>
                </w:p>
              </w:tc>
              <w:tc>
                <w:tcPr>
                  <w:tcW w:w="5270" w:type="dxa"/>
                  <w:gridSpan w:val="3"/>
                  <w:noWrap w:val="0"/>
                  <w:vAlign w:val="center"/>
                </w:tcPr>
                <w:p>
                  <w:pPr>
                    <w:pStyle w:val="57"/>
                    <w:rPr>
                      <w:color w:val="auto"/>
                    </w:rPr>
                  </w:pPr>
                  <w:r>
                    <w:rPr>
                      <w:color w:val="auto"/>
                    </w:rPr>
                    <w:t>由</w:t>
                  </w:r>
                  <w:r>
                    <w:rPr>
                      <w:rFonts w:hint="eastAsia"/>
                      <w:color w:val="auto"/>
                      <w:lang w:val="en-US" w:eastAsia="zh-CN"/>
                    </w:rPr>
                    <w:t>中村镇自来水管网</w:t>
                  </w:r>
                  <w:r>
                    <w:rPr>
                      <w:color w:val="auto"/>
                    </w:rPr>
                    <w:t>供给</w:t>
                  </w:r>
                </w:p>
              </w:tc>
              <w:tc>
                <w:tcPr>
                  <w:tcW w:w="939" w:type="dxa"/>
                  <w:noWrap w:val="0"/>
                  <w:vAlign w:val="center"/>
                </w:tcPr>
                <w:p>
                  <w:pPr>
                    <w:pStyle w:val="57"/>
                    <w:rPr>
                      <w:color w:val="auto"/>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18" w:type="dxa"/>
                  <w:vMerge w:val="continue"/>
                  <w:noWrap w:val="0"/>
                  <w:vAlign w:val="center"/>
                </w:tcPr>
                <w:p>
                  <w:pPr>
                    <w:pStyle w:val="57"/>
                    <w:rPr>
                      <w:color w:val="auto"/>
                    </w:rPr>
                  </w:pPr>
                </w:p>
              </w:tc>
              <w:tc>
                <w:tcPr>
                  <w:tcW w:w="948" w:type="dxa"/>
                  <w:noWrap/>
                  <w:vAlign w:val="center"/>
                </w:tcPr>
                <w:p>
                  <w:pPr>
                    <w:pStyle w:val="57"/>
                    <w:rPr>
                      <w:color w:val="auto"/>
                    </w:rPr>
                  </w:pPr>
                  <w:r>
                    <w:rPr>
                      <w:color w:val="auto"/>
                    </w:rPr>
                    <w:t>排水</w:t>
                  </w:r>
                </w:p>
                <w:p>
                  <w:pPr>
                    <w:pStyle w:val="57"/>
                    <w:rPr>
                      <w:color w:val="auto"/>
                    </w:rPr>
                  </w:pPr>
                  <w:r>
                    <w:rPr>
                      <w:color w:val="auto"/>
                    </w:rPr>
                    <w:t>系统</w:t>
                  </w:r>
                </w:p>
              </w:tc>
              <w:tc>
                <w:tcPr>
                  <w:tcW w:w="5270" w:type="dxa"/>
                  <w:gridSpan w:val="3"/>
                  <w:noWrap w:val="0"/>
                  <w:vAlign w:val="center"/>
                </w:tcPr>
                <w:p>
                  <w:pPr>
                    <w:pStyle w:val="57"/>
                    <w:rPr>
                      <w:rFonts w:hint="default" w:eastAsia="宋体"/>
                      <w:color w:val="auto"/>
                      <w:lang w:val="en-US" w:eastAsia="zh-CN"/>
                    </w:rPr>
                  </w:pPr>
                  <w:r>
                    <w:rPr>
                      <w:rFonts w:hint="eastAsia"/>
                      <w:color w:val="auto"/>
                      <w:lang w:val="en-US" w:eastAsia="zh-CN"/>
                    </w:rPr>
                    <w:t>盥洗废水收集后用于厂区抑尘，生活污物利用旱厕（15m</w:t>
                  </w:r>
                  <w:r>
                    <w:rPr>
                      <w:rFonts w:hint="eastAsia"/>
                      <w:color w:val="auto"/>
                      <w:vertAlign w:val="superscript"/>
                      <w:lang w:val="en-US" w:eastAsia="zh-CN"/>
                    </w:rPr>
                    <w:t>2</w:t>
                  </w:r>
                  <w:r>
                    <w:rPr>
                      <w:rFonts w:hint="eastAsia"/>
                      <w:color w:val="auto"/>
                      <w:lang w:val="en-US" w:eastAsia="zh-CN"/>
                    </w:rPr>
                    <w:t>）堆肥；雨水经雨水收集池收集后回用</w:t>
                  </w:r>
                </w:p>
              </w:tc>
              <w:tc>
                <w:tcPr>
                  <w:tcW w:w="939" w:type="dxa"/>
                  <w:noWrap w:val="0"/>
                  <w:vAlign w:val="center"/>
                </w:tcPr>
                <w:p>
                  <w:pPr>
                    <w:pStyle w:val="57"/>
                    <w:rPr>
                      <w:rFonts w:hint="eastAsia"/>
                      <w:color w:val="auto"/>
                      <w:lang w:val="en-US" w:eastAsia="zh-CN"/>
                    </w:rPr>
                  </w:pPr>
                  <w:r>
                    <w:rPr>
                      <w:rFonts w:hint="eastAsia"/>
                      <w:color w:val="auto"/>
                      <w:lang w:val="en-US" w:eastAsia="zh-CN"/>
                    </w:rPr>
                    <w:t>依托</w:t>
                  </w:r>
                </w:p>
                <w:p>
                  <w:pPr>
                    <w:pStyle w:val="57"/>
                    <w:rPr>
                      <w:rFonts w:hint="default" w:eastAsia="宋体"/>
                      <w:color w:val="auto"/>
                      <w:lang w:val="en-US" w:eastAsia="zh-CN"/>
                    </w:rPr>
                  </w:pPr>
                  <w:r>
                    <w:rPr>
                      <w:rFonts w:hint="eastAsia"/>
                      <w:color w:val="auto"/>
                      <w:lang w:val="en-US"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0"/>
                  <w:vAlign w:val="center"/>
                </w:tcPr>
                <w:p>
                  <w:pPr>
                    <w:pStyle w:val="57"/>
                    <w:rPr>
                      <w:color w:val="auto"/>
                    </w:rPr>
                  </w:pPr>
                </w:p>
              </w:tc>
              <w:tc>
                <w:tcPr>
                  <w:tcW w:w="948" w:type="dxa"/>
                  <w:noWrap/>
                  <w:vAlign w:val="center"/>
                </w:tcPr>
                <w:p>
                  <w:pPr>
                    <w:pStyle w:val="57"/>
                    <w:rPr>
                      <w:color w:val="auto"/>
                    </w:rPr>
                  </w:pPr>
                  <w:r>
                    <w:rPr>
                      <w:color w:val="auto"/>
                    </w:rPr>
                    <w:t>供电</w:t>
                  </w:r>
                </w:p>
                <w:p>
                  <w:pPr>
                    <w:pStyle w:val="57"/>
                    <w:rPr>
                      <w:color w:val="auto"/>
                    </w:rPr>
                  </w:pPr>
                  <w:r>
                    <w:rPr>
                      <w:color w:val="auto"/>
                    </w:rPr>
                    <w:t>系统</w:t>
                  </w:r>
                </w:p>
              </w:tc>
              <w:tc>
                <w:tcPr>
                  <w:tcW w:w="5270" w:type="dxa"/>
                  <w:gridSpan w:val="3"/>
                  <w:noWrap w:val="0"/>
                  <w:vAlign w:val="center"/>
                </w:tcPr>
                <w:p>
                  <w:pPr>
                    <w:pStyle w:val="57"/>
                    <w:rPr>
                      <w:color w:val="auto"/>
                    </w:rPr>
                  </w:pPr>
                  <w:r>
                    <w:rPr>
                      <w:color w:val="auto"/>
                    </w:rPr>
                    <w:t>由</w:t>
                  </w:r>
                  <w:r>
                    <w:rPr>
                      <w:rFonts w:hint="eastAsia"/>
                      <w:color w:val="auto"/>
                      <w:lang w:val="en-US" w:eastAsia="zh-CN"/>
                    </w:rPr>
                    <w:t>宁县</w:t>
                  </w:r>
                  <w:r>
                    <w:rPr>
                      <w:color w:val="auto"/>
                    </w:rPr>
                    <w:t>电力局供给，配电室变压器</w:t>
                  </w:r>
                  <w:r>
                    <w:rPr>
                      <w:rFonts w:hint="eastAsia"/>
                      <w:color w:val="auto"/>
                      <w:lang w:val="en-US" w:eastAsia="zh-CN"/>
                    </w:rPr>
                    <w:t>600</w:t>
                  </w:r>
                  <w:r>
                    <w:rPr>
                      <w:color w:val="auto"/>
                    </w:rPr>
                    <w:t>KVA</w:t>
                  </w:r>
                </w:p>
              </w:tc>
              <w:tc>
                <w:tcPr>
                  <w:tcW w:w="939" w:type="dxa"/>
                  <w:noWrap w:val="0"/>
                  <w:vAlign w:val="center"/>
                </w:tcPr>
                <w:p>
                  <w:pPr>
                    <w:pStyle w:val="57"/>
                    <w:rPr>
                      <w:rFonts w:hint="eastAsia" w:eastAsia="宋体"/>
                      <w:color w:val="auto"/>
                      <w:lang w:val="en-US" w:eastAsia="zh-CN"/>
                    </w:rPr>
                  </w:pPr>
                  <w:r>
                    <w:rPr>
                      <w:rFonts w:hint="eastAsia"/>
                      <w:color w:val="auto"/>
                      <w:lang w:val="en-US"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0"/>
                  <w:vAlign w:val="center"/>
                </w:tcPr>
                <w:p>
                  <w:pPr>
                    <w:pStyle w:val="57"/>
                    <w:rPr>
                      <w:color w:val="auto"/>
                    </w:rPr>
                  </w:pPr>
                </w:p>
              </w:tc>
              <w:tc>
                <w:tcPr>
                  <w:tcW w:w="948" w:type="dxa"/>
                  <w:noWrap/>
                  <w:vAlign w:val="center"/>
                </w:tcPr>
                <w:p>
                  <w:pPr>
                    <w:pStyle w:val="57"/>
                    <w:rPr>
                      <w:color w:val="auto"/>
                    </w:rPr>
                  </w:pPr>
                  <w:r>
                    <w:rPr>
                      <w:color w:val="auto"/>
                    </w:rPr>
                    <w:t>供热</w:t>
                  </w:r>
                </w:p>
                <w:p>
                  <w:pPr>
                    <w:pStyle w:val="57"/>
                    <w:rPr>
                      <w:color w:val="auto"/>
                    </w:rPr>
                  </w:pPr>
                  <w:r>
                    <w:rPr>
                      <w:color w:val="auto"/>
                    </w:rPr>
                    <w:t>系统</w:t>
                  </w:r>
                </w:p>
              </w:tc>
              <w:tc>
                <w:tcPr>
                  <w:tcW w:w="5270" w:type="dxa"/>
                  <w:gridSpan w:val="3"/>
                  <w:noWrap w:val="0"/>
                  <w:vAlign w:val="center"/>
                </w:tcPr>
                <w:p>
                  <w:pPr>
                    <w:pStyle w:val="57"/>
                    <w:rPr>
                      <w:color w:val="auto"/>
                    </w:rPr>
                  </w:pPr>
                  <w:r>
                    <w:rPr>
                      <w:color w:val="auto"/>
                    </w:rPr>
                    <w:t>冬季不生产，不设供暖系统</w:t>
                  </w:r>
                </w:p>
              </w:tc>
              <w:tc>
                <w:tcPr>
                  <w:tcW w:w="939" w:type="dxa"/>
                  <w:noWrap w:val="0"/>
                  <w:vAlign w:val="center"/>
                </w:tcPr>
                <w:p>
                  <w:pPr>
                    <w:pStyle w:val="57"/>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8" w:type="dxa"/>
                  <w:vMerge w:val="continue"/>
                  <w:noWrap w:val="0"/>
                  <w:vAlign w:val="center"/>
                </w:tcPr>
                <w:p>
                  <w:pPr>
                    <w:pStyle w:val="57"/>
                    <w:rPr>
                      <w:color w:val="auto"/>
                    </w:rPr>
                  </w:pPr>
                </w:p>
              </w:tc>
              <w:tc>
                <w:tcPr>
                  <w:tcW w:w="948" w:type="dxa"/>
                  <w:noWrap/>
                  <w:vAlign w:val="center"/>
                </w:tcPr>
                <w:p>
                  <w:pPr>
                    <w:pStyle w:val="57"/>
                    <w:rPr>
                      <w:rFonts w:hint="default" w:eastAsia="宋体"/>
                      <w:color w:val="auto"/>
                      <w:lang w:val="en-US" w:eastAsia="zh-CN"/>
                    </w:rPr>
                  </w:pPr>
                  <w:r>
                    <w:rPr>
                      <w:rFonts w:hint="eastAsia"/>
                      <w:color w:val="auto"/>
                      <w:lang w:val="en-US" w:eastAsia="zh-CN"/>
                    </w:rPr>
                    <w:t>旱厕</w:t>
                  </w:r>
                </w:p>
              </w:tc>
              <w:tc>
                <w:tcPr>
                  <w:tcW w:w="5270" w:type="dxa"/>
                  <w:gridSpan w:val="3"/>
                  <w:noWrap w:val="0"/>
                  <w:vAlign w:val="center"/>
                </w:tcPr>
                <w:p>
                  <w:pPr>
                    <w:pStyle w:val="57"/>
                    <w:rPr>
                      <w:rFonts w:hint="default" w:eastAsia="宋体"/>
                      <w:color w:val="auto"/>
                      <w:lang w:val="en-US" w:eastAsia="zh-CN"/>
                    </w:rPr>
                  </w:pPr>
                  <w:r>
                    <w:rPr>
                      <w:rFonts w:hint="eastAsia"/>
                      <w:bCs/>
                      <w:color w:val="auto"/>
                      <w:sz w:val="21"/>
                      <w:szCs w:val="21"/>
                    </w:rPr>
                    <w:t>建筑面积</w:t>
                  </w:r>
                  <w:r>
                    <w:rPr>
                      <w:rFonts w:hint="eastAsia"/>
                      <w:bCs/>
                      <w:color w:val="auto"/>
                      <w:sz w:val="21"/>
                      <w:szCs w:val="21"/>
                      <w:lang w:val="en-US" w:eastAsia="zh-CN"/>
                    </w:rPr>
                    <w:t>15</w:t>
                  </w:r>
                  <w:r>
                    <w:rPr>
                      <w:rFonts w:hint="eastAsia"/>
                      <w:bCs/>
                      <w:color w:val="auto"/>
                      <w:sz w:val="21"/>
                      <w:szCs w:val="21"/>
                    </w:rPr>
                    <w:t>m</w:t>
                  </w:r>
                  <w:r>
                    <w:rPr>
                      <w:rFonts w:hint="eastAsia"/>
                      <w:bCs/>
                      <w:color w:val="auto"/>
                      <w:sz w:val="21"/>
                      <w:szCs w:val="21"/>
                      <w:vertAlign w:val="superscript"/>
                    </w:rPr>
                    <w:t>2</w:t>
                  </w:r>
                  <w:r>
                    <w:rPr>
                      <w:rFonts w:hint="eastAsia"/>
                      <w:bCs/>
                      <w:color w:val="auto"/>
                      <w:sz w:val="21"/>
                      <w:szCs w:val="21"/>
                    </w:rPr>
                    <w:t>，位于</w:t>
                  </w:r>
                  <w:r>
                    <w:rPr>
                      <w:rFonts w:hint="eastAsia"/>
                      <w:bCs/>
                      <w:color w:val="auto"/>
                      <w:sz w:val="21"/>
                      <w:szCs w:val="21"/>
                      <w:lang w:val="en-US" w:eastAsia="zh-CN"/>
                    </w:rPr>
                    <w:t>项目南侧</w:t>
                  </w:r>
                </w:p>
              </w:tc>
              <w:tc>
                <w:tcPr>
                  <w:tcW w:w="939" w:type="dxa"/>
                  <w:noWrap w:val="0"/>
                  <w:vAlign w:val="center"/>
                </w:tcPr>
                <w:p>
                  <w:pPr>
                    <w:pStyle w:val="57"/>
                    <w:rPr>
                      <w:rFonts w:hint="default"/>
                      <w:color w:val="auto"/>
                      <w:lang w:val="en-US" w:eastAsia="zh-CN"/>
                    </w:rPr>
                  </w:pPr>
                  <w:r>
                    <w:rPr>
                      <w:rFonts w:hint="eastAsia"/>
                      <w:color w:val="auto"/>
                      <w:lang w:val="en-US"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8" w:type="dxa"/>
                  <w:vMerge w:val="continue"/>
                  <w:noWrap w:val="0"/>
                  <w:vAlign w:val="center"/>
                </w:tcPr>
                <w:p>
                  <w:pPr>
                    <w:pStyle w:val="57"/>
                    <w:rPr>
                      <w:color w:val="auto"/>
                    </w:rPr>
                  </w:pPr>
                </w:p>
              </w:tc>
              <w:tc>
                <w:tcPr>
                  <w:tcW w:w="948" w:type="dxa"/>
                  <w:noWrap/>
                  <w:vAlign w:val="center"/>
                </w:tcPr>
                <w:p>
                  <w:pPr>
                    <w:pStyle w:val="57"/>
                    <w:rPr>
                      <w:rFonts w:hint="default"/>
                      <w:color w:val="auto"/>
                      <w:highlight w:val="none"/>
                      <w:lang w:val="en-US" w:eastAsia="zh-CN"/>
                    </w:rPr>
                  </w:pPr>
                  <w:r>
                    <w:rPr>
                      <w:rFonts w:hint="eastAsia"/>
                      <w:color w:val="auto"/>
                      <w:highlight w:val="none"/>
                      <w:lang w:val="en-US" w:eastAsia="zh-CN"/>
                    </w:rPr>
                    <w:t>雨水池</w:t>
                  </w:r>
                </w:p>
              </w:tc>
              <w:tc>
                <w:tcPr>
                  <w:tcW w:w="5270" w:type="dxa"/>
                  <w:gridSpan w:val="3"/>
                  <w:noWrap w:val="0"/>
                  <w:vAlign w:val="center"/>
                </w:tcPr>
                <w:p>
                  <w:pPr>
                    <w:pStyle w:val="57"/>
                    <w:rPr>
                      <w:rFonts w:hint="default" w:eastAsia="宋体"/>
                      <w:bCs/>
                      <w:color w:val="auto"/>
                      <w:sz w:val="21"/>
                      <w:szCs w:val="21"/>
                      <w:highlight w:val="none"/>
                      <w:lang w:val="en-US" w:eastAsia="zh-CN"/>
                    </w:rPr>
                  </w:pPr>
                  <w:r>
                    <w:rPr>
                      <w:rFonts w:hint="eastAsia"/>
                      <w:bCs/>
                      <w:color w:val="auto"/>
                      <w:sz w:val="21"/>
                      <w:szCs w:val="21"/>
                      <w:highlight w:val="none"/>
                      <w:lang w:val="en-US" w:eastAsia="zh-CN"/>
                    </w:rPr>
                    <w:t>项目区建设250m</w:t>
                  </w:r>
                  <w:r>
                    <w:rPr>
                      <w:rFonts w:hint="eastAsia"/>
                      <w:bCs/>
                      <w:color w:val="auto"/>
                      <w:sz w:val="21"/>
                      <w:szCs w:val="21"/>
                      <w:highlight w:val="none"/>
                      <w:vertAlign w:val="superscript"/>
                      <w:lang w:val="en-US" w:eastAsia="zh-CN"/>
                    </w:rPr>
                    <w:t>3</w:t>
                  </w:r>
                  <w:r>
                    <w:rPr>
                      <w:rFonts w:hint="eastAsia"/>
                      <w:bCs/>
                      <w:color w:val="auto"/>
                      <w:sz w:val="21"/>
                      <w:szCs w:val="21"/>
                      <w:highlight w:val="none"/>
                      <w:lang w:val="en-US" w:eastAsia="zh-CN"/>
                    </w:rPr>
                    <w:t>的雨水收集池并设雨水导排渠，雨水收集后回用</w:t>
                  </w:r>
                </w:p>
              </w:tc>
              <w:tc>
                <w:tcPr>
                  <w:tcW w:w="939" w:type="dxa"/>
                  <w:noWrap w:val="0"/>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restart"/>
                  <w:noWrap/>
                  <w:vAlign w:val="center"/>
                </w:tcPr>
                <w:p>
                  <w:pPr>
                    <w:pStyle w:val="57"/>
                    <w:rPr>
                      <w:color w:val="auto"/>
                    </w:rPr>
                  </w:pPr>
                  <w:r>
                    <w:rPr>
                      <w:color w:val="auto"/>
                    </w:rPr>
                    <w:t>环保工程</w:t>
                  </w:r>
                </w:p>
              </w:tc>
              <w:tc>
                <w:tcPr>
                  <w:tcW w:w="948" w:type="dxa"/>
                  <w:noWrap/>
                  <w:vAlign w:val="center"/>
                </w:tcPr>
                <w:p>
                  <w:pPr>
                    <w:pStyle w:val="57"/>
                    <w:rPr>
                      <w:rFonts w:hint="default" w:eastAsia="宋体"/>
                      <w:color w:val="auto"/>
                      <w:lang w:val="en-US" w:eastAsia="zh-CN"/>
                    </w:rPr>
                  </w:pPr>
                  <w:r>
                    <w:rPr>
                      <w:rFonts w:hint="eastAsia"/>
                      <w:color w:val="auto"/>
                      <w:lang w:val="en-US" w:eastAsia="zh-CN"/>
                    </w:rPr>
                    <w:t>生态治理</w:t>
                  </w:r>
                </w:p>
              </w:tc>
              <w:tc>
                <w:tcPr>
                  <w:tcW w:w="5270" w:type="dxa"/>
                  <w:gridSpan w:val="3"/>
                  <w:noWrap w:val="0"/>
                  <w:vAlign w:val="center"/>
                </w:tcPr>
                <w:p>
                  <w:pPr>
                    <w:pStyle w:val="57"/>
                    <w:jc w:val="both"/>
                    <w:rPr>
                      <w:color w:val="auto"/>
                    </w:rPr>
                  </w:pPr>
                  <w:r>
                    <w:rPr>
                      <w:rFonts w:hint="eastAsia"/>
                      <w:color w:val="auto"/>
                      <w:lang w:val="en-US" w:eastAsia="zh-CN"/>
                    </w:rPr>
                    <w:t>①</w:t>
                  </w:r>
                  <w:r>
                    <w:rPr>
                      <w:color w:val="auto"/>
                    </w:rPr>
                    <w:t>加强矿区及生产厂区的植被恢复工作，同时在项目取土场、砖厂生产及生活区设置</w:t>
                  </w:r>
                  <w:r>
                    <w:rPr>
                      <w:rFonts w:hint="eastAsia"/>
                      <w:color w:val="auto"/>
                    </w:rPr>
                    <w:t>300</w:t>
                  </w:r>
                  <w:r>
                    <w:rPr>
                      <w:color w:val="auto"/>
                    </w:rPr>
                    <w:t>m</w:t>
                  </w:r>
                  <w:r>
                    <w:rPr>
                      <w:color w:val="auto"/>
                      <w:vertAlign w:val="superscript"/>
                    </w:rPr>
                    <w:t>2</w:t>
                  </w:r>
                  <w:r>
                    <w:rPr>
                      <w:color w:val="auto"/>
                    </w:rPr>
                    <w:t>的绿化面积。植物应选择生长快、适应性强、抗逆性好的植物；进行植被恢复时，应将乔、灌、草综合起来进行恢复，采场平台覆土种草种树，覆土厚度0.5m，种植树，覆土厚度0.5m，采场边坡种植藤本植物。乔木每亩不得少于400株，灌木每亩不得少于700株。</w:t>
                  </w:r>
                </w:p>
                <w:p>
                  <w:pPr>
                    <w:pStyle w:val="57"/>
                    <w:jc w:val="both"/>
                    <w:rPr>
                      <w:color w:val="auto"/>
                    </w:rPr>
                  </w:pPr>
                  <w:r>
                    <w:rPr>
                      <w:rFonts w:hint="eastAsia"/>
                      <w:color w:val="auto"/>
                      <w:lang w:val="en-US" w:eastAsia="zh-CN"/>
                    </w:rPr>
                    <w:t>②</w:t>
                  </w:r>
                  <w:r>
                    <w:rPr>
                      <w:color w:val="auto"/>
                    </w:rPr>
                    <w:t>及时对开采完成的区域进行复垦，要做到采完一片，及时复垦处理一片。不允许复垦区裸地暴露时间超过一年。</w:t>
                  </w:r>
                </w:p>
                <w:p>
                  <w:pPr>
                    <w:pStyle w:val="57"/>
                    <w:jc w:val="both"/>
                    <w:rPr>
                      <w:color w:val="auto"/>
                    </w:rPr>
                  </w:pPr>
                  <w:r>
                    <w:rPr>
                      <w:rFonts w:hint="eastAsia"/>
                      <w:color w:val="auto"/>
                      <w:lang w:val="en-US" w:eastAsia="zh-CN"/>
                    </w:rPr>
                    <w:t>③</w:t>
                  </w:r>
                  <w:r>
                    <w:rPr>
                      <w:color w:val="auto"/>
                    </w:rPr>
                    <w:t>矿山在服务期满后，应及时对其进行植被恢复，采用灌、草结合的方式进行复垦</w:t>
                  </w:r>
                  <w:r>
                    <w:rPr>
                      <w:rFonts w:hint="eastAsia"/>
                      <w:color w:val="auto"/>
                      <w:lang w:eastAsia="zh-CN"/>
                    </w:rPr>
                    <w:t>。</w:t>
                  </w:r>
                </w:p>
              </w:tc>
              <w:tc>
                <w:tcPr>
                  <w:tcW w:w="939" w:type="dxa"/>
                  <w:noWrap w:val="0"/>
                  <w:vAlign w:val="center"/>
                </w:tcPr>
                <w:p>
                  <w:pPr>
                    <w:pStyle w:val="57"/>
                    <w:rPr>
                      <w:rFonts w:hint="default"/>
                      <w:color w:val="auto"/>
                      <w:lang w:val="en-US" w:eastAsia="zh-CN"/>
                    </w:rPr>
                  </w:pPr>
                  <w:r>
                    <w:rPr>
                      <w:rFonts w:hint="eastAsia"/>
                      <w:color w:val="auto"/>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ign w:val="center"/>
                </w:tcPr>
                <w:p>
                  <w:pPr>
                    <w:pStyle w:val="57"/>
                    <w:rPr>
                      <w:color w:val="auto"/>
                    </w:rPr>
                  </w:pPr>
                </w:p>
              </w:tc>
              <w:tc>
                <w:tcPr>
                  <w:tcW w:w="948" w:type="dxa"/>
                  <w:noWrap/>
                  <w:vAlign w:val="center"/>
                </w:tcPr>
                <w:p>
                  <w:pPr>
                    <w:pStyle w:val="57"/>
                    <w:rPr>
                      <w:color w:val="auto"/>
                    </w:rPr>
                  </w:pPr>
                  <w:r>
                    <w:rPr>
                      <w:color w:val="auto"/>
                    </w:rPr>
                    <w:t>废气</w:t>
                  </w:r>
                </w:p>
                <w:p>
                  <w:pPr>
                    <w:pStyle w:val="57"/>
                    <w:rPr>
                      <w:color w:val="auto"/>
                    </w:rPr>
                  </w:pPr>
                  <w:r>
                    <w:rPr>
                      <w:color w:val="auto"/>
                    </w:rPr>
                    <w:t>处理</w:t>
                  </w:r>
                </w:p>
              </w:tc>
              <w:tc>
                <w:tcPr>
                  <w:tcW w:w="5270" w:type="dxa"/>
                  <w:gridSpan w:val="3"/>
                  <w:noWrap w:val="0"/>
                  <w:vAlign w:val="center"/>
                </w:tcPr>
                <w:p>
                  <w:pPr>
                    <w:pStyle w:val="57"/>
                    <w:jc w:val="both"/>
                    <w:rPr>
                      <w:rFonts w:hint="eastAsia" w:eastAsia="宋体"/>
                      <w:color w:val="auto"/>
                      <w:lang w:eastAsia="zh-CN"/>
                    </w:rPr>
                  </w:pPr>
                  <w:r>
                    <w:rPr>
                      <w:color w:val="auto"/>
                    </w:rPr>
                    <w:t>采矿扬尘采用</w:t>
                  </w:r>
                  <w:r>
                    <w:rPr>
                      <w:rFonts w:hint="eastAsia"/>
                      <w:color w:val="auto"/>
                    </w:rPr>
                    <w:t>取土前喷水+取土过程</w:t>
                  </w:r>
                  <w:r>
                    <w:rPr>
                      <w:color w:val="auto"/>
                    </w:rPr>
                    <w:t>喷淋降尘设施；</w:t>
                  </w:r>
                  <w:r>
                    <w:rPr>
                      <w:color w:val="FF0000"/>
                    </w:rPr>
                    <w:t>运输扬尘采用</w:t>
                  </w:r>
                  <w:r>
                    <w:rPr>
                      <w:rFonts w:hint="eastAsia"/>
                      <w:color w:val="FF0000"/>
                      <w:lang w:val="en-US" w:eastAsia="zh-CN"/>
                    </w:rPr>
                    <w:t>道路</w:t>
                  </w:r>
                  <w:r>
                    <w:rPr>
                      <w:color w:val="FF0000"/>
                    </w:rPr>
                    <w:t>硬化</w:t>
                  </w:r>
                  <w:r>
                    <w:rPr>
                      <w:rFonts w:hint="eastAsia"/>
                      <w:color w:val="FF0000"/>
                    </w:rPr>
                    <w:t>、</w:t>
                  </w:r>
                  <w:r>
                    <w:rPr>
                      <w:color w:val="FF0000"/>
                    </w:rPr>
                    <w:t>清洗、</w:t>
                  </w:r>
                  <w:r>
                    <w:rPr>
                      <w:rFonts w:hint="eastAsia"/>
                      <w:color w:val="FF0000"/>
                      <w:lang w:val="en-US" w:eastAsia="zh-CN"/>
                    </w:rPr>
                    <w:t>运输车辆</w:t>
                  </w:r>
                  <w:r>
                    <w:rPr>
                      <w:color w:val="FF0000"/>
                    </w:rPr>
                    <w:t>遮盖等措施；原料破碎及筛分</w:t>
                  </w:r>
                  <w:r>
                    <w:rPr>
                      <w:rFonts w:hint="eastAsia"/>
                      <w:color w:val="FF0000"/>
                    </w:rPr>
                    <w:t>工序</w:t>
                  </w:r>
                  <w:r>
                    <w:rPr>
                      <w:color w:val="FF0000"/>
                    </w:rPr>
                    <w:t>粉尘</w:t>
                  </w:r>
                  <w:r>
                    <w:rPr>
                      <w:rFonts w:hint="eastAsia"/>
                      <w:color w:val="FF0000"/>
                    </w:rPr>
                    <w:t>通过集气罩</w:t>
                  </w:r>
                  <w:r>
                    <w:rPr>
                      <w:color w:val="FF0000"/>
                    </w:rPr>
                    <w:t>+袋式除尘器+15m排气筒；原料</w:t>
                  </w:r>
                  <w:r>
                    <w:rPr>
                      <w:rFonts w:hint="eastAsia"/>
                      <w:color w:val="FF0000"/>
                    </w:rPr>
                    <w:t>库为全封闭式+喷淋降低粉尘产生</w:t>
                  </w:r>
                  <w:r>
                    <w:rPr>
                      <w:color w:val="FF0000"/>
                    </w:rPr>
                    <w:t>；</w:t>
                  </w:r>
                  <w:r>
                    <w:rPr>
                      <w:rFonts w:hint="eastAsia"/>
                      <w:color w:val="FF0000"/>
                      <w:lang w:val="en-US" w:eastAsia="zh-CN"/>
                    </w:rPr>
                    <w:t>生产过程在全封闭式车间进行，物料运输采用全封闭式传送带输送，降低无组织粉尘产生；</w:t>
                  </w:r>
                  <w:r>
                    <w:rPr>
                      <w:color w:val="FF0000"/>
                    </w:rPr>
                    <w:t>隧道窑烟气采用SNCR脱硝+</w:t>
                  </w:r>
                  <w:r>
                    <w:rPr>
                      <w:rFonts w:hint="eastAsia"/>
                      <w:color w:val="FF0000"/>
                    </w:rPr>
                    <w:t>袋式除尘+湿</w:t>
                  </w:r>
                  <w:r>
                    <w:rPr>
                      <w:color w:val="FF0000"/>
                    </w:rPr>
                    <w:t>法脱硫</w:t>
                  </w:r>
                  <w:r>
                    <w:rPr>
                      <w:rFonts w:hint="eastAsia"/>
                      <w:color w:val="FF0000"/>
                    </w:rPr>
                    <w:t>协同脱氟</w:t>
                  </w:r>
                  <w:r>
                    <w:rPr>
                      <w:color w:val="FF0000"/>
                    </w:rPr>
                    <w:t>+</w:t>
                  </w:r>
                  <w:r>
                    <w:rPr>
                      <w:rFonts w:hint="eastAsia"/>
                      <w:color w:val="FF0000"/>
                    </w:rPr>
                    <w:t>33</w:t>
                  </w:r>
                  <w:r>
                    <w:rPr>
                      <w:color w:val="FF0000"/>
                    </w:rPr>
                    <w:t>m</w:t>
                  </w:r>
                  <w:r>
                    <w:rPr>
                      <w:rFonts w:hint="eastAsia"/>
                      <w:color w:val="FF0000"/>
                    </w:rPr>
                    <w:t>排气筒排放，并按规范要求安装烟气监测设备对烟气进行实时监测</w:t>
                  </w:r>
                  <w:r>
                    <w:rPr>
                      <w:color w:val="auto"/>
                    </w:rPr>
                    <w:t>；食堂油烟通过油烟净化器处理后经专用烟道排放</w:t>
                  </w:r>
                  <w:r>
                    <w:rPr>
                      <w:rFonts w:hint="eastAsia"/>
                      <w:color w:val="auto"/>
                    </w:rPr>
                    <w:t>。</w:t>
                  </w:r>
                </w:p>
              </w:tc>
              <w:tc>
                <w:tcPr>
                  <w:tcW w:w="939" w:type="dxa"/>
                  <w:noWrap w:val="0"/>
                  <w:vAlign w:val="center"/>
                </w:tcPr>
                <w:p>
                  <w:pPr>
                    <w:pStyle w:val="57"/>
                    <w:rPr>
                      <w:rFonts w:hint="default" w:eastAsia="宋体"/>
                      <w:color w:val="auto"/>
                      <w:lang w:val="en-US" w:eastAsia="zh-CN"/>
                    </w:rPr>
                  </w:pPr>
                  <w:r>
                    <w:rPr>
                      <w:rFonts w:hint="eastAsia"/>
                      <w:color w:val="auto"/>
                      <w:lang w:val="en-US" w:eastAsia="zh-CN"/>
                    </w:rPr>
                    <w:t>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0"/>
                  <w:vAlign w:val="center"/>
                </w:tcPr>
                <w:p>
                  <w:pPr>
                    <w:pStyle w:val="57"/>
                    <w:rPr>
                      <w:color w:val="auto"/>
                    </w:rPr>
                  </w:pPr>
                </w:p>
              </w:tc>
              <w:tc>
                <w:tcPr>
                  <w:tcW w:w="948" w:type="dxa"/>
                  <w:noWrap/>
                  <w:vAlign w:val="center"/>
                </w:tcPr>
                <w:p>
                  <w:pPr>
                    <w:pStyle w:val="57"/>
                    <w:rPr>
                      <w:color w:val="auto"/>
                    </w:rPr>
                  </w:pPr>
                  <w:r>
                    <w:rPr>
                      <w:color w:val="auto"/>
                    </w:rPr>
                    <w:t>污水</w:t>
                  </w:r>
                </w:p>
                <w:p>
                  <w:pPr>
                    <w:pStyle w:val="57"/>
                    <w:rPr>
                      <w:color w:val="auto"/>
                    </w:rPr>
                  </w:pPr>
                  <w:r>
                    <w:rPr>
                      <w:color w:val="auto"/>
                    </w:rPr>
                    <w:t>处理</w:t>
                  </w:r>
                </w:p>
              </w:tc>
              <w:tc>
                <w:tcPr>
                  <w:tcW w:w="5270" w:type="dxa"/>
                  <w:gridSpan w:val="3"/>
                  <w:noWrap w:val="0"/>
                  <w:vAlign w:val="center"/>
                </w:tcPr>
                <w:p>
                  <w:pPr>
                    <w:pStyle w:val="57"/>
                    <w:rPr>
                      <w:rFonts w:hint="default" w:eastAsia="宋体"/>
                      <w:color w:val="auto"/>
                      <w:lang w:val="en-US" w:eastAsia="zh-CN"/>
                    </w:rPr>
                  </w:pPr>
                  <w:r>
                    <w:rPr>
                      <w:rFonts w:hint="eastAsia"/>
                    </w:rPr>
                    <w:t>烟气处理系统</w:t>
                  </w:r>
                  <w:r>
                    <w:rPr>
                      <w:rFonts w:hint="eastAsia"/>
                      <w:color w:val="auto"/>
                    </w:rPr>
                    <w:t>废水循环利用不外排；餐饮废水与生活污水排入旱厕堆肥</w:t>
                  </w:r>
                  <w:r>
                    <w:rPr>
                      <w:rFonts w:hint="eastAsia"/>
                      <w:color w:val="auto"/>
                      <w:lang w:eastAsia="zh-CN"/>
                    </w:rPr>
                    <w:t>，</w:t>
                  </w:r>
                  <w:r>
                    <w:rPr>
                      <w:rFonts w:hint="eastAsia"/>
                      <w:color w:val="auto"/>
                      <w:lang w:val="en-US" w:eastAsia="zh-CN"/>
                    </w:rPr>
                    <w:t>洗漱废水泼洒抑尘</w:t>
                  </w:r>
                  <w:r>
                    <w:rPr>
                      <w:rFonts w:hint="eastAsia"/>
                      <w:color w:val="auto"/>
                    </w:rPr>
                    <w:t>。</w:t>
                  </w:r>
                </w:p>
              </w:tc>
              <w:tc>
                <w:tcPr>
                  <w:tcW w:w="939" w:type="dxa"/>
                  <w:noWrap w:val="0"/>
                  <w:vAlign w:val="center"/>
                </w:tcPr>
                <w:p>
                  <w:pPr>
                    <w:pStyle w:val="57"/>
                    <w:rPr>
                      <w:rFonts w:hint="default"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0"/>
                  <w:vAlign w:val="center"/>
                </w:tcPr>
                <w:p>
                  <w:pPr>
                    <w:pStyle w:val="57"/>
                    <w:rPr>
                      <w:color w:val="auto"/>
                    </w:rPr>
                  </w:pPr>
                </w:p>
              </w:tc>
              <w:tc>
                <w:tcPr>
                  <w:tcW w:w="948" w:type="dxa"/>
                  <w:noWrap/>
                  <w:vAlign w:val="center"/>
                </w:tcPr>
                <w:p>
                  <w:pPr>
                    <w:pStyle w:val="57"/>
                    <w:spacing w:line="240" w:lineRule="auto"/>
                    <w:rPr>
                      <w:color w:val="auto"/>
                    </w:rPr>
                  </w:pPr>
                  <w:r>
                    <w:rPr>
                      <w:color w:val="auto"/>
                    </w:rPr>
                    <w:t>噪声</w:t>
                  </w:r>
                </w:p>
                <w:p>
                  <w:pPr>
                    <w:pStyle w:val="57"/>
                    <w:spacing w:line="240" w:lineRule="auto"/>
                    <w:rPr>
                      <w:color w:val="auto"/>
                    </w:rPr>
                  </w:pPr>
                  <w:r>
                    <w:rPr>
                      <w:color w:val="auto"/>
                    </w:rPr>
                    <w:t>防治</w:t>
                  </w:r>
                </w:p>
              </w:tc>
              <w:tc>
                <w:tcPr>
                  <w:tcW w:w="5270" w:type="dxa"/>
                  <w:gridSpan w:val="3"/>
                  <w:noWrap w:val="0"/>
                  <w:vAlign w:val="center"/>
                </w:tcPr>
                <w:p>
                  <w:pPr>
                    <w:adjustRightInd w:val="0"/>
                    <w:snapToGrid w:val="0"/>
                    <w:jc w:val="both"/>
                    <w:rPr>
                      <w:szCs w:val="21"/>
                    </w:rPr>
                  </w:pPr>
                  <w:r>
                    <w:rPr>
                      <w:rFonts w:hint="eastAsia"/>
                      <w:szCs w:val="21"/>
                    </w:rPr>
                    <w:t>（1）控制设备噪声</w:t>
                  </w:r>
                </w:p>
                <w:p>
                  <w:pPr>
                    <w:adjustRightInd w:val="0"/>
                    <w:snapToGrid w:val="0"/>
                    <w:jc w:val="both"/>
                    <w:rPr>
                      <w:szCs w:val="21"/>
                    </w:rPr>
                  </w:pPr>
                  <w:r>
                    <w:rPr>
                      <w:rFonts w:hint="eastAsia"/>
                      <w:szCs w:val="21"/>
                    </w:rPr>
                    <w:t>选用低噪声设备，将噪声较高的设备安装在车间中部，并安装减振底座，通过车间的隔声和安装减振底座等措施后，可降低噪声源强。</w:t>
                  </w:r>
                </w:p>
                <w:p>
                  <w:pPr>
                    <w:adjustRightInd w:val="0"/>
                    <w:snapToGrid w:val="0"/>
                    <w:jc w:val="both"/>
                    <w:rPr>
                      <w:szCs w:val="21"/>
                    </w:rPr>
                  </w:pPr>
                  <w:r>
                    <w:rPr>
                      <w:rFonts w:hint="eastAsia"/>
                      <w:szCs w:val="21"/>
                    </w:rPr>
                    <w:t>（2）合理布局</w:t>
                  </w:r>
                </w:p>
                <w:p>
                  <w:pPr>
                    <w:adjustRightInd w:val="0"/>
                    <w:snapToGrid w:val="0"/>
                    <w:jc w:val="both"/>
                    <w:rPr>
                      <w:color w:val="auto"/>
                      <w:szCs w:val="21"/>
                    </w:rPr>
                  </w:pPr>
                  <w:r>
                    <w:rPr>
                      <w:rFonts w:hint="eastAsia"/>
                      <w:szCs w:val="21"/>
                    </w:rPr>
                    <w:t>在厂区总图设计上科学规划，合理布局，将高噪声设备放置在厂区中间、集中管理、远离办公生活区及周边环境敏感保护目标，充分利用距离衰减</w:t>
                  </w:r>
                  <w:r>
                    <w:rPr>
                      <w:rFonts w:hint="eastAsia"/>
                      <w:szCs w:val="21"/>
                      <w:lang w:eastAsia="zh-CN"/>
                    </w:rPr>
                    <w:t>、厂房隔</w:t>
                  </w:r>
                  <w:r>
                    <w:rPr>
                      <w:rFonts w:hint="eastAsia"/>
                      <w:color w:val="auto"/>
                      <w:szCs w:val="21"/>
                      <w:lang w:eastAsia="zh-CN"/>
                    </w:rPr>
                    <w:t>声</w:t>
                  </w:r>
                  <w:r>
                    <w:rPr>
                      <w:rFonts w:hint="eastAsia"/>
                      <w:color w:val="auto"/>
                      <w:szCs w:val="21"/>
                      <w:lang w:val="en-US" w:eastAsia="zh-CN"/>
                    </w:rPr>
                    <w:t>作用</w:t>
                  </w:r>
                  <w:r>
                    <w:rPr>
                      <w:rFonts w:hint="eastAsia"/>
                      <w:color w:val="auto"/>
                      <w:szCs w:val="21"/>
                      <w:lang w:eastAsia="zh-CN"/>
                    </w:rPr>
                    <w:t>降噪</w:t>
                  </w:r>
                  <w:r>
                    <w:rPr>
                      <w:rFonts w:hint="eastAsia"/>
                      <w:color w:val="auto"/>
                      <w:szCs w:val="21"/>
                    </w:rPr>
                    <w:t>，减小对外环境的影响。</w:t>
                  </w:r>
                </w:p>
                <w:p>
                  <w:pPr>
                    <w:adjustRightInd w:val="0"/>
                    <w:snapToGrid w:val="0"/>
                    <w:jc w:val="both"/>
                    <w:rPr>
                      <w:szCs w:val="21"/>
                    </w:rPr>
                  </w:pPr>
                  <w:r>
                    <w:rPr>
                      <w:rFonts w:hint="eastAsia"/>
                      <w:szCs w:val="21"/>
                    </w:rPr>
                    <w:t>（3）基础减震</w:t>
                  </w:r>
                </w:p>
                <w:p>
                  <w:pPr>
                    <w:adjustRightInd w:val="0"/>
                    <w:snapToGrid w:val="0"/>
                    <w:jc w:val="both"/>
                    <w:rPr>
                      <w:szCs w:val="21"/>
                    </w:rPr>
                  </w:pPr>
                  <w:r>
                    <w:rPr>
                      <w:rFonts w:hint="eastAsia"/>
                      <w:szCs w:val="21"/>
                    </w:rPr>
                    <w:t>在设备安装时，对高噪声设备采取减震、隔震等措施。对于排风管道进出口加柔性软接头，以降低分机噪声对周围环境的影响。</w:t>
                  </w:r>
                </w:p>
                <w:p>
                  <w:pPr>
                    <w:pStyle w:val="57"/>
                    <w:jc w:val="both"/>
                    <w:rPr>
                      <w:color w:val="auto"/>
                    </w:rPr>
                  </w:pPr>
                  <w:r>
                    <w:rPr>
                      <w:rFonts w:hint="eastAsia"/>
                      <w:szCs w:val="21"/>
                    </w:rPr>
                    <w:t>（4）加强建筑物隔声措施本项目生产车间全部采用封闭式，加强了生产车间隔声作用。</w:t>
                  </w:r>
                </w:p>
              </w:tc>
              <w:tc>
                <w:tcPr>
                  <w:tcW w:w="939" w:type="dxa"/>
                  <w:noWrap w:val="0"/>
                  <w:vAlign w:val="center"/>
                </w:tcPr>
                <w:p>
                  <w:pPr>
                    <w:pStyle w:val="57"/>
                    <w:rPr>
                      <w:rFonts w:hint="default"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0"/>
                  <w:vAlign w:val="center"/>
                </w:tcPr>
                <w:p>
                  <w:pPr>
                    <w:pStyle w:val="57"/>
                    <w:rPr>
                      <w:color w:val="auto"/>
                    </w:rPr>
                  </w:pPr>
                </w:p>
              </w:tc>
              <w:tc>
                <w:tcPr>
                  <w:tcW w:w="948" w:type="dxa"/>
                  <w:noWrap/>
                  <w:vAlign w:val="center"/>
                </w:tcPr>
                <w:p>
                  <w:pPr>
                    <w:pStyle w:val="57"/>
                    <w:rPr>
                      <w:color w:val="auto"/>
                    </w:rPr>
                  </w:pPr>
                  <w:r>
                    <w:rPr>
                      <w:color w:val="auto"/>
                    </w:rPr>
                    <w:t>固废</w:t>
                  </w:r>
                </w:p>
                <w:p>
                  <w:pPr>
                    <w:pStyle w:val="57"/>
                    <w:rPr>
                      <w:color w:val="auto"/>
                    </w:rPr>
                  </w:pPr>
                  <w:r>
                    <w:rPr>
                      <w:color w:val="auto"/>
                    </w:rPr>
                    <w:t>处理</w:t>
                  </w:r>
                </w:p>
              </w:tc>
              <w:tc>
                <w:tcPr>
                  <w:tcW w:w="5270" w:type="dxa"/>
                  <w:gridSpan w:val="3"/>
                  <w:noWrap w:val="0"/>
                  <w:vAlign w:val="center"/>
                </w:tcPr>
                <w:p>
                  <w:pPr>
                    <w:pStyle w:val="57"/>
                    <w:rPr>
                      <w:rFonts w:hint="default"/>
                      <w:color w:val="auto"/>
                      <w:lang w:val="en-US"/>
                    </w:rPr>
                  </w:pPr>
                  <w:r>
                    <w:t>不合格产品、边角料、除尘器收集粉尘</w:t>
                  </w:r>
                  <w:r>
                    <w:rPr>
                      <w:rFonts w:hint="eastAsia"/>
                    </w:rPr>
                    <w:t>、焙烧炉渣、脱硫渣等</w:t>
                  </w:r>
                  <w:r>
                    <w:t>统一回收用作原料；生活垃圾由垃圾桶收集暂存</w:t>
                  </w:r>
                  <w:r>
                    <w:rPr>
                      <w:rFonts w:hint="eastAsia"/>
                    </w:rPr>
                    <w:t>拉</w:t>
                  </w:r>
                  <w:r>
                    <w:rPr>
                      <w:rFonts w:hint="eastAsia"/>
                      <w:color w:val="auto"/>
                    </w:rPr>
                    <w:t>运至附近垃圾转运站，最终由环卫部门统一处理；</w:t>
                  </w:r>
                  <w:r>
                    <w:rPr>
                      <w:rFonts w:hint="eastAsia"/>
                      <w:color w:val="auto"/>
                      <w:lang w:val="en-US" w:eastAsia="zh-CN"/>
                    </w:rPr>
                    <w:t>废包装袋收集后定期外售处理；非制砖废料收集后拉运至政府指定的地点处理；</w:t>
                  </w:r>
                  <w:r>
                    <w:rPr>
                      <w:rFonts w:hint="eastAsia"/>
                      <w:color w:val="auto"/>
                    </w:rPr>
                    <w:t>废机油及机油桶</w:t>
                  </w:r>
                  <w:r>
                    <w:rPr>
                      <w:rFonts w:hint="eastAsia"/>
                      <w:color w:val="auto"/>
                      <w:lang w:val="en-US" w:eastAsia="zh-CN"/>
                    </w:rPr>
                    <w:t>暂存至危废暂存间（10m</w:t>
                  </w:r>
                  <w:r>
                    <w:rPr>
                      <w:rFonts w:hint="eastAsia"/>
                      <w:color w:val="auto"/>
                      <w:vertAlign w:val="superscript"/>
                      <w:lang w:val="en-US" w:eastAsia="zh-CN"/>
                    </w:rPr>
                    <w:t>2</w:t>
                  </w:r>
                  <w:r>
                    <w:rPr>
                      <w:rFonts w:hint="eastAsia"/>
                      <w:color w:val="auto"/>
                      <w:lang w:val="en-US" w:eastAsia="zh-CN"/>
                    </w:rPr>
                    <w:t>）定期拉运至有资质单位处置。</w:t>
                  </w:r>
                </w:p>
              </w:tc>
              <w:tc>
                <w:tcPr>
                  <w:tcW w:w="939" w:type="dxa"/>
                  <w:noWrap w:val="0"/>
                  <w:vAlign w:val="center"/>
                </w:tcPr>
                <w:p>
                  <w:pPr>
                    <w:pStyle w:val="57"/>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718" w:type="dxa"/>
                  <w:noWrap w:val="0"/>
                  <w:vAlign w:val="center"/>
                </w:tcPr>
                <w:p>
                  <w:pPr>
                    <w:pStyle w:val="57"/>
                    <w:rPr>
                      <w:rFonts w:hint="eastAsia" w:eastAsia="宋体"/>
                      <w:color w:val="auto"/>
                      <w:lang w:val="en-US" w:eastAsia="zh-CN"/>
                    </w:rPr>
                  </w:pPr>
                  <w:r>
                    <w:rPr>
                      <w:rFonts w:hint="eastAsia" w:eastAsia="宋体"/>
                      <w:color w:val="auto"/>
                      <w:lang w:eastAsia="zh-CN"/>
                    </w:rPr>
                    <w:t>风险防范</w:t>
                  </w:r>
                </w:p>
              </w:tc>
              <w:tc>
                <w:tcPr>
                  <w:tcW w:w="948" w:type="dxa"/>
                  <w:noWrap/>
                  <w:vAlign w:val="center"/>
                </w:tcPr>
                <w:p>
                  <w:pPr>
                    <w:pStyle w:val="57"/>
                    <w:rPr>
                      <w:rFonts w:hint="default" w:eastAsia="宋体"/>
                      <w:color w:val="auto"/>
                      <w:lang w:val="en-US" w:eastAsia="zh-CN"/>
                    </w:rPr>
                  </w:pPr>
                  <w:r>
                    <w:rPr>
                      <w:rFonts w:hint="eastAsia" w:eastAsia="宋体"/>
                      <w:color w:val="auto"/>
                      <w:lang w:eastAsia="zh-CN"/>
                    </w:rPr>
                    <w:t>土壤、地下水风险防范</w:t>
                  </w:r>
                </w:p>
              </w:tc>
              <w:tc>
                <w:tcPr>
                  <w:tcW w:w="5270" w:type="dxa"/>
                  <w:gridSpan w:val="3"/>
                  <w:noWrap w:val="0"/>
                  <w:vAlign w:val="center"/>
                </w:tcPr>
                <w:p>
                  <w:pPr>
                    <w:pageBreakBefore w:val="0"/>
                    <w:widowControl w:val="0"/>
                    <w:kinsoku/>
                    <w:wordWrap/>
                    <w:overflowPunct/>
                    <w:topLinePunct w:val="0"/>
                    <w:autoSpaceDE/>
                    <w:autoSpaceDN/>
                    <w:bidi w:val="0"/>
                    <w:spacing w:line="240" w:lineRule="auto"/>
                    <w:textAlignment w:val="auto"/>
                    <w:rPr>
                      <w:rFonts w:hint="default" w:eastAsia="宋体"/>
                      <w:color w:val="auto"/>
                      <w:lang w:val="en-US" w:eastAsia="zh-CN"/>
                    </w:rPr>
                  </w:pPr>
                  <w:r>
                    <w:rPr>
                      <w:rFonts w:hint="eastAsia" w:ascii="Times New Roman" w:hAnsi="Times New Roman" w:eastAsia="宋体" w:cs="Times New Roman"/>
                      <w:color w:val="auto"/>
                      <w:kern w:val="2"/>
                      <w:sz w:val="21"/>
                      <w:szCs w:val="24"/>
                      <w:lang w:val="en-US" w:eastAsia="zh-CN" w:bidi="ar-SA"/>
                    </w:rPr>
                    <w:t>厂区进行分区防渗，脱硫塔</w:t>
                  </w:r>
                  <w:r>
                    <w:rPr>
                      <w:rFonts w:hint="eastAsia" w:cs="Times New Roman"/>
                      <w:color w:val="auto"/>
                      <w:kern w:val="2"/>
                      <w:sz w:val="21"/>
                      <w:szCs w:val="24"/>
                      <w:lang w:val="en-US" w:eastAsia="zh-CN" w:bidi="ar-SA"/>
                    </w:rPr>
                    <w:t>循环水池</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危废暂存间</w:t>
                  </w:r>
                  <w:r>
                    <w:rPr>
                      <w:rFonts w:hint="eastAsia" w:ascii="Times New Roman" w:hAnsi="Times New Roman" w:eastAsia="宋体" w:cs="Times New Roman"/>
                      <w:color w:val="auto"/>
                      <w:kern w:val="2"/>
                      <w:sz w:val="21"/>
                      <w:szCs w:val="24"/>
                      <w:lang w:val="en-US" w:eastAsia="zh-CN" w:bidi="ar-SA"/>
                    </w:rPr>
                    <w:t>、辅料库房达到重点防渗要求，</w:t>
                  </w:r>
                  <w:r>
                    <w:rPr>
                      <w:rFonts w:hint="default" w:ascii="Times New Roman" w:hAnsi="Times New Roman" w:eastAsia="宋体" w:cs="Times New Roman"/>
                      <w:color w:val="auto"/>
                      <w:kern w:val="2"/>
                      <w:sz w:val="21"/>
                      <w:szCs w:val="24"/>
                      <w:lang w:val="en-US" w:eastAsia="zh-CN" w:bidi="ar-SA"/>
                    </w:rPr>
                    <w:t>等效黏土防渗层Mb≥</w:t>
                  </w:r>
                  <w:r>
                    <w:rPr>
                      <w:rFonts w:hint="eastAsia" w:ascii="Times New Roman" w:hAnsi="Times New Roman" w:eastAsia="宋体" w:cs="Times New Roman"/>
                      <w:color w:val="auto"/>
                      <w:kern w:val="2"/>
                      <w:sz w:val="21"/>
                      <w:szCs w:val="24"/>
                      <w:lang w:val="en-US" w:eastAsia="zh-CN" w:bidi="ar-SA"/>
                    </w:rPr>
                    <w:t>6</w:t>
                  </w:r>
                  <w:r>
                    <w:rPr>
                      <w:rFonts w:hint="default" w:ascii="Times New Roman" w:hAnsi="Times New Roman" w:eastAsia="宋体" w:cs="Times New Roman"/>
                      <w:color w:val="auto"/>
                      <w:kern w:val="2"/>
                      <w:sz w:val="21"/>
                      <w:szCs w:val="24"/>
                      <w:lang w:val="en-US" w:eastAsia="zh-CN" w:bidi="ar-SA"/>
                    </w:rPr>
                    <w:t>m</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渗透系数小于</w:t>
                  </w:r>
                  <w:r>
                    <w:rPr>
                      <w:rFonts w:hint="eastAsia" w:ascii="Times New Roman" w:hAnsi="Times New Roman" w:eastAsia="宋体" w:cs="Times New Roman"/>
                      <w:color w:val="auto"/>
                      <w:kern w:val="2"/>
                      <w:sz w:val="21"/>
                      <w:szCs w:val="24"/>
                      <w:lang w:val="en-US" w:eastAsia="zh-CN" w:bidi="ar-SA"/>
                    </w:rPr>
                    <w:t>≤1×10</w:t>
                  </w:r>
                  <w:r>
                    <w:rPr>
                      <w:rFonts w:hint="eastAsia" w:ascii="Times New Roman" w:hAnsi="Times New Roman" w:eastAsia="宋体" w:cs="Times New Roman"/>
                      <w:color w:val="auto"/>
                      <w:kern w:val="2"/>
                      <w:sz w:val="21"/>
                      <w:szCs w:val="24"/>
                      <w:vertAlign w:val="superscript"/>
                      <w:lang w:val="en-US" w:eastAsia="zh-CN" w:bidi="ar-SA"/>
                    </w:rPr>
                    <w:t>-10</w:t>
                  </w:r>
                  <w:r>
                    <w:rPr>
                      <w:rFonts w:hint="eastAsia" w:ascii="Times New Roman" w:hAnsi="Times New Roman" w:eastAsia="宋体" w:cs="Times New Roman"/>
                      <w:color w:val="auto"/>
                      <w:kern w:val="2"/>
                      <w:sz w:val="21"/>
                      <w:szCs w:val="24"/>
                      <w:lang w:val="en-US" w:eastAsia="zh-CN" w:bidi="ar-SA"/>
                    </w:rPr>
                    <w:t>cm/s；</w:t>
                  </w:r>
                  <w:r>
                    <w:t>原料加工车间、陈化车间、煤矸石堆棚、</w:t>
                  </w:r>
                  <w:r>
                    <w:rPr>
                      <w:rFonts w:hint="eastAsia"/>
                      <w:lang w:val="en-US" w:eastAsia="zh-CN"/>
                    </w:rPr>
                    <w:t>旱厕</w:t>
                  </w:r>
                  <w:r>
                    <w:rPr>
                      <w:rFonts w:hint="eastAsia"/>
                    </w:rPr>
                    <w:t>进行一般防渗</w:t>
                  </w:r>
                  <w:r>
                    <w:rPr>
                      <w:rFonts w:hint="eastAsia" w:ascii="Times New Roman" w:hAnsi="Times New Roman" w:eastAsia="宋体" w:cs="Times New Roman"/>
                      <w:color w:val="auto"/>
                      <w:kern w:val="2"/>
                      <w:sz w:val="21"/>
                      <w:szCs w:val="24"/>
                      <w:lang w:val="en-US" w:eastAsia="zh-CN" w:bidi="ar-SA"/>
                    </w:rPr>
                    <w:t>，</w:t>
                  </w:r>
                  <w:r>
                    <w:rPr>
                      <w:rFonts w:hint="eastAsia" w:ascii="Times New Roman" w:hAnsi="Times New Roman" w:cs="Times New Roman"/>
                      <w:bCs/>
                      <w:color w:val="auto"/>
                      <w:szCs w:val="21"/>
                      <w:lang w:val="en-US" w:eastAsia="zh-CN"/>
                    </w:rPr>
                    <w:t>要求</w:t>
                  </w:r>
                  <w:r>
                    <w:rPr>
                      <w:rFonts w:hint="default" w:ascii="Times New Roman" w:hAnsi="Times New Roman" w:cs="Times New Roman"/>
                      <w:bCs/>
                      <w:color w:val="auto"/>
                      <w:szCs w:val="21"/>
                    </w:rPr>
                    <w:t>黏土层</w:t>
                  </w:r>
                  <w:r>
                    <w:rPr>
                      <w:rFonts w:hint="eastAsia" w:ascii="Times New Roman" w:hAnsi="Times New Roman" w:cs="Times New Roman"/>
                      <w:bCs/>
                      <w:color w:val="auto"/>
                      <w:szCs w:val="21"/>
                      <w:lang w:val="en-US" w:eastAsia="zh-CN"/>
                    </w:rPr>
                    <w:t>Mb</w:t>
                  </w:r>
                  <w:r>
                    <w:rPr>
                      <w:rFonts w:hint="default" w:ascii="Times New Roman" w:hAnsi="Times New Roman" w:cs="Times New Roman"/>
                      <w:bCs/>
                      <w:color w:val="auto"/>
                      <w:szCs w:val="21"/>
                    </w:rPr>
                    <w:t>≥1.5m，防渗系数K≤1×10</w:t>
                  </w:r>
                  <w:r>
                    <w:rPr>
                      <w:rFonts w:hint="default" w:ascii="Times New Roman" w:hAnsi="Times New Roman" w:cs="Times New Roman"/>
                      <w:bCs/>
                      <w:color w:val="auto"/>
                      <w:szCs w:val="21"/>
                      <w:vertAlign w:val="superscript"/>
                    </w:rPr>
                    <w:t>-7</w:t>
                  </w:r>
                  <w:r>
                    <w:rPr>
                      <w:rFonts w:hint="default" w:ascii="Times New Roman" w:hAnsi="Times New Roman" w:cs="Times New Roman"/>
                      <w:bCs/>
                      <w:color w:val="auto"/>
                      <w:szCs w:val="21"/>
                    </w:rPr>
                    <w:t>cm/s</w:t>
                  </w:r>
                  <w:r>
                    <w:rPr>
                      <w:rFonts w:hint="eastAsia" w:cs="Times New Roman"/>
                      <w:bCs/>
                      <w:color w:val="auto"/>
                      <w:szCs w:val="21"/>
                      <w:lang w:eastAsia="zh-CN"/>
                    </w:rPr>
                    <w:t>；</w:t>
                  </w:r>
                  <w:r>
                    <w:rPr>
                      <w:rFonts w:hint="default" w:ascii="Times New Roman" w:hAnsi="Times New Roman" w:cs="Times New Roman"/>
                      <w:color w:val="auto"/>
                      <w:highlight w:val="none"/>
                    </w:rPr>
                    <w:t>简单防渗区：办公区域、厂区地面</w:t>
                  </w:r>
                </w:p>
              </w:tc>
              <w:tc>
                <w:tcPr>
                  <w:tcW w:w="939" w:type="dxa"/>
                  <w:noWrap w:val="0"/>
                  <w:vAlign w:val="center"/>
                </w:tcPr>
                <w:p>
                  <w:pPr>
                    <w:pStyle w:val="57"/>
                    <w:rPr>
                      <w:rFonts w:hint="default" w:eastAsia="宋体"/>
                      <w:color w:val="auto"/>
                      <w:lang w:val="en-US" w:eastAsia="zh-CN"/>
                    </w:rPr>
                  </w:pPr>
                  <w:r>
                    <w:rPr>
                      <w:rFonts w:hint="eastAsia" w:eastAsia="宋体"/>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8" w:type="dxa"/>
                  <w:noWrap/>
                  <w:vAlign w:val="center"/>
                </w:tcPr>
                <w:p>
                  <w:pPr>
                    <w:pStyle w:val="57"/>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生态</w:t>
                  </w:r>
                </w:p>
              </w:tc>
              <w:tc>
                <w:tcPr>
                  <w:tcW w:w="948" w:type="dxa"/>
                  <w:noWrap/>
                  <w:vAlign w:val="center"/>
                </w:tcPr>
                <w:p>
                  <w:pPr>
                    <w:pStyle w:val="57"/>
                    <w:rPr>
                      <w:rFonts w:hint="eastAsia"/>
                      <w:color w:val="auto"/>
                      <w:lang w:val="en-US" w:eastAsia="zh-CN"/>
                    </w:rPr>
                  </w:pPr>
                  <w:r>
                    <w:rPr>
                      <w:rFonts w:hint="eastAsia"/>
                      <w:color w:val="auto"/>
                      <w:lang w:val="en-US" w:eastAsia="zh-CN"/>
                    </w:rPr>
                    <w:t>生态</w:t>
                  </w:r>
                </w:p>
                <w:p>
                  <w:pPr>
                    <w:pStyle w:val="57"/>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环境</w:t>
                  </w:r>
                </w:p>
              </w:tc>
              <w:tc>
                <w:tcPr>
                  <w:tcW w:w="5270" w:type="dxa"/>
                  <w:gridSpan w:val="3"/>
                  <w:noWrap w:val="0"/>
                  <w:vAlign w:val="center"/>
                </w:tcPr>
                <w:p>
                  <w:pPr>
                    <w:pStyle w:val="57"/>
                    <w:rPr>
                      <w:rFonts w:hint="default" w:ascii="Times New Roman" w:hAnsi="Times New Roman" w:eastAsia="宋体" w:cs="Times New Roman"/>
                      <w:color w:val="auto"/>
                      <w:kern w:val="2"/>
                      <w:sz w:val="21"/>
                      <w:szCs w:val="24"/>
                      <w:lang w:val="en-US" w:eastAsia="zh-CN" w:bidi="ar-SA"/>
                    </w:rPr>
                  </w:pPr>
                  <w:r>
                    <w:rPr>
                      <w:rFonts w:hint="eastAsia"/>
                      <w:color w:val="auto"/>
                      <w:vertAlign w:val="baseline"/>
                      <w:lang w:val="en-US" w:eastAsia="zh-CN"/>
                    </w:rPr>
                    <w:t>粘土采矿区进行边坡治理，以防发生滑坡、水土流失等生态环境问题</w:t>
                  </w:r>
                </w:p>
              </w:tc>
              <w:tc>
                <w:tcPr>
                  <w:tcW w:w="939" w:type="dxa"/>
                  <w:noWrap w:val="0"/>
                  <w:vAlign w:val="center"/>
                </w:tcPr>
                <w:p>
                  <w:pPr>
                    <w:pStyle w:val="57"/>
                    <w:rPr>
                      <w:rFonts w:hint="default"/>
                      <w:color w:val="auto"/>
                      <w:vertAlign w:val="baseline"/>
                      <w:lang w:val="en-US" w:eastAsia="zh-CN"/>
                    </w:rPr>
                  </w:pP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8" w:type="dxa"/>
                  <w:noWrap/>
                  <w:vAlign w:val="center"/>
                </w:tcPr>
                <w:p>
                  <w:pPr>
                    <w:pStyle w:val="57"/>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其他</w:t>
                  </w:r>
                </w:p>
              </w:tc>
              <w:tc>
                <w:tcPr>
                  <w:tcW w:w="948" w:type="dxa"/>
                  <w:noWrap/>
                  <w:vAlign w:val="center"/>
                </w:tcPr>
                <w:p>
                  <w:pPr>
                    <w:pStyle w:val="57"/>
                    <w:rPr>
                      <w:rFonts w:hint="default" w:ascii="Times New Roman" w:hAnsi="Times New Roman" w:eastAsia="宋体" w:cs="Times New Roman"/>
                      <w:color w:val="auto"/>
                      <w:kern w:val="2"/>
                      <w:sz w:val="21"/>
                      <w:szCs w:val="24"/>
                      <w:lang w:val="en-US" w:eastAsia="zh-CN" w:bidi="ar-SA"/>
                    </w:rPr>
                  </w:pPr>
                  <w:r>
                    <w:rPr>
                      <w:color w:val="auto"/>
                    </w:rPr>
                    <w:t>绿化</w:t>
                  </w:r>
                </w:p>
              </w:tc>
              <w:tc>
                <w:tcPr>
                  <w:tcW w:w="6209" w:type="dxa"/>
                  <w:gridSpan w:val="4"/>
                  <w:noWrap w:val="0"/>
                  <w:vAlign w:val="center"/>
                </w:tcPr>
                <w:p>
                  <w:pPr>
                    <w:pStyle w:val="57"/>
                    <w:rPr>
                      <w:color w:val="auto"/>
                    </w:rPr>
                  </w:pPr>
                  <w:r>
                    <w:rPr>
                      <w:color w:val="auto"/>
                    </w:rPr>
                    <w:t>厂区绿化面积</w:t>
                  </w:r>
                  <w:r>
                    <w:rPr>
                      <w:rFonts w:hint="eastAsia"/>
                      <w:color w:val="auto"/>
                    </w:rPr>
                    <w:t>约</w:t>
                  </w:r>
                  <w:r>
                    <w:rPr>
                      <w:rFonts w:hint="eastAsia"/>
                      <w:color w:val="auto"/>
                      <w:lang w:val="en-US" w:eastAsia="zh-CN"/>
                    </w:rPr>
                    <w:t>300</w:t>
                  </w:r>
                  <w:r>
                    <w:rPr>
                      <w:color w:val="auto"/>
                    </w:rPr>
                    <w:t>m</w:t>
                  </w:r>
                  <w:r>
                    <w:rPr>
                      <w:color w:val="auto"/>
                      <w:vertAlign w:val="superscript"/>
                    </w:rPr>
                    <w:t>2</w:t>
                  </w:r>
                </w:p>
              </w:tc>
            </w:tr>
          </w:tbl>
          <w:p>
            <w:pPr>
              <w:pStyle w:val="67"/>
              <w:keepNext w:val="0"/>
              <w:keepLines w:val="0"/>
              <w:pageBreakBefore w:val="0"/>
              <w:widowControl w:val="0"/>
              <w:kinsoku/>
              <w:wordWrap/>
              <w:overflowPunct/>
              <w:topLinePunct w:val="0"/>
              <w:autoSpaceDE/>
              <w:autoSpaceDN/>
              <w:bidi w:val="0"/>
              <w:adjustRightInd w:val="0"/>
              <w:snapToGrid w:val="0"/>
              <w:spacing w:before="188" w:beforeLines="60"/>
              <w:textAlignment w:val="auto"/>
              <w:rPr>
                <w:bCs/>
                <w:color w:val="auto"/>
              </w:rPr>
            </w:pPr>
            <w:r>
              <w:rPr>
                <w:bCs/>
                <w:color w:val="auto"/>
              </w:rPr>
              <w:t>表2-</w:t>
            </w:r>
            <w:r>
              <w:rPr>
                <w:rFonts w:hint="eastAsia"/>
                <w:bCs/>
                <w:color w:val="auto"/>
                <w:lang w:val="en-US" w:eastAsia="zh-CN"/>
              </w:rPr>
              <w:t>6</w:t>
            </w:r>
            <w:r>
              <w:rPr>
                <w:bCs/>
                <w:color w:val="auto"/>
              </w:rPr>
              <w:t xml:space="preserve">   本项目主要经济技术指标     单位：m</w:t>
            </w:r>
            <w:r>
              <w:rPr>
                <w:bCs/>
                <w:color w:val="auto"/>
                <w:vertAlign w:val="superscript"/>
              </w:rPr>
              <w:t>2</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373"/>
              <w:gridCol w:w="2337"/>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jc w:val="center"/>
                    <w:rPr>
                      <w:b/>
                      <w:color w:val="auto"/>
                    </w:rPr>
                  </w:pPr>
                  <w:r>
                    <w:rPr>
                      <w:b/>
                      <w:color w:val="auto"/>
                    </w:rPr>
                    <w:t>项目指标名称</w:t>
                  </w:r>
                </w:p>
              </w:tc>
              <w:tc>
                <w:tcPr>
                  <w:tcW w:w="2337" w:type="dxa"/>
                  <w:noWrap w:val="0"/>
                  <w:vAlign w:val="center"/>
                </w:tcPr>
                <w:p>
                  <w:pPr>
                    <w:jc w:val="center"/>
                    <w:rPr>
                      <w:b/>
                      <w:color w:val="auto"/>
                    </w:rPr>
                  </w:pPr>
                  <w:r>
                    <w:rPr>
                      <w:b/>
                      <w:color w:val="auto"/>
                    </w:rPr>
                    <w:t>指标数量</w:t>
                  </w:r>
                </w:p>
              </w:tc>
              <w:tc>
                <w:tcPr>
                  <w:tcW w:w="2072" w:type="dxa"/>
                  <w:noWrap w:val="0"/>
                  <w:vAlign w:val="center"/>
                </w:tcPr>
                <w:p>
                  <w:pPr>
                    <w:jc w:val="center"/>
                    <w:rPr>
                      <w:b/>
                      <w:color w:val="auto"/>
                    </w:rPr>
                  </w:pPr>
                  <w:r>
                    <w:rPr>
                      <w:b/>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jc w:val="center"/>
                    <w:rPr>
                      <w:bCs/>
                      <w:color w:val="auto"/>
                    </w:rPr>
                  </w:pPr>
                  <w:r>
                    <w:rPr>
                      <w:bCs/>
                      <w:color w:val="auto"/>
                    </w:rPr>
                    <w:t>一、总用地面积</w:t>
                  </w:r>
                </w:p>
              </w:tc>
              <w:tc>
                <w:tcPr>
                  <w:tcW w:w="2337" w:type="dxa"/>
                  <w:noWrap w:val="0"/>
                  <w:vAlign w:val="center"/>
                </w:tcPr>
                <w:p>
                  <w:pPr>
                    <w:jc w:val="center"/>
                    <w:rPr>
                      <w:rFonts w:hint="default" w:eastAsia="宋体"/>
                      <w:bCs/>
                      <w:color w:val="auto"/>
                      <w:lang w:val="en-US" w:eastAsia="zh-CN"/>
                    </w:rPr>
                  </w:pPr>
                  <w:r>
                    <w:rPr>
                      <w:rFonts w:hint="eastAsia"/>
                      <w:bCs/>
                      <w:color w:val="auto"/>
                      <w:lang w:val="en-US" w:eastAsia="zh-CN"/>
                    </w:rPr>
                    <w:t>13810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jc w:val="center"/>
                    <w:rPr>
                      <w:bCs/>
                      <w:color w:val="auto"/>
                    </w:rPr>
                  </w:pPr>
                  <w:r>
                    <w:rPr>
                      <w:bCs/>
                      <w:color w:val="auto"/>
                    </w:rPr>
                    <w:t>二、总建筑面积</w:t>
                  </w:r>
                </w:p>
              </w:tc>
              <w:tc>
                <w:tcPr>
                  <w:tcW w:w="2337" w:type="dxa"/>
                  <w:noWrap w:val="0"/>
                  <w:vAlign w:val="center"/>
                </w:tcPr>
                <w:p>
                  <w:pPr>
                    <w:jc w:val="center"/>
                    <w:rPr>
                      <w:rFonts w:hint="default" w:eastAsia="宋体"/>
                      <w:bCs/>
                      <w:color w:val="auto"/>
                      <w:lang w:val="en-US" w:eastAsia="zh-CN"/>
                    </w:rPr>
                  </w:pPr>
                  <w:r>
                    <w:rPr>
                      <w:rFonts w:hint="eastAsia"/>
                      <w:bCs/>
                      <w:color w:val="auto"/>
                      <w:lang w:val="en-US" w:eastAsia="zh-CN"/>
                    </w:rPr>
                    <w:t>5800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jc w:val="center"/>
              </w:trPr>
              <w:tc>
                <w:tcPr>
                  <w:tcW w:w="1061" w:type="dxa"/>
                  <w:vMerge w:val="restart"/>
                  <w:noWrap w:val="0"/>
                  <w:vAlign w:val="center"/>
                </w:tcPr>
                <w:p>
                  <w:pPr>
                    <w:jc w:val="center"/>
                    <w:rPr>
                      <w:bCs/>
                      <w:color w:val="auto"/>
                    </w:rPr>
                  </w:pPr>
                  <w:r>
                    <w:rPr>
                      <w:color w:val="auto"/>
                    </w:rPr>
                    <w:t>隧道窑烧</w:t>
                  </w:r>
                  <w:r>
                    <w:rPr>
                      <w:rFonts w:hint="eastAsia"/>
                      <w:color w:val="auto"/>
                      <w:lang w:val="en-US" w:eastAsia="zh-CN"/>
                    </w:rPr>
                    <w:t>烧结空心砖</w:t>
                  </w:r>
                  <w:r>
                    <w:rPr>
                      <w:rFonts w:hint="eastAsia"/>
                      <w:color w:val="auto"/>
                      <w:lang w:eastAsia="zh-CN"/>
                    </w:rPr>
                    <w:t>、</w:t>
                  </w:r>
                  <w:r>
                    <w:rPr>
                      <w:rFonts w:hint="eastAsia"/>
                      <w:color w:val="auto"/>
                      <w:lang w:val="en-US" w:eastAsia="zh-CN"/>
                    </w:rPr>
                    <w:t>烧结空心砌块</w:t>
                  </w:r>
                  <w:r>
                    <w:rPr>
                      <w:color w:val="auto"/>
                    </w:rPr>
                    <w:t>生产线</w:t>
                  </w:r>
                </w:p>
              </w:tc>
              <w:tc>
                <w:tcPr>
                  <w:tcW w:w="2373" w:type="dxa"/>
                  <w:noWrap w:val="0"/>
                  <w:vAlign w:val="center"/>
                </w:tcPr>
                <w:p>
                  <w:pPr>
                    <w:pStyle w:val="57"/>
                    <w:rPr>
                      <w:bCs/>
                      <w:color w:val="auto"/>
                    </w:rPr>
                  </w:pPr>
                  <w:r>
                    <w:rPr>
                      <w:color w:val="auto"/>
                    </w:rPr>
                    <w:t>焙烧隧道窑</w:t>
                  </w:r>
                </w:p>
              </w:tc>
              <w:tc>
                <w:tcPr>
                  <w:tcW w:w="2337" w:type="dxa"/>
                  <w:noWrap w:val="0"/>
                  <w:vAlign w:val="center"/>
                </w:tcPr>
                <w:p>
                  <w:pPr>
                    <w:jc w:val="center"/>
                    <w:rPr>
                      <w:rFonts w:hint="default" w:eastAsia="宋体"/>
                      <w:bCs/>
                      <w:color w:val="auto"/>
                      <w:lang w:val="en-US" w:eastAsia="zh-CN"/>
                    </w:rPr>
                  </w:pPr>
                  <w:r>
                    <w:rPr>
                      <w:rFonts w:hint="eastAsia"/>
                      <w:bCs/>
                      <w:color w:val="auto"/>
                      <w:lang w:val="en-US" w:eastAsia="zh-CN"/>
                    </w:rPr>
                    <w:t>1760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jc w:val="center"/>
              </w:trPr>
              <w:tc>
                <w:tcPr>
                  <w:tcW w:w="1061" w:type="dxa"/>
                  <w:vMerge w:val="continue"/>
                  <w:noWrap w:val="0"/>
                  <w:vAlign w:val="center"/>
                </w:tcPr>
                <w:p>
                  <w:pPr>
                    <w:jc w:val="center"/>
                    <w:rPr>
                      <w:bCs/>
                      <w:color w:val="auto"/>
                    </w:rPr>
                  </w:pPr>
                </w:p>
              </w:tc>
              <w:tc>
                <w:tcPr>
                  <w:tcW w:w="2373" w:type="dxa"/>
                  <w:noWrap w:val="0"/>
                  <w:vAlign w:val="center"/>
                </w:tcPr>
                <w:p>
                  <w:pPr>
                    <w:pStyle w:val="57"/>
                    <w:rPr>
                      <w:rFonts w:hint="default" w:eastAsia="宋体"/>
                      <w:bCs/>
                      <w:color w:val="auto"/>
                      <w:lang w:val="en-US" w:eastAsia="zh-CN"/>
                    </w:rPr>
                  </w:pPr>
                  <w:r>
                    <w:rPr>
                      <w:rFonts w:hint="eastAsia"/>
                      <w:bCs/>
                      <w:color w:val="auto"/>
                      <w:lang w:val="en-US" w:eastAsia="zh-CN"/>
                    </w:rPr>
                    <w:t>原料加工车间</w:t>
                  </w:r>
                </w:p>
              </w:tc>
              <w:tc>
                <w:tcPr>
                  <w:tcW w:w="2337" w:type="dxa"/>
                  <w:noWrap w:val="0"/>
                  <w:vAlign w:val="center"/>
                </w:tcPr>
                <w:p>
                  <w:pPr>
                    <w:jc w:val="center"/>
                    <w:rPr>
                      <w:rFonts w:hint="default"/>
                      <w:bCs/>
                      <w:color w:val="auto"/>
                      <w:lang w:val="en-US"/>
                    </w:rPr>
                  </w:pPr>
                  <w:r>
                    <w:rPr>
                      <w:rFonts w:hint="eastAsia"/>
                      <w:bCs/>
                      <w:color w:val="auto"/>
                      <w:lang w:val="en-US" w:eastAsia="zh-CN"/>
                    </w:rPr>
                    <w:t>600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1061" w:type="dxa"/>
                  <w:vMerge w:val="continue"/>
                  <w:noWrap w:val="0"/>
                  <w:vAlign w:val="center"/>
                </w:tcPr>
                <w:p>
                  <w:pPr>
                    <w:jc w:val="center"/>
                    <w:rPr>
                      <w:bCs/>
                      <w:color w:val="auto"/>
                    </w:rPr>
                  </w:pPr>
                </w:p>
              </w:tc>
              <w:tc>
                <w:tcPr>
                  <w:tcW w:w="2373" w:type="dxa"/>
                  <w:noWrap w:val="0"/>
                  <w:vAlign w:val="center"/>
                </w:tcPr>
                <w:p>
                  <w:pPr>
                    <w:pStyle w:val="57"/>
                    <w:rPr>
                      <w:rFonts w:hint="default" w:eastAsia="宋体"/>
                      <w:bCs/>
                      <w:color w:val="auto"/>
                      <w:lang w:val="en-US" w:eastAsia="zh-CN"/>
                    </w:rPr>
                  </w:pPr>
                  <w:r>
                    <w:rPr>
                      <w:rFonts w:hint="eastAsia"/>
                      <w:bCs/>
                      <w:color w:val="auto"/>
                      <w:lang w:val="en-US" w:eastAsia="zh-CN"/>
                    </w:rPr>
                    <w:t>砖机车间</w:t>
                  </w:r>
                </w:p>
              </w:tc>
              <w:tc>
                <w:tcPr>
                  <w:tcW w:w="2337" w:type="dxa"/>
                  <w:noWrap w:val="0"/>
                  <w:vAlign w:val="center"/>
                </w:tcPr>
                <w:p>
                  <w:pPr>
                    <w:jc w:val="center"/>
                    <w:rPr>
                      <w:rFonts w:hint="default"/>
                      <w:bCs/>
                      <w:color w:val="auto"/>
                      <w:lang w:val="en-US"/>
                    </w:rPr>
                  </w:pPr>
                  <w:r>
                    <w:rPr>
                      <w:rFonts w:hint="eastAsia"/>
                      <w:bCs/>
                      <w:color w:val="auto"/>
                      <w:lang w:val="en-US" w:eastAsia="zh-CN"/>
                    </w:rPr>
                    <w:t>500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1061" w:type="dxa"/>
                  <w:vMerge w:val="continue"/>
                  <w:noWrap w:val="0"/>
                  <w:vAlign w:val="center"/>
                </w:tcPr>
                <w:p>
                  <w:pPr>
                    <w:jc w:val="center"/>
                    <w:rPr>
                      <w:bCs/>
                      <w:color w:val="auto"/>
                    </w:rPr>
                  </w:pPr>
                </w:p>
              </w:tc>
              <w:tc>
                <w:tcPr>
                  <w:tcW w:w="2373" w:type="dxa"/>
                  <w:noWrap w:val="0"/>
                  <w:vAlign w:val="center"/>
                </w:tcPr>
                <w:p>
                  <w:pPr>
                    <w:pStyle w:val="57"/>
                    <w:rPr>
                      <w:rFonts w:hint="eastAsia" w:eastAsia="宋体"/>
                      <w:bCs/>
                      <w:color w:val="auto"/>
                      <w:lang w:val="en-US" w:eastAsia="zh-CN"/>
                    </w:rPr>
                  </w:pPr>
                  <w:r>
                    <w:rPr>
                      <w:rFonts w:hint="eastAsia"/>
                      <w:bCs/>
                      <w:color w:val="auto"/>
                      <w:lang w:val="en-US" w:eastAsia="zh-CN"/>
                    </w:rPr>
                    <w:t>陈化库</w:t>
                  </w:r>
                </w:p>
              </w:tc>
              <w:tc>
                <w:tcPr>
                  <w:tcW w:w="2337" w:type="dxa"/>
                  <w:noWrap w:val="0"/>
                  <w:vAlign w:val="center"/>
                </w:tcPr>
                <w:p>
                  <w:pPr>
                    <w:jc w:val="center"/>
                    <w:rPr>
                      <w:rFonts w:hint="default"/>
                      <w:bCs/>
                      <w:color w:val="auto"/>
                      <w:lang w:val="en-US" w:eastAsia="zh-CN"/>
                    </w:rPr>
                  </w:pPr>
                  <w:r>
                    <w:rPr>
                      <w:rFonts w:hint="eastAsia"/>
                      <w:bCs/>
                      <w:color w:val="auto"/>
                      <w:lang w:val="en-US" w:eastAsia="zh-CN"/>
                    </w:rPr>
                    <w:t>500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1061" w:type="dxa"/>
                  <w:vMerge w:val="continue"/>
                  <w:noWrap w:val="0"/>
                  <w:vAlign w:val="center"/>
                </w:tcPr>
                <w:p>
                  <w:pPr>
                    <w:jc w:val="center"/>
                    <w:rPr>
                      <w:bCs/>
                      <w:color w:val="auto"/>
                    </w:rPr>
                  </w:pPr>
                </w:p>
              </w:tc>
              <w:tc>
                <w:tcPr>
                  <w:tcW w:w="2373" w:type="dxa"/>
                  <w:noWrap w:val="0"/>
                  <w:vAlign w:val="center"/>
                </w:tcPr>
                <w:p>
                  <w:pPr>
                    <w:pStyle w:val="57"/>
                    <w:rPr>
                      <w:rFonts w:hint="default" w:eastAsia="宋体"/>
                      <w:bCs/>
                      <w:color w:val="auto"/>
                      <w:lang w:val="en-US" w:eastAsia="zh-CN"/>
                    </w:rPr>
                  </w:pPr>
                  <w:r>
                    <w:rPr>
                      <w:rFonts w:hint="eastAsia"/>
                      <w:bCs/>
                      <w:color w:val="auto"/>
                      <w:lang w:val="en-US" w:eastAsia="zh-CN"/>
                    </w:rPr>
                    <w:t>晾坯车间</w:t>
                  </w:r>
                </w:p>
              </w:tc>
              <w:tc>
                <w:tcPr>
                  <w:tcW w:w="2337" w:type="dxa"/>
                  <w:noWrap w:val="0"/>
                  <w:vAlign w:val="center"/>
                </w:tcPr>
                <w:p>
                  <w:pPr>
                    <w:jc w:val="center"/>
                    <w:rPr>
                      <w:rFonts w:hint="default"/>
                      <w:bCs/>
                      <w:color w:val="auto"/>
                      <w:lang w:val="en-US" w:eastAsia="zh-CN"/>
                    </w:rPr>
                  </w:pPr>
                  <w:r>
                    <w:rPr>
                      <w:rFonts w:hint="eastAsia"/>
                      <w:bCs/>
                      <w:color w:val="auto"/>
                      <w:lang w:val="en-US" w:eastAsia="zh-CN"/>
                    </w:rPr>
                    <w:t>800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1061" w:type="dxa"/>
                  <w:vMerge w:val="continue"/>
                  <w:noWrap w:val="0"/>
                  <w:vAlign w:val="center"/>
                </w:tcPr>
                <w:p>
                  <w:pPr>
                    <w:jc w:val="center"/>
                    <w:rPr>
                      <w:bCs/>
                      <w:color w:val="auto"/>
                    </w:rPr>
                  </w:pPr>
                </w:p>
              </w:tc>
              <w:tc>
                <w:tcPr>
                  <w:tcW w:w="2373" w:type="dxa"/>
                  <w:noWrap w:val="0"/>
                  <w:vAlign w:val="center"/>
                </w:tcPr>
                <w:p>
                  <w:pPr>
                    <w:pStyle w:val="57"/>
                    <w:rPr>
                      <w:rFonts w:hint="default" w:eastAsia="宋体"/>
                      <w:bCs/>
                      <w:color w:val="auto"/>
                      <w:lang w:val="en-US" w:eastAsia="zh-CN"/>
                    </w:rPr>
                  </w:pPr>
                  <w:r>
                    <w:rPr>
                      <w:rFonts w:hint="eastAsia"/>
                      <w:bCs/>
                      <w:color w:val="auto"/>
                      <w:lang w:val="en-US" w:eastAsia="zh-CN"/>
                    </w:rPr>
                    <w:t>卸砖区</w:t>
                  </w:r>
                </w:p>
              </w:tc>
              <w:tc>
                <w:tcPr>
                  <w:tcW w:w="2337" w:type="dxa"/>
                  <w:noWrap w:val="0"/>
                  <w:vAlign w:val="center"/>
                </w:tcPr>
                <w:p>
                  <w:pPr>
                    <w:jc w:val="center"/>
                    <w:rPr>
                      <w:rFonts w:hint="default"/>
                      <w:bCs/>
                      <w:color w:val="auto"/>
                      <w:lang w:val="en-US" w:eastAsia="zh-CN"/>
                    </w:rPr>
                  </w:pPr>
                  <w:r>
                    <w:rPr>
                      <w:rFonts w:hint="eastAsia"/>
                      <w:bCs/>
                      <w:color w:val="auto"/>
                      <w:lang w:val="en-US" w:eastAsia="zh-CN"/>
                    </w:rPr>
                    <w:t>900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pStyle w:val="57"/>
                    <w:rPr>
                      <w:rFonts w:hint="default" w:eastAsia="宋体"/>
                      <w:color w:val="auto"/>
                      <w:lang w:val="en-US" w:eastAsia="zh-CN"/>
                    </w:rPr>
                  </w:pPr>
                  <w:r>
                    <w:rPr>
                      <w:rFonts w:hint="eastAsia"/>
                      <w:color w:val="auto"/>
                      <w:lang w:val="en-US" w:eastAsia="zh-CN"/>
                    </w:rPr>
                    <w:t>粘土矿区</w:t>
                  </w:r>
                </w:p>
              </w:tc>
              <w:tc>
                <w:tcPr>
                  <w:tcW w:w="2337" w:type="dxa"/>
                  <w:noWrap w:val="0"/>
                  <w:vAlign w:val="center"/>
                </w:tcPr>
                <w:p>
                  <w:pPr>
                    <w:jc w:val="center"/>
                    <w:rPr>
                      <w:rFonts w:hint="default" w:eastAsia="宋体"/>
                      <w:bCs/>
                      <w:color w:val="auto"/>
                      <w:lang w:val="en-US" w:eastAsia="zh-CN"/>
                    </w:rPr>
                  </w:pPr>
                  <w:r>
                    <w:rPr>
                      <w:rFonts w:hint="eastAsia"/>
                      <w:bCs/>
                      <w:color w:val="auto"/>
                      <w:lang w:val="en-US" w:eastAsia="zh-CN"/>
                    </w:rPr>
                    <w:t>7010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pStyle w:val="57"/>
                    <w:rPr>
                      <w:rFonts w:hint="default" w:eastAsia="宋体"/>
                      <w:color w:val="auto"/>
                      <w:lang w:val="en-US" w:eastAsia="zh-CN"/>
                    </w:rPr>
                  </w:pPr>
                  <w:r>
                    <w:rPr>
                      <w:rFonts w:hint="eastAsia"/>
                      <w:color w:val="auto"/>
                      <w:lang w:val="en-US" w:eastAsia="zh-CN"/>
                    </w:rPr>
                    <w:t>综合办公区</w:t>
                  </w:r>
                </w:p>
              </w:tc>
              <w:tc>
                <w:tcPr>
                  <w:tcW w:w="2337" w:type="dxa"/>
                  <w:noWrap w:val="0"/>
                  <w:vAlign w:val="center"/>
                </w:tcPr>
                <w:p>
                  <w:pPr>
                    <w:jc w:val="center"/>
                    <w:rPr>
                      <w:rFonts w:hint="default" w:eastAsia="宋体"/>
                      <w:bCs/>
                      <w:color w:val="auto"/>
                      <w:lang w:val="en-US" w:eastAsia="zh-CN"/>
                    </w:rPr>
                  </w:pPr>
                  <w:r>
                    <w:rPr>
                      <w:rFonts w:hint="eastAsia"/>
                      <w:bCs/>
                      <w:color w:val="auto"/>
                      <w:lang w:val="en-US" w:eastAsia="zh-CN"/>
                    </w:rPr>
                    <w:t>400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pStyle w:val="57"/>
                    <w:rPr>
                      <w:rFonts w:hint="eastAsia" w:eastAsia="宋体"/>
                      <w:color w:val="auto"/>
                      <w:lang w:val="en-US" w:eastAsia="zh-CN"/>
                    </w:rPr>
                  </w:pPr>
                  <w:r>
                    <w:rPr>
                      <w:rFonts w:hint="eastAsia"/>
                      <w:color w:val="auto"/>
                      <w:lang w:val="en-US" w:eastAsia="zh-CN"/>
                    </w:rPr>
                    <w:t>配电室</w:t>
                  </w:r>
                </w:p>
              </w:tc>
              <w:tc>
                <w:tcPr>
                  <w:tcW w:w="2337" w:type="dxa"/>
                  <w:noWrap w:val="0"/>
                  <w:vAlign w:val="center"/>
                </w:tcPr>
                <w:p>
                  <w:pPr>
                    <w:jc w:val="center"/>
                    <w:rPr>
                      <w:rFonts w:hint="default" w:eastAsia="宋体"/>
                      <w:bCs/>
                      <w:color w:val="auto"/>
                      <w:lang w:val="en-US" w:eastAsia="zh-CN"/>
                    </w:rPr>
                  </w:pPr>
                  <w:r>
                    <w:rPr>
                      <w:rFonts w:hint="eastAsia"/>
                      <w:bCs/>
                      <w:color w:val="auto"/>
                      <w:lang w:val="en-US" w:eastAsia="zh-CN"/>
                    </w:rPr>
                    <w:t>20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pStyle w:val="57"/>
                    <w:rPr>
                      <w:rFonts w:hint="default" w:eastAsia="宋体"/>
                      <w:color w:val="auto"/>
                      <w:lang w:val="en-US" w:eastAsia="zh-CN"/>
                    </w:rPr>
                  </w:pPr>
                  <w:r>
                    <w:rPr>
                      <w:rFonts w:hint="eastAsia"/>
                      <w:color w:val="auto"/>
                      <w:lang w:val="en-US" w:eastAsia="zh-CN"/>
                    </w:rPr>
                    <w:t>煤、煤矸石堆棚</w:t>
                  </w:r>
                </w:p>
              </w:tc>
              <w:tc>
                <w:tcPr>
                  <w:tcW w:w="2337" w:type="dxa"/>
                  <w:noWrap w:val="0"/>
                  <w:vAlign w:val="center"/>
                </w:tcPr>
                <w:p>
                  <w:pPr>
                    <w:jc w:val="center"/>
                    <w:rPr>
                      <w:rFonts w:hint="default" w:eastAsia="宋体"/>
                      <w:bCs/>
                      <w:color w:val="auto"/>
                      <w:lang w:val="en-US" w:eastAsia="zh-CN"/>
                    </w:rPr>
                  </w:pPr>
                  <w:r>
                    <w:rPr>
                      <w:rFonts w:hint="eastAsia"/>
                      <w:bCs/>
                      <w:color w:val="auto"/>
                      <w:lang w:val="en-US" w:eastAsia="zh-CN"/>
                    </w:rPr>
                    <w:t>300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pStyle w:val="57"/>
                    <w:rPr>
                      <w:rFonts w:hint="default"/>
                      <w:color w:val="auto"/>
                      <w:lang w:val="en-US" w:eastAsia="zh-CN"/>
                    </w:rPr>
                  </w:pPr>
                  <w:r>
                    <w:rPr>
                      <w:rFonts w:hint="eastAsia"/>
                      <w:color w:val="auto"/>
                      <w:lang w:val="en-US" w:eastAsia="zh-CN"/>
                    </w:rPr>
                    <w:t>成品砖堆场</w:t>
                  </w:r>
                </w:p>
              </w:tc>
              <w:tc>
                <w:tcPr>
                  <w:tcW w:w="2337" w:type="dxa"/>
                  <w:noWrap w:val="0"/>
                  <w:vAlign w:val="center"/>
                </w:tcPr>
                <w:p>
                  <w:pPr>
                    <w:jc w:val="center"/>
                    <w:rPr>
                      <w:rFonts w:hint="default"/>
                      <w:bCs/>
                      <w:color w:val="auto"/>
                      <w:lang w:val="en-US" w:eastAsia="zh-CN"/>
                    </w:rPr>
                  </w:pPr>
                  <w:r>
                    <w:rPr>
                      <w:rFonts w:hint="eastAsia"/>
                      <w:bCs/>
                      <w:color w:val="auto"/>
                      <w:lang w:val="en-US" w:eastAsia="zh-CN"/>
                    </w:rPr>
                    <w:t>1000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pStyle w:val="57"/>
                    <w:rPr>
                      <w:rFonts w:hint="default"/>
                      <w:color w:val="auto"/>
                      <w:lang w:val="en-US" w:eastAsia="zh-CN"/>
                    </w:rPr>
                  </w:pPr>
                  <w:r>
                    <w:rPr>
                      <w:rFonts w:hint="eastAsia"/>
                      <w:color w:val="auto"/>
                      <w:lang w:val="en-US" w:eastAsia="zh-CN"/>
                    </w:rPr>
                    <w:t>辅料库房</w:t>
                  </w:r>
                </w:p>
              </w:tc>
              <w:tc>
                <w:tcPr>
                  <w:tcW w:w="2337" w:type="dxa"/>
                  <w:noWrap w:val="0"/>
                  <w:vAlign w:val="center"/>
                </w:tcPr>
                <w:p>
                  <w:pPr>
                    <w:jc w:val="center"/>
                    <w:rPr>
                      <w:rFonts w:hint="default"/>
                      <w:bCs/>
                      <w:color w:val="auto"/>
                      <w:lang w:val="en-US" w:eastAsia="zh-CN"/>
                    </w:rPr>
                  </w:pPr>
                  <w:r>
                    <w:rPr>
                      <w:rFonts w:hint="eastAsia"/>
                      <w:bCs/>
                      <w:color w:val="auto"/>
                      <w:lang w:val="en-US" w:eastAsia="zh-CN"/>
                    </w:rPr>
                    <w:t>40</w:t>
                  </w:r>
                </w:p>
              </w:tc>
              <w:tc>
                <w:tcPr>
                  <w:tcW w:w="2072" w:type="dxa"/>
                  <w:noWrap w:val="0"/>
                  <w:vAlign w:val="center"/>
                </w:tcPr>
                <w:p>
                  <w:pPr>
                    <w:jc w:val="center"/>
                    <w:rPr>
                      <w:bCs/>
                      <w:color w:val="auto"/>
                    </w:rPr>
                  </w:pPr>
                  <w:r>
                    <w:rPr>
                      <w:bCs/>
                      <w:color w:val="auto"/>
                    </w:rPr>
                    <w:t>m</w:t>
                  </w:r>
                  <w:r>
                    <w:rPr>
                      <w:bCs/>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jc w:val="center"/>
              </w:trPr>
              <w:tc>
                <w:tcPr>
                  <w:tcW w:w="3434" w:type="dxa"/>
                  <w:gridSpan w:val="2"/>
                  <w:noWrap w:val="0"/>
                  <w:vAlign w:val="center"/>
                </w:tcPr>
                <w:p>
                  <w:pPr>
                    <w:jc w:val="center"/>
                    <w:rPr>
                      <w:rFonts w:hint="default" w:eastAsia="宋体"/>
                      <w:bCs/>
                      <w:color w:val="auto"/>
                      <w:lang w:val="en-US" w:eastAsia="zh-CN"/>
                    </w:rPr>
                  </w:pPr>
                  <w:r>
                    <w:rPr>
                      <w:bCs/>
                      <w:color w:val="auto"/>
                    </w:rPr>
                    <w:t>三、</w:t>
                  </w:r>
                  <w:r>
                    <w:rPr>
                      <w:rFonts w:hint="eastAsia"/>
                      <w:bCs/>
                      <w:color w:val="auto"/>
                      <w:lang w:val="en-US" w:eastAsia="zh-CN"/>
                    </w:rPr>
                    <w:t>生产能力</w:t>
                  </w:r>
                </w:p>
                <w:p>
                  <w:pPr>
                    <w:jc w:val="center"/>
                    <w:rPr>
                      <w:bCs/>
                      <w:color w:val="auto"/>
                    </w:rPr>
                  </w:pPr>
                </w:p>
                <w:p>
                  <w:pPr>
                    <w:jc w:val="center"/>
                    <w:rPr>
                      <w:bCs/>
                      <w:color w:val="auto"/>
                    </w:rPr>
                  </w:pPr>
                </w:p>
              </w:tc>
              <w:tc>
                <w:tcPr>
                  <w:tcW w:w="2337" w:type="dxa"/>
                  <w:noWrap w:val="0"/>
                  <w:vAlign w:val="center"/>
                </w:tcPr>
                <w:p>
                  <w:pPr>
                    <w:jc w:val="center"/>
                    <w:rPr>
                      <w:rFonts w:hint="default" w:eastAsia="宋体"/>
                      <w:bCs/>
                      <w:color w:val="auto"/>
                      <w:lang w:val="en-US" w:eastAsia="zh-CN"/>
                    </w:rPr>
                  </w:pPr>
                  <w:r>
                    <w:rPr>
                      <w:rFonts w:hint="eastAsia"/>
                      <w:bCs/>
                      <w:color w:val="auto"/>
                      <w:lang w:val="en-US" w:eastAsia="zh-CN"/>
                    </w:rPr>
                    <w:t>6000</w:t>
                  </w:r>
                </w:p>
              </w:tc>
              <w:tc>
                <w:tcPr>
                  <w:tcW w:w="2072" w:type="dxa"/>
                  <w:noWrap w:val="0"/>
                  <w:vAlign w:val="center"/>
                </w:tcPr>
                <w:p>
                  <w:pPr>
                    <w:jc w:val="center"/>
                    <w:rPr>
                      <w:rFonts w:hint="eastAsia"/>
                      <w:bCs/>
                      <w:color w:val="auto"/>
                      <w:lang w:val="en-US" w:eastAsia="zh-CN"/>
                    </w:rPr>
                  </w:pPr>
                  <w:r>
                    <w:rPr>
                      <w:rFonts w:hint="eastAsia"/>
                      <w:bCs/>
                      <w:color w:val="auto"/>
                      <w:lang w:val="en-US" w:eastAsia="zh-CN"/>
                    </w:rPr>
                    <w:t>万块/年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jc w:val="center"/>
              </w:trPr>
              <w:tc>
                <w:tcPr>
                  <w:tcW w:w="3434" w:type="dxa"/>
                  <w:gridSpan w:val="2"/>
                  <w:noWrap w:val="0"/>
                  <w:vAlign w:val="center"/>
                </w:tcPr>
                <w:p>
                  <w:pPr>
                    <w:jc w:val="center"/>
                    <w:rPr>
                      <w:rFonts w:hint="default" w:eastAsia="宋体"/>
                      <w:bCs/>
                      <w:color w:val="auto"/>
                      <w:lang w:val="en-US" w:eastAsia="zh-CN"/>
                    </w:rPr>
                  </w:pPr>
                  <w:r>
                    <w:rPr>
                      <w:rFonts w:hint="eastAsia"/>
                      <w:bCs/>
                      <w:color w:val="auto"/>
                      <w:lang w:val="en-US" w:eastAsia="zh-CN"/>
                    </w:rPr>
                    <w:t>四、劳动定员</w:t>
                  </w:r>
                </w:p>
              </w:tc>
              <w:tc>
                <w:tcPr>
                  <w:tcW w:w="2337" w:type="dxa"/>
                  <w:noWrap w:val="0"/>
                  <w:vAlign w:val="center"/>
                </w:tcPr>
                <w:p>
                  <w:pPr>
                    <w:jc w:val="center"/>
                    <w:rPr>
                      <w:rFonts w:hint="default" w:eastAsia="宋体"/>
                      <w:bCs/>
                      <w:color w:val="auto"/>
                      <w:lang w:val="en-US" w:eastAsia="zh-CN"/>
                    </w:rPr>
                  </w:pPr>
                  <w:r>
                    <w:rPr>
                      <w:rFonts w:hint="eastAsia"/>
                      <w:bCs/>
                      <w:color w:val="auto"/>
                      <w:lang w:val="en-US" w:eastAsia="zh-CN"/>
                    </w:rPr>
                    <w:t>18</w:t>
                  </w:r>
                </w:p>
              </w:tc>
              <w:tc>
                <w:tcPr>
                  <w:tcW w:w="2072" w:type="dxa"/>
                  <w:noWrap w:val="0"/>
                  <w:vAlign w:val="center"/>
                </w:tcPr>
                <w:p>
                  <w:pPr>
                    <w:jc w:val="center"/>
                    <w:rPr>
                      <w:rFonts w:hint="eastAsia"/>
                      <w:bCs/>
                      <w:color w:val="auto"/>
                      <w:lang w:val="en-US" w:eastAsia="zh-CN"/>
                    </w:rPr>
                  </w:pPr>
                  <w:r>
                    <w:rPr>
                      <w:rFonts w:hint="eastAsia"/>
                      <w:bCs/>
                      <w:color w:val="auto"/>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jc w:val="center"/>
                    <w:rPr>
                      <w:bCs/>
                      <w:color w:val="auto"/>
                    </w:rPr>
                  </w:pPr>
                  <w:r>
                    <w:rPr>
                      <w:bCs/>
                      <w:color w:val="auto"/>
                    </w:rPr>
                    <w:t>五、绿化面积</w:t>
                  </w:r>
                </w:p>
              </w:tc>
              <w:tc>
                <w:tcPr>
                  <w:tcW w:w="2337" w:type="dxa"/>
                  <w:noWrap w:val="0"/>
                  <w:vAlign w:val="center"/>
                </w:tcPr>
                <w:p>
                  <w:pPr>
                    <w:jc w:val="center"/>
                    <w:rPr>
                      <w:rFonts w:hint="default"/>
                      <w:bCs/>
                      <w:color w:val="auto"/>
                      <w:lang w:val="en-US"/>
                    </w:rPr>
                  </w:pPr>
                  <w:r>
                    <w:rPr>
                      <w:rFonts w:hint="eastAsia"/>
                      <w:bCs/>
                      <w:color w:val="auto"/>
                      <w:lang w:val="en-US" w:eastAsia="zh-CN"/>
                    </w:rPr>
                    <w:t>300</w:t>
                  </w:r>
                </w:p>
              </w:tc>
              <w:tc>
                <w:tcPr>
                  <w:tcW w:w="2072" w:type="dxa"/>
                  <w:noWrap w:val="0"/>
                  <w:vAlign w:val="center"/>
                </w:tcPr>
                <w:p>
                  <w:pPr>
                    <w:jc w:val="center"/>
                    <w:rPr>
                      <w:rFonts w:hint="eastAsia"/>
                      <w:bCs/>
                      <w:color w:val="auto"/>
                      <w:lang w:val="en-US" w:eastAsia="zh-CN"/>
                    </w:rPr>
                  </w:pPr>
                  <w:r>
                    <w:rPr>
                      <w:rFonts w:hint="eastAsia"/>
                      <w:bCs/>
                      <w:color w:val="auto"/>
                      <w:lang w:val="en-US" w:eastAsia="zh-CN"/>
                    </w:rPr>
                    <w:t>m</w:t>
                  </w:r>
                  <w:r>
                    <w:rPr>
                      <w:rFonts w:hint="eastAsia"/>
                      <w:bCs/>
                      <w:color w:val="auto"/>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noWrap w:val="0"/>
                  <w:vAlign w:val="center"/>
                </w:tcPr>
                <w:p>
                  <w:pPr>
                    <w:jc w:val="center"/>
                    <w:rPr>
                      <w:rFonts w:hint="default" w:eastAsia="宋体"/>
                      <w:bCs/>
                      <w:color w:val="auto"/>
                      <w:lang w:val="en-US" w:eastAsia="zh-CN"/>
                    </w:rPr>
                  </w:pPr>
                  <w:r>
                    <w:rPr>
                      <w:rFonts w:hint="eastAsia"/>
                      <w:bCs/>
                      <w:color w:val="auto"/>
                      <w:lang w:val="en-US" w:eastAsia="zh-CN"/>
                    </w:rPr>
                    <w:t>六、总投资</w:t>
                  </w:r>
                </w:p>
              </w:tc>
              <w:tc>
                <w:tcPr>
                  <w:tcW w:w="2337" w:type="dxa"/>
                  <w:noWrap w:val="0"/>
                  <w:vAlign w:val="center"/>
                </w:tcPr>
                <w:p>
                  <w:pPr>
                    <w:jc w:val="center"/>
                    <w:rPr>
                      <w:rFonts w:hint="default"/>
                      <w:bCs/>
                      <w:color w:val="auto"/>
                      <w:lang w:val="en-US" w:eastAsia="zh-CN"/>
                    </w:rPr>
                  </w:pPr>
                  <w:r>
                    <w:rPr>
                      <w:rFonts w:hint="eastAsia"/>
                      <w:bCs/>
                      <w:color w:val="auto"/>
                      <w:lang w:val="en-US" w:eastAsia="zh-CN"/>
                    </w:rPr>
                    <w:t>1280</w:t>
                  </w:r>
                </w:p>
              </w:tc>
              <w:tc>
                <w:tcPr>
                  <w:tcW w:w="2072" w:type="dxa"/>
                  <w:noWrap w:val="0"/>
                  <w:vAlign w:val="center"/>
                </w:tcPr>
                <w:p>
                  <w:pPr>
                    <w:jc w:val="center"/>
                    <w:rPr>
                      <w:rFonts w:hint="eastAsia"/>
                      <w:bCs/>
                      <w:color w:val="auto"/>
                      <w:lang w:val="en-US" w:eastAsia="zh-CN"/>
                    </w:rPr>
                  </w:pPr>
                  <w:r>
                    <w:rPr>
                      <w:rFonts w:hint="eastAsia"/>
                      <w:bCs/>
                      <w:color w:val="auto"/>
                      <w:lang w:val="en-US" w:eastAsia="zh-CN"/>
                    </w:rPr>
                    <w:t>万元</w:t>
                  </w:r>
                </w:p>
              </w:tc>
            </w:tr>
          </w:tbl>
          <w:p>
            <w:pPr>
              <w:pStyle w:val="60"/>
              <w:ind w:left="0" w:leftChars="0" w:firstLine="0" w:firstLineChars="0"/>
              <w:rPr>
                <w:b/>
                <w:bCs/>
                <w:color w:val="auto"/>
                <w:sz w:val="24"/>
                <w:szCs w:val="24"/>
              </w:rPr>
            </w:pPr>
            <w:r>
              <w:rPr>
                <w:rFonts w:hint="eastAsia"/>
                <w:b/>
                <w:bCs/>
                <w:color w:val="auto"/>
                <w:sz w:val="24"/>
                <w:szCs w:val="24"/>
                <w:lang w:val="en-US" w:eastAsia="zh-CN"/>
              </w:rPr>
              <w:t>2.</w:t>
            </w:r>
            <w:r>
              <w:rPr>
                <w:b/>
                <w:bCs/>
                <w:color w:val="auto"/>
                <w:sz w:val="24"/>
                <w:szCs w:val="24"/>
              </w:rPr>
              <w:t>产品方案</w:t>
            </w:r>
          </w:p>
          <w:p>
            <w:pPr>
              <w:spacing w:line="360" w:lineRule="auto"/>
              <w:ind w:firstLine="420"/>
              <w:rPr>
                <w:color w:val="auto"/>
                <w:sz w:val="24"/>
                <w:szCs w:val="24"/>
              </w:rPr>
            </w:pPr>
            <w:r>
              <w:rPr>
                <w:rFonts w:hint="eastAsia"/>
                <w:color w:val="auto"/>
                <w:sz w:val="24"/>
                <w:szCs w:val="24"/>
              </w:rPr>
              <w:t>（</w:t>
            </w:r>
            <w:r>
              <w:rPr>
                <w:color w:val="auto"/>
                <w:sz w:val="24"/>
                <w:szCs w:val="24"/>
              </w:rPr>
              <w:t>1）建设规模</w:t>
            </w:r>
          </w:p>
          <w:p>
            <w:pPr>
              <w:spacing w:line="360" w:lineRule="auto"/>
              <w:ind w:firstLine="420"/>
              <w:rPr>
                <w:color w:val="auto"/>
                <w:sz w:val="24"/>
                <w:szCs w:val="24"/>
              </w:rPr>
            </w:pPr>
            <w:r>
              <w:rPr>
                <w:color w:val="auto"/>
                <w:sz w:val="24"/>
                <w:szCs w:val="24"/>
              </w:rPr>
              <w:t>项目建设规模为年产</w:t>
            </w:r>
            <w:r>
              <w:rPr>
                <w:rFonts w:hint="eastAsia"/>
                <w:color w:val="auto"/>
                <w:sz w:val="24"/>
                <w:szCs w:val="24"/>
                <w:lang w:val="en-US" w:eastAsia="zh-CN"/>
              </w:rPr>
              <w:t>6</w:t>
            </w:r>
            <w:r>
              <w:rPr>
                <w:color w:val="auto"/>
                <w:sz w:val="24"/>
                <w:szCs w:val="24"/>
              </w:rPr>
              <w:t>000万块（折标砖）烧结</w:t>
            </w:r>
            <w:r>
              <w:rPr>
                <w:rFonts w:hint="eastAsia"/>
                <w:color w:val="auto"/>
                <w:sz w:val="24"/>
                <w:szCs w:val="24"/>
                <w:lang w:val="en-US" w:eastAsia="zh-CN"/>
              </w:rPr>
              <w:t>空心砖、空心砌块</w:t>
            </w:r>
            <w:r>
              <w:rPr>
                <w:color w:val="auto"/>
                <w:sz w:val="24"/>
                <w:szCs w:val="24"/>
              </w:rPr>
              <w:t>。</w:t>
            </w:r>
          </w:p>
          <w:p>
            <w:pPr>
              <w:spacing w:line="360" w:lineRule="auto"/>
              <w:ind w:firstLine="420"/>
              <w:rPr>
                <w:color w:val="auto"/>
                <w:sz w:val="24"/>
                <w:szCs w:val="24"/>
              </w:rPr>
            </w:pPr>
            <w:r>
              <w:rPr>
                <w:rFonts w:hint="eastAsia"/>
                <w:color w:val="auto"/>
                <w:sz w:val="24"/>
                <w:szCs w:val="24"/>
              </w:rPr>
              <w:t>（</w:t>
            </w:r>
            <w:r>
              <w:rPr>
                <w:color w:val="auto"/>
                <w:sz w:val="24"/>
                <w:szCs w:val="24"/>
              </w:rPr>
              <w:t>2）产品方案</w:t>
            </w:r>
          </w:p>
          <w:p>
            <w:pPr>
              <w:spacing w:line="360" w:lineRule="auto"/>
              <w:ind w:firstLine="420"/>
              <w:rPr>
                <w:b/>
                <w:color w:val="auto"/>
                <w:sz w:val="21"/>
                <w:szCs w:val="21"/>
                <w:lang w:val="zh-CN"/>
              </w:rPr>
            </w:pPr>
            <w:r>
              <w:rPr>
                <w:color w:val="auto"/>
                <w:sz w:val="24"/>
                <w:szCs w:val="24"/>
              </w:rPr>
              <w:t>改建项目主要产品产能见表2-</w:t>
            </w:r>
            <w:r>
              <w:rPr>
                <w:rFonts w:hint="eastAsia"/>
                <w:color w:val="auto"/>
                <w:sz w:val="24"/>
                <w:szCs w:val="24"/>
                <w:lang w:val="en-US" w:eastAsia="zh-CN"/>
              </w:rPr>
              <w:t>7</w:t>
            </w:r>
            <w:r>
              <w:rPr>
                <w:color w:val="auto"/>
                <w:sz w:val="24"/>
                <w:szCs w:val="24"/>
              </w:rPr>
              <w:t>。</w:t>
            </w:r>
          </w:p>
          <w:p>
            <w:pPr>
              <w:spacing w:line="240" w:lineRule="auto"/>
              <w:ind w:firstLine="0" w:firstLineChars="0"/>
              <w:jc w:val="center"/>
              <w:rPr>
                <w:b/>
                <w:color w:val="auto"/>
                <w:sz w:val="21"/>
                <w:szCs w:val="21"/>
                <w:lang w:val="zh-CN"/>
              </w:rPr>
            </w:pPr>
            <w:r>
              <w:rPr>
                <w:b/>
                <w:color w:val="auto"/>
                <w:sz w:val="21"/>
                <w:szCs w:val="21"/>
                <w:lang w:val="zh-CN"/>
              </w:rPr>
              <w:t>表2-</w:t>
            </w:r>
            <w:r>
              <w:rPr>
                <w:rFonts w:hint="eastAsia"/>
                <w:b/>
                <w:color w:val="auto"/>
                <w:sz w:val="21"/>
                <w:szCs w:val="21"/>
                <w:lang w:val="en-US" w:eastAsia="zh-CN"/>
              </w:rPr>
              <w:t>7</w:t>
            </w:r>
            <w:r>
              <w:rPr>
                <w:b/>
                <w:color w:val="auto"/>
                <w:sz w:val="21"/>
                <w:szCs w:val="21"/>
                <w:lang w:val="zh-CN"/>
              </w:rPr>
              <w:t xml:space="preserve">   改建项目主要产品及产能一览表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40"/>
              <w:gridCol w:w="1508"/>
              <w:gridCol w:w="852"/>
              <w:gridCol w:w="1347"/>
              <w:gridCol w:w="812"/>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restart"/>
                  <w:noWrap w:val="0"/>
                  <w:vAlign w:val="center"/>
                </w:tcPr>
                <w:p>
                  <w:pPr>
                    <w:spacing w:line="240" w:lineRule="auto"/>
                    <w:ind w:firstLine="0" w:firstLineChars="0"/>
                    <w:jc w:val="center"/>
                    <w:rPr>
                      <w:color w:val="auto"/>
                      <w:sz w:val="21"/>
                      <w:szCs w:val="21"/>
                    </w:rPr>
                  </w:pPr>
                  <w:r>
                    <w:rPr>
                      <w:color w:val="auto"/>
                      <w:sz w:val="21"/>
                      <w:szCs w:val="21"/>
                    </w:rPr>
                    <w:t>序号</w:t>
                  </w:r>
                </w:p>
              </w:tc>
              <w:tc>
                <w:tcPr>
                  <w:tcW w:w="880" w:type="dxa"/>
                  <w:vMerge w:val="restart"/>
                  <w:noWrap w:val="0"/>
                  <w:vAlign w:val="center"/>
                </w:tcPr>
                <w:p>
                  <w:pPr>
                    <w:spacing w:line="240" w:lineRule="auto"/>
                    <w:ind w:firstLine="0" w:firstLineChars="0"/>
                    <w:jc w:val="center"/>
                    <w:rPr>
                      <w:color w:val="auto"/>
                      <w:sz w:val="21"/>
                      <w:szCs w:val="21"/>
                    </w:rPr>
                  </w:pPr>
                  <w:r>
                    <w:rPr>
                      <w:color w:val="auto"/>
                      <w:sz w:val="21"/>
                      <w:szCs w:val="21"/>
                    </w:rPr>
                    <w:t>产品</w:t>
                  </w:r>
                </w:p>
                <w:p>
                  <w:pPr>
                    <w:spacing w:line="240" w:lineRule="auto"/>
                    <w:ind w:firstLine="0" w:firstLineChars="0"/>
                    <w:jc w:val="center"/>
                    <w:rPr>
                      <w:color w:val="auto"/>
                      <w:sz w:val="21"/>
                      <w:szCs w:val="21"/>
                    </w:rPr>
                  </w:pPr>
                  <w:r>
                    <w:rPr>
                      <w:color w:val="auto"/>
                      <w:sz w:val="21"/>
                      <w:szCs w:val="21"/>
                    </w:rPr>
                    <w:t>名称</w:t>
                  </w:r>
                </w:p>
              </w:tc>
              <w:tc>
                <w:tcPr>
                  <w:tcW w:w="1590" w:type="dxa"/>
                  <w:vMerge w:val="restart"/>
                  <w:noWrap w:val="0"/>
                  <w:vAlign w:val="center"/>
                </w:tcPr>
                <w:p>
                  <w:pPr>
                    <w:spacing w:line="240" w:lineRule="auto"/>
                    <w:ind w:firstLine="0" w:firstLineChars="0"/>
                    <w:jc w:val="center"/>
                    <w:rPr>
                      <w:color w:val="auto"/>
                      <w:sz w:val="21"/>
                      <w:szCs w:val="21"/>
                    </w:rPr>
                  </w:pPr>
                  <w:r>
                    <w:rPr>
                      <w:color w:val="auto"/>
                      <w:sz w:val="21"/>
                      <w:szCs w:val="21"/>
                    </w:rPr>
                    <w:t>规格</w:t>
                  </w:r>
                  <w:r>
                    <w:rPr>
                      <w:rFonts w:hint="eastAsia"/>
                      <w:color w:val="auto"/>
                      <w:sz w:val="21"/>
                      <w:szCs w:val="21"/>
                    </w:rPr>
                    <w:t>（mm）</w:t>
                  </w:r>
                </w:p>
              </w:tc>
              <w:tc>
                <w:tcPr>
                  <w:tcW w:w="3161" w:type="dxa"/>
                  <w:gridSpan w:val="3"/>
                  <w:noWrap w:val="0"/>
                  <w:vAlign w:val="center"/>
                </w:tcPr>
                <w:p>
                  <w:pPr>
                    <w:spacing w:line="240" w:lineRule="auto"/>
                    <w:ind w:firstLine="0" w:firstLineChars="0"/>
                    <w:jc w:val="center"/>
                    <w:rPr>
                      <w:color w:val="auto"/>
                      <w:sz w:val="21"/>
                      <w:szCs w:val="21"/>
                    </w:rPr>
                  </w:pPr>
                  <w:r>
                    <w:rPr>
                      <w:color w:val="auto"/>
                      <w:sz w:val="21"/>
                      <w:szCs w:val="21"/>
                    </w:rPr>
                    <w:t>生产能力</w:t>
                  </w:r>
                </w:p>
              </w:tc>
              <w:tc>
                <w:tcPr>
                  <w:tcW w:w="2205" w:type="dxa"/>
                  <w:vMerge w:val="restart"/>
                  <w:noWrap w:val="0"/>
                  <w:vAlign w:val="center"/>
                </w:tcPr>
                <w:p>
                  <w:pPr>
                    <w:spacing w:line="240" w:lineRule="auto"/>
                    <w:ind w:firstLine="0" w:firstLineChars="0"/>
                    <w:jc w:val="center"/>
                    <w:rPr>
                      <w:color w:val="auto"/>
                      <w:sz w:val="21"/>
                      <w:szCs w:val="21"/>
                    </w:rPr>
                  </w:pPr>
                  <w:r>
                    <w:rPr>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continue"/>
                  <w:noWrap w:val="0"/>
                  <w:vAlign w:val="center"/>
                </w:tcPr>
                <w:p>
                  <w:pPr>
                    <w:spacing w:line="240" w:lineRule="auto"/>
                    <w:ind w:firstLine="0" w:firstLineChars="0"/>
                    <w:jc w:val="center"/>
                    <w:rPr>
                      <w:color w:val="auto"/>
                      <w:sz w:val="21"/>
                      <w:szCs w:val="21"/>
                    </w:rPr>
                  </w:pPr>
                </w:p>
              </w:tc>
              <w:tc>
                <w:tcPr>
                  <w:tcW w:w="880" w:type="dxa"/>
                  <w:vMerge w:val="continue"/>
                  <w:noWrap w:val="0"/>
                  <w:vAlign w:val="center"/>
                </w:tcPr>
                <w:p>
                  <w:pPr>
                    <w:spacing w:line="240" w:lineRule="auto"/>
                    <w:ind w:firstLine="0" w:firstLineChars="0"/>
                    <w:jc w:val="center"/>
                    <w:rPr>
                      <w:color w:val="auto"/>
                      <w:sz w:val="21"/>
                      <w:szCs w:val="21"/>
                    </w:rPr>
                  </w:pPr>
                </w:p>
              </w:tc>
              <w:tc>
                <w:tcPr>
                  <w:tcW w:w="1590" w:type="dxa"/>
                  <w:vMerge w:val="continue"/>
                  <w:noWrap w:val="0"/>
                  <w:vAlign w:val="top"/>
                </w:tcPr>
                <w:p>
                  <w:pPr>
                    <w:spacing w:line="240" w:lineRule="auto"/>
                    <w:ind w:firstLine="0" w:firstLineChars="0"/>
                    <w:jc w:val="center"/>
                    <w:rPr>
                      <w:color w:val="auto"/>
                      <w:sz w:val="21"/>
                      <w:szCs w:val="21"/>
                    </w:rPr>
                  </w:pPr>
                </w:p>
              </w:tc>
              <w:tc>
                <w:tcPr>
                  <w:tcW w:w="892" w:type="dxa"/>
                  <w:noWrap w:val="0"/>
                  <w:vAlign w:val="center"/>
                </w:tcPr>
                <w:p>
                  <w:pPr>
                    <w:spacing w:line="240" w:lineRule="auto"/>
                    <w:ind w:firstLine="0" w:firstLineChars="0"/>
                    <w:jc w:val="center"/>
                    <w:rPr>
                      <w:color w:val="auto"/>
                      <w:sz w:val="21"/>
                      <w:szCs w:val="21"/>
                    </w:rPr>
                  </w:pPr>
                  <w:r>
                    <w:rPr>
                      <w:color w:val="auto"/>
                      <w:sz w:val="21"/>
                      <w:szCs w:val="21"/>
                    </w:rPr>
                    <w:t>t/a</w:t>
                  </w:r>
                </w:p>
              </w:tc>
              <w:tc>
                <w:tcPr>
                  <w:tcW w:w="1419" w:type="dxa"/>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eastAsia="zh-CN"/>
                    </w:rPr>
                    <w:t>万块</w:t>
                  </w:r>
                  <w:r>
                    <w:rPr>
                      <w:rFonts w:hint="eastAsia"/>
                      <w:color w:val="auto"/>
                      <w:sz w:val="21"/>
                      <w:szCs w:val="21"/>
                      <w:lang w:val="en-US" w:eastAsia="zh-CN"/>
                    </w:rPr>
                    <w:t>/a</w:t>
                  </w:r>
                </w:p>
              </w:tc>
              <w:tc>
                <w:tcPr>
                  <w:tcW w:w="850" w:type="dxa"/>
                  <w:noWrap w:val="0"/>
                  <w:vAlign w:val="center"/>
                </w:tcPr>
                <w:p>
                  <w:pPr>
                    <w:spacing w:line="240" w:lineRule="auto"/>
                    <w:ind w:firstLine="0" w:firstLineChars="0"/>
                    <w:jc w:val="center"/>
                    <w:rPr>
                      <w:color w:val="auto"/>
                      <w:sz w:val="21"/>
                      <w:szCs w:val="21"/>
                    </w:rPr>
                  </w:pPr>
                  <w:r>
                    <w:rPr>
                      <w:color w:val="auto"/>
                      <w:sz w:val="21"/>
                      <w:szCs w:val="21"/>
                    </w:rPr>
                    <w:t>万块/a</w:t>
                  </w:r>
                </w:p>
              </w:tc>
              <w:tc>
                <w:tcPr>
                  <w:tcW w:w="2205" w:type="dxa"/>
                  <w:vMerge w:val="continue"/>
                  <w:noWrap w:val="0"/>
                  <w:vAlign w:val="top"/>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restart"/>
                  <w:noWrap w:val="0"/>
                  <w:vAlign w:val="center"/>
                </w:tcPr>
                <w:p>
                  <w:pPr>
                    <w:spacing w:line="240" w:lineRule="auto"/>
                    <w:ind w:firstLine="0" w:firstLineChars="0"/>
                    <w:jc w:val="center"/>
                    <w:rPr>
                      <w:color w:val="auto"/>
                      <w:sz w:val="21"/>
                      <w:szCs w:val="21"/>
                    </w:rPr>
                  </w:pPr>
                  <w:r>
                    <w:rPr>
                      <w:color w:val="auto"/>
                      <w:sz w:val="21"/>
                      <w:szCs w:val="21"/>
                    </w:rPr>
                    <w:t>1</w:t>
                  </w:r>
                </w:p>
              </w:tc>
              <w:tc>
                <w:tcPr>
                  <w:tcW w:w="880" w:type="dxa"/>
                  <w:vMerge w:val="restart"/>
                  <w:noWrap w:val="0"/>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烧结空心砖</w:t>
                  </w:r>
                </w:p>
              </w:tc>
              <w:tc>
                <w:tcPr>
                  <w:tcW w:w="1590" w:type="dxa"/>
                  <w:noWrap w:val="0"/>
                  <w:vAlign w:val="center"/>
                </w:tcPr>
                <w:p>
                  <w:pPr>
                    <w:spacing w:line="240" w:lineRule="auto"/>
                    <w:ind w:firstLine="0" w:firstLineChars="0"/>
                    <w:jc w:val="center"/>
                    <w:rPr>
                      <w:rFonts w:hint="eastAsia"/>
                      <w:color w:val="auto"/>
                      <w:sz w:val="21"/>
                      <w:szCs w:val="21"/>
                    </w:rPr>
                  </w:pPr>
                  <w:r>
                    <w:rPr>
                      <w:color w:val="auto"/>
                      <w:sz w:val="21"/>
                      <w:szCs w:val="21"/>
                    </w:rPr>
                    <w:t>240*115*53</w:t>
                  </w:r>
                </w:p>
              </w:tc>
              <w:tc>
                <w:tcPr>
                  <w:tcW w:w="892" w:type="dxa"/>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25000</w:t>
                  </w:r>
                </w:p>
              </w:tc>
              <w:tc>
                <w:tcPr>
                  <w:tcW w:w="1419" w:type="dxa"/>
                  <w:noWrap w:val="0"/>
                  <w:vAlign w:val="center"/>
                </w:tcPr>
                <w:p>
                  <w:pPr>
                    <w:spacing w:line="240" w:lineRule="auto"/>
                    <w:ind w:firstLine="0" w:firstLineChars="0"/>
                    <w:jc w:val="center"/>
                    <w:rPr>
                      <w:rFonts w:hint="default"/>
                      <w:color w:val="auto"/>
                      <w:sz w:val="21"/>
                      <w:szCs w:val="21"/>
                      <w:lang w:val="en-US"/>
                    </w:rPr>
                  </w:pPr>
                  <w:r>
                    <w:rPr>
                      <w:rFonts w:hint="eastAsia"/>
                      <w:color w:val="auto"/>
                      <w:sz w:val="21"/>
                      <w:szCs w:val="21"/>
                      <w:lang w:val="en-US" w:eastAsia="zh-CN"/>
                    </w:rPr>
                    <w:t>1000</w:t>
                  </w:r>
                </w:p>
              </w:tc>
              <w:tc>
                <w:tcPr>
                  <w:tcW w:w="850" w:type="dxa"/>
                  <w:vMerge w:val="restart"/>
                  <w:noWrap w:val="0"/>
                  <w:vAlign w:val="center"/>
                </w:tcPr>
                <w:p>
                  <w:pPr>
                    <w:spacing w:line="240" w:lineRule="auto"/>
                    <w:ind w:firstLine="0" w:firstLineChars="0"/>
                    <w:jc w:val="center"/>
                    <w:rPr>
                      <w:color w:val="auto"/>
                      <w:sz w:val="21"/>
                      <w:szCs w:val="21"/>
                    </w:rPr>
                  </w:pPr>
                  <w:r>
                    <w:rPr>
                      <w:rFonts w:hint="eastAsia"/>
                      <w:color w:val="auto"/>
                      <w:sz w:val="21"/>
                      <w:szCs w:val="21"/>
                      <w:lang w:val="en-US" w:eastAsia="zh-CN"/>
                    </w:rPr>
                    <w:t>4</w:t>
                  </w:r>
                  <w:r>
                    <w:rPr>
                      <w:color w:val="auto"/>
                      <w:sz w:val="21"/>
                      <w:szCs w:val="21"/>
                    </w:rPr>
                    <w:t>000</w:t>
                  </w:r>
                </w:p>
              </w:tc>
              <w:tc>
                <w:tcPr>
                  <w:tcW w:w="2205" w:type="dxa"/>
                  <w:vMerge w:val="restart"/>
                  <w:noWrap w:val="0"/>
                  <w:vAlign w:val="center"/>
                </w:tcPr>
                <w:p>
                  <w:pPr>
                    <w:spacing w:line="240" w:lineRule="auto"/>
                    <w:ind w:firstLine="0" w:firstLineChars="0"/>
                    <w:jc w:val="center"/>
                    <w:rPr>
                      <w:color w:val="auto"/>
                      <w:sz w:val="21"/>
                      <w:szCs w:val="21"/>
                    </w:rPr>
                  </w:pPr>
                  <w:r>
                    <w:rPr>
                      <w:rFonts w:hint="eastAsia"/>
                      <w:color w:val="auto"/>
                      <w:sz w:val="21"/>
                      <w:szCs w:val="21"/>
                    </w:rPr>
                    <w:t>依据《排污许可证申请与核发技术规范-陶瓷砖瓦工业》（H</w:t>
                  </w:r>
                  <w:r>
                    <w:rPr>
                      <w:color w:val="auto"/>
                      <w:sz w:val="21"/>
                      <w:szCs w:val="21"/>
                    </w:rPr>
                    <w:t>J954-2018</w:t>
                  </w:r>
                  <w:r>
                    <w:rPr>
                      <w:rFonts w:hint="eastAsia"/>
                      <w:color w:val="auto"/>
                      <w:sz w:val="21"/>
                      <w:szCs w:val="21"/>
                    </w:rPr>
                    <w:t>）附录</w:t>
                  </w:r>
                  <w:r>
                    <w:rPr>
                      <w:color w:val="auto"/>
                      <w:sz w:val="21"/>
                      <w:szCs w:val="21"/>
                    </w:rPr>
                    <w:t>E</w:t>
                  </w:r>
                  <w:r>
                    <w:rPr>
                      <w:rFonts w:hint="eastAsia"/>
                      <w:color w:val="auto"/>
                      <w:sz w:val="21"/>
                      <w:szCs w:val="21"/>
                    </w:rPr>
                    <w:t>产量系数参考值，1标</w:t>
                  </w:r>
                  <w:r>
                    <w:rPr>
                      <w:color w:val="auto"/>
                      <w:sz w:val="21"/>
                      <w:szCs w:val="21"/>
                    </w:rPr>
                    <w:t>砖重约2.5kg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continue"/>
                  <w:noWrap w:val="0"/>
                  <w:vAlign w:val="center"/>
                </w:tcPr>
                <w:p>
                  <w:pPr>
                    <w:spacing w:line="240" w:lineRule="auto"/>
                    <w:ind w:firstLine="0" w:firstLineChars="0"/>
                    <w:jc w:val="center"/>
                    <w:rPr>
                      <w:color w:val="auto"/>
                      <w:sz w:val="21"/>
                      <w:szCs w:val="21"/>
                    </w:rPr>
                  </w:pPr>
                </w:p>
              </w:tc>
              <w:tc>
                <w:tcPr>
                  <w:tcW w:w="880" w:type="dxa"/>
                  <w:vMerge w:val="continue"/>
                  <w:noWrap w:val="0"/>
                  <w:vAlign w:val="center"/>
                </w:tcPr>
                <w:p>
                  <w:pPr>
                    <w:spacing w:line="240" w:lineRule="auto"/>
                    <w:ind w:firstLine="0" w:firstLineChars="0"/>
                    <w:jc w:val="center"/>
                    <w:rPr>
                      <w:color w:val="auto"/>
                      <w:sz w:val="21"/>
                      <w:szCs w:val="21"/>
                    </w:rPr>
                  </w:pPr>
                </w:p>
              </w:tc>
              <w:tc>
                <w:tcPr>
                  <w:tcW w:w="1590" w:type="dxa"/>
                  <w:noWrap w:val="0"/>
                  <w:vAlign w:val="center"/>
                </w:tcPr>
                <w:p>
                  <w:pPr>
                    <w:spacing w:line="240" w:lineRule="auto"/>
                    <w:ind w:firstLine="0" w:firstLineChars="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240*115*90</w:t>
                  </w:r>
                </w:p>
              </w:tc>
              <w:tc>
                <w:tcPr>
                  <w:tcW w:w="89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w:t>
                  </w:r>
                  <w:r>
                    <w:rPr>
                      <w:rFonts w:hint="eastAsia" w:ascii="Times New Roman" w:hAnsi="Times New Roman" w:eastAsia="宋体" w:cs="Times New Roman"/>
                      <w:color w:val="auto"/>
                      <w:sz w:val="21"/>
                      <w:szCs w:val="21"/>
                      <w:lang w:val="en-US" w:eastAsia="zh-CN"/>
                    </w:rPr>
                    <w:t>000</w:t>
                  </w:r>
                </w:p>
              </w:tc>
              <w:tc>
                <w:tcPr>
                  <w:tcW w:w="1419" w:type="dxa"/>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11778（折算为标砖：1000）</w:t>
                  </w:r>
                </w:p>
              </w:tc>
              <w:tc>
                <w:tcPr>
                  <w:tcW w:w="850" w:type="dxa"/>
                  <w:vMerge w:val="continue"/>
                  <w:noWrap w:val="0"/>
                  <w:vAlign w:val="center"/>
                </w:tcPr>
                <w:p>
                  <w:pPr>
                    <w:spacing w:line="240" w:lineRule="auto"/>
                    <w:ind w:firstLine="0" w:firstLineChars="0"/>
                    <w:jc w:val="center"/>
                    <w:rPr>
                      <w:color w:val="auto"/>
                      <w:sz w:val="21"/>
                      <w:szCs w:val="21"/>
                    </w:rPr>
                  </w:pPr>
                </w:p>
              </w:tc>
              <w:tc>
                <w:tcPr>
                  <w:tcW w:w="2205" w:type="dxa"/>
                  <w:vMerge w:val="continue"/>
                  <w:noWrap w:val="0"/>
                  <w:vAlign w:val="top"/>
                </w:tcPr>
                <w:p>
                  <w:pPr>
                    <w:spacing w:line="240" w:lineRule="auto"/>
                    <w:ind w:firstLine="0" w:firstLineChars="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continue"/>
                  <w:noWrap w:val="0"/>
                  <w:vAlign w:val="center"/>
                </w:tcPr>
                <w:p>
                  <w:pPr>
                    <w:spacing w:line="240" w:lineRule="auto"/>
                    <w:ind w:firstLine="0" w:firstLineChars="0"/>
                    <w:jc w:val="center"/>
                    <w:rPr>
                      <w:color w:val="auto"/>
                      <w:sz w:val="21"/>
                      <w:szCs w:val="21"/>
                    </w:rPr>
                  </w:pPr>
                </w:p>
              </w:tc>
              <w:tc>
                <w:tcPr>
                  <w:tcW w:w="880" w:type="dxa"/>
                  <w:vMerge w:val="continue"/>
                  <w:noWrap w:val="0"/>
                  <w:vAlign w:val="center"/>
                </w:tcPr>
                <w:p>
                  <w:pPr>
                    <w:spacing w:line="240" w:lineRule="auto"/>
                    <w:ind w:firstLine="0" w:firstLineChars="0"/>
                    <w:jc w:val="center"/>
                    <w:rPr>
                      <w:color w:val="auto"/>
                      <w:sz w:val="21"/>
                      <w:szCs w:val="21"/>
                    </w:rPr>
                  </w:pPr>
                </w:p>
              </w:tc>
              <w:tc>
                <w:tcPr>
                  <w:tcW w:w="1590" w:type="dxa"/>
                  <w:noWrap w:val="0"/>
                  <w:vAlign w:val="center"/>
                </w:tcPr>
                <w:p>
                  <w:pPr>
                    <w:spacing w:line="240" w:lineRule="auto"/>
                    <w:ind w:firstLine="0" w:firstLineChars="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190*190*190</w:t>
                  </w:r>
                </w:p>
              </w:tc>
              <w:tc>
                <w:tcPr>
                  <w:tcW w:w="89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w:t>
                  </w:r>
                  <w:r>
                    <w:rPr>
                      <w:rFonts w:hint="eastAsia" w:ascii="Times New Roman" w:hAnsi="Times New Roman" w:eastAsia="宋体" w:cs="Times New Roman"/>
                      <w:color w:val="auto"/>
                      <w:sz w:val="21"/>
                      <w:szCs w:val="21"/>
                      <w:lang w:val="en-US" w:eastAsia="zh-CN"/>
                    </w:rPr>
                    <w:t>000</w:t>
                  </w:r>
                </w:p>
              </w:tc>
              <w:tc>
                <w:tcPr>
                  <w:tcW w:w="1419" w:type="dxa"/>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426（折算为标砖：1000）</w:t>
                  </w:r>
                </w:p>
              </w:tc>
              <w:tc>
                <w:tcPr>
                  <w:tcW w:w="850" w:type="dxa"/>
                  <w:vMerge w:val="continue"/>
                  <w:noWrap w:val="0"/>
                  <w:vAlign w:val="center"/>
                </w:tcPr>
                <w:p>
                  <w:pPr>
                    <w:spacing w:line="240" w:lineRule="auto"/>
                    <w:ind w:firstLine="0" w:firstLineChars="0"/>
                    <w:jc w:val="center"/>
                    <w:rPr>
                      <w:color w:val="auto"/>
                      <w:sz w:val="21"/>
                      <w:szCs w:val="21"/>
                    </w:rPr>
                  </w:pPr>
                </w:p>
              </w:tc>
              <w:tc>
                <w:tcPr>
                  <w:tcW w:w="2205" w:type="dxa"/>
                  <w:vMerge w:val="continue"/>
                  <w:noWrap w:val="0"/>
                  <w:vAlign w:val="top"/>
                </w:tcPr>
                <w:p>
                  <w:pPr>
                    <w:spacing w:line="240" w:lineRule="auto"/>
                    <w:ind w:firstLine="0" w:firstLineChars="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continue"/>
                  <w:noWrap w:val="0"/>
                  <w:vAlign w:val="center"/>
                </w:tcPr>
                <w:p>
                  <w:pPr>
                    <w:spacing w:line="240" w:lineRule="auto"/>
                    <w:ind w:firstLine="0" w:firstLineChars="0"/>
                    <w:jc w:val="center"/>
                    <w:rPr>
                      <w:color w:val="auto"/>
                      <w:sz w:val="21"/>
                      <w:szCs w:val="21"/>
                    </w:rPr>
                  </w:pPr>
                </w:p>
              </w:tc>
              <w:tc>
                <w:tcPr>
                  <w:tcW w:w="880" w:type="dxa"/>
                  <w:vMerge w:val="continue"/>
                  <w:noWrap w:val="0"/>
                  <w:vAlign w:val="center"/>
                </w:tcPr>
                <w:p>
                  <w:pPr>
                    <w:spacing w:line="240" w:lineRule="auto"/>
                    <w:ind w:firstLine="0" w:firstLineChars="0"/>
                    <w:jc w:val="center"/>
                    <w:rPr>
                      <w:color w:val="auto"/>
                      <w:sz w:val="21"/>
                      <w:szCs w:val="21"/>
                    </w:rPr>
                  </w:pPr>
                </w:p>
              </w:tc>
              <w:tc>
                <w:tcPr>
                  <w:tcW w:w="1590" w:type="dxa"/>
                  <w:noWrap w:val="0"/>
                  <w:vAlign w:val="center"/>
                </w:tcPr>
                <w:p>
                  <w:pPr>
                    <w:spacing w:line="240" w:lineRule="auto"/>
                    <w:ind w:firstLine="0" w:firstLineChars="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190*190*290</w:t>
                  </w:r>
                </w:p>
              </w:tc>
              <w:tc>
                <w:tcPr>
                  <w:tcW w:w="89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w:t>
                  </w:r>
                  <w:r>
                    <w:rPr>
                      <w:rFonts w:hint="eastAsia" w:ascii="Times New Roman" w:hAnsi="Times New Roman" w:eastAsia="宋体" w:cs="Times New Roman"/>
                      <w:color w:val="auto"/>
                      <w:sz w:val="21"/>
                      <w:szCs w:val="21"/>
                      <w:lang w:val="en-US" w:eastAsia="zh-CN"/>
                    </w:rPr>
                    <w:t>000</w:t>
                  </w:r>
                </w:p>
              </w:tc>
              <w:tc>
                <w:tcPr>
                  <w:tcW w:w="1419" w:type="dxa"/>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280（折算为标砖：1000）</w:t>
                  </w:r>
                </w:p>
              </w:tc>
              <w:tc>
                <w:tcPr>
                  <w:tcW w:w="850" w:type="dxa"/>
                  <w:vMerge w:val="continue"/>
                  <w:noWrap w:val="0"/>
                  <w:vAlign w:val="center"/>
                </w:tcPr>
                <w:p>
                  <w:pPr>
                    <w:spacing w:line="240" w:lineRule="auto"/>
                    <w:ind w:firstLine="0" w:firstLineChars="0"/>
                    <w:jc w:val="center"/>
                    <w:rPr>
                      <w:color w:val="auto"/>
                      <w:sz w:val="21"/>
                      <w:szCs w:val="21"/>
                    </w:rPr>
                  </w:pPr>
                </w:p>
              </w:tc>
              <w:tc>
                <w:tcPr>
                  <w:tcW w:w="2205" w:type="dxa"/>
                  <w:vMerge w:val="continue"/>
                  <w:noWrap w:val="0"/>
                  <w:vAlign w:val="top"/>
                </w:tcPr>
                <w:p>
                  <w:pPr>
                    <w:spacing w:line="240" w:lineRule="auto"/>
                    <w:ind w:firstLine="0" w:firstLineChars="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noWrap w:val="0"/>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2</w:t>
                  </w:r>
                </w:p>
              </w:tc>
              <w:tc>
                <w:tcPr>
                  <w:tcW w:w="880" w:type="dxa"/>
                  <w:noWrap w:val="0"/>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烧结空心砌块</w:t>
                  </w:r>
                </w:p>
              </w:tc>
              <w:tc>
                <w:tcPr>
                  <w:tcW w:w="1590"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390</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190</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90</w:t>
                  </w:r>
                </w:p>
              </w:tc>
              <w:tc>
                <w:tcPr>
                  <w:tcW w:w="892"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50000</w:t>
                  </w:r>
                </w:p>
              </w:tc>
              <w:tc>
                <w:tcPr>
                  <w:tcW w:w="1419" w:type="dxa"/>
                  <w:noWrap w:val="0"/>
                  <w:vAlign w:val="center"/>
                </w:tcPr>
                <w:p>
                  <w:pPr>
                    <w:spacing w:line="240" w:lineRule="auto"/>
                    <w:ind w:firstLine="0" w:firstLineChars="0"/>
                    <w:jc w:val="center"/>
                    <w:rPr>
                      <w:rFonts w:hint="eastAsia" w:eastAsia="宋体"/>
                      <w:color w:val="auto"/>
                      <w:kern w:val="2"/>
                      <w:sz w:val="21"/>
                      <w:szCs w:val="21"/>
                      <w:lang w:val="en-US" w:eastAsia="zh-CN" w:bidi="ar-SA"/>
                    </w:rPr>
                  </w:pPr>
                  <w:r>
                    <w:rPr>
                      <w:rFonts w:hint="eastAsia"/>
                      <w:color w:val="auto"/>
                      <w:sz w:val="21"/>
                      <w:szCs w:val="21"/>
                      <w:lang w:val="en-US" w:eastAsia="zh-CN"/>
                    </w:rPr>
                    <w:t>120（折算为标砖：2000）</w:t>
                  </w:r>
                </w:p>
              </w:tc>
              <w:tc>
                <w:tcPr>
                  <w:tcW w:w="850" w:type="dxa"/>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2000</w:t>
                  </w:r>
                </w:p>
              </w:tc>
              <w:tc>
                <w:tcPr>
                  <w:tcW w:w="2205" w:type="dxa"/>
                  <w:vMerge w:val="continue"/>
                  <w:noWrap w:val="0"/>
                  <w:vAlign w:val="top"/>
                </w:tcPr>
                <w:p>
                  <w:pPr>
                    <w:spacing w:line="240" w:lineRule="auto"/>
                    <w:ind w:firstLine="0" w:firstLineChars="0"/>
                    <w:jc w:val="center"/>
                    <w:rPr>
                      <w:rFonts w:hint="eastAsia"/>
                      <w:color w:val="auto"/>
                      <w:sz w:val="21"/>
                      <w:szCs w:val="21"/>
                    </w:rPr>
                  </w:pPr>
                </w:p>
              </w:tc>
            </w:tr>
          </w:tbl>
          <w:p>
            <w:pPr>
              <w:keepNext w:val="0"/>
              <w:keepLines w:val="0"/>
              <w:widowControl/>
              <w:suppressLineNumbers w:val="0"/>
              <w:spacing w:line="360" w:lineRule="auto"/>
              <w:jc w:val="left"/>
              <w:rPr>
                <w:bCs/>
                <w:color w:val="auto"/>
                <w:sz w:val="21"/>
                <w:szCs w:val="21"/>
              </w:rPr>
            </w:pPr>
            <w:r>
              <w:rPr>
                <w:rFonts w:hint="eastAsia"/>
                <w:bCs/>
                <w:color w:val="auto"/>
                <w:sz w:val="21"/>
                <w:szCs w:val="21"/>
              </w:rPr>
              <w:t>备注：上述品种规格，可根据市场变化随时调整，改变孔洞形状和孔洞排列等，以满足建设需要。</w:t>
            </w:r>
            <w:r>
              <w:rPr>
                <w:rFonts w:hint="eastAsia" w:ascii="宋体" w:hAnsi="宋体" w:eastAsia="宋体" w:cs="宋体"/>
                <w:color w:val="auto"/>
                <w:kern w:val="0"/>
                <w:sz w:val="21"/>
                <w:szCs w:val="21"/>
                <w:lang w:val="en-US" w:eastAsia="zh-CN" w:bidi="ar"/>
              </w:rPr>
              <w:t>对砖瓦计量单位为万块标砖。标砖的体积为</w:t>
            </w:r>
            <w:r>
              <w:rPr>
                <w:rFonts w:hint="default" w:ascii="Times New Roman" w:hAnsi="Times New Roman" w:eastAsia="宋体" w:cs="Times New Roman"/>
                <w:color w:val="auto"/>
                <w:kern w:val="0"/>
                <w:sz w:val="21"/>
                <w:szCs w:val="21"/>
                <w:lang w:val="en-US" w:eastAsia="zh-CN" w:bidi="ar"/>
              </w:rPr>
              <w:t>240×115×53</w:t>
            </w:r>
            <w:r>
              <w:rPr>
                <w:rFonts w:hint="eastAsia" w:ascii="Times New Roman" w:hAnsi="Times New Roman" w:eastAsia="宋体" w:cs="Times New Roman"/>
                <w:color w:val="auto"/>
                <w:kern w:val="0"/>
                <w:sz w:val="21"/>
                <w:szCs w:val="21"/>
                <w:lang w:val="en-US" w:eastAsia="zh-CN" w:bidi="ar"/>
              </w:rPr>
              <w:t>mm</w:t>
            </w:r>
            <w:r>
              <w:rPr>
                <w:rFonts w:hint="eastAsia" w:ascii="宋体" w:hAnsi="宋体" w:eastAsia="宋体" w:cs="宋体"/>
                <w:color w:val="auto"/>
                <w:kern w:val="0"/>
                <w:sz w:val="21"/>
                <w:szCs w:val="21"/>
                <w:lang w:val="en-US" w:eastAsia="zh-CN" w:bidi="ar"/>
              </w:rPr>
              <w:t>，其他体积需与标砖体积换算，因此，由上详细的产品方案计算换算得出，本项目生产量为标砖</w:t>
            </w:r>
            <w:r>
              <w:rPr>
                <w:rFonts w:hint="eastAsia" w:cs="Times New Roman"/>
                <w:color w:val="auto"/>
                <w:kern w:val="0"/>
                <w:sz w:val="21"/>
                <w:szCs w:val="21"/>
                <w:lang w:val="en-US" w:eastAsia="zh-CN" w:bidi="ar"/>
              </w:rPr>
              <w:t>6</w:t>
            </w:r>
            <w:r>
              <w:rPr>
                <w:rFonts w:hint="default" w:ascii="Times New Roman" w:hAnsi="Times New Roman" w:eastAsia="宋体" w:cs="Times New Roman"/>
                <w:color w:val="auto"/>
                <w:kern w:val="0"/>
                <w:sz w:val="21"/>
                <w:szCs w:val="21"/>
                <w:lang w:val="en-US" w:eastAsia="zh-CN" w:bidi="ar"/>
              </w:rPr>
              <w:t>000</w:t>
            </w:r>
            <w:r>
              <w:rPr>
                <w:rFonts w:hint="eastAsia" w:ascii="宋体" w:hAnsi="宋体" w:eastAsia="宋体" w:cs="宋体"/>
                <w:color w:val="auto"/>
                <w:kern w:val="0"/>
                <w:sz w:val="21"/>
                <w:szCs w:val="21"/>
                <w:lang w:val="en-US" w:eastAsia="zh-CN" w:bidi="ar"/>
              </w:rPr>
              <w:t>万块</w:t>
            </w:r>
            <w:r>
              <w:rPr>
                <w:rFonts w:hint="default" w:ascii="Times New Roman" w:hAnsi="Times New Roman" w:eastAsia="宋体" w:cs="Times New Roman"/>
                <w:color w:val="auto"/>
                <w:kern w:val="0"/>
                <w:sz w:val="21"/>
                <w:szCs w:val="21"/>
                <w:lang w:val="en-US" w:eastAsia="zh-CN" w:bidi="ar"/>
              </w:rPr>
              <w:t>/a</w:t>
            </w:r>
            <w:r>
              <w:rPr>
                <w:rFonts w:hint="eastAsia" w:ascii="Times New Roman" w:hAnsi="Times New Roman" w:eastAsia="宋体" w:cs="Times New Roman"/>
                <w:color w:val="auto"/>
                <w:kern w:val="0"/>
                <w:sz w:val="21"/>
                <w:szCs w:val="21"/>
                <w:lang w:val="en-US" w:eastAsia="zh-CN" w:bidi="ar"/>
              </w:rPr>
              <w:t>。</w:t>
            </w:r>
          </w:p>
          <w:p>
            <w:pPr>
              <w:adjustRightInd w:val="0"/>
              <w:snapToGrid w:val="0"/>
              <w:spacing w:line="360" w:lineRule="auto"/>
              <w:ind w:firstLine="420"/>
              <w:jc w:val="left"/>
              <w:rPr>
                <w:bCs/>
                <w:color w:val="auto"/>
                <w:sz w:val="24"/>
                <w:szCs w:val="24"/>
              </w:rPr>
            </w:pPr>
            <w:r>
              <w:rPr>
                <w:rFonts w:hint="eastAsia"/>
                <w:bCs/>
                <w:color w:val="auto"/>
                <w:sz w:val="24"/>
                <w:szCs w:val="24"/>
              </w:rPr>
              <w:t>（</w:t>
            </w:r>
            <w:r>
              <w:rPr>
                <w:bCs/>
                <w:color w:val="auto"/>
                <w:sz w:val="24"/>
                <w:szCs w:val="24"/>
              </w:rPr>
              <w:t>3）项目产品质量标准</w:t>
            </w:r>
          </w:p>
          <w:p>
            <w:pPr>
              <w:adjustRightInd w:val="0"/>
              <w:snapToGrid w:val="0"/>
              <w:spacing w:line="360" w:lineRule="auto"/>
              <w:ind w:firstLine="420"/>
              <w:jc w:val="left"/>
              <w:rPr>
                <w:rFonts w:hint="default" w:eastAsia="宋体"/>
                <w:bCs/>
                <w:color w:val="auto"/>
                <w:sz w:val="24"/>
                <w:szCs w:val="24"/>
                <w:lang w:val="en-US" w:eastAsia="zh-CN"/>
              </w:rPr>
            </w:pPr>
            <w:r>
              <w:rPr>
                <w:rFonts w:hint="eastAsia"/>
                <w:bCs/>
                <w:color w:val="auto"/>
                <w:sz w:val="24"/>
                <w:szCs w:val="24"/>
              </w:rPr>
              <w:t>①本项目烧结多孔砖抗压强度≥10MPa，多孔砖孔洞率≥25%，符合</w:t>
            </w:r>
            <w:r>
              <w:rPr>
                <w:rFonts w:hint="eastAsia"/>
                <w:bCs/>
                <w:color w:val="auto"/>
                <w:sz w:val="24"/>
                <w:szCs w:val="24"/>
                <w:lang w:val="en-US" w:eastAsia="zh-CN"/>
              </w:rPr>
              <w:t>《烧结多孔砖》(GB13544-2011)</w:t>
            </w:r>
            <w:r>
              <w:rPr>
                <w:rFonts w:hint="eastAsia"/>
                <w:bCs/>
                <w:color w:val="auto"/>
                <w:sz w:val="24"/>
                <w:szCs w:val="24"/>
              </w:rPr>
              <w:t>；</w:t>
            </w:r>
            <w:r>
              <w:rPr>
                <w:rFonts w:hint="eastAsia"/>
                <w:bCs/>
                <w:color w:val="auto"/>
                <w:sz w:val="24"/>
                <w:szCs w:val="24"/>
                <w:lang w:val="en-US" w:eastAsia="zh-CN"/>
              </w:rPr>
              <w:t>烧结空心砌块</w:t>
            </w:r>
            <w:r>
              <w:rPr>
                <w:rFonts w:hint="eastAsia"/>
                <w:bCs/>
                <w:color w:val="auto"/>
                <w:sz w:val="24"/>
                <w:szCs w:val="24"/>
              </w:rPr>
              <w:t>抗压强度≥10MPa</w:t>
            </w:r>
            <w:r>
              <w:rPr>
                <w:rFonts w:hint="eastAsia"/>
                <w:bCs/>
                <w:color w:val="auto"/>
                <w:sz w:val="24"/>
                <w:szCs w:val="24"/>
                <w:lang w:eastAsia="zh-CN"/>
              </w:rPr>
              <w:t>，</w:t>
            </w:r>
            <w:r>
              <w:rPr>
                <w:rFonts w:hint="eastAsia"/>
                <w:bCs/>
                <w:color w:val="auto"/>
                <w:sz w:val="24"/>
                <w:szCs w:val="24"/>
                <w:lang w:val="en-US" w:eastAsia="zh-CN"/>
              </w:rPr>
              <w:t>空心砖孔洞率</w:t>
            </w:r>
            <w:r>
              <w:rPr>
                <w:rFonts w:hint="eastAsia"/>
                <w:bCs/>
                <w:color w:val="auto"/>
                <w:sz w:val="24"/>
                <w:szCs w:val="24"/>
              </w:rPr>
              <w:t>≥</w:t>
            </w:r>
            <w:r>
              <w:rPr>
                <w:rFonts w:hint="eastAsia"/>
                <w:bCs/>
                <w:color w:val="auto"/>
                <w:sz w:val="24"/>
                <w:szCs w:val="24"/>
                <w:lang w:val="en-US" w:eastAsia="zh-CN"/>
              </w:rPr>
              <w:t>40</w:t>
            </w:r>
            <w:r>
              <w:rPr>
                <w:rFonts w:hint="eastAsia"/>
                <w:bCs/>
                <w:color w:val="auto"/>
                <w:sz w:val="24"/>
                <w:szCs w:val="24"/>
              </w:rPr>
              <w:t>%</w:t>
            </w:r>
            <w:r>
              <w:rPr>
                <w:rFonts w:hint="eastAsia"/>
                <w:bCs/>
                <w:color w:val="auto"/>
                <w:sz w:val="24"/>
                <w:szCs w:val="24"/>
                <w:lang w:eastAsia="zh-CN"/>
              </w:rPr>
              <w:t>，</w:t>
            </w:r>
            <w:r>
              <w:rPr>
                <w:rFonts w:hint="eastAsia"/>
                <w:bCs/>
                <w:color w:val="auto"/>
                <w:sz w:val="24"/>
                <w:szCs w:val="24"/>
                <w:lang w:val="en-US" w:eastAsia="zh-CN"/>
              </w:rPr>
              <w:t>符合《烧结空心砖和空心砌块》（GB/T13545-2014）。</w:t>
            </w:r>
          </w:p>
          <w:p>
            <w:pPr>
              <w:adjustRightInd w:val="0"/>
              <w:snapToGrid w:val="0"/>
              <w:spacing w:line="360" w:lineRule="auto"/>
              <w:ind w:firstLine="420"/>
              <w:jc w:val="left"/>
              <w:rPr>
                <w:bCs/>
                <w:color w:val="auto"/>
                <w:sz w:val="24"/>
                <w:szCs w:val="24"/>
              </w:rPr>
            </w:pPr>
            <w:r>
              <w:rPr>
                <w:rFonts w:hint="eastAsia"/>
                <w:bCs/>
                <w:color w:val="auto"/>
                <w:sz w:val="24"/>
                <w:szCs w:val="24"/>
              </w:rPr>
              <w:t>②项目烧结砖产品放射性需满足《建筑材料放射性核素限量》（GB6566-2010）的要求；</w:t>
            </w:r>
          </w:p>
          <w:p>
            <w:pPr>
              <w:pStyle w:val="60"/>
              <w:ind w:left="0" w:leftChars="0" w:firstLine="0" w:firstLineChars="0"/>
              <w:rPr>
                <w:b/>
                <w:bCs/>
                <w:color w:val="auto"/>
                <w:sz w:val="24"/>
                <w:szCs w:val="24"/>
              </w:rPr>
            </w:pPr>
            <w:r>
              <w:rPr>
                <w:rFonts w:hint="eastAsia"/>
                <w:b/>
                <w:bCs/>
                <w:color w:val="auto"/>
                <w:sz w:val="24"/>
                <w:szCs w:val="24"/>
                <w:lang w:val="en-US" w:eastAsia="zh-CN"/>
              </w:rPr>
              <w:t>3.</w:t>
            </w:r>
            <w:r>
              <w:rPr>
                <w:b/>
                <w:bCs/>
                <w:color w:val="auto"/>
                <w:sz w:val="24"/>
                <w:szCs w:val="24"/>
              </w:rPr>
              <w:t>原辅材料及能耗</w:t>
            </w:r>
          </w:p>
          <w:p>
            <w:pPr>
              <w:pStyle w:val="60"/>
              <w:ind w:firstLine="420"/>
              <w:rPr>
                <w:color w:val="auto"/>
                <w:sz w:val="24"/>
                <w:szCs w:val="24"/>
              </w:rPr>
            </w:pPr>
            <w:r>
              <w:rPr>
                <w:color w:val="auto"/>
                <w:sz w:val="24"/>
                <w:szCs w:val="24"/>
              </w:rPr>
              <w:t>项目</w:t>
            </w:r>
            <w:r>
              <w:rPr>
                <w:rFonts w:hint="eastAsia"/>
                <w:color w:val="auto"/>
                <w:sz w:val="24"/>
                <w:szCs w:val="24"/>
              </w:rPr>
              <w:t>原有工程原材料主要为粘土，耗能为粉煤；本次</w:t>
            </w:r>
            <w:r>
              <w:rPr>
                <w:rFonts w:hint="eastAsia"/>
                <w:color w:val="auto"/>
                <w:sz w:val="24"/>
                <w:szCs w:val="24"/>
                <w:lang w:val="en-US" w:eastAsia="zh-CN"/>
              </w:rPr>
              <w:t>技改</w:t>
            </w:r>
            <w:r>
              <w:rPr>
                <w:rFonts w:hint="eastAsia"/>
                <w:color w:val="auto"/>
                <w:sz w:val="24"/>
                <w:szCs w:val="24"/>
              </w:rPr>
              <w:t>后</w:t>
            </w:r>
            <w:r>
              <w:rPr>
                <w:rFonts w:hint="default" w:ascii="Times New Roman" w:hAnsi="Times New Roman" w:cs="Times New Roman"/>
                <w:color w:val="auto"/>
                <w:sz w:val="24"/>
                <w:szCs w:val="24"/>
                <w:highlight w:val="none"/>
              </w:rPr>
              <w:t>项目产品为新型环保砖，</w:t>
            </w:r>
            <w:r>
              <w:rPr>
                <w:rFonts w:hint="eastAsia" w:cs="Times New Roman"/>
                <w:color w:val="auto"/>
                <w:sz w:val="24"/>
                <w:szCs w:val="24"/>
                <w:highlight w:val="none"/>
                <w:lang w:val="en-US" w:eastAsia="zh-CN"/>
              </w:rPr>
              <w:t>主要</w:t>
            </w:r>
            <w:r>
              <w:rPr>
                <w:color w:val="auto"/>
                <w:sz w:val="24"/>
                <w:szCs w:val="24"/>
              </w:rPr>
              <w:t>包括煤矸石、粘土等，辅料包括尿素、生石灰等；能源消耗包括水资源、电能、煤炭等，原辅材料消耗及能耗详见下表。</w:t>
            </w:r>
          </w:p>
          <w:p>
            <w:pPr>
              <w:pStyle w:val="14"/>
              <w:keepNext/>
              <w:spacing w:line="240" w:lineRule="auto"/>
              <w:rPr>
                <w:rFonts w:cs="Times New Roman"/>
                <w:color w:val="000000" w:themeColor="text1"/>
                <w14:textFill>
                  <w14:solidFill>
                    <w14:schemeClr w14:val="tx1"/>
                  </w14:solidFill>
                </w14:textFill>
              </w:rPr>
            </w:pPr>
            <w:r>
              <w:rPr>
                <w:rFonts w:eastAsia="宋体" w:cs="Times New Roman"/>
                <w:color w:val="000000" w:themeColor="text1"/>
                <w14:textFill>
                  <w14:solidFill>
                    <w14:schemeClr w14:val="tx1"/>
                  </w14:solidFill>
                </w14:textFill>
              </w:rPr>
              <w:t>表</w:t>
            </w:r>
            <w:r>
              <w:rPr>
                <w:rFonts w:hint="eastAsia" w:eastAsia="宋体" w:cs="Times New Roman"/>
                <w:color w:val="000000" w:themeColor="text1"/>
                <w:lang w:val="en-US" w:eastAsia="zh-CN"/>
                <w14:textFill>
                  <w14:solidFill>
                    <w14:schemeClr w14:val="tx1"/>
                  </w14:solidFill>
                </w14:textFill>
              </w:rPr>
              <w:t xml:space="preserve">2-8   </w:t>
            </w:r>
            <w:r>
              <w:rPr>
                <w:rFonts w:eastAsia="宋体" w:cs="Times New Roman"/>
                <w:color w:val="000000" w:themeColor="text1"/>
                <w14:textFill>
                  <w14:solidFill>
                    <w14:schemeClr w14:val="tx1"/>
                  </w14:solidFill>
                </w14:textFill>
              </w:rPr>
              <w:t>原辅材料及能耗一览表</w:t>
            </w:r>
          </w:p>
          <w:tbl>
            <w:tblPr>
              <w:tblStyle w:val="30"/>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78"/>
              <w:gridCol w:w="899"/>
              <w:gridCol w:w="1184"/>
              <w:gridCol w:w="11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noWrap/>
                  <w:vAlign w:val="center"/>
                </w:tcPr>
                <w:p>
                  <w:pPr>
                    <w:pStyle w:val="57"/>
                    <w:rPr>
                      <w:highlight w:val="none"/>
                    </w:rPr>
                  </w:pPr>
                  <w:r>
                    <w:rPr>
                      <w:highlight w:val="none"/>
                    </w:rPr>
                    <w:t>类别</w:t>
                  </w:r>
                </w:p>
              </w:tc>
              <w:tc>
                <w:tcPr>
                  <w:tcW w:w="1778" w:type="dxa"/>
                  <w:noWrap/>
                  <w:vAlign w:val="center"/>
                </w:tcPr>
                <w:p>
                  <w:pPr>
                    <w:pStyle w:val="57"/>
                    <w:rPr>
                      <w:highlight w:val="none"/>
                    </w:rPr>
                  </w:pPr>
                  <w:r>
                    <w:rPr>
                      <w:highlight w:val="none"/>
                    </w:rPr>
                    <w:t>名称</w:t>
                  </w:r>
                </w:p>
              </w:tc>
              <w:tc>
                <w:tcPr>
                  <w:tcW w:w="899" w:type="dxa"/>
                  <w:noWrap/>
                  <w:vAlign w:val="center"/>
                </w:tcPr>
                <w:p>
                  <w:pPr>
                    <w:pStyle w:val="57"/>
                    <w:rPr>
                      <w:highlight w:val="none"/>
                    </w:rPr>
                  </w:pPr>
                  <w:r>
                    <w:rPr>
                      <w:highlight w:val="none"/>
                    </w:rPr>
                    <w:t>单位</w:t>
                  </w:r>
                </w:p>
              </w:tc>
              <w:tc>
                <w:tcPr>
                  <w:tcW w:w="1184" w:type="dxa"/>
                  <w:noWrap/>
                  <w:vAlign w:val="center"/>
                </w:tcPr>
                <w:p>
                  <w:pPr>
                    <w:pStyle w:val="57"/>
                    <w:rPr>
                      <w:highlight w:val="none"/>
                    </w:rPr>
                  </w:pPr>
                  <w:r>
                    <w:rPr>
                      <w:highlight w:val="none"/>
                    </w:rPr>
                    <w:t>消耗量</w:t>
                  </w:r>
                </w:p>
              </w:tc>
              <w:tc>
                <w:tcPr>
                  <w:tcW w:w="1115" w:type="dxa"/>
                  <w:noWrap/>
                  <w:vAlign w:val="center"/>
                </w:tcPr>
                <w:p>
                  <w:pPr>
                    <w:pStyle w:val="57"/>
                    <w:rPr>
                      <w:highlight w:val="none"/>
                    </w:rPr>
                  </w:pPr>
                  <w:r>
                    <w:rPr>
                      <w:highlight w:val="none"/>
                    </w:rPr>
                    <w:t>存储方式</w:t>
                  </w:r>
                </w:p>
              </w:tc>
              <w:tc>
                <w:tcPr>
                  <w:tcW w:w="2190" w:type="dxa"/>
                  <w:noWrap/>
                  <w:vAlign w:val="center"/>
                </w:tcPr>
                <w:p>
                  <w:pPr>
                    <w:pStyle w:val="57"/>
                    <w:rPr>
                      <w:highlight w:val="none"/>
                    </w:rPr>
                  </w:pPr>
                  <w:r>
                    <w:rPr>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restart"/>
                  <w:noWrap/>
                  <w:vAlign w:val="center"/>
                </w:tcPr>
                <w:p>
                  <w:pPr>
                    <w:pStyle w:val="57"/>
                    <w:rPr>
                      <w:highlight w:val="none"/>
                    </w:rPr>
                  </w:pPr>
                  <w:r>
                    <w:rPr>
                      <w:highlight w:val="none"/>
                    </w:rPr>
                    <w:t>原料</w:t>
                  </w:r>
                </w:p>
              </w:tc>
              <w:tc>
                <w:tcPr>
                  <w:tcW w:w="1778" w:type="dxa"/>
                  <w:noWrap/>
                  <w:vAlign w:val="center"/>
                </w:tcPr>
                <w:p>
                  <w:pPr>
                    <w:pStyle w:val="57"/>
                    <w:rPr>
                      <w:highlight w:val="none"/>
                    </w:rPr>
                  </w:pPr>
                  <w:r>
                    <w:rPr>
                      <w:highlight w:val="none"/>
                    </w:rPr>
                    <w:t>煤矸石</w:t>
                  </w:r>
                </w:p>
              </w:tc>
              <w:tc>
                <w:tcPr>
                  <w:tcW w:w="899" w:type="dxa"/>
                  <w:noWrap/>
                  <w:vAlign w:val="center"/>
                </w:tcPr>
                <w:p>
                  <w:pPr>
                    <w:pStyle w:val="57"/>
                    <w:rPr>
                      <w:highlight w:val="none"/>
                    </w:rPr>
                  </w:pPr>
                  <w:r>
                    <w:rPr>
                      <w:highlight w:val="none"/>
                    </w:rPr>
                    <w:t>t/a</w:t>
                  </w:r>
                </w:p>
              </w:tc>
              <w:tc>
                <w:tcPr>
                  <w:tcW w:w="1184" w:type="dxa"/>
                  <w:noWrap/>
                  <w:vAlign w:val="center"/>
                </w:tcPr>
                <w:p>
                  <w:pPr>
                    <w:pStyle w:val="57"/>
                    <w:rPr>
                      <w:highlight w:val="none"/>
                    </w:rPr>
                  </w:pPr>
                  <w:r>
                    <w:rPr>
                      <w:rFonts w:hint="eastAsia"/>
                      <w:highlight w:val="none"/>
                    </w:rPr>
                    <w:t>30360</w:t>
                  </w:r>
                </w:p>
              </w:tc>
              <w:tc>
                <w:tcPr>
                  <w:tcW w:w="1115" w:type="dxa"/>
                  <w:noWrap/>
                  <w:vAlign w:val="center"/>
                </w:tcPr>
                <w:p>
                  <w:pPr>
                    <w:pStyle w:val="57"/>
                    <w:rPr>
                      <w:highlight w:val="none"/>
                    </w:rPr>
                  </w:pPr>
                  <w:r>
                    <w:rPr>
                      <w:highlight w:val="none"/>
                    </w:rPr>
                    <w:t>仓储</w:t>
                  </w:r>
                </w:p>
              </w:tc>
              <w:tc>
                <w:tcPr>
                  <w:tcW w:w="2190" w:type="dxa"/>
                  <w:noWrap/>
                  <w:vAlign w:val="center"/>
                </w:tcPr>
                <w:p>
                  <w:pPr>
                    <w:pStyle w:val="57"/>
                    <w:rPr>
                      <w:highlight w:val="none"/>
                    </w:rPr>
                  </w:pPr>
                  <w:r>
                    <w:rPr>
                      <w:rFonts w:hint="eastAsia"/>
                      <w:highlight w:val="none"/>
                    </w:rPr>
                    <w:t>宁正煤田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vAlign w:val="center"/>
                </w:tcPr>
                <w:p>
                  <w:pPr>
                    <w:pStyle w:val="57"/>
                    <w:rPr>
                      <w:highlight w:val="none"/>
                    </w:rPr>
                  </w:pPr>
                </w:p>
              </w:tc>
              <w:tc>
                <w:tcPr>
                  <w:tcW w:w="1778" w:type="dxa"/>
                  <w:noWrap/>
                  <w:vAlign w:val="center"/>
                </w:tcPr>
                <w:p>
                  <w:pPr>
                    <w:pStyle w:val="57"/>
                    <w:rPr>
                      <w:highlight w:val="none"/>
                    </w:rPr>
                  </w:pPr>
                  <w:r>
                    <w:rPr>
                      <w:highlight w:val="none"/>
                    </w:rPr>
                    <w:t>粘土</w:t>
                  </w:r>
                </w:p>
              </w:tc>
              <w:tc>
                <w:tcPr>
                  <w:tcW w:w="899" w:type="dxa"/>
                  <w:noWrap/>
                  <w:vAlign w:val="center"/>
                </w:tcPr>
                <w:p>
                  <w:pPr>
                    <w:pStyle w:val="57"/>
                    <w:rPr>
                      <w:highlight w:val="none"/>
                    </w:rPr>
                  </w:pPr>
                  <w:r>
                    <w:rPr>
                      <w:highlight w:val="none"/>
                    </w:rPr>
                    <w:t>t/a</w:t>
                  </w:r>
                </w:p>
              </w:tc>
              <w:tc>
                <w:tcPr>
                  <w:tcW w:w="1184" w:type="dxa"/>
                  <w:noWrap/>
                  <w:vAlign w:val="center"/>
                </w:tcPr>
                <w:p>
                  <w:pPr>
                    <w:pStyle w:val="57"/>
                    <w:rPr>
                      <w:highlight w:val="none"/>
                    </w:rPr>
                  </w:pPr>
                  <w:r>
                    <w:rPr>
                      <w:rFonts w:hint="eastAsia"/>
                      <w:highlight w:val="none"/>
                    </w:rPr>
                    <w:t>144417</w:t>
                  </w:r>
                </w:p>
              </w:tc>
              <w:tc>
                <w:tcPr>
                  <w:tcW w:w="1115" w:type="dxa"/>
                  <w:noWrap/>
                  <w:vAlign w:val="center"/>
                </w:tcPr>
                <w:p>
                  <w:pPr>
                    <w:pStyle w:val="57"/>
                    <w:rPr>
                      <w:highlight w:val="none"/>
                    </w:rPr>
                  </w:pPr>
                  <w:r>
                    <w:rPr>
                      <w:highlight w:val="none"/>
                    </w:rPr>
                    <w:t>仓储</w:t>
                  </w:r>
                </w:p>
              </w:tc>
              <w:tc>
                <w:tcPr>
                  <w:tcW w:w="2190" w:type="dxa"/>
                  <w:noWrap/>
                  <w:vAlign w:val="center"/>
                </w:tcPr>
                <w:p>
                  <w:pPr>
                    <w:pStyle w:val="57"/>
                    <w:rPr>
                      <w:highlight w:val="none"/>
                    </w:rPr>
                  </w:pPr>
                  <w:r>
                    <w:rPr>
                      <w:rFonts w:hint="eastAsia"/>
                      <w:highlight w:val="none"/>
                    </w:rPr>
                    <w:t>自采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9" w:type="dxa"/>
                  <w:vMerge w:val="restart"/>
                  <w:noWrap/>
                  <w:vAlign w:val="center"/>
                </w:tcPr>
                <w:p>
                  <w:pPr>
                    <w:pStyle w:val="57"/>
                    <w:rPr>
                      <w:highlight w:val="none"/>
                    </w:rPr>
                  </w:pPr>
                  <w:r>
                    <w:rPr>
                      <w:highlight w:val="none"/>
                    </w:rPr>
                    <w:t>辅料</w:t>
                  </w:r>
                </w:p>
              </w:tc>
              <w:tc>
                <w:tcPr>
                  <w:tcW w:w="1778" w:type="dxa"/>
                  <w:noWrap/>
                  <w:vAlign w:val="center"/>
                </w:tcPr>
                <w:p>
                  <w:pPr>
                    <w:pStyle w:val="57"/>
                    <w:rPr>
                      <w:rFonts w:hint="eastAsia" w:eastAsia="宋体"/>
                      <w:color w:val="auto"/>
                      <w:highlight w:val="none"/>
                      <w:lang w:eastAsia="zh-CN"/>
                    </w:rPr>
                  </w:pPr>
                  <w:r>
                    <w:rPr>
                      <w:rFonts w:hint="eastAsia"/>
                      <w:color w:val="auto"/>
                      <w:highlight w:val="none"/>
                      <w:lang w:val="en-US" w:eastAsia="zh-CN"/>
                    </w:rPr>
                    <w:t>石灰石</w:t>
                  </w:r>
                </w:p>
              </w:tc>
              <w:tc>
                <w:tcPr>
                  <w:tcW w:w="899" w:type="dxa"/>
                  <w:noWrap/>
                  <w:vAlign w:val="center"/>
                </w:tcPr>
                <w:p>
                  <w:pPr>
                    <w:pStyle w:val="57"/>
                    <w:rPr>
                      <w:color w:val="auto"/>
                      <w:highlight w:val="none"/>
                    </w:rPr>
                  </w:pPr>
                  <w:r>
                    <w:rPr>
                      <w:color w:val="auto"/>
                      <w:highlight w:val="none"/>
                    </w:rPr>
                    <w:t>t/a</w:t>
                  </w:r>
                </w:p>
              </w:tc>
              <w:tc>
                <w:tcPr>
                  <w:tcW w:w="1184" w:type="dxa"/>
                  <w:noWrap/>
                  <w:vAlign w:val="center"/>
                </w:tcPr>
                <w:p>
                  <w:pPr>
                    <w:pStyle w:val="57"/>
                    <w:rPr>
                      <w:rFonts w:hint="default" w:eastAsia="宋体"/>
                      <w:color w:val="auto"/>
                      <w:highlight w:val="none"/>
                      <w:lang w:val="en-US" w:eastAsia="zh-CN"/>
                    </w:rPr>
                  </w:pPr>
                  <w:r>
                    <w:rPr>
                      <w:rFonts w:hint="eastAsia"/>
                      <w:color w:val="auto"/>
                      <w:highlight w:val="none"/>
                      <w:lang w:val="en-US" w:eastAsia="zh-CN"/>
                    </w:rPr>
                    <w:t>150</w:t>
                  </w:r>
                </w:p>
              </w:tc>
              <w:tc>
                <w:tcPr>
                  <w:tcW w:w="1115" w:type="dxa"/>
                  <w:noWrap/>
                  <w:vAlign w:val="center"/>
                </w:tcPr>
                <w:p>
                  <w:pPr>
                    <w:pStyle w:val="57"/>
                    <w:rPr>
                      <w:highlight w:val="none"/>
                    </w:rPr>
                  </w:pPr>
                  <w:r>
                    <w:rPr>
                      <w:highlight w:val="none"/>
                    </w:rPr>
                    <w:t>袋装库存</w:t>
                  </w:r>
                </w:p>
              </w:tc>
              <w:tc>
                <w:tcPr>
                  <w:tcW w:w="2190" w:type="dxa"/>
                  <w:noWrap/>
                  <w:vAlign w:val="center"/>
                </w:tcPr>
                <w:p>
                  <w:pPr>
                    <w:pStyle w:val="57"/>
                    <w:rPr>
                      <w:highlight w:val="none"/>
                    </w:rPr>
                  </w:pPr>
                  <w:r>
                    <w:rPr>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vAlign w:val="center"/>
                </w:tcPr>
                <w:p>
                  <w:pPr>
                    <w:pStyle w:val="57"/>
                    <w:rPr>
                      <w:highlight w:val="none"/>
                    </w:rPr>
                  </w:pPr>
                </w:p>
              </w:tc>
              <w:tc>
                <w:tcPr>
                  <w:tcW w:w="1778" w:type="dxa"/>
                  <w:noWrap/>
                  <w:vAlign w:val="center"/>
                </w:tcPr>
                <w:p>
                  <w:pPr>
                    <w:pStyle w:val="57"/>
                    <w:rPr>
                      <w:color w:val="auto"/>
                      <w:highlight w:val="none"/>
                    </w:rPr>
                  </w:pPr>
                  <w:r>
                    <w:rPr>
                      <w:color w:val="auto"/>
                      <w:highlight w:val="none"/>
                    </w:rPr>
                    <w:t>尿素</w:t>
                  </w:r>
                </w:p>
              </w:tc>
              <w:tc>
                <w:tcPr>
                  <w:tcW w:w="899" w:type="dxa"/>
                  <w:noWrap/>
                  <w:vAlign w:val="center"/>
                </w:tcPr>
                <w:p>
                  <w:pPr>
                    <w:pStyle w:val="57"/>
                    <w:rPr>
                      <w:color w:val="auto"/>
                      <w:highlight w:val="none"/>
                    </w:rPr>
                  </w:pPr>
                  <w:r>
                    <w:rPr>
                      <w:color w:val="auto"/>
                      <w:highlight w:val="none"/>
                    </w:rPr>
                    <w:t>t/a</w:t>
                  </w:r>
                </w:p>
              </w:tc>
              <w:tc>
                <w:tcPr>
                  <w:tcW w:w="1184" w:type="dxa"/>
                  <w:noWrap/>
                  <w:vAlign w:val="center"/>
                </w:tcPr>
                <w:p>
                  <w:pPr>
                    <w:pStyle w:val="57"/>
                    <w:rPr>
                      <w:color w:val="auto"/>
                      <w:highlight w:val="none"/>
                    </w:rPr>
                  </w:pPr>
                  <w:r>
                    <w:rPr>
                      <w:rFonts w:hint="eastAsia"/>
                      <w:color w:val="auto"/>
                      <w:highlight w:val="none"/>
                    </w:rPr>
                    <w:t>37.89</w:t>
                  </w:r>
                </w:p>
              </w:tc>
              <w:tc>
                <w:tcPr>
                  <w:tcW w:w="1115" w:type="dxa"/>
                  <w:noWrap/>
                  <w:vAlign w:val="center"/>
                </w:tcPr>
                <w:p>
                  <w:pPr>
                    <w:pStyle w:val="57"/>
                    <w:rPr>
                      <w:highlight w:val="none"/>
                    </w:rPr>
                  </w:pPr>
                  <w:r>
                    <w:rPr>
                      <w:highlight w:val="none"/>
                    </w:rPr>
                    <w:t>袋装库存</w:t>
                  </w:r>
                </w:p>
              </w:tc>
              <w:tc>
                <w:tcPr>
                  <w:tcW w:w="2190" w:type="dxa"/>
                  <w:noWrap/>
                  <w:vAlign w:val="center"/>
                </w:tcPr>
                <w:p>
                  <w:pPr>
                    <w:pStyle w:val="57"/>
                    <w:rPr>
                      <w:highlight w:val="none"/>
                    </w:rPr>
                  </w:pPr>
                  <w:r>
                    <w:rPr>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restart"/>
                  <w:noWrap/>
                  <w:vAlign w:val="center"/>
                </w:tcPr>
                <w:p>
                  <w:pPr>
                    <w:pStyle w:val="57"/>
                    <w:rPr>
                      <w:highlight w:val="none"/>
                    </w:rPr>
                  </w:pPr>
                  <w:r>
                    <w:rPr>
                      <w:highlight w:val="none"/>
                    </w:rPr>
                    <w:t>能耗</w:t>
                  </w:r>
                </w:p>
              </w:tc>
              <w:tc>
                <w:tcPr>
                  <w:tcW w:w="1778" w:type="dxa"/>
                  <w:noWrap/>
                  <w:vAlign w:val="center"/>
                </w:tcPr>
                <w:p>
                  <w:pPr>
                    <w:pStyle w:val="57"/>
                    <w:rPr>
                      <w:color w:val="auto"/>
                      <w:highlight w:val="none"/>
                    </w:rPr>
                  </w:pPr>
                  <w:r>
                    <w:rPr>
                      <w:color w:val="auto"/>
                      <w:highlight w:val="none"/>
                    </w:rPr>
                    <w:t>煤</w:t>
                  </w:r>
                </w:p>
              </w:tc>
              <w:tc>
                <w:tcPr>
                  <w:tcW w:w="899" w:type="dxa"/>
                  <w:noWrap/>
                  <w:vAlign w:val="center"/>
                </w:tcPr>
                <w:p>
                  <w:pPr>
                    <w:pStyle w:val="57"/>
                    <w:rPr>
                      <w:color w:val="auto"/>
                      <w:highlight w:val="none"/>
                    </w:rPr>
                  </w:pPr>
                  <w:r>
                    <w:rPr>
                      <w:color w:val="auto"/>
                      <w:highlight w:val="none"/>
                    </w:rPr>
                    <w:t>t/a</w:t>
                  </w:r>
                </w:p>
              </w:tc>
              <w:tc>
                <w:tcPr>
                  <w:tcW w:w="1184" w:type="dxa"/>
                  <w:noWrap/>
                  <w:vAlign w:val="center"/>
                </w:tcPr>
                <w:p>
                  <w:pPr>
                    <w:pStyle w:val="57"/>
                    <w:rPr>
                      <w:rFonts w:hint="eastAsia" w:eastAsia="宋体"/>
                      <w:color w:val="auto"/>
                      <w:highlight w:val="none"/>
                      <w:lang w:eastAsia="zh-CN"/>
                    </w:rPr>
                  </w:pPr>
                  <w:r>
                    <w:rPr>
                      <w:rFonts w:hint="eastAsia"/>
                      <w:color w:val="auto"/>
                      <w:highlight w:val="none"/>
                      <w:lang w:val="en-US" w:eastAsia="zh-CN"/>
                    </w:rPr>
                    <w:t>5</w:t>
                  </w:r>
                </w:p>
              </w:tc>
              <w:tc>
                <w:tcPr>
                  <w:tcW w:w="1115" w:type="dxa"/>
                  <w:noWrap/>
                  <w:vAlign w:val="center"/>
                </w:tcPr>
                <w:p>
                  <w:pPr>
                    <w:pStyle w:val="57"/>
                    <w:rPr>
                      <w:highlight w:val="none"/>
                    </w:rPr>
                  </w:pPr>
                  <w:r>
                    <w:rPr>
                      <w:highlight w:val="none"/>
                    </w:rPr>
                    <w:t>仓储</w:t>
                  </w:r>
                </w:p>
              </w:tc>
              <w:tc>
                <w:tcPr>
                  <w:tcW w:w="2190" w:type="dxa"/>
                  <w:noWrap/>
                  <w:vAlign w:val="center"/>
                </w:tcPr>
                <w:p>
                  <w:pPr>
                    <w:pStyle w:val="57"/>
                    <w:rPr>
                      <w:highlight w:val="none"/>
                    </w:rPr>
                  </w:pPr>
                  <w:r>
                    <w:rPr>
                      <w:rFonts w:hint="eastAsia"/>
                      <w:highlight w:val="none"/>
                    </w:rPr>
                    <w:t>宁正煤田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noWrap/>
                  <w:vAlign w:val="center"/>
                </w:tcPr>
                <w:p>
                  <w:pPr>
                    <w:pStyle w:val="57"/>
                    <w:rPr>
                      <w:highlight w:val="none"/>
                    </w:rPr>
                  </w:pPr>
                </w:p>
              </w:tc>
              <w:tc>
                <w:tcPr>
                  <w:tcW w:w="1778" w:type="dxa"/>
                  <w:noWrap/>
                  <w:vAlign w:val="center"/>
                </w:tcPr>
                <w:p>
                  <w:pPr>
                    <w:pStyle w:val="57"/>
                    <w:rPr>
                      <w:rFonts w:hint="eastAsia" w:eastAsia="宋体"/>
                      <w:color w:val="auto"/>
                      <w:highlight w:val="none"/>
                      <w:lang w:val="en-US" w:eastAsia="zh-CN"/>
                    </w:rPr>
                  </w:pPr>
                  <w:r>
                    <w:rPr>
                      <w:rFonts w:hint="eastAsia"/>
                      <w:color w:val="auto"/>
                      <w:highlight w:val="none"/>
                      <w:lang w:val="en-US" w:eastAsia="zh-CN"/>
                    </w:rPr>
                    <w:t>麦草</w:t>
                  </w:r>
                </w:p>
              </w:tc>
              <w:tc>
                <w:tcPr>
                  <w:tcW w:w="899" w:type="dxa"/>
                  <w:noWrap/>
                  <w:vAlign w:val="center"/>
                </w:tcPr>
                <w:p>
                  <w:pPr>
                    <w:pStyle w:val="57"/>
                    <w:rPr>
                      <w:rFonts w:hint="default" w:eastAsia="宋体"/>
                      <w:color w:val="auto"/>
                      <w:highlight w:val="none"/>
                      <w:lang w:val="en-US" w:eastAsia="zh-CN"/>
                    </w:rPr>
                  </w:pPr>
                  <w:r>
                    <w:rPr>
                      <w:rFonts w:hint="eastAsia"/>
                      <w:color w:val="auto"/>
                      <w:highlight w:val="none"/>
                      <w:lang w:val="en-US" w:eastAsia="zh-CN"/>
                    </w:rPr>
                    <w:t>t/a</w:t>
                  </w:r>
                </w:p>
              </w:tc>
              <w:tc>
                <w:tcPr>
                  <w:tcW w:w="1184" w:type="dxa"/>
                  <w:noWrap/>
                  <w:vAlign w:val="center"/>
                </w:tcPr>
                <w:p>
                  <w:pPr>
                    <w:pStyle w:val="57"/>
                    <w:rPr>
                      <w:rFonts w:hint="default"/>
                      <w:color w:val="auto"/>
                      <w:highlight w:val="none"/>
                      <w:lang w:val="en-US" w:eastAsia="zh-CN"/>
                    </w:rPr>
                  </w:pPr>
                  <w:r>
                    <w:rPr>
                      <w:rFonts w:hint="eastAsia"/>
                      <w:color w:val="auto"/>
                      <w:highlight w:val="none"/>
                      <w:lang w:val="en-US" w:eastAsia="zh-CN"/>
                    </w:rPr>
                    <w:t>0.4t</w:t>
                  </w:r>
                </w:p>
              </w:tc>
              <w:tc>
                <w:tcPr>
                  <w:tcW w:w="1115" w:type="dxa"/>
                  <w:noWrap/>
                  <w:vAlign w:val="center"/>
                </w:tcPr>
                <w:p>
                  <w:pPr>
                    <w:pStyle w:val="57"/>
                    <w:rPr>
                      <w:rFonts w:hint="eastAsia" w:eastAsia="宋体"/>
                      <w:highlight w:val="none"/>
                      <w:lang w:val="en-US" w:eastAsia="zh-CN"/>
                    </w:rPr>
                  </w:pPr>
                  <w:r>
                    <w:rPr>
                      <w:rFonts w:hint="eastAsia"/>
                      <w:highlight w:val="none"/>
                      <w:lang w:val="en-US" w:eastAsia="zh-CN"/>
                    </w:rPr>
                    <w:t>仓储</w:t>
                  </w:r>
                </w:p>
              </w:tc>
              <w:tc>
                <w:tcPr>
                  <w:tcW w:w="2190" w:type="dxa"/>
                  <w:noWrap/>
                  <w:vAlign w:val="center"/>
                </w:tcPr>
                <w:p>
                  <w:pPr>
                    <w:pStyle w:val="57"/>
                    <w:rPr>
                      <w:rFonts w:hint="default" w:eastAsia="宋体"/>
                      <w:highlight w:val="none"/>
                      <w:lang w:val="en-US" w:eastAsia="zh-CN"/>
                    </w:rPr>
                  </w:pPr>
                  <w:r>
                    <w:rPr>
                      <w:rFonts w:hint="eastAsia"/>
                      <w:highlight w:val="none"/>
                      <w:lang w:val="en-US" w:eastAsia="zh-CN"/>
                    </w:rPr>
                    <w:t>麦草公司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vAlign w:val="center"/>
                </w:tcPr>
                <w:p>
                  <w:pPr>
                    <w:pStyle w:val="57"/>
                    <w:rPr>
                      <w:highlight w:val="none"/>
                    </w:rPr>
                  </w:pPr>
                </w:p>
              </w:tc>
              <w:tc>
                <w:tcPr>
                  <w:tcW w:w="1778" w:type="dxa"/>
                  <w:noWrap/>
                  <w:vAlign w:val="center"/>
                </w:tcPr>
                <w:p>
                  <w:pPr>
                    <w:pStyle w:val="57"/>
                    <w:rPr>
                      <w:highlight w:val="none"/>
                    </w:rPr>
                  </w:pPr>
                  <w:r>
                    <w:rPr>
                      <w:highlight w:val="none"/>
                    </w:rPr>
                    <w:t>水</w:t>
                  </w:r>
                </w:p>
              </w:tc>
              <w:tc>
                <w:tcPr>
                  <w:tcW w:w="899" w:type="dxa"/>
                  <w:noWrap/>
                  <w:vAlign w:val="center"/>
                </w:tcPr>
                <w:p>
                  <w:pPr>
                    <w:pStyle w:val="57"/>
                    <w:rPr>
                      <w:highlight w:val="none"/>
                    </w:rPr>
                  </w:pPr>
                  <w:r>
                    <w:rPr>
                      <w:highlight w:val="none"/>
                    </w:rPr>
                    <w:t>t/a</w:t>
                  </w:r>
                </w:p>
              </w:tc>
              <w:tc>
                <w:tcPr>
                  <w:tcW w:w="1184" w:type="dxa"/>
                  <w:noWrap/>
                  <w:vAlign w:val="center"/>
                </w:tcPr>
                <w:p>
                  <w:pPr>
                    <w:pStyle w:val="57"/>
                    <w:rPr>
                      <w:highlight w:val="none"/>
                    </w:rPr>
                  </w:pPr>
                  <w:r>
                    <w:rPr>
                      <w:rFonts w:hint="eastAsia"/>
                      <w:highlight w:val="none"/>
                    </w:rPr>
                    <w:t>27414</w:t>
                  </w:r>
                </w:p>
              </w:tc>
              <w:tc>
                <w:tcPr>
                  <w:tcW w:w="1115" w:type="dxa"/>
                  <w:noWrap/>
                  <w:vAlign w:val="center"/>
                </w:tcPr>
                <w:p>
                  <w:pPr>
                    <w:pStyle w:val="57"/>
                    <w:rPr>
                      <w:highlight w:val="none"/>
                    </w:rPr>
                  </w:pPr>
                  <w:r>
                    <w:rPr>
                      <w:highlight w:val="none"/>
                    </w:rPr>
                    <w:t>/</w:t>
                  </w:r>
                </w:p>
              </w:tc>
              <w:tc>
                <w:tcPr>
                  <w:tcW w:w="2190" w:type="dxa"/>
                  <w:noWrap/>
                  <w:vAlign w:val="center"/>
                </w:tcPr>
                <w:p>
                  <w:pPr>
                    <w:pStyle w:val="57"/>
                    <w:rPr>
                      <w:highlight w:val="none"/>
                    </w:rPr>
                  </w:pPr>
                  <w:r>
                    <w:rPr>
                      <w:rFonts w:hint="eastAsia"/>
                      <w:highlight w:val="none"/>
                      <w:lang w:val="en-US" w:eastAsia="zh-CN"/>
                    </w:rPr>
                    <w:t>中村</w:t>
                  </w:r>
                  <w:r>
                    <w:rPr>
                      <w:rFonts w:hint="eastAsia"/>
                      <w:highlight w:val="none"/>
                    </w:rPr>
                    <w:t>镇自来水</w:t>
                  </w:r>
                </w:p>
                <w:p>
                  <w:pPr>
                    <w:pStyle w:val="57"/>
                    <w:rPr>
                      <w:highlight w:val="none"/>
                    </w:rPr>
                  </w:pPr>
                  <w:r>
                    <w:rPr>
                      <w:rFonts w:hint="eastAsia"/>
                      <w:highlight w:val="none"/>
                    </w:rPr>
                    <w:t>供水系统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vAlign w:val="center"/>
                </w:tcPr>
                <w:p>
                  <w:pPr>
                    <w:pStyle w:val="57"/>
                    <w:rPr>
                      <w:highlight w:val="none"/>
                    </w:rPr>
                  </w:pPr>
                </w:p>
              </w:tc>
              <w:tc>
                <w:tcPr>
                  <w:tcW w:w="1778" w:type="dxa"/>
                  <w:noWrap/>
                  <w:vAlign w:val="center"/>
                </w:tcPr>
                <w:p>
                  <w:pPr>
                    <w:pStyle w:val="57"/>
                    <w:rPr>
                      <w:highlight w:val="none"/>
                    </w:rPr>
                  </w:pPr>
                  <w:r>
                    <w:rPr>
                      <w:highlight w:val="none"/>
                    </w:rPr>
                    <w:t>电</w:t>
                  </w:r>
                </w:p>
              </w:tc>
              <w:tc>
                <w:tcPr>
                  <w:tcW w:w="899" w:type="dxa"/>
                  <w:noWrap/>
                  <w:vAlign w:val="center"/>
                </w:tcPr>
                <w:p>
                  <w:pPr>
                    <w:pStyle w:val="57"/>
                    <w:rPr>
                      <w:highlight w:val="none"/>
                    </w:rPr>
                  </w:pPr>
                  <w:r>
                    <w:rPr>
                      <w:highlight w:val="none"/>
                    </w:rPr>
                    <w:t>kW*h/a</w:t>
                  </w:r>
                </w:p>
              </w:tc>
              <w:tc>
                <w:tcPr>
                  <w:tcW w:w="1184" w:type="dxa"/>
                  <w:noWrap/>
                  <w:vAlign w:val="center"/>
                </w:tcPr>
                <w:p>
                  <w:pPr>
                    <w:pStyle w:val="57"/>
                    <w:rPr>
                      <w:highlight w:val="none"/>
                    </w:rPr>
                  </w:pPr>
                  <w:r>
                    <w:rPr>
                      <w:rFonts w:hint="eastAsia"/>
                      <w:highlight w:val="none"/>
                    </w:rPr>
                    <w:t>169.91</w:t>
                  </w:r>
                  <w:r>
                    <w:rPr>
                      <w:highlight w:val="none"/>
                    </w:rPr>
                    <w:t>万</w:t>
                  </w:r>
                </w:p>
              </w:tc>
              <w:tc>
                <w:tcPr>
                  <w:tcW w:w="1115" w:type="dxa"/>
                  <w:noWrap/>
                  <w:vAlign w:val="center"/>
                </w:tcPr>
                <w:p>
                  <w:pPr>
                    <w:pStyle w:val="57"/>
                    <w:rPr>
                      <w:highlight w:val="none"/>
                    </w:rPr>
                  </w:pPr>
                  <w:r>
                    <w:rPr>
                      <w:highlight w:val="none"/>
                    </w:rPr>
                    <w:t>/</w:t>
                  </w:r>
                </w:p>
              </w:tc>
              <w:tc>
                <w:tcPr>
                  <w:tcW w:w="2190" w:type="dxa"/>
                  <w:noWrap/>
                  <w:vAlign w:val="center"/>
                </w:tcPr>
                <w:p>
                  <w:pPr>
                    <w:pStyle w:val="57"/>
                    <w:rPr>
                      <w:highlight w:val="none"/>
                    </w:rPr>
                  </w:pPr>
                  <w:r>
                    <w:rPr>
                      <w:rFonts w:hint="eastAsia"/>
                      <w:highlight w:val="none"/>
                      <w:lang w:val="en-US" w:eastAsia="zh-CN"/>
                    </w:rPr>
                    <w:t>中</w:t>
                  </w:r>
                  <w:r>
                    <w:rPr>
                      <w:rFonts w:hint="eastAsia"/>
                      <w:highlight w:val="none"/>
                    </w:rPr>
                    <w:t>村镇供电系统</w:t>
                  </w:r>
                </w:p>
              </w:tc>
            </w:tr>
          </w:tbl>
          <w:p>
            <w:pPr>
              <w:pStyle w:val="60"/>
              <w:ind w:firstLine="420"/>
              <w:rPr>
                <w:color w:val="auto"/>
                <w:sz w:val="24"/>
                <w:szCs w:val="24"/>
              </w:rPr>
            </w:pPr>
            <w:r>
              <w:rPr>
                <w:color w:val="auto"/>
                <w:sz w:val="24"/>
                <w:szCs w:val="24"/>
              </w:rPr>
              <w:t>煤矸石/点火煤成分分析</w:t>
            </w:r>
          </w:p>
          <w:p>
            <w:pPr>
              <w:pStyle w:val="60"/>
              <w:ind w:firstLine="420"/>
              <w:rPr>
                <w:color w:val="auto"/>
                <w:sz w:val="24"/>
                <w:szCs w:val="24"/>
              </w:rPr>
            </w:pPr>
            <w:r>
              <w:rPr>
                <w:color w:val="auto"/>
                <w:sz w:val="24"/>
                <w:szCs w:val="24"/>
              </w:rPr>
              <w:t>项目采用的煤矸石及点火煤来自</w:t>
            </w:r>
            <w:r>
              <w:rPr>
                <w:rFonts w:hint="eastAsia"/>
                <w:color w:val="auto"/>
                <w:sz w:val="24"/>
                <w:szCs w:val="24"/>
                <w:lang w:val="en-US" w:eastAsia="zh-CN"/>
              </w:rPr>
              <w:t>华能庆阳煤电公司宁正矿区新庄煤矿</w:t>
            </w:r>
            <w:r>
              <w:rPr>
                <w:color w:val="auto"/>
                <w:sz w:val="24"/>
                <w:szCs w:val="24"/>
              </w:rPr>
              <w:t>，该煤矿矸石、点火煤化学成分见下表。</w:t>
            </w:r>
          </w:p>
          <w:p>
            <w:pPr>
              <w:pStyle w:val="14"/>
              <w:keepNext/>
              <w:spacing w:line="240" w:lineRule="auto"/>
              <w:rPr>
                <w:rFonts w:eastAsia="宋体" w:cs="Times New Roman"/>
                <w:color w:val="auto"/>
              </w:rPr>
            </w:pPr>
            <w:r>
              <w:rPr>
                <w:rFonts w:eastAsia="宋体" w:cs="Times New Roman"/>
                <w:color w:val="auto"/>
              </w:rPr>
              <w:t>表</w:t>
            </w:r>
            <w:r>
              <w:rPr>
                <w:rFonts w:hint="eastAsia" w:eastAsia="宋体" w:cs="Times New Roman"/>
                <w:color w:val="auto"/>
                <w:lang w:val="en-US" w:eastAsia="zh-CN"/>
              </w:rPr>
              <w:t xml:space="preserve">2-9   </w:t>
            </w:r>
            <w:r>
              <w:rPr>
                <w:rFonts w:eastAsia="宋体" w:cs="Times New Roman"/>
                <w:color w:val="auto"/>
              </w:rPr>
              <w:t>煤矸石及点火煤成分分析表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142"/>
              <w:gridCol w:w="1372"/>
              <w:gridCol w:w="917"/>
              <w:gridCol w:w="783"/>
              <w:gridCol w:w="1372"/>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82" w:type="pct"/>
                  <w:vAlign w:val="center"/>
                </w:tcPr>
                <w:p>
                  <w:pPr>
                    <w:pStyle w:val="57"/>
                    <w:rPr>
                      <w:color w:val="auto"/>
                    </w:rPr>
                  </w:pPr>
                  <w:r>
                    <w:rPr>
                      <w:rFonts w:hint="eastAsia"/>
                      <w:color w:val="auto"/>
                    </w:rPr>
                    <w:t>成份</w:t>
                  </w:r>
                </w:p>
              </w:tc>
              <w:tc>
                <w:tcPr>
                  <w:tcW w:w="725" w:type="pct"/>
                  <w:vAlign w:val="center"/>
                </w:tcPr>
                <w:p>
                  <w:pPr>
                    <w:pStyle w:val="57"/>
                    <w:rPr>
                      <w:color w:val="auto"/>
                    </w:rPr>
                  </w:pPr>
                  <w:r>
                    <w:rPr>
                      <w:rFonts w:hint="eastAsia"/>
                      <w:color w:val="auto"/>
                    </w:rPr>
                    <w:t>空干基挥</w:t>
                  </w:r>
                </w:p>
                <w:p>
                  <w:pPr>
                    <w:pStyle w:val="57"/>
                    <w:rPr>
                      <w:color w:val="auto"/>
                    </w:rPr>
                  </w:pPr>
                  <w:r>
                    <w:rPr>
                      <w:rFonts w:hint="eastAsia"/>
                      <w:color w:val="auto"/>
                    </w:rPr>
                    <w:t>发</w:t>
                  </w:r>
                  <w:r>
                    <w:rPr>
                      <w:color w:val="auto"/>
                    </w:rPr>
                    <w:t>Ad%</w:t>
                  </w:r>
                </w:p>
              </w:tc>
              <w:tc>
                <w:tcPr>
                  <w:tcW w:w="871" w:type="pct"/>
                  <w:vAlign w:val="center"/>
                </w:tcPr>
                <w:p>
                  <w:pPr>
                    <w:pStyle w:val="57"/>
                    <w:rPr>
                      <w:color w:val="auto"/>
                    </w:rPr>
                  </w:pPr>
                  <w:r>
                    <w:rPr>
                      <w:rFonts w:hint="eastAsia"/>
                      <w:color w:val="auto"/>
                    </w:rPr>
                    <w:t>应用基挥发</w:t>
                  </w:r>
                  <w:r>
                    <w:rPr>
                      <w:rFonts w:eastAsia="等线"/>
                      <w:color w:val="auto"/>
                    </w:rPr>
                    <w:t>Ad%</w:t>
                  </w:r>
                </w:p>
              </w:tc>
              <w:tc>
                <w:tcPr>
                  <w:tcW w:w="582" w:type="pct"/>
                  <w:vAlign w:val="center"/>
                </w:tcPr>
                <w:p>
                  <w:pPr>
                    <w:pStyle w:val="57"/>
                    <w:rPr>
                      <w:color w:val="auto"/>
                    </w:rPr>
                  </w:pPr>
                  <w:r>
                    <w:rPr>
                      <w:rFonts w:hint="eastAsia"/>
                      <w:color w:val="auto"/>
                    </w:rPr>
                    <w:t>固定炭</w:t>
                  </w:r>
                  <w:r>
                    <w:rPr>
                      <w:rFonts w:eastAsia="等线"/>
                      <w:color w:val="auto"/>
                    </w:rPr>
                    <w:t>FCad%</w:t>
                  </w:r>
                </w:p>
              </w:tc>
              <w:tc>
                <w:tcPr>
                  <w:tcW w:w="497" w:type="pct"/>
                  <w:vAlign w:val="center"/>
                </w:tcPr>
                <w:p>
                  <w:pPr>
                    <w:pStyle w:val="57"/>
                    <w:rPr>
                      <w:color w:val="auto"/>
                    </w:rPr>
                  </w:pPr>
                  <w:r>
                    <w:rPr>
                      <w:rFonts w:hint="eastAsia"/>
                      <w:color w:val="auto"/>
                    </w:rPr>
                    <w:t>硫</w:t>
                  </w:r>
                  <w:r>
                    <w:rPr>
                      <w:rFonts w:eastAsia="等线"/>
                      <w:color w:val="auto"/>
                    </w:rPr>
                    <w:t>St.d%</w:t>
                  </w:r>
                </w:p>
              </w:tc>
              <w:tc>
                <w:tcPr>
                  <w:tcW w:w="871" w:type="pct"/>
                  <w:vAlign w:val="center"/>
                </w:tcPr>
                <w:p>
                  <w:pPr>
                    <w:pStyle w:val="57"/>
                    <w:rPr>
                      <w:color w:val="auto"/>
                    </w:rPr>
                  </w:pPr>
                  <w:r>
                    <w:rPr>
                      <w:rFonts w:hint="eastAsia"/>
                      <w:color w:val="auto"/>
                    </w:rPr>
                    <w:t>空干基高位</w:t>
                  </w:r>
                  <w:r>
                    <w:rPr>
                      <w:rFonts w:eastAsia="等线"/>
                      <w:color w:val="auto"/>
                    </w:rPr>
                    <w:t>kal/g</w:t>
                  </w:r>
                </w:p>
              </w:tc>
              <w:tc>
                <w:tcPr>
                  <w:tcW w:w="869" w:type="pct"/>
                  <w:vAlign w:val="center"/>
                </w:tcPr>
                <w:p>
                  <w:pPr>
                    <w:pStyle w:val="57"/>
                    <w:rPr>
                      <w:color w:val="auto"/>
                    </w:rPr>
                  </w:pPr>
                  <w:r>
                    <w:rPr>
                      <w:rFonts w:hint="eastAsia"/>
                      <w:color w:val="auto"/>
                    </w:rPr>
                    <w:t>收到基低位</w:t>
                  </w:r>
                  <w:r>
                    <w:rPr>
                      <w:rFonts w:eastAsia="等线"/>
                      <w:color w:val="auto"/>
                    </w:rPr>
                    <w:t>kal/g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82" w:type="pct"/>
                  <w:vAlign w:val="center"/>
                </w:tcPr>
                <w:p>
                  <w:pPr>
                    <w:pStyle w:val="57"/>
                    <w:rPr>
                      <w:color w:val="auto"/>
                    </w:rPr>
                  </w:pPr>
                  <w:r>
                    <w:rPr>
                      <w:rFonts w:hint="eastAsia"/>
                      <w:color w:val="auto"/>
                    </w:rPr>
                    <w:t>煤矸石</w:t>
                  </w:r>
                </w:p>
              </w:tc>
              <w:tc>
                <w:tcPr>
                  <w:tcW w:w="725" w:type="pct"/>
                  <w:vAlign w:val="center"/>
                </w:tcPr>
                <w:p>
                  <w:pPr>
                    <w:pStyle w:val="57"/>
                    <w:rPr>
                      <w:rFonts w:eastAsia="等线"/>
                      <w:color w:val="auto"/>
                    </w:rPr>
                  </w:pPr>
                  <w:r>
                    <w:rPr>
                      <w:rFonts w:eastAsia="等线"/>
                      <w:color w:val="auto"/>
                    </w:rPr>
                    <w:t>1</w:t>
                  </w:r>
                  <w:r>
                    <w:rPr>
                      <w:rFonts w:hint="eastAsia" w:eastAsia="等线"/>
                      <w:color w:val="auto"/>
                      <w:lang w:val="en-US" w:eastAsia="zh-CN"/>
                    </w:rPr>
                    <w:t>5</w:t>
                  </w:r>
                  <w:r>
                    <w:rPr>
                      <w:rFonts w:eastAsia="等线"/>
                      <w:color w:val="auto"/>
                    </w:rPr>
                    <w:t>.5</w:t>
                  </w:r>
                </w:p>
              </w:tc>
              <w:tc>
                <w:tcPr>
                  <w:tcW w:w="871" w:type="pct"/>
                  <w:vAlign w:val="center"/>
                </w:tcPr>
                <w:p>
                  <w:pPr>
                    <w:pStyle w:val="57"/>
                    <w:rPr>
                      <w:rFonts w:hint="default" w:eastAsia="等线"/>
                      <w:color w:val="auto"/>
                      <w:lang w:val="en-US" w:eastAsia="zh-CN"/>
                    </w:rPr>
                  </w:pPr>
                  <w:r>
                    <w:rPr>
                      <w:rFonts w:hint="eastAsia" w:eastAsia="等线"/>
                      <w:color w:val="auto"/>
                      <w:lang w:val="en-US" w:eastAsia="zh-CN"/>
                    </w:rPr>
                    <w:t>14</w:t>
                  </w:r>
                  <w:r>
                    <w:rPr>
                      <w:rFonts w:eastAsia="等线"/>
                      <w:color w:val="auto"/>
                    </w:rPr>
                    <w:t>.</w:t>
                  </w:r>
                  <w:r>
                    <w:rPr>
                      <w:rFonts w:hint="eastAsia" w:eastAsia="等线"/>
                      <w:color w:val="auto"/>
                      <w:lang w:val="en-US" w:eastAsia="zh-CN"/>
                    </w:rPr>
                    <w:t>12</w:t>
                  </w:r>
                </w:p>
              </w:tc>
              <w:tc>
                <w:tcPr>
                  <w:tcW w:w="582" w:type="pct"/>
                  <w:vAlign w:val="center"/>
                </w:tcPr>
                <w:p>
                  <w:pPr>
                    <w:pStyle w:val="57"/>
                    <w:rPr>
                      <w:rFonts w:hint="default" w:eastAsia="等线"/>
                      <w:color w:val="auto"/>
                      <w:lang w:val="en-US" w:eastAsia="zh-CN"/>
                    </w:rPr>
                  </w:pPr>
                  <w:r>
                    <w:rPr>
                      <w:rFonts w:hint="eastAsia" w:eastAsia="等线"/>
                      <w:color w:val="auto"/>
                      <w:lang w:val="en-US" w:eastAsia="zh-CN"/>
                    </w:rPr>
                    <w:t>12.69</w:t>
                  </w:r>
                </w:p>
              </w:tc>
              <w:tc>
                <w:tcPr>
                  <w:tcW w:w="497" w:type="pct"/>
                  <w:vAlign w:val="center"/>
                </w:tcPr>
                <w:p>
                  <w:pPr>
                    <w:pStyle w:val="57"/>
                    <w:rPr>
                      <w:rFonts w:hint="default" w:eastAsia="等线"/>
                      <w:color w:val="auto"/>
                      <w:lang w:val="en-US" w:eastAsia="zh-CN"/>
                    </w:rPr>
                  </w:pPr>
                  <w:r>
                    <w:rPr>
                      <w:rFonts w:hint="eastAsia" w:eastAsia="等线"/>
                      <w:color w:val="auto"/>
                      <w:lang w:val="en-US" w:eastAsia="zh-CN"/>
                    </w:rPr>
                    <w:t>0.59</w:t>
                  </w:r>
                </w:p>
              </w:tc>
              <w:tc>
                <w:tcPr>
                  <w:tcW w:w="871" w:type="pct"/>
                  <w:vAlign w:val="center"/>
                </w:tcPr>
                <w:p>
                  <w:pPr>
                    <w:pStyle w:val="57"/>
                    <w:rPr>
                      <w:rFonts w:hint="default" w:eastAsia="等线"/>
                      <w:color w:val="auto"/>
                      <w:lang w:val="en-US" w:eastAsia="zh-CN"/>
                    </w:rPr>
                  </w:pPr>
                  <w:r>
                    <w:rPr>
                      <w:rFonts w:hint="eastAsia" w:eastAsia="等线"/>
                      <w:color w:val="auto"/>
                      <w:lang w:val="en-US" w:eastAsia="zh-CN"/>
                    </w:rPr>
                    <w:t>1588</w:t>
                  </w:r>
                </w:p>
              </w:tc>
              <w:tc>
                <w:tcPr>
                  <w:tcW w:w="869" w:type="pct"/>
                  <w:vAlign w:val="center"/>
                </w:tcPr>
                <w:p>
                  <w:pPr>
                    <w:pStyle w:val="57"/>
                    <w:rPr>
                      <w:rFonts w:eastAsia="等线"/>
                      <w:color w:val="auto"/>
                    </w:rPr>
                  </w:pPr>
                  <w:r>
                    <w:rPr>
                      <w:rFonts w:eastAsia="等线"/>
                      <w:color w:val="auto"/>
                    </w:rPr>
                    <w:t>1</w:t>
                  </w:r>
                  <w:r>
                    <w:rPr>
                      <w:rFonts w:hint="eastAsia" w:eastAsia="等线"/>
                      <w:color w:val="auto"/>
                      <w:lang w:val="en-US" w:eastAsia="zh-CN"/>
                    </w:rPr>
                    <w:t>32</w:t>
                  </w:r>
                  <w:r>
                    <w:rPr>
                      <w:rFonts w:eastAsia="等线"/>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82" w:type="pct"/>
                  <w:vAlign w:val="center"/>
                </w:tcPr>
                <w:p>
                  <w:pPr>
                    <w:pStyle w:val="57"/>
                    <w:rPr>
                      <w:color w:val="auto"/>
                    </w:rPr>
                  </w:pPr>
                  <w:r>
                    <w:rPr>
                      <w:rFonts w:hint="eastAsia"/>
                      <w:color w:val="auto"/>
                    </w:rPr>
                    <w:t>点火煤</w:t>
                  </w:r>
                </w:p>
              </w:tc>
              <w:tc>
                <w:tcPr>
                  <w:tcW w:w="725" w:type="pct"/>
                  <w:vAlign w:val="center"/>
                </w:tcPr>
                <w:p>
                  <w:pPr>
                    <w:pStyle w:val="57"/>
                    <w:rPr>
                      <w:rFonts w:hint="eastAsia" w:eastAsia="等线"/>
                      <w:color w:val="auto"/>
                      <w:lang w:val="en-US" w:eastAsia="zh-CN"/>
                    </w:rPr>
                  </w:pPr>
                  <w:r>
                    <w:rPr>
                      <w:rFonts w:eastAsia="等线"/>
                      <w:color w:val="auto"/>
                    </w:rPr>
                    <w:t>15.</w:t>
                  </w:r>
                  <w:r>
                    <w:rPr>
                      <w:rFonts w:hint="eastAsia" w:eastAsia="等线"/>
                      <w:color w:val="auto"/>
                      <w:lang w:val="en-US" w:eastAsia="zh-CN"/>
                    </w:rPr>
                    <w:t>2</w:t>
                  </w:r>
                </w:p>
              </w:tc>
              <w:tc>
                <w:tcPr>
                  <w:tcW w:w="871" w:type="pct"/>
                  <w:vAlign w:val="center"/>
                </w:tcPr>
                <w:p>
                  <w:pPr>
                    <w:pStyle w:val="57"/>
                    <w:rPr>
                      <w:rFonts w:hint="default" w:eastAsia="等线"/>
                      <w:color w:val="auto"/>
                      <w:lang w:val="en-US" w:eastAsia="zh-CN"/>
                    </w:rPr>
                  </w:pPr>
                  <w:r>
                    <w:rPr>
                      <w:rFonts w:hint="eastAsia" w:eastAsia="等线"/>
                      <w:color w:val="auto"/>
                      <w:lang w:val="en-US" w:eastAsia="zh-CN"/>
                    </w:rPr>
                    <w:t>14.11</w:t>
                  </w:r>
                </w:p>
              </w:tc>
              <w:tc>
                <w:tcPr>
                  <w:tcW w:w="582" w:type="pct"/>
                  <w:vAlign w:val="center"/>
                </w:tcPr>
                <w:p>
                  <w:pPr>
                    <w:pStyle w:val="57"/>
                    <w:rPr>
                      <w:rFonts w:hint="default" w:eastAsia="等线"/>
                      <w:color w:val="auto"/>
                      <w:lang w:val="en-US" w:eastAsia="zh-CN"/>
                    </w:rPr>
                  </w:pPr>
                  <w:r>
                    <w:rPr>
                      <w:rFonts w:hint="eastAsia" w:eastAsia="等线"/>
                      <w:color w:val="auto"/>
                      <w:lang w:val="en-US" w:eastAsia="zh-CN"/>
                    </w:rPr>
                    <w:t>9.99</w:t>
                  </w:r>
                </w:p>
              </w:tc>
              <w:tc>
                <w:tcPr>
                  <w:tcW w:w="497" w:type="pct"/>
                  <w:vAlign w:val="center"/>
                </w:tcPr>
                <w:p>
                  <w:pPr>
                    <w:pStyle w:val="57"/>
                    <w:rPr>
                      <w:rFonts w:hint="default" w:eastAsia="等线"/>
                      <w:color w:val="auto"/>
                      <w:lang w:val="en-US" w:eastAsia="zh-CN"/>
                    </w:rPr>
                  </w:pPr>
                  <w:r>
                    <w:rPr>
                      <w:rFonts w:eastAsia="等线"/>
                      <w:color w:val="auto"/>
                    </w:rPr>
                    <w:t>0.</w:t>
                  </w:r>
                  <w:r>
                    <w:rPr>
                      <w:rFonts w:hint="eastAsia" w:eastAsia="等线"/>
                      <w:color w:val="auto"/>
                      <w:lang w:val="en-US" w:eastAsia="zh-CN"/>
                    </w:rPr>
                    <w:t>51</w:t>
                  </w:r>
                </w:p>
              </w:tc>
              <w:tc>
                <w:tcPr>
                  <w:tcW w:w="871" w:type="pct"/>
                  <w:vAlign w:val="center"/>
                </w:tcPr>
                <w:p>
                  <w:pPr>
                    <w:pStyle w:val="57"/>
                    <w:rPr>
                      <w:rFonts w:hint="default" w:eastAsia="等线"/>
                      <w:color w:val="auto"/>
                      <w:lang w:val="en-US" w:eastAsia="zh-CN"/>
                    </w:rPr>
                  </w:pPr>
                  <w:r>
                    <w:rPr>
                      <w:rFonts w:hint="eastAsia" w:eastAsia="等线"/>
                      <w:color w:val="auto"/>
                      <w:lang w:val="en-US" w:eastAsia="zh-CN"/>
                    </w:rPr>
                    <w:t>5769</w:t>
                  </w:r>
                </w:p>
              </w:tc>
              <w:tc>
                <w:tcPr>
                  <w:tcW w:w="869" w:type="pct"/>
                  <w:vAlign w:val="center"/>
                </w:tcPr>
                <w:p>
                  <w:pPr>
                    <w:pStyle w:val="57"/>
                    <w:rPr>
                      <w:rFonts w:hint="default" w:eastAsia="等线"/>
                      <w:color w:val="auto"/>
                      <w:lang w:val="en-US" w:eastAsia="zh-CN"/>
                    </w:rPr>
                  </w:pPr>
                  <w:r>
                    <w:rPr>
                      <w:rFonts w:hint="eastAsia" w:eastAsia="等线"/>
                      <w:color w:val="auto"/>
                      <w:lang w:val="en-US" w:eastAsia="zh-CN"/>
                    </w:rPr>
                    <w:t>5518</w:t>
                  </w:r>
                </w:p>
              </w:tc>
            </w:tr>
          </w:tbl>
          <w:p>
            <w:pPr>
              <w:pStyle w:val="60"/>
              <w:ind w:left="0" w:leftChars="0" w:firstLine="0" w:firstLineChars="0"/>
              <w:rPr>
                <w:b/>
                <w:bCs/>
                <w:color w:val="auto"/>
                <w:sz w:val="24"/>
                <w:szCs w:val="24"/>
              </w:rPr>
            </w:pPr>
            <w:r>
              <w:rPr>
                <w:rFonts w:hint="eastAsia"/>
                <w:b/>
                <w:bCs/>
                <w:color w:val="auto"/>
                <w:sz w:val="24"/>
                <w:szCs w:val="24"/>
                <w:lang w:val="en-US" w:eastAsia="zh-CN"/>
              </w:rPr>
              <w:t>4.</w:t>
            </w:r>
            <w:r>
              <w:rPr>
                <w:b/>
                <w:bCs/>
                <w:color w:val="auto"/>
                <w:sz w:val="24"/>
                <w:szCs w:val="24"/>
              </w:rPr>
              <w:t>物料平衡</w:t>
            </w:r>
          </w:p>
          <w:p>
            <w:pPr>
              <w:pStyle w:val="60"/>
              <w:ind w:firstLine="420"/>
              <w:rPr>
                <w:rFonts w:hint="default" w:ascii="Times New Roman" w:hAnsi="Times New Roman" w:eastAsia="宋体" w:cs="Times New Roman"/>
                <w:b/>
                <w:bCs/>
                <w:color w:val="auto"/>
                <w:sz w:val="24"/>
                <w:szCs w:val="24"/>
                <w:highlight w:val="none"/>
                <w:lang w:val="en-US" w:eastAsia="zh-CN"/>
              </w:rPr>
            </w:pPr>
            <w:r>
              <w:rPr>
                <w:color w:val="auto"/>
                <w:sz w:val="24"/>
                <w:szCs w:val="24"/>
                <w:highlight w:val="none"/>
              </w:rPr>
              <w:t>项目采用煤矸石和粘土作为原料生产烧结砖，</w:t>
            </w:r>
            <w:r>
              <w:rPr>
                <w:rFonts w:hint="eastAsia"/>
                <w:color w:val="auto"/>
                <w:sz w:val="24"/>
                <w:szCs w:val="24"/>
                <w:highlight w:val="none"/>
                <w:lang w:val="en-US" w:eastAsia="zh-CN"/>
              </w:rPr>
              <w:t>根据建设单位提供资料可知各物料配比：</w:t>
            </w:r>
            <w:r>
              <w:rPr>
                <w:rFonts w:hint="default" w:ascii="Times New Roman" w:hAnsi="Times New Roman" w:cs="Times New Roman"/>
                <w:color w:val="auto"/>
                <w:sz w:val="24"/>
                <w:szCs w:val="24"/>
                <w:highlight w:val="none"/>
              </w:rPr>
              <w:t>煤矸石占比</w:t>
            </w:r>
            <w:r>
              <w:rPr>
                <w:rFonts w:hint="eastAsia" w:cs="Times New Roman"/>
                <w:color w:val="auto"/>
                <w:sz w:val="24"/>
                <w:szCs w:val="24"/>
                <w:highlight w:val="none"/>
                <w:lang w:val="en-US" w:eastAsia="zh-CN"/>
              </w:rPr>
              <w:t>21</w:t>
            </w:r>
            <w:r>
              <w:rPr>
                <w:rFonts w:hint="default" w:ascii="Times New Roman" w:hAnsi="Times New Roman" w:cs="Times New Roman"/>
                <w:color w:val="auto"/>
                <w:sz w:val="24"/>
                <w:szCs w:val="24"/>
                <w:highlight w:val="none"/>
              </w:rPr>
              <w:t>%，粘土占比</w:t>
            </w:r>
            <w:r>
              <w:rPr>
                <w:rFonts w:hint="eastAsia" w:cs="Times New Roman"/>
                <w:color w:val="auto"/>
                <w:sz w:val="24"/>
                <w:szCs w:val="24"/>
                <w:highlight w:val="none"/>
                <w:lang w:val="en-US" w:eastAsia="zh-CN"/>
              </w:rPr>
              <w:t>79</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本项目</w:t>
            </w:r>
            <w:r>
              <w:rPr>
                <w:rFonts w:hint="default" w:ascii="Times New Roman" w:hAnsi="Times New Roman" w:cs="Times New Roman"/>
                <w:color w:val="auto"/>
                <w:sz w:val="24"/>
                <w:szCs w:val="24"/>
                <w:highlight w:val="none"/>
              </w:rPr>
              <w:t>一万块标砖的质量为</w:t>
            </w:r>
            <w:r>
              <w:rPr>
                <w:rFonts w:hint="eastAsia" w:cs="Times New Roman"/>
                <w:color w:val="auto"/>
                <w:sz w:val="24"/>
                <w:szCs w:val="24"/>
                <w:highlight w:val="none"/>
                <w:lang w:val="en-US" w:eastAsia="zh-CN"/>
              </w:rPr>
              <w:t>25.8</w:t>
            </w:r>
            <w:r>
              <w:rPr>
                <w:rFonts w:hint="default" w:ascii="Times New Roman" w:hAnsi="Times New Roman" w:cs="Times New Roman"/>
                <w:color w:val="auto"/>
                <w:sz w:val="24"/>
                <w:szCs w:val="24"/>
                <w:highlight w:val="none"/>
              </w:rPr>
              <w:t>t，其中干燥焙烧成品率为97%，烧失量为1</w:t>
            </w:r>
            <w:r>
              <w:rPr>
                <w:rFonts w:hint="eastAsia" w:cs="Times New Roman"/>
                <w:color w:val="auto"/>
                <w:sz w:val="24"/>
                <w:szCs w:val="24"/>
                <w:highlight w:val="none"/>
                <w:lang w:val="en-US" w:eastAsia="zh-CN"/>
              </w:rPr>
              <w:t>1.43</w:t>
            </w:r>
            <w:r>
              <w:rPr>
                <w:rFonts w:hint="default" w:ascii="Times New Roman" w:hAnsi="Times New Roman" w:cs="Times New Roman"/>
                <w:color w:val="auto"/>
                <w:sz w:val="24"/>
                <w:szCs w:val="24"/>
                <w:highlight w:val="none"/>
              </w:rPr>
              <w:t>%。具体原材料计算依据见</w:t>
            </w:r>
            <w:r>
              <w:rPr>
                <w:rFonts w:hint="eastAsia" w:ascii="Times New Roman" w:hAnsi="Times New Roman" w:cs="Times New Roman"/>
                <w:color w:val="auto"/>
                <w:sz w:val="24"/>
                <w:szCs w:val="24"/>
                <w:highlight w:val="none"/>
                <w:lang w:val="en-US" w:eastAsia="zh-CN"/>
              </w:rPr>
              <w:t>下</w:t>
            </w:r>
            <w:r>
              <w:rPr>
                <w:rFonts w:hint="default" w:ascii="Times New Roman" w:hAnsi="Times New Roman" w:cs="Times New Roman"/>
                <w:color w:val="auto"/>
                <w:sz w:val="24"/>
                <w:szCs w:val="24"/>
                <w:highlight w:val="none"/>
              </w:rPr>
              <w:t>表</w:t>
            </w:r>
            <w:r>
              <w:rPr>
                <w:rFonts w:hint="eastAsia" w:cs="Times New Roman"/>
                <w:color w:val="auto"/>
                <w:sz w:val="24"/>
                <w:szCs w:val="24"/>
                <w:highlight w:val="none"/>
                <w:lang w:val="en-US" w:eastAsia="zh-CN"/>
              </w:rPr>
              <w:t>2-10。</w:t>
            </w:r>
          </w:p>
          <w:p>
            <w:pPr>
              <w:ind w:firstLine="422" w:firstLineChars="20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eastAsia" w:cs="Times New Roman"/>
                <w:b/>
                <w:bCs/>
                <w:color w:val="auto"/>
                <w:highlight w:val="none"/>
                <w:lang w:val="en-US" w:eastAsia="zh-CN"/>
              </w:rPr>
              <w:t xml:space="preserve">2-10 </w:t>
            </w:r>
            <w:r>
              <w:rPr>
                <w:rFonts w:hint="default" w:ascii="Times New Roman" w:hAnsi="Times New Roman" w:cs="Times New Roman"/>
                <w:b/>
                <w:bCs/>
                <w:color w:val="auto"/>
                <w:highlight w:val="none"/>
              </w:rPr>
              <w:t xml:space="preserve">  原材料计算依据</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393"/>
              <w:gridCol w:w="1655"/>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noWrap w:val="0"/>
                  <w:vAlign w:val="top"/>
                </w:tcPr>
                <w:p>
                  <w:pPr>
                    <w:pStyle w:val="48"/>
                    <w:spacing w:before="24" w:after="24"/>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序号</w:t>
                  </w:r>
                </w:p>
              </w:tc>
              <w:tc>
                <w:tcPr>
                  <w:tcW w:w="2155" w:type="pct"/>
                  <w:noWrap w:val="0"/>
                  <w:vAlign w:val="top"/>
                </w:tcPr>
                <w:p>
                  <w:pPr>
                    <w:pStyle w:val="48"/>
                    <w:spacing w:before="24" w:after="24"/>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项目</w:t>
                  </w:r>
                </w:p>
              </w:tc>
              <w:tc>
                <w:tcPr>
                  <w:tcW w:w="1051" w:type="pct"/>
                  <w:noWrap w:val="0"/>
                  <w:vAlign w:val="top"/>
                </w:tcPr>
                <w:p>
                  <w:pPr>
                    <w:pStyle w:val="48"/>
                    <w:spacing w:before="24" w:after="24"/>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单位</w:t>
                  </w:r>
                </w:p>
              </w:tc>
              <w:tc>
                <w:tcPr>
                  <w:tcW w:w="1251" w:type="pct"/>
                  <w:noWrap w:val="0"/>
                  <w:vAlign w:val="top"/>
                </w:tcPr>
                <w:p>
                  <w:pPr>
                    <w:pStyle w:val="48"/>
                    <w:spacing w:before="24" w:after="24"/>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烧结砖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noWrap w:val="0"/>
                  <w:vAlign w:val="top"/>
                </w:tcPr>
                <w:p>
                  <w:pPr>
                    <w:pStyle w:val="48"/>
                    <w:spacing w:before="24" w:after="24"/>
                    <w:rPr>
                      <w:rFonts w:hint="eastAsia" w:ascii="Times New Roman" w:hAnsi="Times New Roman" w:eastAsia="宋体" w:cs="Times New Roman"/>
                      <w:b w:val="0"/>
                      <w:bCs/>
                      <w:color w:val="auto"/>
                      <w:sz w:val="21"/>
                      <w:szCs w:val="21"/>
                      <w:highlight w:val="none"/>
                      <w:lang w:val="en-US" w:eastAsia="zh-CN"/>
                    </w:rPr>
                  </w:pPr>
                  <w:r>
                    <w:rPr>
                      <w:rFonts w:hint="eastAsia" w:ascii="Times New Roman" w:cs="Times New Roman"/>
                      <w:b w:val="0"/>
                      <w:bCs/>
                      <w:color w:val="auto"/>
                      <w:sz w:val="21"/>
                      <w:szCs w:val="21"/>
                      <w:highlight w:val="none"/>
                      <w:lang w:val="en-US" w:eastAsia="zh-CN"/>
                    </w:rPr>
                    <w:t>1</w:t>
                  </w:r>
                </w:p>
              </w:tc>
              <w:tc>
                <w:tcPr>
                  <w:tcW w:w="2155"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煤矸石含水率</w:t>
                  </w:r>
                </w:p>
              </w:tc>
              <w:tc>
                <w:tcPr>
                  <w:tcW w:w="1051"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w:t>
                  </w:r>
                </w:p>
              </w:tc>
              <w:tc>
                <w:tcPr>
                  <w:tcW w:w="1251"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cs="Times New Roman"/>
                      <w:b w:val="0"/>
                      <w:bCs/>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noWrap w:val="0"/>
                  <w:vAlign w:val="top"/>
                </w:tcPr>
                <w:p>
                  <w:pPr>
                    <w:pStyle w:val="48"/>
                    <w:spacing w:before="24" w:after="24"/>
                    <w:rPr>
                      <w:rFonts w:hint="eastAsia" w:ascii="Times New Roman" w:hAnsi="Times New Roman" w:eastAsia="宋体" w:cs="Times New Roman"/>
                      <w:b w:val="0"/>
                      <w:bCs/>
                      <w:color w:val="auto"/>
                      <w:sz w:val="21"/>
                      <w:szCs w:val="21"/>
                      <w:highlight w:val="none"/>
                      <w:lang w:val="en-US" w:eastAsia="zh-CN"/>
                    </w:rPr>
                  </w:pPr>
                  <w:r>
                    <w:rPr>
                      <w:rFonts w:hint="eastAsia" w:ascii="Times New Roman" w:cs="Times New Roman"/>
                      <w:b w:val="0"/>
                      <w:bCs/>
                      <w:color w:val="auto"/>
                      <w:sz w:val="21"/>
                      <w:szCs w:val="21"/>
                      <w:highlight w:val="none"/>
                      <w:lang w:val="en-US" w:eastAsia="zh-CN"/>
                    </w:rPr>
                    <w:t>2</w:t>
                  </w:r>
                </w:p>
              </w:tc>
              <w:tc>
                <w:tcPr>
                  <w:tcW w:w="2155"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b w:val="0"/>
                      <w:bCs/>
                      <w:color w:val="auto"/>
                      <w:sz w:val="21"/>
                      <w:szCs w:val="21"/>
                      <w:highlight w:val="none"/>
                    </w:rPr>
                    <w:t>粘土</w:t>
                  </w:r>
                  <w:r>
                    <w:rPr>
                      <w:rFonts w:hint="default" w:ascii="Times New Roman" w:hAnsi="Times New Roman" w:cs="Times New Roman"/>
                      <w:b w:val="0"/>
                      <w:bCs/>
                      <w:color w:val="auto"/>
                      <w:sz w:val="21"/>
                      <w:szCs w:val="21"/>
                      <w:highlight w:val="none"/>
                    </w:rPr>
                    <w:t>含水率</w:t>
                  </w:r>
                </w:p>
              </w:tc>
              <w:tc>
                <w:tcPr>
                  <w:tcW w:w="1051"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w:t>
                  </w:r>
                </w:p>
              </w:tc>
              <w:tc>
                <w:tcPr>
                  <w:tcW w:w="1251"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cs="Times New Roman"/>
                      <w:b w:val="0"/>
                      <w:bCs/>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noWrap w:val="0"/>
                  <w:vAlign w:val="top"/>
                </w:tcPr>
                <w:p>
                  <w:pPr>
                    <w:pStyle w:val="48"/>
                    <w:spacing w:before="24" w:after="24"/>
                    <w:rPr>
                      <w:rFonts w:hint="eastAsia" w:ascii="Times New Roman" w:hAnsi="Times New Roman" w:eastAsia="宋体" w:cs="Times New Roman"/>
                      <w:b w:val="0"/>
                      <w:bCs/>
                      <w:color w:val="auto"/>
                      <w:sz w:val="21"/>
                      <w:szCs w:val="21"/>
                      <w:highlight w:val="none"/>
                      <w:lang w:val="en-US" w:eastAsia="zh-CN"/>
                    </w:rPr>
                  </w:pPr>
                  <w:r>
                    <w:rPr>
                      <w:rFonts w:hint="eastAsia" w:ascii="Times New Roman" w:cs="Times New Roman"/>
                      <w:b w:val="0"/>
                      <w:bCs/>
                      <w:color w:val="auto"/>
                      <w:sz w:val="21"/>
                      <w:szCs w:val="21"/>
                      <w:highlight w:val="none"/>
                      <w:lang w:val="en-US" w:eastAsia="zh-CN"/>
                    </w:rPr>
                    <w:t>3</w:t>
                  </w:r>
                </w:p>
              </w:tc>
              <w:tc>
                <w:tcPr>
                  <w:tcW w:w="2155"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原料平均烧失率</w:t>
                  </w:r>
                </w:p>
              </w:tc>
              <w:tc>
                <w:tcPr>
                  <w:tcW w:w="1051"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w:t>
                  </w:r>
                </w:p>
              </w:tc>
              <w:tc>
                <w:tcPr>
                  <w:tcW w:w="1251" w:type="pct"/>
                  <w:noWrap w:val="0"/>
                  <w:vAlign w:val="top"/>
                </w:tcPr>
                <w:p>
                  <w:pPr>
                    <w:pStyle w:val="48"/>
                    <w:spacing w:before="24" w:after="24"/>
                    <w:rPr>
                      <w:rFonts w:hint="eastAsia"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1</w:t>
                  </w:r>
                  <w:r>
                    <w:rPr>
                      <w:rFonts w:hint="eastAsia" w:ascii="Times New Roman" w:cs="Times New Roman"/>
                      <w:b w:val="0"/>
                      <w:bCs/>
                      <w:color w:val="auto"/>
                      <w:sz w:val="21"/>
                      <w:szCs w:val="21"/>
                      <w:highlight w:val="none"/>
                      <w:lang w:val="en-US" w:eastAsia="zh-CN"/>
                    </w:rPr>
                    <w:t>1</w:t>
                  </w:r>
                  <w:r>
                    <w:rPr>
                      <w:rFonts w:hint="default" w:ascii="Times New Roman" w:hAnsi="Times New Roman" w:cs="Times New Roman"/>
                      <w:b w:val="0"/>
                      <w:bCs/>
                      <w:color w:val="auto"/>
                      <w:sz w:val="21"/>
                      <w:szCs w:val="21"/>
                      <w:highlight w:val="none"/>
                    </w:rPr>
                    <w:t>.</w:t>
                  </w:r>
                  <w:r>
                    <w:rPr>
                      <w:rFonts w:hint="eastAsia" w:ascii="Times New Roman" w:cs="Times New Roman"/>
                      <w:b w:val="0"/>
                      <w:bCs/>
                      <w:color w:val="auto"/>
                      <w:sz w:val="21"/>
                      <w:szCs w:val="21"/>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noWrap w:val="0"/>
                  <w:vAlign w:val="top"/>
                </w:tcPr>
                <w:p>
                  <w:pPr>
                    <w:pStyle w:val="48"/>
                    <w:spacing w:before="24" w:after="24"/>
                    <w:rPr>
                      <w:rFonts w:hint="eastAsia" w:ascii="Times New Roman" w:hAnsi="Times New Roman" w:eastAsia="宋体" w:cs="Times New Roman"/>
                      <w:b w:val="0"/>
                      <w:bCs/>
                      <w:color w:val="auto"/>
                      <w:sz w:val="21"/>
                      <w:szCs w:val="21"/>
                      <w:highlight w:val="none"/>
                      <w:lang w:val="en-US" w:eastAsia="zh-CN"/>
                    </w:rPr>
                  </w:pPr>
                  <w:r>
                    <w:rPr>
                      <w:rFonts w:hint="eastAsia" w:ascii="Times New Roman" w:cs="Times New Roman"/>
                      <w:b w:val="0"/>
                      <w:bCs/>
                      <w:color w:val="auto"/>
                      <w:sz w:val="21"/>
                      <w:szCs w:val="21"/>
                      <w:highlight w:val="none"/>
                      <w:lang w:val="en-US" w:eastAsia="zh-CN"/>
                    </w:rPr>
                    <w:t>4</w:t>
                  </w:r>
                </w:p>
              </w:tc>
              <w:tc>
                <w:tcPr>
                  <w:tcW w:w="2155"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成品重量</w:t>
                  </w:r>
                </w:p>
              </w:tc>
              <w:tc>
                <w:tcPr>
                  <w:tcW w:w="1051"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t/万块</w:t>
                  </w:r>
                </w:p>
              </w:tc>
              <w:tc>
                <w:tcPr>
                  <w:tcW w:w="1251" w:type="pct"/>
                  <w:noWrap w:val="0"/>
                  <w:vAlign w:val="top"/>
                </w:tcPr>
                <w:p>
                  <w:pPr>
                    <w:pStyle w:val="48"/>
                    <w:spacing w:before="24" w:after="24"/>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b w:val="0"/>
                      <w:bCs/>
                      <w:color w:val="auto"/>
                      <w:sz w:val="21"/>
                      <w:szCs w:val="21"/>
                      <w:highlight w:val="none"/>
                    </w:rPr>
                    <w:t>2</w:t>
                  </w:r>
                  <w:r>
                    <w:rPr>
                      <w:rFonts w:hint="eastAsia" w:ascii="Times New Roman" w:cs="Times New Roman"/>
                      <w:b w:val="0"/>
                      <w:bCs/>
                      <w:color w:val="auto"/>
                      <w:sz w:val="21"/>
                      <w:szCs w:val="21"/>
                      <w:highlight w:val="none"/>
                      <w:lang w:val="en-US" w:eastAsia="zh-CN"/>
                    </w:rPr>
                    <w:t>5.8</w:t>
                  </w:r>
                </w:p>
              </w:tc>
            </w:tr>
          </w:tbl>
          <w:p>
            <w:pPr>
              <w:pStyle w:val="60"/>
              <w:ind w:firstLine="420"/>
              <w:rPr>
                <w:color w:val="auto"/>
                <w:sz w:val="24"/>
                <w:szCs w:val="24"/>
                <w:highlight w:val="yellow"/>
              </w:rPr>
            </w:pPr>
            <w:r>
              <w:rPr>
                <w:color w:val="auto"/>
                <w:sz w:val="24"/>
                <w:szCs w:val="24"/>
                <w:highlight w:val="none"/>
              </w:rPr>
              <w:t>物料平衡见下表。</w:t>
            </w:r>
          </w:p>
          <w:p>
            <w:pPr>
              <w:pStyle w:val="14"/>
              <w:keepNext/>
              <w:spacing w:line="240" w:lineRule="auto"/>
              <w:rPr>
                <w:rFonts w:cs="Times New Roman"/>
                <w:color w:val="auto"/>
                <w:highlight w:val="none"/>
              </w:rPr>
            </w:pPr>
            <w:r>
              <w:rPr>
                <w:rFonts w:eastAsia="宋体" w:cs="Times New Roman"/>
                <w:color w:val="auto"/>
                <w:highlight w:val="none"/>
              </w:rPr>
              <w:t>表</w:t>
            </w:r>
            <w:r>
              <w:rPr>
                <w:rFonts w:hint="eastAsia" w:eastAsia="宋体" w:cs="Times New Roman"/>
                <w:color w:val="auto"/>
                <w:highlight w:val="none"/>
                <w:lang w:val="en-US" w:eastAsia="zh-CN"/>
              </w:rPr>
              <w:t xml:space="preserve">2-11   </w:t>
            </w:r>
            <w:r>
              <w:rPr>
                <w:rFonts w:eastAsia="宋体" w:cs="Times New Roman"/>
                <w:color w:val="auto"/>
                <w:highlight w:val="none"/>
              </w:rPr>
              <w:t>项目生产过程物料平衡一览表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362"/>
              <w:gridCol w:w="283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noWrap/>
                  <w:vAlign w:val="center"/>
                </w:tcPr>
                <w:p>
                  <w:pPr>
                    <w:pStyle w:val="57"/>
                    <w:rPr>
                      <w:color w:val="auto"/>
                      <w:highlight w:val="none"/>
                    </w:rPr>
                  </w:pPr>
                  <w:r>
                    <w:rPr>
                      <w:color w:val="auto"/>
                      <w:highlight w:val="none"/>
                    </w:rPr>
                    <w:t>进料</w:t>
                  </w:r>
                </w:p>
              </w:tc>
              <w:tc>
                <w:tcPr>
                  <w:tcW w:w="865" w:type="pct"/>
                  <w:noWrap/>
                  <w:vAlign w:val="center"/>
                </w:tcPr>
                <w:p>
                  <w:pPr>
                    <w:pStyle w:val="57"/>
                    <w:rPr>
                      <w:color w:val="auto"/>
                      <w:highlight w:val="none"/>
                    </w:rPr>
                  </w:pPr>
                  <w:r>
                    <w:rPr>
                      <w:color w:val="auto"/>
                      <w:highlight w:val="none"/>
                    </w:rPr>
                    <w:t>数量（t/a）</w:t>
                  </w:r>
                </w:p>
              </w:tc>
              <w:tc>
                <w:tcPr>
                  <w:tcW w:w="1798" w:type="pct"/>
                  <w:shd w:val="clear" w:color="auto" w:fill="auto"/>
                  <w:noWrap/>
                  <w:vAlign w:val="center"/>
                </w:tcPr>
                <w:p>
                  <w:pPr>
                    <w:pStyle w:val="57"/>
                    <w:rPr>
                      <w:color w:val="auto"/>
                      <w:highlight w:val="none"/>
                    </w:rPr>
                  </w:pPr>
                  <w:r>
                    <w:rPr>
                      <w:color w:val="auto"/>
                      <w:highlight w:val="none"/>
                    </w:rPr>
                    <w:t>出料</w:t>
                  </w:r>
                </w:p>
              </w:tc>
              <w:tc>
                <w:tcPr>
                  <w:tcW w:w="1044" w:type="pct"/>
                  <w:noWrap/>
                  <w:vAlign w:val="center"/>
                </w:tcPr>
                <w:p>
                  <w:pPr>
                    <w:pStyle w:val="57"/>
                    <w:rPr>
                      <w:color w:val="auto"/>
                      <w:highlight w:val="none"/>
                    </w:rPr>
                  </w:pPr>
                  <w:r>
                    <w:rPr>
                      <w:color w:val="auto"/>
                      <w:highlight w:val="none"/>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noWrap/>
                  <w:vAlign w:val="center"/>
                </w:tcPr>
                <w:p>
                  <w:pPr>
                    <w:pStyle w:val="57"/>
                    <w:rPr>
                      <w:color w:val="auto"/>
                      <w:highlight w:val="none"/>
                    </w:rPr>
                  </w:pPr>
                  <w:r>
                    <w:rPr>
                      <w:color w:val="auto"/>
                      <w:highlight w:val="none"/>
                    </w:rPr>
                    <w:t>煤矸石</w:t>
                  </w:r>
                </w:p>
              </w:tc>
              <w:tc>
                <w:tcPr>
                  <w:tcW w:w="865" w:type="pct"/>
                  <w:noWrap/>
                  <w:vAlign w:val="center"/>
                </w:tcPr>
                <w:p>
                  <w:pPr>
                    <w:pStyle w:val="57"/>
                    <w:rPr>
                      <w:color w:val="auto"/>
                      <w:highlight w:val="none"/>
                    </w:rPr>
                  </w:pPr>
                  <w:r>
                    <w:rPr>
                      <w:rFonts w:hint="eastAsia"/>
                      <w:color w:val="auto"/>
                      <w:highlight w:val="none"/>
                    </w:rPr>
                    <w:t>30360</w:t>
                  </w:r>
                </w:p>
              </w:tc>
              <w:tc>
                <w:tcPr>
                  <w:tcW w:w="1798" w:type="pct"/>
                  <w:shd w:val="clear" w:color="auto" w:fill="auto"/>
                  <w:noWrap/>
                  <w:vAlign w:val="center"/>
                </w:tcPr>
                <w:p>
                  <w:pPr>
                    <w:pStyle w:val="57"/>
                    <w:rPr>
                      <w:color w:val="auto"/>
                      <w:highlight w:val="none"/>
                    </w:rPr>
                  </w:pPr>
                  <w:r>
                    <w:rPr>
                      <w:color w:val="auto"/>
                      <w:highlight w:val="none"/>
                    </w:rPr>
                    <w:t>产品砖</w:t>
                  </w:r>
                </w:p>
              </w:tc>
              <w:tc>
                <w:tcPr>
                  <w:tcW w:w="1044" w:type="pct"/>
                  <w:noWrap/>
                  <w:vAlign w:val="center"/>
                </w:tcPr>
                <w:p>
                  <w:pPr>
                    <w:pStyle w:val="57"/>
                    <w:rPr>
                      <w:color w:val="auto"/>
                      <w:highlight w:val="none"/>
                    </w:rPr>
                  </w:pPr>
                  <w:r>
                    <w:rPr>
                      <w:rFonts w:hint="eastAsia"/>
                      <w:color w:val="auto"/>
                      <w:highlight w:val="none"/>
                    </w:rPr>
                    <w:t>154800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noWrap/>
                  <w:vAlign w:val="center"/>
                </w:tcPr>
                <w:p>
                  <w:pPr>
                    <w:pStyle w:val="57"/>
                    <w:rPr>
                      <w:color w:val="auto"/>
                      <w:highlight w:val="none"/>
                    </w:rPr>
                  </w:pPr>
                  <w:r>
                    <w:rPr>
                      <w:color w:val="auto"/>
                      <w:highlight w:val="none"/>
                    </w:rPr>
                    <w:t>粘土</w:t>
                  </w:r>
                </w:p>
              </w:tc>
              <w:tc>
                <w:tcPr>
                  <w:tcW w:w="865" w:type="pct"/>
                  <w:noWrap/>
                  <w:vAlign w:val="center"/>
                </w:tcPr>
                <w:p>
                  <w:pPr>
                    <w:pStyle w:val="57"/>
                    <w:rPr>
                      <w:color w:val="auto"/>
                      <w:highlight w:val="none"/>
                    </w:rPr>
                  </w:pPr>
                  <w:r>
                    <w:rPr>
                      <w:rFonts w:hint="eastAsia"/>
                      <w:color w:val="auto"/>
                      <w:highlight w:val="none"/>
                    </w:rPr>
                    <w:t>144417</w:t>
                  </w:r>
                </w:p>
              </w:tc>
              <w:tc>
                <w:tcPr>
                  <w:tcW w:w="1798" w:type="pct"/>
                  <w:shd w:val="clear" w:color="auto" w:fill="auto"/>
                  <w:noWrap/>
                  <w:vAlign w:val="center"/>
                </w:tcPr>
                <w:p>
                  <w:pPr>
                    <w:pStyle w:val="57"/>
                    <w:rPr>
                      <w:color w:val="auto"/>
                      <w:highlight w:val="none"/>
                    </w:rPr>
                  </w:pPr>
                  <w:r>
                    <w:rPr>
                      <w:rFonts w:hint="eastAsia"/>
                      <w:color w:val="auto"/>
                      <w:highlight w:val="none"/>
                    </w:rPr>
                    <w:t>SO</w:t>
                  </w:r>
                  <w:r>
                    <w:rPr>
                      <w:rFonts w:hint="eastAsia"/>
                      <w:color w:val="auto"/>
                      <w:highlight w:val="none"/>
                      <w:vertAlign w:val="subscript"/>
                    </w:rPr>
                    <w:t>2</w:t>
                  </w:r>
                  <w:r>
                    <w:rPr>
                      <w:color w:val="auto"/>
                      <w:highlight w:val="none"/>
                    </w:rPr>
                    <w:t>有组织排放量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rPr>
                    <w:t>4.</w:t>
                  </w:r>
                  <w:r>
                    <w:rPr>
                      <w:rFonts w:hint="eastAsia"/>
                      <w:color w:val="auto"/>
                      <w:highlight w:val="none"/>
                      <w:lang w:val="en-US" w:eastAsia="zh-CN"/>
                    </w:rPr>
                    <w:t>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noWrap/>
                  <w:vAlign w:val="center"/>
                </w:tcPr>
                <w:p>
                  <w:pPr>
                    <w:pStyle w:val="57"/>
                    <w:rPr>
                      <w:color w:val="auto"/>
                      <w:highlight w:val="none"/>
                    </w:rPr>
                  </w:pPr>
                  <w:r>
                    <w:rPr>
                      <w:color w:val="auto"/>
                      <w:highlight w:val="none"/>
                    </w:rPr>
                    <w:t>煤</w:t>
                  </w:r>
                </w:p>
              </w:tc>
              <w:tc>
                <w:tcPr>
                  <w:tcW w:w="865" w:type="pct"/>
                  <w:noWrap/>
                  <w:vAlign w:val="center"/>
                </w:tcPr>
                <w:p>
                  <w:pPr>
                    <w:pStyle w:val="57"/>
                    <w:rPr>
                      <w:rFonts w:hint="eastAsia" w:eastAsia="宋体"/>
                      <w:color w:val="auto"/>
                      <w:highlight w:val="none"/>
                      <w:lang w:eastAsia="zh-CN"/>
                    </w:rPr>
                  </w:pPr>
                  <w:r>
                    <w:rPr>
                      <w:rFonts w:hint="eastAsia"/>
                      <w:color w:val="auto"/>
                      <w:highlight w:val="none"/>
                      <w:lang w:val="en-US" w:eastAsia="zh-CN"/>
                    </w:rPr>
                    <w:t>5</w:t>
                  </w:r>
                </w:p>
              </w:tc>
              <w:tc>
                <w:tcPr>
                  <w:tcW w:w="1798" w:type="pct"/>
                  <w:shd w:val="clear" w:color="auto" w:fill="auto"/>
                  <w:noWrap/>
                  <w:vAlign w:val="center"/>
                </w:tcPr>
                <w:p>
                  <w:pPr>
                    <w:pStyle w:val="57"/>
                    <w:rPr>
                      <w:color w:val="auto"/>
                      <w:highlight w:val="none"/>
                    </w:rPr>
                  </w:pPr>
                  <w:r>
                    <w:rPr>
                      <w:rFonts w:hint="eastAsia"/>
                      <w:color w:val="auto"/>
                      <w:highlight w:val="none"/>
                    </w:rPr>
                    <w:t>NOx</w:t>
                  </w:r>
                  <w:r>
                    <w:rPr>
                      <w:color w:val="auto"/>
                      <w:highlight w:val="none"/>
                    </w:rPr>
                    <w:t>有组织排放量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3.9127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noWrap/>
                  <w:vAlign w:val="center"/>
                </w:tcPr>
                <w:p>
                  <w:pPr>
                    <w:pStyle w:val="57"/>
                    <w:rPr>
                      <w:color w:val="auto"/>
                      <w:highlight w:val="none"/>
                    </w:rPr>
                  </w:pPr>
                  <w:r>
                    <w:rPr>
                      <w:rFonts w:hint="eastAsia"/>
                      <w:color w:val="auto"/>
                      <w:highlight w:val="none"/>
                    </w:rPr>
                    <w:t>水</w:t>
                  </w:r>
                </w:p>
              </w:tc>
              <w:tc>
                <w:tcPr>
                  <w:tcW w:w="865" w:type="pct"/>
                  <w:noWrap/>
                  <w:vAlign w:val="center"/>
                </w:tcPr>
                <w:p>
                  <w:pPr>
                    <w:pStyle w:val="57"/>
                    <w:rPr>
                      <w:color w:val="auto"/>
                      <w:highlight w:val="none"/>
                    </w:rPr>
                  </w:pPr>
                  <w:r>
                    <w:rPr>
                      <w:rFonts w:hint="eastAsia"/>
                      <w:color w:val="auto"/>
                      <w:highlight w:val="none"/>
                    </w:rPr>
                    <w:t>30660</w:t>
                  </w:r>
                </w:p>
              </w:tc>
              <w:tc>
                <w:tcPr>
                  <w:tcW w:w="1798" w:type="pct"/>
                  <w:shd w:val="clear" w:color="auto" w:fill="auto"/>
                  <w:noWrap/>
                  <w:vAlign w:val="center"/>
                </w:tcPr>
                <w:p>
                  <w:pPr>
                    <w:pStyle w:val="57"/>
                    <w:rPr>
                      <w:color w:val="auto"/>
                      <w:highlight w:val="none"/>
                    </w:rPr>
                  </w:pPr>
                  <w:r>
                    <w:rPr>
                      <w:rFonts w:hint="eastAsia"/>
                      <w:color w:val="auto"/>
                      <w:highlight w:val="none"/>
                    </w:rPr>
                    <w:t>氟化物</w:t>
                  </w:r>
                  <w:r>
                    <w:rPr>
                      <w:color w:val="auto"/>
                      <w:highlight w:val="none"/>
                    </w:rPr>
                    <w:t>有组织排放量</w:t>
                  </w:r>
                </w:p>
              </w:tc>
              <w:tc>
                <w:tcPr>
                  <w:tcW w:w="1044" w:type="pct"/>
                  <w:noWrap/>
                  <w:vAlign w:val="center"/>
                </w:tcPr>
                <w:p>
                  <w:pPr>
                    <w:pStyle w:val="57"/>
                    <w:rPr>
                      <w:color w:val="auto"/>
                      <w:highlight w:val="none"/>
                    </w:rPr>
                  </w:pPr>
                  <w:r>
                    <w:rPr>
                      <w:rFonts w:hint="eastAsia"/>
                      <w:color w:val="auto"/>
                      <w:highlight w:val="none"/>
                    </w:rPr>
                    <w:t>0.2</w:t>
                  </w:r>
                  <w:r>
                    <w:rPr>
                      <w:rFonts w:hint="eastAsia"/>
                      <w:color w:val="auto"/>
                      <w:highlight w:val="none"/>
                      <w:lang w:val="en-US" w:eastAsia="zh-CN"/>
                    </w:rPr>
                    <w:t>1</w:t>
                  </w:r>
                  <w:r>
                    <w:rPr>
                      <w:rFonts w:hint="eastAsia"/>
                      <w:color w:val="auto"/>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noWrap/>
                  <w:vAlign w:val="center"/>
                </w:tcPr>
                <w:p>
                  <w:pPr>
                    <w:widowControl/>
                    <w:jc w:val="center"/>
                    <w:textAlignment w:val="center"/>
                    <w:rPr>
                      <w:rFonts w:hint="eastAsia" w:eastAsia="宋体"/>
                      <w:color w:val="auto"/>
                      <w:highlight w:val="none"/>
                      <w:lang w:val="en-US" w:eastAsia="zh-CN"/>
                    </w:rPr>
                  </w:pPr>
                  <w:r>
                    <w:rPr>
                      <w:rFonts w:hint="eastAsia"/>
                      <w:color w:val="auto"/>
                      <w:highlight w:val="none"/>
                      <w:lang w:val="en-US" w:eastAsia="zh-CN"/>
                    </w:rPr>
                    <w:t>石灰石</w:t>
                  </w:r>
                </w:p>
              </w:tc>
              <w:tc>
                <w:tcPr>
                  <w:tcW w:w="865" w:type="pct"/>
                  <w:noWrap/>
                  <w:vAlign w:val="center"/>
                </w:tcPr>
                <w:p>
                  <w:pPr>
                    <w:widowControl/>
                    <w:jc w:val="center"/>
                    <w:textAlignment w:val="center"/>
                    <w:rPr>
                      <w:rFonts w:hint="default" w:eastAsia="宋体"/>
                      <w:color w:val="auto"/>
                      <w:highlight w:val="none"/>
                      <w:lang w:val="en-US" w:eastAsia="zh-CN"/>
                    </w:rPr>
                  </w:pPr>
                  <w:r>
                    <w:rPr>
                      <w:rFonts w:hint="eastAsia"/>
                      <w:color w:val="auto"/>
                      <w:highlight w:val="none"/>
                      <w:lang w:val="en-US" w:eastAsia="zh-CN"/>
                    </w:rPr>
                    <w:t>150</w:t>
                  </w:r>
                </w:p>
              </w:tc>
              <w:tc>
                <w:tcPr>
                  <w:tcW w:w="1798" w:type="pct"/>
                  <w:shd w:val="clear" w:color="auto" w:fill="auto"/>
                  <w:noWrap/>
                  <w:vAlign w:val="center"/>
                </w:tcPr>
                <w:p>
                  <w:pPr>
                    <w:pStyle w:val="57"/>
                    <w:rPr>
                      <w:color w:val="auto"/>
                      <w:highlight w:val="none"/>
                    </w:rPr>
                  </w:pPr>
                  <w:r>
                    <w:rPr>
                      <w:rFonts w:hint="eastAsia"/>
                      <w:color w:val="auto"/>
                      <w:highlight w:val="none"/>
                    </w:rPr>
                    <w:t>粉尘、烟尘</w:t>
                  </w:r>
                  <w:r>
                    <w:rPr>
                      <w:color w:val="auto"/>
                      <w:highlight w:val="none"/>
                    </w:rPr>
                    <w:t>有组织排放量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8169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noWrap/>
                  <w:vAlign w:val="center"/>
                </w:tcPr>
                <w:p>
                  <w:pPr>
                    <w:widowControl/>
                    <w:jc w:val="center"/>
                    <w:textAlignment w:val="center"/>
                    <w:rPr>
                      <w:rFonts w:hint="eastAsia" w:eastAsia="宋体"/>
                      <w:color w:val="auto"/>
                      <w:highlight w:val="none"/>
                      <w:lang w:val="en-US" w:eastAsia="zh-CN"/>
                    </w:rPr>
                  </w:pPr>
                  <w:r>
                    <w:rPr>
                      <w:rFonts w:hint="eastAsia"/>
                      <w:color w:val="auto"/>
                      <w:highlight w:val="none"/>
                      <w:lang w:val="en-US" w:eastAsia="zh-CN"/>
                    </w:rPr>
                    <w:t>尿素</w:t>
                  </w:r>
                </w:p>
              </w:tc>
              <w:tc>
                <w:tcPr>
                  <w:tcW w:w="865" w:type="pct"/>
                  <w:noWrap/>
                  <w:vAlign w:val="center"/>
                </w:tcPr>
                <w:p>
                  <w:pPr>
                    <w:widowControl/>
                    <w:jc w:val="center"/>
                    <w:textAlignment w:val="center"/>
                    <w:rPr>
                      <w:rFonts w:hint="default" w:eastAsia="宋体"/>
                      <w:color w:val="auto"/>
                      <w:highlight w:val="none"/>
                      <w:lang w:val="en-US" w:eastAsia="zh-CN"/>
                    </w:rPr>
                  </w:pPr>
                  <w:r>
                    <w:rPr>
                      <w:rFonts w:hint="eastAsia"/>
                      <w:color w:val="auto"/>
                      <w:highlight w:val="none"/>
                      <w:lang w:val="en-US" w:eastAsia="zh-CN"/>
                    </w:rPr>
                    <w:t>37.89</w:t>
                  </w:r>
                </w:p>
              </w:tc>
              <w:tc>
                <w:tcPr>
                  <w:tcW w:w="1798" w:type="pct"/>
                  <w:shd w:val="clear" w:color="auto" w:fill="auto"/>
                  <w:noWrap/>
                  <w:vAlign w:val="center"/>
                </w:tcPr>
                <w:p>
                  <w:pPr>
                    <w:pStyle w:val="57"/>
                    <w:rPr>
                      <w:color w:val="auto"/>
                      <w:highlight w:val="none"/>
                    </w:rPr>
                  </w:pPr>
                  <w:r>
                    <w:rPr>
                      <w:color w:val="auto"/>
                      <w:highlight w:val="none"/>
                    </w:rPr>
                    <w:t>无组织</w:t>
                  </w:r>
                  <w:r>
                    <w:rPr>
                      <w:rFonts w:hint="eastAsia"/>
                      <w:color w:val="auto"/>
                      <w:highlight w:val="none"/>
                    </w:rPr>
                    <w:t>粉尘</w:t>
                  </w:r>
                  <w:r>
                    <w:rPr>
                      <w:color w:val="auto"/>
                      <w:highlight w:val="none"/>
                    </w:rPr>
                    <w:t>排放量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noWrap/>
                  <w:vAlign w:val="center"/>
                </w:tcPr>
                <w:p>
                  <w:pPr>
                    <w:widowControl/>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麦草</w:t>
                  </w:r>
                </w:p>
              </w:tc>
              <w:tc>
                <w:tcPr>
                  <w:tcW w:w="865" w:type="pct"/>
                  <w:noWrap/>
                  <w:vAlign w:val="center"/>
                </w:tcPr>
                <w:p>
                  <w:pPr>
                    <w:widowControl/>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0.4</w:t>
                  </w:r>
                </w:p>
              </w:tc>
              <w:tc>
                <w:tcPr>
                  <w:tcW w:w="1798" w:type="pct"/>
                  <w:shd w:val="clear" w:color="auto" w:fill="auto"/>
                  <w:noWrap/>
                  <w:vAlign w:val="center"/>
                </w:tcPr>
                <w:p>
                  <w:pPr>
                    <w:pStyle w:val="57"/>
                    <w:rPr>
                      <w:color w:val="auto"/>
                      <w:highlight w:val="none"/>
                    </w:rPr>
                  </w:pPr>
                  <w:r>
                    <w:rPr>
                      <w:color w:val="auto"/>
                      <w:highlight w:val="none"/>
                    </w:rPr>
                    <w:t>烧失量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4414.6226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vMerge w:val="restart"/>
                  <w:noWrap/>
                  <w:vAlign w:val="center"/>
                </w:tcPr>
                <w:p>
                  <w:pPr>
                    <w:widowControl/>
                    <w:jc w:val="center"/>
                    <w:textAlignment w:val="center"/>
                    <w:rPr>
                      <w:rFonts w:hint="eastAsia" w:eastAsia="宋体"/>
                      <w:color w:val="auto"/>
                      <w:highlight w:val="none"/>
                      <w:lang w:val="en-US" w:eastAsia="zh-CN"/>
                    </w:rPr>
                  </w:pPr>
                  <w:r>
                    <w:rPr>
                      <w:rFonts w:hint="eastAsia"/>
                      <w:color w:val="auto"/>
                      <w:highlight w:val="none"/>
                      <w:lang w:val="en-US" w:eastAsia="zh-CN"/>
                    </w:rPr>
                    <w:t>/</w:t>
                  </w:r>
                </w:p>
              </w:tc>
              <w:tc>
                <w:tcPr>
                  <w:tcW w:w="865" w:type="pct"/>
                  <w:vMerge w:val="restart"/>
                  <w:noWrap/>
                  <w:vAlign w:val="center"/>
                </w:tcPr>
                <w:p>
                  <w:pPr>
                    <w:widowControl/>
                    <w:jc w:val="center"/>
                    <w:textAlignment w:val="center"/>
                    <w:rPr>
                      <w:rFonts w:hint="eastAsia" w:eastAsia="宋体"/>
                      <w:color w:val="auto"/>
                      <w:highlight w:val="none"/>
                      <w:lang w:val="en-US" w:eastAsia="zh-CN"/>
                    </w:rPr>
                  </w:pPr>
                  <w:r>
                    <w:rPr>
                      <w:rFonts w:hint="eastAsia"/>
                      <w:color w:val="auto"/>
                      <w:highlight w:val="none"/>
                      <w:lang w:val="en-US" w:eastAsia="zh-CN"/>
                    </w:rPr>
                    <w:t>/</w:t>
                  </w:r>
                </w:p>
              </w:tc>
              <w:tc>
                <w:tcPr>
                  <w:tcW w:w="1798" w:type="pct"/>
                  <w:shd w:val="clear" w:color="auto" w:fill="auto"/>
                  <w:noWrap/>
                  <w:vAlign w:val="center"/>
                </w:tcPr>
                <w:p>
                  <w:pPr>
                    <w:pStyle w:val="57"/>
                    <w:rPr>
                      <w:rFonts w:hint="default" w:eastAsia="宋体"/>
                      <w:color w:val="auto"/>
                      <w:highlight w:val="none"/>
                      <w:lang w:val="en-US" w:eastAsia="zh-CN"/>
                    </w:rPr>
                  </w:pPr>
                  <w:r>
                    <w:rPr>
                      <w:rFonts w:hint="eastAsia"/>
                      <w:color w:val="auto"/>
                      <w:highlight w:val="none"/>
                      <w:lang w:val="en-US" w:eastAsia="zh-CN"/>
                    </w:rPr>
                    <w:t>不合格产品</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vMerge w:val="continue"/>
                  <w:noWrap/>
                  <w:vAlign w:val="center"/>
                </w:tcPr>
                <w:p>
                  <w:pPr>
                    <w:widowControl/>
                    <w:jc w:val="center"/>
                    <w:textAlignment w:val="center"/>
                    <w:rPr>
                      <w:rFonts w:hint="eastAsia" w:eastAsia="宋体"/>
                      <w:color w:val="auto"/>
                      <w:highlight w:val="none"/>
                      <w:lang w:val="en-US" w:eastAsia="zh-CN"/>
                    </w:rPr>
                  </w:pPr>
                </w:p>
              </w:tc>
              <w:tc>
                <w:tcPr>
                  <w:tcW w:w="865" w:type="pct"/>
                  <w:vMerge w:val="continue"/>
                  <w:noWrap/>
                  <w:vAlign w:val="center"/>
                </w:tcPr>
                <w:p>
                  <w:pPr>
                    <w:widowControl/>
                    <w:jc w:val="center"/>
                    <w:textAlignment w:val="center"/>
                    <w:rPr>
                      <w:rFonts w:hint="eastAsia" w:eastAsia="宋体"/>
                      <w:color w:val="auto"/>
                      <w:highlight w:val="none"/>
                      <w:lang w:val="en-US" w:eastAsia="zh-CN"/>
                    </w:rPr>
                  </w:pPr>
                </w:p>
              </w:tc>
              <w:tc>
                <w:tcPr>
                  <w:tcW w:w="1798" w:type="pct"/>
                  <w:shd w:val="clear" w:color="auto" w:fill="auto"/>
                  <w:noWrap/>
                  <w:vAlign w:val="center"/>
                </w:tcPr>
                <w:p>
                  <w:pPr>
                    <w:pStyle w:val="57"/>
                    <w:rPr>
                      <w:rFonts w:hint="eastAsia" w:eastAsia="宋体"/>
                      <w:color w:val="auto"/>
                      <w:highlight w:val="none"/>
                      <w:lang w:val="en-US" w:eastAsia="zh-CN"/>
                    </w:rPr>
                  </w:pPr>
                  <w:r>
                    <w:rPr>
                      <w:rFonts w:hint="eastAsia"/>
                      <w:color w:val="auto"/>
                      <w:highlight w:val="none"/>
                      <w:lang w:val="en-US" w:eastAsia="zh-CN"/>
                    </w:rPr>
                    <w:t>边角料</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eastAsia" w:eastAsia="宋体"/>
                      <w:color w:val="auto"/>
                      <w:highlight w:val="none"/>
                      <w:lang w:val="en-US" w:eastAsia="zh-CN"/>
                    </w:rPr>
                  </w:pPr>
                  <w:r>
                    <w:rPr>
                      <w:rFonts w:hint="eastAsia"/>
                      <w:color w:val="auto"/>
                      <w:highlight w:val="none"/>
                      <w:lang w:val="en-US" w:eastAsia="zh-CN"/>
                    </w:rPr>
                    <w:t>除尘灰</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default"/>
                      <w:color w:val="auto"/>
                      <w:highlight w:val="none"/>
                      <w:lang w:val="en-US" w:eastAsia="zh-CN"/>
                    </w:rPr>
                  </w:pPr>
                  <w:r>
                    <w:rPr>
                      <w:rFonts w:hint="eastAsia"/>
                      <w:color w:val="auto"/>
                      <w:highlight w:val="none"/>
                      <w:lang w:val="en-US" w:eastAsia="zh-CN"/>
                    </w:rPr>
                    <w:t>脱硫废渣</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default"/>
                      <w:color w:val="auto"/>
                      <w:highlight w:val="none"/>
                      <w:lang w:val="en-US" w:eastAsia="zh-CN"/>
                    </w:rPr>
                  </w:pPr>
                  <w:r>
                    <w:rPr>
                      <w:rFonts w:hint="eastAsia"/>
                      <w:color w:val="auto"/>
                      <w:highlight w:val="none"/>
                      <w:lang w:val="en-US" w:eastAsia="zh-CN"/>
                    </w:rPr>
                    <w:t>焙烧炉渣</w:t>
                  </w:r>
                </w:p>
              </w:tc>
              <w:tc>
                <w:tcPr>
                  <w:tcW w:w="1044" w:type="pct"/>
                  <w:noWrap/>
                  <w:vAlign w:val="center"/>
                </w:tcPr>
                <w:p>
                  <w:pPr>
                    <w:pStyle w:val="57"/>
                    <w:rPr>
                      <w:rFonts w:hint="eastAsia" w:eastAsia="宋体"/>
                      <w:color w:val="auto"/>
                      <w:highlight w:val="none"/>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default"/>
                      <w:color w:val="auto"/>
                      <w:highlight w:val="none"/>
                      <w:lang w:val="en-US" w:eastAsia="zh-CN"/>
                    </w:rPr>
                  </w:pPr>
                  <w:r>
                    <w:rPr>
                      <w:rFonts w:hint="eastAsia"/>
                      <w:color w:val="auto"/>
                      <w:highlight w:val="none"/>
                      <w:lang w:val="en-US" w:eastAsia="zh-CN"/>
                    </w:rPr>
                    <w:t>非制砖废料</w:t>
                  </w:r>
                </w:p>
              </w:tc>
              <w:tc>
                <w:tcPr>
                  <w:tcW w:w="1044" w:type="pct"/>
                  <w:noWrap/>
                  <w:vAlign w:val="center"/>
                </w:tcPr>
                <w:p>
                  <w:pPr>
                    <w:pStyle w:val="57"/>
                    <w:rPr>
                      <w:rFonts w:hint="default"/>
                      <w:color w:val="auto"/>
                      <w:highlight w:val="none"/>
                      <w:lang w:val="en-US" w:eastAsia="zh-CN"/>
                    </w:rPr>
                  </w:pPr>
                  <w:r>
                    <w:rPr>
                      <w:rFonts w:hint="eastAsia"/>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default"/>
                      <w:color w:val="auto"/>
                      <w:highlight w:val="none"/>
                      <w:lang w:val="en-US" w:eastAsia="zh-CN"/>
                    </w:rPr>
                  </w:pPr>
                  <w:r>
                    <w:rPr>
                      <w:rFonts w:hint="eastAsia"/>
                      <w:color w:val="auto"/>
                      <w:highlight w:val="none"/>
                      <w:lang w:val="en-US" w:eastAsia="zh-CN"/>
                    </w:rPr>
                    <w:t>水蒸气</w:t>
                  </w:r>
                </w:p>
              </w:tc>
              <w:tc>
                <w:tcPr>
                  <w:tcW w:w="1044" w:type="pct"/>
                  <w:noWrap/>
                  <w:vAlign w:val="center"/>
                </w:tcPr>
                <w:p>
                  <w:pPr>
                    <w:pStyle w:val="57"/>
                    <w:rPr>
                      <w:rFonts w:hint="default"/>
                      <w:color w:val="auto"/>
                      <w:highlight w:val="none"/>
                      <w:lang w:val="en-US" w:eastAsia="zh-CN"/>
                    </w:rPr>
                  </w:pPr>
                  <w:r>
                    <w:rPr>
                      <w:rFonts w:hint="eastAsia"/>
                      <w:color w:val="auto"/>
                      <w:highlight w:val="none"/>
                      <w:lang w:val="en-US" w:eastAsia="zh-CN"/>
                    </w:rPr>
                    <w:t>45466.02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pct"/>
                  <w:noWrap/>
                  <w:vAlign w:val="center"/>
                </w:tcPr>
                <w:p>
                  <w:pPr>
                    <w:pStyle w:val="57"/>
                    <w:rPr>
                      <w:color w:val="auto"/>
                      <w:highlight w:val="none"/>
                    </w:rPr>
                  </w:pPr>
                  <w:r>
                    <w:rPr>
                      <w:color w:val="auto"/>
                      <w:highlight w:val="none"/>
                    </w:rPr>
                    <w:t>合计</w:t>
                  </w:r>
                </w:p>
              </w:tc>
              <w:tc>
                <w:tcPr>
                  <w:tcW w:w="865"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205630.29</w:t>
                  </w:r>
                </w:p>
              </w:tc>
              <w:tc>
                <w:tcPr>
                  <w:tcW w:w="1798" w:type="pct"/>
                  <w:shd w:val="clear" w:color="auto" w:fill="auto"/>
                  <w:noWrap/>
                  <w:vAlign w:val="center"/>
                </w:tcPr>
                <w:p>
                  <w:pPr>
                    <w:pStyle w:val="57"/>
                    <w:rPr>
                      <w:color w:val="auto"/>
                      <w:highlight w:val="none"/>
                    </w:rPr>
                  </w:pPr>
                  <w:r>
                    <w:rPr>
                      <w:rFonts w:hint="eastAsia"/>
                      <w:color w:val="auto"/>
                      <w:highlight w:val="none"/>
                    </w:rPr>
                    <w:t>合计</w:t>
                  </w:r>
                </w:p>
              </w:tc>
              <w:tc>
                <w:tcPr>
                  <w:tcW w:w="1044" w:type="pct"/>
                  <w:noWrap/>
                  <w:vAlign w:val="center"/>
                </w:tcPr>
                <w:p>
                  <w:pPr>
                    <w:pStyle w:val="57"/>
                    <w:rPr>
                      <w:color w:val="auto"/>
                      <w:highlight w:val="none"/>
                    </w:rPr>
                  </w:pPr>
                  <w:r>
                    <w:rPr>
                      <w:rFonts w:hint="eastAsia"/>
                      <w:color w:val="auto"/>
                      <w:highlight w:val="none"/>
                      <w:lang w:val="en-US" w:eastAsia="zh-CN"/>
                    </w:rPr>
                    <w:t>205630.29</w:t>
                  </w:r>
                </w:p>
              </w:tc>
            </w:tr>
          </w:tbl>
          <w:p>
            <w:pPr>
              <w:pStyle w:val="60"/>
              <w:ind w:firstLine="480" w:firstLineChars="200"/>
              <w:rPr>
                <w:rFonts w:hint="default" w:eastAsia="宋体"/>
                <w:b w:val="0"/>
                <w:bCs w:val="0"/>
                <w:sz w:val="24"/>
                <w:highlight w:val="none"/>
                <w:lang w:val="en-US" w:eastAsia="zh-CN"/>
              </w:rPr>
            </w:pPr>
            <w:r>
              <w:rPr>
                <w:rFonts w:hint="eastAsia"/>
                <w:b w:val="0"/>
                <w:bCs w:val="0"/>
                <w:sz w:val="24"/>
                <w:highlight w:val="none"/>
                <w:lang w:val="en-US" w:eastAsia="zh-CN"/>
              </w:rPr>
              <w:t>物料平衡图见下图</w:t>
            </w:r>
          </w:p>
          <w:p>
            <w:pPr>
              <w:pStyle w:val="60"/>
              <w:ind w:firstLine="0" w:firstLineChars="0"/>
              <w:jc w:val="center"/>
              <w:rPr>
                <w:rFonts w:hint="eastAsia"/>
                <w:b/>
                <w:bCs/>
                <w:color w:val="FF0000"/>
                <w:sz w:val="24"/>
                <w:highlight w:val="none"/>
              </w:rPr>
            </w:pPr>
            <w:r>
              <w:drawing>
                <wp:inline distT="0" distB="0" distL="114300" distR="114300">
                  <wp:extent cx="5005070" cy="2968625"/>
                  <wp:effectExtent l="0" t="0" r="5080" b="317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6"/>
                          <a:stretch>
                            <a:fillRect/>
                          </a:stretch>
                        </pic:blipFill>
                        <pic:spPr>
                          <a:xfrm>
                            <a:off x="0" y="0"/>
                            <a:ext cx="5005070" cy="2968625"/>
                          </a:xfrm>
                          <a:prstGeom prst="rect">
                            <a:avLst/>
                          </a:prstGeom>
                          <a:noFill/>
                          <a:ln>
                            <a:noFill/>
                          </a:ln>
                        </pic:spPr>
                      </pic:pic>
                    </a:graphicData>
                  </a:graphic>
                </wp:inline>
              </w:drawing>
            </w:r>
          </w:p>
          <w:p>
            <w:pPr>
              <w:pStyle w:val="60"/>
              <w:ind w:firstLine="0" w:firstLineChars="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图2-1   物料平衡图  单位t/a</w:t>
            </w:r>
          </w:p>
          <w:p>
            <w:pPr>
              <w:pStyle w:val="60"/>
              <w:ind w:left="0" w:leftChars="0" w:firstLine="0" w:firstLineChars="0"/>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w:t>
            </w:r>
            <w:r>
              <w:rPr>
                <w:b/>
                <w:bCs/>
                <w:color w:val="000000" w:themeColor="text1"/>
                <w:sz w:val="24"/>
                <w:szCs w:val="24"/>
                <w14:textFill>
                  <w14:solidFill>
                    <w14:schemeClr w14:val="tx1"/>
                  </w14:solidFill>
                </w14:textFill>
              </w:rPr>
              <w:t>硫平衡</w:t>
            </w:r>
          </w:p>
          <w:p>
            <w:pPr>
              <w:pStyle w:val="60"/>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项目硫平衡见下表</w:t>
            </w:r>
          </w:p>
          <w:p>
            <w:pPr>
              <w:pStyle w:val="14"/>
              <w:keepNext/>
              <w:spacing w:line="240" w:lineRule="auto"/>
              <w:rPr>
                <w:rFonts w:cs="Times New Roman"/>
                <w:color w:val="auto"/>
              </w:rPr>
            </w:pPr>
            <w:r>
              <w:rPr>
                <w:rFonts w:eastAsia="宋体" w:cs="Times New Roman"/>
                <w:color w:val="auto"/>
              </w:rPr>
              <w:t>表</w:t>
            </w:r>
            <w:r>
              <w:rPr>
                <w:rFonts w:hint="eastAsia" w:eastAsia="宋体" w:cs="Times New Roman"/>
                <w:color w:val="auto"/>
                <w:lang w:val="en-US" w:eastAsia="zh-CN"/>
              </w:rPr>
              <w:t xml:space="preserve">2-12   </w:t>
            </w:r>
            <w:r>
              <w:rPr>
                <w:rFonts w:eastAsia="宋体" w:cs="Times New Roman"/>
                <w:color w:val="auto"/>
              </w:rPr>
              <w:t>项目硫平衡</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604"/>
              <w:gridCol w:w="2332"/>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noWrap/>
                  <w:vAlign w:val="center"/>
                </w:tcPr>
                <w:p>
                  <w:pPr>
                    <w:pStyle w:val="57"/>
                    <w:rPr>
                      <w:color w:val="auto"/>
                      <w:highlight w:val="none"/>
                    </w:rPr>
                  </w:pPr>
                  <w:r>
                    <w:rPr>
                      <w:color w:val="auto"/>
                      <w:highlight w:val="none"/>
                    </w:rPr>
                    <w:t>进料</w:t>
                  </w:r>
                </w:p>
              </w:tc>
              <w:tc>
                <w:tcPr>
                  <w:tcW w:w="1018" w:type="pct"/>
                  <w:noWrap/>
                  <w:vAlign w:val="center"/>
                </w:tcPr>
                <w:p>
                  <w:pPr>
                    <w:pStyle w:val="57"/>
                    <w:rPr>
                      <w:color w:val="auto"/>
                      <w:highlight w:val="none"/>
                    </w:rPr>
                  </w:pPr>
                  <w:r>
                    <w:rPr>
                      <w:color w:val="auto"/>
                      <w:highlight w:val="none"/>
                    </w:rPr>
                    <w:t>数量（t/a）</w:t>
                  </w:r>
                </w:p>
              </w:tc>
              <w:tc>
                <w:tcPr>
                  <w:tcW w:w="1481" w:type="pct"/>
                  <w:noWrap/>
                  <w:vAlign w:val="center"/>
                </w:tcPr>
                <w:p>
                  <w:pPr>
                    <w:pStyle w:val="57"/>
                    <w:rPr>
                      <w:color w:val="auto"/>
                      <w:highlight w:val="none"/>
                    </w:rPr>
                  </w:pPr>
                  <w:r>
                    <w:rPr>
                      <w:color w:val="auto"/>
                      <w:highlight w:val="none"/>
                    </w:rPr>
                    <w:t>出料</w:t>
                  </w:r>
                </w:p>
              </w:tc>
              <w:tc>
                <w:tcPr>
                  <w:tcW w:w="1251" w:type="pct"/>
                  <w:noWrap/>
                  <w:vAlign w:val="center"/>
                </w:tcPr>
                <w:p>
                  <w:pPr>
                    <w:pStyle w:val="57"/>
                    <w:rPr>
                      <w:color w:val="auto"/>
                      <w:highlight w:val="none"/>
                    </w:rPr>
                  </w:pPr>
                  <w:r>
                    <w:rPr>
                      <w:color w:val="auto"/>
                      <w:highlight w:val="none"/>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noWrap/>
                  <w:vAlign w:val="center"/>
                </w:tcPr>
                <w:p>
                  <w:pPr>
                    <w:pStyle w:val="57"/>
                    <w:rPr>
                      <w:color w:val="auto"/>
                      <w:highlight w:val="none"/>
                    </w:rPr>
                  </w:pPr>
                  <w:r>
                    <w:rPr>
                      <w:color w:val="auto"/>
                      <w:highlight w:val="none"/>
                    </w:rPr>
                    <w:t>煤矸石含硫</w:t>
                  </w:r>
                </w:p>
              </w:tc>
              <w:tc>
                <w:tcPr>
                  <w:tcW w:w="1018" w:type="pct"/>
                  <w:noWrap/>
                  <w:vAlign w:val="center"/>
                </w:tcPr>
                <w:p>
                  <w:pPr>
                    <w:pStyle w:val="57"/>
                    <w:rPr>
                      <w:color w:val="auto"/>
                      <w:highlight w:val="none"/>
                    </w:rPr>
                  </w:pPr>
                  <w:r>
                    <w:rPr>
                      <w:rFonts w:hint="eastAsia"/>
                      <w:color w:val="auto"/>
                      <w:highlight w:val="none"/>
                    </w:rPr>
                    <w:t>179.12</w:t>
                  </w:r>
                </w:p>
              </w:tc>
              <w:tc>
                <w:tcPr>
                  <w:tcW w:w="1481" w:type="pct"/>
                  <w:noWrap/>
                  <w:vAlign w:val="center"/>
                </w:tcPr>
                <w:p>
                  <w:pPr>
                    <w:pStyle w:val="57"/>
                    <w:rPr>
                      <w:color w:val="auto"/>
                      <w:highlight w:val="none"/>
                    </w:rPr>
                  </w:pPr>
                  <w:r>
                    <w:rPr>
                      <w:color w:val="auto"/>
                      <w:highlight w:val="none"/>
                    </w:rPr>
                    <w:t>进入产品中的硫</w:t>
                  </w:r>
                </w:p>
              </w:tc>
              <w:tc>
                <w:tcPr>
                  <w:tcW w:w="1251" w:type="pct"/>
                  <w:noWrap/>
                  <w:vAlign w:val="center"/>
                </w:tcPr>
                <w:p>
                  <w:pPr>
                    <w:pStyle w:val="57"/>
                    <w:rPr>
                      <w:color w:val="auto"/>
                      <w:highlight w:val="none"/>
                    </w:rPr>
                  </w:pPr>
                  <w:r>
                    <w:rPr>
                      <w:rFonts w:hint="eastAsia"/>
                      <w:color w:val="auto"/>
                      <w:highlight w:val="none"/>
                    </w:rPr>
                    <w:t>90.2172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noWrap/>
                  <w:vAlign w:val="center"/>
                </w:tcPr>
                <w:p>
                  <w:pPr>
                    <w:pStyle w:val="57"/>
                    <w:rPr>
                      <w:color w:val="auto"/>
                      <w:highlight w:val="none"/>
                    </w:rPr>
                  </w:pPr>
                  <w:r>
                    <w:rPr>
                      <w:color w:val="auto"/>
                      <w:highlight w:val="none"/>
                    </w:rPr>
                    <w:t>煤含硫</w:t>
                  </w:r>
                </w:p>
              </w:tc>
              <w:tc>
                <w:tcPr>
                  <w:tcW w:w="1018" w:type="pct"/>
                  <w:noWrap/>
                  <w:vAlign w:val="center"/>
                </w:tcPr>
                <w:p>
                  <w:pPr>
                    <w:pStyle w:val="57"/>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0255</w:t>
                  </w:r>
                </w:p>
              </w:tc>
              <w:tc>
                <w:tcPr>
                  <w:tcW w:w="1481" w:type="pct"/>
                  <w:noWrap/>
                  <w:vAlign w:val="center"/>
                </w:tcPr>
                <w:p>
                  <w:pPr>
                    <w:pStyle w:val="57"/>
                    <w:rPr>
                      <w:color w:val="auto"/>
                      <w:highlight w:val="none"/>
                    </w:rPr>
                  </w:pPr>
                  <w:r>
                    <w:rPr>
                      <w:rFonts w:hint="eastAsia"/>
                      <w:color w:val="auto"/>
                      <w:highlight w:val="none"/>
                    </w:rPr>
                    <w:t>排放</w:t>
                  </w:r>
                  <w:r>
                    <w:rPr>
                      <w:color w:val="auto"/>
                      <w:highlight w:val="none"/>
                    </w:rPr>
                    <w:t>废气中含硫</w:t>
                  </w:r>
                </w:p>
              </w:tc>
              <w:tc>
                <w:tcPr>
                  <w:tcW w:w="1251"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4.4838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vMerge w:val="restart"/>
                  <w:noWrap/>
                  <w:vAlign w:val="center"/>
                </w:tcPr>
                <w:p>
                  <w:pPr>
                    <w:pStyle w:val="57"/>
                    <w:rPr>
                      <w:color w:val="auto"/>
                      <w:highlight w:val="none"/>
                    </w:rPr>
                  </w:pPr>
                  <w:r>
                    <w:rPr>
                      <w:rFonts w:hint="eastAsia"/>
                      <w:color w:val="auto"/>
                      <w:highlight w:val="none"/>
                    </w:rPr>
                    <w:t>/</w:t>
                  </w:r>
                </w:p>
              </w:tc>
              <w:tc>
                <w:tcPr>
                  <w:tcW w:w="1018" w:type="pct"/>
                  <w:vMerge w:val="restart"/>
                  <w:noWrap/>
                  <w:vAlign w:val="center"/>
                </w:tcPr>
                <w:p>
                  <w:pPr>
                    <w:pStyle w:val="57"/>
                    <w:rPr>
                      <w:color w:val="auto"/>
                      <w:highlight w:val="none"/>
                    </w:rPr>
                  </w:pPr>
                  <w:r>
                    <w:rPr>
                      <w:rFonts w:hint="eastAsia"/>
                      <w:color w:val="auto"/>
                      <w:highlight w:val="none"/>
                    </w:rPr>
                    <w:t>/</w:t>
                  </w:r>
                </w:p>
              </w:tc>
              <w:tc>
                <w:tcPr>
                  <w:tcW w:w="1481"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炉渣含硫</w:t>
                  </w:r>
                </w:p>
              </w:tc>
              <w:tc>
                <w:tcPr>
                  <w:tcW w:w="1251" w:type="pct"/>
                  <w:noWrap/>
                  <w:vAlign w:val="center"/>
                </w:tcPr>
                <w:p>
                  <w:pPr>
                    <w:pStyle w:val="57"/>
                    <w:rPr>
                      <w:rFonts w:hint="default"/>
                      <w:color w:val="auto"/>
                      <w:highlight w:val="none"/>
                      <w:lang w:val="en-US" w:eastAsia="zh-CN"/>
                    </w:rPr>
                  </w:pPr>
                  <w:r>
                    <w:rPr>
                      <w:rFonts w:hint="eastAsia"/>
                      <w:color w:val="auto"/>
                      <w:highlight w:val="none"/>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vMerge w:val="continue"/>
                  <w:noWrap/>
                  <w:vAlign w:val="center"/>
                </w:tcPr>
                <w:p>
                  <w:pPr>
                    <w:pStyle w:val="57"/>
                    <w:rPr>
                      <w:color w:val="auto"/>
                      <w:highlight w:val="none"/>
                    </w:rPr>
                  </w:pPr>
                </w:p>
              </w:tc>
              <w:tc>
                <w:tcPr>
                  <w:tcW w:w="1018" w:type="pct"/>
                  <w:vMerge w:val="continue"/>
                  <w:noWrap/>
                  <w:vAlign w:val="center"/>
                </w:tcPr>
                <w:p>
                  <w:pPr>
                    <w:pStyle w:val="57"/>
                    <w:rPr>
                      <w:color w:val="auto"/>
                      <w:highlight w:val="none"/>
                    </w:rPr>
                  </w:pPr>
                </w:p>
              </w:tc>
              <w:tc>
                <w:tcPr>
                  <w:tcW w:w="1481"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烟气处理系统废渣中含硫</w:t>
                  </w:r>
                </w:p>
              </w:tc>
              <w:tc>
                <w:tcPr>
                  <w:tcW w:w="1251"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84.4315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noWrap/>
                  <w:vAlign w:val="center"/>
                </w:tcPr>
                <w:p>
                  <w:pPr>
                    <w:pStyle w:val="57"/>
                    <w:rPr>
                      <w:color w:val="auto"/>
                      <w:highlight w:val="none"/>
                    </w:rPr>
                  </w:pPr>
                  <w:r>
                    <w:rPr>
                      <w:color w:val="auto"/>
                      <w:highlight w:val="none"/>
                    </w:rPr>
                    <w:t>合计</w:t>
                  </w:r>
                </w:p>
              </w:tc>
              <w:tc>
                <w:tcPr>
                  <w:tcW w:w="1018" w:type="pct"/>
                  <w:noWrap/>
                  <w:vAlign w:val="center"/>
                </w:tcPr>
                <w:p>
                  <w:pPr>
                    <w:pStyle w:val="57"/>
                    <w:rPr>
                      <w:rFonts w:hint="default" w:eastAsia="宋体"/>
                      <w:color w:val="auto"/>
                      <w:highlight w:val="none"/>
                      <w:lang w:val="en-US" w:eastAsia="zh-CN"/>
                    </w:rPr>
                  </w:pPr>
                  <w:r>
                    <w:rPr>
                      <w:rFonts w:hint="eastAsia"/>
                      <w:color w:val="auto"/>
                      <w:highlight w:val="none"/>
                    </w:rPr>
                    <w:t>179.</w:t>
                  </w:r>
                  <w:r>
                    <w:rPr>
                      <w:rFonts w:hint="eastAsia"/>
                      <w:color w:val="auto"/>
                      <w:highlight w:val="none"/>
                      <w:lang w:val="en-US" w:eastAsia="zh-CN"/>
                    </w:rPr>
                    <w:t>1455</w:t>
                  </w:r>
                </w:p>
              </w:tc>
              <w:tc>
                <w:tcPr>
                  <w:tcW w:w="1481" w:type="pct"/>
                  <w:noWrap/>
                  <w:vAlign w:val="center"/>
                </w:tcPr>
                <w:p>
                  <w:pPr>
                    <w:pStyle w:val="57"/>
                    <w:rPr>
                      <w:color w:val="auto"/>
                      <w:highlight w:val="none"/>
                    </w:rPr>
                  </w:pPr>
                  <w:r>
                    <w:rPr>
                      <w:color w:val="auto"/>
                      <w:highlight w:val="none"/>
                    </w:rPr>
                    <w:t>合计</w:t>
                  </w:r>
                </w:p>
              </w:tc>
              <w:tc>
                <w:tcPr>
                  <w:tcW w:w="1251" w:type="pct"/>
                  <w:noWrap/>
                  <w:vAlign w:val="center"/>
                </w:tcPr>
                <w:p>
                  <w:pPr>
                    <w:pStyle w:val="57"/>
                    <w:rPr>
                      <w:color w:val="auto"/>
                      <w:highlight w:val="none"/>
                    </w:rPr>
                  </w:pPr>
                  <w:r>
                    <w:rPr>
                      <w:rFonts w:hint="eastAsia"/>
                      <w:color w:val="auto"/>
                      <w:highlight w:val="none"/>
                    </w:rPr>
                    <w:t>179.</w:t>
                  </w:r>
                  <w:r>
                    <w:rPr>
                      <w:rFonts w:hint="eastAsia"/>
                      <w:color w:val="auto"/>
                      <w:highlight w:val="none"/>
                      <w:lang w:val="en-US" w:eastAsia="zh-CN"/>
                    </w:rPr>
                    <w:t>1455</w:t>
                  </w:r>
                </w:p>
              </w:tc>
            </w:tr>
          </w:tbl>
          <w:p>
            <w:pPr>
              <w:pStyle w:val="60"/>
              <w:ind w:firstLine="480" w:firstLineChars="200"/>
              <w:rPr>
                <w:rFonts w:hint="default" w:eastAsia="宋体"/>
                <w:b w:val="0"/>
                <w:bCs w:val="0"/>
                <w:color w:val="auto"/>
                <w:sz w:val="24"/>
                <w:lang w:val="en-US" w:eastAsia="zh-CN"/>
              </w:rPr>
            </w:pPr>
            <w:r>
              <w:rPr>
                <w:rFonts w:hint="eastAsia"/>
                <w:b w:val="0"/>
                <w:bCs w:val="0"/>
                <w:color w:val="auto"/>
                <w:sz w:val="24"/>
                <w:lang w:val="en-US" w:eastAsia="zh-CN"/>
              </w:rPr>
              <w:t>项目硫平衡图见下图</w:t>
            </w:r>
          </w:p>
          <w:p>
            <w:pPr>
              <w:pStyle w:val="60"/>
              <w:ind w:firstLine="0" w:firstLineChars="0"/>
              <w:jc w:val="center"/>
              <w:rPr>
                <w:rFonts w:hint="eastAsia"/>
                <w:b w:val="0"/>
                <w:bCs w:val="0"/>
                <w:color w:val="FF0000"/>
                <w:sz w:val="24"/>
              </w:rPr>
            </w:pPr>
            <w:r>
              <w:rPr>
                <w:b/>
                <w:color w:val="FF0000"/>
                <w:szCs w:val="21"/>
                <w:lang w:val="en-GB"/>
              </w:rPr>
              <w:object>
                <v:shape id="_x0000_i1025" o:spt="75" type="#_x0000_t75" style="height:92.45pt;width:363.3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pStyle w:val="60"/>
              <w:ind w:firstLine="0" w:firstLineChars="0"/>
              <w:jc w:val="center"/>
              <w:rPr>
                <w:rFonts w:hint="default" w:eastAsia="宋体"/>
                <w:b/>
                <w:bCs/>
                <w:color w:val="auto"/>
                <w:sz w:val="21"/>
                <w:szCs w:val="21"/>
                <w:lang w:val="en-US" w:eastAsia="zh-CN"/>
              </w:rPr>
            </w:pPr>
            <w:r>
              <w:rPr>
                <w:rFonts w:hint="eastAsia"/>
                <w:b/>
                <w:bCs/>
                <w:color w:val="auto"/>
                <w:sz w:val="21"/>
                <w:szCs w:val="21"/>
                <w:lang w:val="en-US" w:eastAsia="zh-CN"/>
              </w:rPr>
              <w:t>图2-2   项目硫平衡图     单位t/a</w:t>
            </w:r>
          </w:p>
          <w:p>
            <w:pPr>
              <w:pStyle w:val="60"/>
              <w:ind w:firstLine="0" w:firstLineChars="0"/>
              <w:rPr>
                <w:b/>
                <w:bCs/>
                <w:color w:val="auto"/>
                <w:sz w:val="24"/>
              </w:rPr>
            </w:pPr>
            <w:r>
              <w:rPr>
                <w:rFonts w:hint="eastAsia"/>
                <w:b/>
                <w:bCs/>
                <w:color w:val="auto"/>
                <w:sz w:val="24"/>
              </w:rPr>
              <w:t>6.氟平衡</w:t>
            </w:r>
          </w:p>
          <w:p>
            <w:pPr>
              <w:pStyle w:val="60"/>
              <w:ind w:firstLine="480"/>
              <w:rPr>
                <w:color w:val="auto"/>
                <w:sz w:val="24"/>
                <w:highlight w:val="none"/>
              </w:rPr>
            </w:pPr>
            <w:r>
              <w:rPr>
                <w:rFonts w:hint="eastAsia"/>
                <w:color w:val="auto"/>
                <w:sz w:val="24"/>
                <w:highlight w:val="none"/>
              </w:rPr>
              <w:t>项目氟平衡见下表</w:t>
            </w:r>
          </w:p>
          <w:p>
            <w:pPr>
              <w:pStyle w:val="14"/>
              <w:keepNext/>
              <w:spacing w:line="240" w:lineRule="auto"/>
              <w:rPr>
                <w:color w:val="auto"/>
                <w:highlight w:val="none"/>
              </w:rPr>
            </w:pPr>
            <w:r>
              <w:rPr>
                <w:rFonts w:hint="eastAsia" w:ascii="宋体" w:hAnsi="宋体" w:eastAsia="宋体" w:cs="宋体"/>
                <w:color w:val="auto"/>
                <w:highlight w:val="none"/>
              </w:rPr>
              <w:t>表</w:t>
            </w:r>
            <w:r>
              <w:rPr>
                <w:rFonts w:hint="eastAsia" w:eastAsia="宋体"/>
                <w:color w:val="auto"/>
                <w:highlight w:val="none"/>
              </w:rPr>
              <w:t xml:space="preserve">2-13   </w:t>
            </w:r>
            <w:r>
              <w:rPr>
                <w:rFonts w:hint="eastAsia" w:ascii="宋体" w:hAnsi="宋体" w:eastAsia="宋体" w:cs="宋体"/>
                <w:color w:val="auto"/>
                <w:highlight w:val="none"/>
              </w:rPr>
              <w:t>项目氟平衡</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816"/>
              <w:gridCol w:w="272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noWrap/>
                  <w:vAlign w:val="center"/>
                </w:tcPr>
                <w:p>
                  <w:pPr>
                    <w:pStyle w:val="57"/>
                    <w:rPr>
                      <w:color w:val="auto"/>
                      <w:highlight w:val="none"/>
                    </w:rPr>
                  </w:pPr>
                  <w:r>
                    <w:rPr>
                      <w:rFonts w:hint="eastAsia"/>
                      <w:color w:val="auto"/>
                      <w:highlight w:val="none"/>
                    </w:rPr>
                    <w:t>进料</w:t>
                  </w:r>
                </w:p>
              </w:tc>
              <w:tc>
                <w:tcPr>
                  <w:tcW w:w="1153" w:type="pct"/>
                  <w:noWrap/>
                  <w:vAlign w:val="center"/>
                </w:tcPr>
                <w:p>
                  <w:pPr>
                    <w:pStyle w:val="57"/>
                    <w:rPr>
                      <w:color w:val="auto"/>
                      <w:highlight w:val="none"/>
                    </w:rPr>
                  </w:pPr>
                  <w:r>
                    <w:rPr>
                      <w:rFonts w:hint="eastAsia"/>
                      <w:color w:val="auto"/>
                      <w:highlight w:val="none"/>
                    </w:rPr>
                    <w:t>数量（</w:t>
                  </w:r>
                  <w:r>
                    <w:rPr>
                      <w:color w:val="auto"/>
                      <w:highlight w:val="none"/>
                    </w:rPr>
                    <w:t>t/a</w:t>
                  </w:r>
                  <w:r>
                    <w:rPr>
                      <w:rFonts w:hint="eastAsia"/>
                      <w:color w:val="auto"/>
                      <w:highlight w:val="none"/>
                    </w:rPr>
                    <w:t>）</w:t>
                  </w:r>
                </w:p>
              </w:tc>
              <w:tc>
                <w:tcPr>
                  <w:tcW w:w="1729" w:type="pct"/>
                  <w:noWrap/>
                  <w:vAlign w:val="center"/>
                </w:tcPr>
                <w:p>
                  <w:pPr>
                    <w:pStyle w:val="57"/>
                    <w:rPr>
                      <w:color w:val="auto"/>
                      <w:highlight w:val="none"/>
                    </w:rPr>
                  </w:pPr>
                  <w:r>
                    <w:rPr>
                      <w:rFonts w:hint="eastAsia"/>
                      <w:color w:val="auto"/>
                      <w:highlight w:val="none"/>
                    </w:rPr>
                    <w:t>出料</w:t>
                  </w:r>
                </w:p>
              </w:tc>
              <w:tc>
                <w:tcPr>
                  <w:tcW w:w="1153" w:type="pct"/>
                  <w:noWrap/>
                  <w:vAlign w:val="center"/>
                </w:tcPr>
                <w:p>
                  <w:pPr>
                    <w:pStyle w:val="57"/>
                    <w:rPr>
                      <w:color w:val="auto"/>
                      <w:highlight w:val="none"/>
                    </w:rPr>
                  </w:pPr>
                  <w:r>
                    <w:rPr>
                      <w:rFonts w:hint="eastAsia"/>
                      <w:color w:val="auto"/>
                      <w:highlight w:val="none"/>
                    </w:rPr>
                    <w:t>数量（</w:t>
                  </w:r>
                  <w:r>
                    <w:rPr>
                      <w:color w:val="auto"/>
                      <w:highlight w:val="none"/>
                    </w:rPr>
                    <w:t>t/a</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vMerge w:val="restart"/>
                  <w:noWrap/>
                  <w:vAlign w:val="center"/>
                </w:tcPr>
                <w:p>
                  <w:pPr>
                    <w:pStyle w:val="57"/>
                    <w:rPr>
                      <w:color w:val="auto"/>
                      <w:highlight w:val="none"/>
                    </w:rPr>
                  </w:pPr>
                  <w:r>
                    <w:rPr>
                      <w:rFonts w:hint="eastAsia"/>
                      <w:color w:val="auto"/>
                      <w:highlight w:val="none"/>
                    </w:rPr>
                    <w:t>煤矸石含氟</w:t>
                  </w:r>
                </w:p>
              </w:tc>
              <w:tc>
                <w:tcPr>
                  <w:tcW w:w="1153" w:type="pct"/>
                  <w:vMerge w:val="restart"/>
                  <w:noWrap/>
                  <w:vAlign w:val="center"/>
                </w:tcPr>
                <w:p>
                  <w:pPr>
                    <w:pStyle w:val="57"/>
                    <w:rPr>
                      <w:color w:val="auto"/>
                      <w:highlight w:val="none"/>
                    </w:rPr>
                  </w:pPr>
                  <w:r>
                    <w:rPr>
                      <w:rFonts w:hint="eastAsia"/>
                      <w:color w:val="auto"/>
                      <w:highlight w:val="none"/>
                    </w:rPr>
                    <w:t>2.4288</w:t>
                  </w:r>
                </w:p>
              </w:tc>
              <w:tc>
                <w:tcPr>
                  <w:tcW w:w="1729" w:type="pct"/>
                  <w:noWrap/>
                  <w:vAlign w:val="center"/>
                </w:tcPr>
                <w:p>
                  <w:pPr>
                    <w:pStyle w:val="57"/>
                    <w:rPr>
                      <w:color w:val="auto"/>
                      <w:highlight w:val="none"/>
                    </w:rPr>
                  </w:pPr>
                  <w:r>
                    <w:rPr>
                      <w:rFonts w:hint="eastAsia"/>
                      <w:color w:val="auto"/>
                      <w:highlight w:val="none"/>
                    </w:rPr>
                    <w:t>进入产品中的氟</w:t>
                  </w:r>
                </w:p>
              </w:tc>
              <w:tc>
                <w:tcPr>
                  <w:tcW w:w="1153" w:type="pct"/>
                  <w:noWrap/>
                  <w:vAlign w:val="center"/>
                </w:tcPr>
                <w:p>
                  <w:pPr>
                    <w:pStyle w:val="57"/>
                    <w:rPr>
                      <w:color w:val="auto"/>
                      <w:highlight w:val="none"/>
                    </w:rPr>
                  </w:pPr>
                  <w:r>
                    <w:rPr>
                      <w:rFonts w:hint="eastAsia"/>
                      <w:color w:val="auto"/>
                      <w:highlight w:val="none"/>
                    </w:rPr>
                    <w:t>1.6988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vMerge w:val="continue"/>
                  <w:noWrap/>
                  <w:vAlign w:val="center"/>
                </w:tcPr>
                <w:p>
                  <w:pPr>
                    <w:pStyle w:val="57"/>
                    <w:rPr>
                      <w:color w:val="auto"/>
                      <w:highlight w:val="none"/>
                    </w:rPr>
                  </w:pPr>
                </w:p>
              </w:tc>
              <w:tc>
                <w:tcPr>
                  <w:tcW w:w="1153" w:type="pct"/>
                  <w:vMerge w:val="continue"/>
                  <w:noWrap/>
                  <w:vAlign w:val="center"/>
                </w:tcPr>
                <w:p>
                  <w:pPr>
                    <w:pStyle w:val="57"/>
                    <w:rPr>
                      <w:color w:val="auto"/>
                      <w:highlight w:val="none"/>
                    </w:rPr>
                  </w:pPr>
                </w:p>
              </w:tc>
              <w:tc>
                <w:tcPr>
                  <w:tcW w:w="1729" w:type="pct"/>
                  <w:noWrap/>
                  <w:vAlign w:val="center"/>
                </w:tcPr>
                <w:p>
                  <w:pPr>
                    <w:pStyle w:val="57"/>
                    <w:rPr>
                      <w:color w:val="auto"/>
                      <w:highlight w:val="none"/>
                    </w:rPr>
                  </w:pPr>
                  <w:r>
                    <w:rPr>
                      <w:rFonts w:hint="eastAsia"/>
                      <w:color w:val="auto"/>
                      <w:highlight w:val="none"/>
                    </w:rPr>
                    <w:t>废气中含氟</w:t>
                  </w:r>
                </w:p>
              </w:tc>
              <w:tc>
                <w:tcPr>
                  <w:tcW w:w="1153" w:type="pct"/>
                  <w:noWrap/>
                  <w:vAlign w:val="center"/>
                </w:tcPr>
                <w:p>
                  <w:pPr>
                    <w:pStyle w:val="57"/>
                    <w:rPr>
                      <w:color w:val="auto"/>
                      <w:highlight w:val="none"/>
                    </w:rPr>
                  </w:pPr>
                  <w:r>
                    <w:rPr>
                      <w:rFonts w:hint="eastAsia"/>
                      <w:color w:val="auto"/>
                      <w:highlight w:val="none"/>
                    </w:rPr>
                    <w:t>0.2</w:t>
                  </w:r>
                  <w:r>
                    <w:rPr>
                      <w:rFonts w:hint="eastAsia"/>
                      <w:color w:val="auto"/>
                      <w:highlight w:val="none"/>
                      <w:lang w:val="en-US" w:eastAsia="zh-CN"/>
                    </w:rPr>
                    <w:t>1</w:t>
                  </w:r>
                  <w:r>
                    <w:rPr>
                      <w:rFonts w:hint="eastAsia"/>
                      <w:color w:val="auto"/>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vMerge w:val="continue"/>
                  <w:noWrap/>
                  <w:vAlign w:val="center"/>
                </w:tcPr>
                <w:p>
                  <w:pPr>
                    <w:pStyle w:val="57"/>
                    <w:rPr>
                      <w:color w:val="auto"/>
                      <w:highlight w:val="none"/>
                    </w:rPr>
                  </w:pPr>
                </w:p>
              </w:tc>
              <w:tc>
                <w:tcPr>
                  <w:tcW w:w="1153" w:type="pct"/>
                  <w:vMerge w:val="continue"/>
                  <w:noWrap/>
                  <w:vAlign w:val="center"/>
                </w:tcPr>
                <w:p>
                  <w:pPr>
                    <w:pStyle w:val="57"/>
                    <w:rPr>
                      <w:color w:val="auto"/>
                      <w:highlight w:val="none"/>
                    </w:rPr>
                  </w:pPr>
                </w:p>
              </w:tc>
              <w:tc>
                <w:tcPr>
                  <w:tcW w:w="1729"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烟气处理系统废渣含氟</w:t>
                  </w:r>
                </w:p>
              </w:tc>
              <w:tc>
                <w:tcPr>
                  <w:tcW w:w="1153" w:type="pct"/>
                  <w:noWrap/>
                  <w:vAlign w:val="center"/>
                </w:tcPr>
                <w:p>
                  <w:pPr>
                    <w:pStyle w:val="57"/>
                    <w:rPr>
                      <w:color w:val="auto"/>
                      <w:highlight w:val="none"/>
                    </w:rPr>
                  </w:pPr>
                  <w:r>
                    <w:rPr>
                      <w:rFonts w:hint="eastAsia"/>
                      <w:color w:val="auto"/>
                      <w:highlight w:val="none"/>
                    </w:rPr>
                    <w:t>0.5</w:t>
                  </w:r>
                  <w:r>
                    <w:rPr>
                      <w:rFonts w:hint="eastAsia"/>
                      <w:color w:val="auto"/>
                      <w:highlight w:val="none"/>
                      <w:lang w:val="en-US" w:eastAsia="zh-CN"/>
                    </w:rPr>
                    <w:t>1</w:t>
                  </w: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noWrap/>
                  <w:vAlign w:val="center"/>
                </w:tcPr>
                <w:p>
                  <w:pPr>
                    <w:pStyle w:val="57"/>
                    <w:rPr>
                      <w:color w:val="auto"/>
                      <w:highlight w:val="none"/>
                    </w:rPr>
                  </w:pPr>
                  <w:r>
                    <w:rPr>
                      <w:rFonts w:hint="eastAsia"/>
                      <w:color w:val="auto"/>
                      <w:highlight w:val="none"/>
                    </w:rPr>
                    <w:t>合计</w:t>
                  </w:r>
                </w:p>
              </w:tc>
              <w:tc>
                <w:tcPr>
                  <w:tcW w:w="1153" w:type="pct"/>
                  <w:noWrap/>
                  <w:vAlign w:val="center"/>
                </w:tcPr>
                <w:p>
                  <w:pPr>
                    <w:pStyle w:val="57"/>
                    <w:rPr>
                      <w:color w:val="auto"/>
                      <w:highlight w:val="none"/>
                    </w:rPr>
                  </w:pPr>
                  <w:r>
                    <w:rPr>
                      <w:rFonts w:hint="eastAsia"/>
                      <w:color w:val="auto"/>
                      <w:highlight w:val="none"/>
                    </w:rPr>
                    <w:t>2.4288</w:t>
                  </w:r>
                </w:p>
              </w:tc>
              <w:tc>
                <w:tcPr>
                  <w:tcW w:w="1729" w:type="pct"/>
                  <w:noWrap/>
                  <w:vAlign w:val="center"/>
                </w:tcPr>
                <w:p>
                  <w:pPr>
                    <w:pStyle w:val="57"/>
                    <w:rPr>
                      <w:color w:val="auto"/>
                      <w:highlight w:val="none"/>
                    </w:rPr>
                  </w:pPr>
                  <w:r>
                    <w:rPr>
                      <w:rFonts w:hint="eastAsia"/>
                      <w:color w:val="auto"/>
                      <w:highlight w:val="none"/>
                    </w:rPr>
                    <w:t>合计</w:t>
                  </w:r>
                </w:p>
              </w:tc>
              <w:tc>
                <w:tcPr>
                  <w:tcW w:w="1153" w:type="pct"/>
                  <w:noWrap/>
                  <w:vAlign w:val="center"/>
                </w:tcPr>
                <w:p>
                  <w:pPr>
                    <w:pStyle w:val="57"/>
                    <w:rPr>
                      <w:color w:val="auto"/>
                      <w:highlight w:val="none"/>
                    </w:rPr>
                  </w:pPr>
                  <w:r>
                    <w:rPr>
                      <w:rFonts w:hint="eastAsia"/>
                      <w:color w:val="auto"/>
                      <w:highlight w:val="none"/>
                    </w:rPr>
                    <w:t>2.4288</w:t>
                  </w:r>
                </w:p>
              </w:tc>
            </w:tr>
          </w:tbl>
          <w:p>
            <w:pPr>
              <w:pStyle w:val="60"/>
              <w:ind w:firstLine="480" w:firstLineChars="200"/>
              <w:rPr>
                <w:rFonts w:hint="default" w:eastAsia="宋体"/>
                <w:b w:val="0"/>
                <w:bCs w:val="0"/>
                <w:sz w:val="24"/>
                <w:highlight w:val="none"/>
                <w:lang w:val="en-US" w:eastAsia="zh-CN"/>
              </w:rPr>
            </w:pPr>
            <w:r>
              <w:rPr>
                <w:rFonts w:hint="eastAsia"/>
                <w:b w:val="0"/>
                <w:bCs w:val="0"/>
                <w:sz w:val="24"/>
                <w:highlight w:val="none"/>
                <w:lang w:val="en-US" w:eastAsia="zh-CN"/>
              </w:rPr>
              <w:t>项目氟平衡图见下图</w:t>
            </w:r>
          </w:p>
          <w:p>
            <w:pPr>
              <w:pStyle w:val="60"/>
              <w:ind w:firstLine="0" w:firstLineChars="0"/>
              <w:jc w:val="center"/>
              <w:rPr>
                <w:b/>
                <w:color w:val="FF0000"/>
                <w:szCs w:val="21"/>
                <w:lang w:val="en-GB"/>
              </w:rPr>
            </w:pPr>
            <w:r>
              <w:rPr>
                <w:b/>
                <w:color w:val="FF0000"/>
                <w:szCs w:val="21"/>
                <w:lang w:val="en-GB"/>
              </w:rPr>
              <w:object>
                <v:shape id="_x0000_i1026" o:spt="75" type="#_x0000_t75" style="height:109.95pt;width:383.4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pPr>
              <w:pStyle w:val="60"/>
              <w:ind w:firstLine="0" w:firstLineChars="0"/>
              <w:jc w:val="center"/>
              <w:rPr>
                <w:rFonts w:hint="default" w:eastAsia="宋体"/>
                <w:b w:val="0"/>
                <w:bCs w:val="0"/>
                <w:sz w:val="24"/>
                <w:lang w:val="en-US" w:eastAsia="zh-CN"/>
              </w:rPr>
            </w:pPr>
            <w:r>
              <w:rPr>
                <w:rFonts w:hint="eastAsia"/>
                <w:b/>
                <w:color w:val="auto"/>
                <w:szCs w:val="21"/>
                <w:lang w:val="en-US" w:eastAsia="zh-CN"/>
              </w:rPr>
              <w:t>2-3   氟平衡图    单位t/a</w:t>
            </w:r>
          </w:p>
          <w:p>
            <w:pPr>
              <w:pStyle w:val="60"/>
              <w:ind w:left="0" w:leftChars="0" w:firstLine="0" w:firstLineChars="0"/>
              <w:rPr>
                <w:b/>
                <w:bCs/>
                <w:color w:val="auto"/>
                <w:sz w:val="24"/>
                <w:szCs w:val="24"/>
              </w:rPr>
            </w:pPr>
            <w:r>
              <w:rPr>
                <w:rFonts w:hint="eastAsia"/>
                <w:b/>
                <w:bCs/>
                <w:color w:val="auto"/>
                <w:sz w:val="24"/>
                <w:szCs w:val="24"/>
                <w:lang w:val="en-US" w:eastAsia="zh-CN"/>
              </w:rPr>
              <w:t>7.</w:t>
            </w:r>
            <w:r>
              <w:rPr>
                <w:b/>
                <w:bCs/>
                <w:color w:val="auto"/>
                <w:sz w:val="24"/>
                <w:szCs w:val="24"/>
              </w:rPr>
              <w:t>项目生产设备见下表</w:t>
            </w:r>
          </w:p>
          <w:p>
            <w:pPr>
              <w:pStyle w:val="14"/>
              <w:keepNext/>
              <w:spacing w:line="240" w:lineRule="auto"/>
              <w:rPr>
                <w:rFonts w:eastAsia="宋体" w:cs="Times New Roman"/>
                <w:color w:val="auto"/>
              </w:rPr>
            </w:pPr>
            <w:r>
              <w:rPr>
                <w:rFonts w:eastAsia="宋体" w:cs="Times New Roman"/>
                <w:color w:val="auto"/>
              </w:rPr>
              <w:t>表</w:t>
            </w:r>
            <w:r>
              <w:rPr>
                <w:rFonts w:hint="eastAsia" w:eastAsia="宋体" w:cs="Times New Roman"/>
                <w:color w:val="auto"/>
                <w:lang w:val="en-US" w:eastAsia="zh-CN"/>
              </w:rPr>
              <w:t xml:space="preserve">2-14   </w:t>
            </w:r>
            <w:r>
              <w:rPr>
                <w:rFonts w:eastAsia="宋体" w:cs="Times New Roman"/>
                <w:color w:val="auto"/>
              </w:rPr>
              <w:t>工程设备一览表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017"/>
              <w:gridCol w:w="2143"/>
              <w:gridCol w:w="734"/>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序号</w:t>
                  </w:r>
                </w:p>
              </w:tc>
              <w:tc>
                <w:tcPr>
                  <w:tcW w:w="1916"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设备名称</w:t>
                  </w:r>
                </w:p>
              </w:tc>
              <w:tc>
                <w:tcPr>
                  <w:tcW w:w="1361"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设备型号</w:t>
                  </w:r>
                </w:p>
              </w:tc>
              <w:tc>
                <w:tcPr>
                  <w:tcW w:w="466"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单位</w:t>
                  </w:r>
                </w:p>
              </w:tc>
              <w:tc>
                <w:tcPr>
                  <w:tcW w:w="661"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1</w:t>
                  </w:r>
                </w:p>
              </w:tc>
              <w:tc>
                <w:tcPr>
                  <w:tcW w:w="1916"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箱式</w:t>
                  </w:r>
                  <w:r>
                    <w:rPr>
                      <w:rFonts w:ascii="Times New Roman" w:hAnsi="Times New Roman"/>
                      <w:bCs/>
                      <w:sz w:val="21"/>
                      <w:szCs w:val="21"/>
                    </w:rPr>
                    <w:t>给料机</w:t>
                  </w:r>
                </w:p>
              </w:tc>
              <w:tc>
                <w:tcPr>
                  <w:tcW w:w="1361"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GD80</w:t>
                  </w:r>
                </w:p>
              </w:tc>
              <w:tc>
                <w:tcPr>
                  <w:tcW w:w="466"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2</w:t>
                  </w:r>
                </w:p>
              </w:tc>
              <w:tc>
                <w:tcPr>
                  <w:tcW w:w="1916"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锤式</w:t>
                  </w:r>
                  <w:r>
                    <w:rPr>
                      <w:rFonts w:ascii="Times New Roman" w:hAnsi="Times New Roman"/>
                      <w:bCs/>
                      <w:sz w:val="21"/>
                      <w:szCs w:val="21"/>
                    </w:rPr>
                    <w:t>破碎机</w:t>
                  </w:r>
                </w:p>
              </w:tc>
              <w:tc>
                <w:tcPr>
                  <w:tcW w:w="1361"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500×750</w:t>
                  </w:r>
                </w:p>
              </w:tc>
              <w:tc>
                <w:tcPr>
                  <w:tcW w:w="466"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1916" w:type="pct"/>
                  <w:vAlign w:val="center"/>
                </w:tcPr>
                <w:p>
                  <w:pPr>
                    <w:pStyle w:val="24"/>
                    <w:widowControl w:val="0"/>
                    <w:spacing w:before="0" w:beforeAutospacing="0" w:after="0" w:afterAutospacing="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滚筒筛</w:t>
                  </w:r>
                </w:p>
              </w:tc>
              <w:tc>
                <w:tcPr>
                  <w:tcW w:w="1361" w:type="pct"/>
                  <w:vAlign w:val="center"/>
                </w:tcPr>
                <w:p>
                  <w:pPr>
                    <w:pStyle w:val="24"/>
                    <w:widowControl w:val="0"/>
                    <w:spacing w:before="0" w:beforeAutospacing="0" w:after="0" w:afterAutospacing="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w:t>
                  </w:r>
                </w:p>
              </w:tc>
              <w:tc>
                <w:tcPr>
                  <w:tcW w:w="466" w:type="pct"/>
                  <w:vAlign w:val="center"/>
                </w:tcPr>
                <w:p>
                  <w:pPr>
                    <w:pStyle w:val="24"/>
                    <w:widowControl w:val="0"/>
                    <w:spacing w:before="0" w:beforeAutospacing="0" w:after="0" w:afterAutospacing="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台</w:t>
                  </w:r>
                </w:p>
              </w:tc>
              <w:tc>
                <w:tcPr>
                  <w:tcW w:w="661" w:type="pct"/>
                  <w:vAlign w:val="center"/>
                </w:tcPr>
                <w:p>
                  <w:pPr>
                    <w:pStyle w:val="24"/>
                    <w:widowControl w:val="0"/>
                    <w:spacing w:before="0" w:beforeAutospacing="0" w:after="0" w:afterAutospacing="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1916"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运输带</w:t>
                  </w:r>
                </w:p>
              </w:tc>
              <w:tc>
                <w:tcPr>
                  <w:tcW w:w="1361"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651型</w:t>
                  </w:r>
                </w:p>
              </w:tc>
              <w:tc>
                <w:tcPr>
                  <w:tcW w:w="466"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米</w:t>
                  </w:r>
                </w:p>
              </w:tc>
              <w:tc>
                <w:tcPr>
                  <w:tcW w:w="661"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c>
                <w:tcPr>
                  <w:tcW w:w="1916"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打土机</w:t>
                  </w:r>
                </w:p>
              </w:tc>
              <w:tc>
                <w:tcPr>
                  <w:tcW w:w="1361"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w:t>
                  </w:r>
                </w:p>
              </w:tc>
              <w:tc>
                <w:tcPr>
                  <w:tcW w:w="466"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1916"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皮带秤</w:t>
                  </w:r>
                </w:p>
              </w:tc>
              <w:tc>
                <w:tcPr>
                  <w:tcW w:w="1361"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w:t>
                  </w:r>
                </w:p>
              </w:tc>
              <w:tc>
                <w:tcPr>
                  <w:tcW w:w="466" w:type="pct"/>
                  <w:vAlign w:val="center"/>
                </w:tcPr>
                <w:p>
                  <w:pPr>
                    <w:pStyle w:val="24"/>
                    <w:widowControl w:val="0"/>
                    <w:spacing w:before="0" w:beforeAutospacing="0" w:after="0" w:afterAutospacing="0"/>
                    <w:jc w:val="center"/>
                    <w:rPr>
                      <w:rFonts w:ascii="Times New Roman" w:hAnsi="Times New Roman"/>
                      <w:bCs/>
                      <w:sz w:val="21"/>
                      <w:szCs w:val="21"/>
                    </w:rPr>
                  </w:pPr>
                  <w:r>
                    <w:rPr>
                      <w:rFonts w:ascii="Times New Roman" w:hAnsi="Times New Roman"/>
                      <w:bCs/>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7</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搅拌机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SJ300*50</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8</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可逆布料机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ZKN13LJ800-30m</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9</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双级真空挤出机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default" w:ascii="Times New Roman" w:hAnsi="Times New Roman"/>
                      <w:bCs/>
                      <w:color w:val="auto"/>
                      <w:sz w:val="21"/>
                      <w:szCs w:val="21"/>
                    </w:rPr>
                    <w:t>JZK90</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10</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全自动切坯切条机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QPE9</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1</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自动码坯机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2</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双向推拉摆渡项车</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HC-4800</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3</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摆渡式顶车</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4</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双向推拉摆渡车</w:t>
                  </w:r>
                </w:p>
              </w:tc>
              <w:tc>
                <w:tcPr>
                  <w:tcW w:w="1361" w:type="pct"/>
                  <w:vAlign w:val="center"/>
                </w:tcPr>
                <w:p>
                  <w:pPr>
                    <w:pStyle w:val="24"/>
                    <w:widowControl w:val="0"/>
                    <w:spacing w:before="0" w:beforeAutospacing="0" w:after="0" w:afterAutospacing="0"/>
                    <w:jc w:val="center"/>
                    <w:rPr>
                      <w:rFonts w:ascii="Times New Roman" w:hAnsi="Times New Roman"/>
                      <w:bCs/>
                      <w:color w:val="auto"/>
                      <w:szCs w:val="24"/>
                    </w:rPr>
                  </w:pPr>
                  <w:r>
                    <w:rPr>
                      <w:rFonts w:hint="eastAsia" w:ascii="Times New Roman" w:hAnsi="Times New Roman"/>
                      <w:bCs/>
                      <w:color w:val="auto"/>
                      <w:sz w:val="21"/>
                      <w:szCs w:val="21"/>
                    </w:rPr>
                    <w:t>/</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5</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脱硫除尘塔系统</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QYD45-2</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套</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16</w:t>
                  </w:r>
                </w:p>
              </w:tc>
              <w:tc>
                <w:tcPr>
                  <w:tcW w:w="191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布袋除尘器</w:t>
                  </w:r>
                </w:p>
              </w:tc>
              <w:tc>
                <w:tcPr>
                  <w:tcW w:w="1361" w:type="pct"/>
                  <w:vAlign w:val="center"/>
                </w:tcPr>
                <w:p>
                  <w:pPr>
                    <w:pStyle w:val="24"/>
                    <w:widowControl w:val="0"/>
                    <w:spacing w:before="0" w:beforeAutospacing="0" w:after="0" w:afterAutospacing="0"/>
                    <w:jc w:val="center"/>
                    <w:rPr>
                      <w:rFonts w:hint="eastAsia" w:ascii="Times New Roman" w:hAnsi="Times New Roman"/>
                      <w:bCs/>
                      <w:color w:val="auto"/>
                      <w:sz w:val="21"/>
                      <w:szCs w:val="21"/>
                    </w:rPr>
                  </w:pPr>
                  <w:r>
                    <w:rPr>
                      <w:rFonts w:hint="eastAsia" w:ascii="Times New Roman" w:hAnsi="Times New Roman"/>
                      <w:bCs/>
                      <w:color w:val="auto"/>
                      <w:sz w:val="21"/>
                      <w:szCs w:val="21"/>
                    </w:rPr>
                    <w:t>KDZMC-330</w:t>
                  </w:r>
                </w:p>
              </w:tc>
              <w:tc>
                <w:tcPr>
                  <w:tcW w:w="46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套</w:t>
                  </w:r>
                </w:p>
              </w:tc>
              <w:tc>
                <w:tcPr>
                  <w:tcW w:w="661"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17</w:t>
                  </w:r>
                </w:p>
              </w:tc>
              <w:tc>
                <w:tcPr>
                  <w:tcW w:w="191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脱硫塔</w:t>
                  </w:r>
                </w:p>
              </w:tc>
              <w:tc>
                <w:tcPr>
                  <w:tcW w:w="1361"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D=3.5m  h=33m</w:t>
                  </w:r>
                </w:p>
              </w:tc>
              <w:tc>
                <w:tcPr>
                  <w:tcW w:w="466"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套</w:t>
                  </w:r>
                </w:p>
              </w:tc>
              <w:tc>
                <w:tcPr>
                  <w:tcW w:w="661" w:type="pct"/>
                  <w:vAlign w:val="center"/>
                </w:tcPr>
                <w:p>
                  <w:pPr>
                    <w:pStyle w:val="24"/>
                    <w:widowControl w:val="0"/>
                    <w:spacing w:before="0" w:beforeAutospacing="0" w:after="0" w:afterAutospacing="0"/>
                    <w:jc w:val="center"/>
                    <w:rPr>
                      <w:rFonts w:hint="eastAsia" w:ascii="Times New Roman" w:hAnsi="Times New Roman"/>
                      <w:bCs/>
                      <w:color w:val="auto"/>
                      <w:sz w:val="21"/>
                      <w:szCs w:val="21"/>
                    </w:rPr>
                  </w:pPr>
                  <w:r>
                    <w:rPr>
                      <w:rFonts w:hint="eastAsia" w:ascii="Times New Roman" w:hAnsi="Times New Roman"/>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rPr>
                    <w:t>1</w:t>
                  </w:r>
                  <w:r>
                    <w:rPr>
                      <w:rFonts w:hint="eastAsia" w:ascii="Times New Roman" w:hAnsi="Times New Roman"/>
                      <w:bCs/>
                      <w:color w:val="auto"/>
                      <w:sz w:val="21"/>
                      <w:szCs w:val="21"/>
                      <w:highlight w:val="none"/>
                      <w:lang w:val="en-US" w:eastAsia="zh-CN"/>
                    </w:rPr>
                    <w:t>8</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highlight w:val="none"/>
                    </w:rPr>
                  </w:pPr>
                  <w:r>
                    <w:rPr>
                      <w:rFonts w:hint="eastAsia" w:ascii="Times New Roman" w:hAnsi="Times New Roman"/>
                      <w:bCs/>
                      <w:color w:val="auto"/>
                      <w:sz w:val="21"/>
                      <w:szCs w:val="21"/>
                      <w:highlight w:val="none"/>
                      <w:lang w:val="en-US" w:eastAsia="zh-CN"/>
                    </w:rPr>
                    <w:t>隧道窑烟气处理系统</w:t>
                  </w:r>
                  <w:r>
                    <w:rPr>
                      <w:rFonts w:hint="eastAsia" w:ascii="Times New Roman" w:hAnsi="Times New Roman"/>
                      <w:bCs/>
                      <w:color w:val="auto"/>
                      <w:sz w:val="21"/>
                      <w:szCs w:val="21"/>
                      <w:highlight w:val="none"/>
                    </w:rPr>
                    <w:t>风机</w:t>
                  </w:r>
                </w:p>
              </w:tc>
              <w:tc>
                <w:tcPr>
                  <w:tcW w:w="1361"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16320m</w:t>
                  </w:r>
                  <w:r>
                    <w:rPr>
                      <w:rFonts w:hint="eastAsia" w:ascii="Times New Roman" w:hAnsi="Times New Roman"/>
                      <w:bCs/>
                      <w:color w:val="auto"/>
                      <w:sz w:val="21"/>
                      <w:szCs w:val="21"/>
                      <w:highlight w:val="none"/>
                      <w:vertAlign w:val="superscript"/>
                      <w:lang w:val="en-US" w:eastAsia="zh-CN"/>
                    </w:rPr>
                    <w:t>3</w:t>
                  </w:r>
                  <w:r>
                    <w:rPr>
                      <w:rFonts w:hint="eastAsia" w:ascii="Times New Roman" w:hAnsi="Times New Roman"/>
                      <w:bCs/>
                      <w:color w:val="auto"/>
                      <w:sz w:val="21"/>
                      <w:szCs w:val="21"/>
                      <w:highlight w:val="none"/>
                      <w:lang w:val="en-US" w:eastAsia="zh-CN"/>
                    </w:rPr>
                    <w:t>/h</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highlight w:val="none"/>
                    </w:rPr>
                  </w:pPr>
                  <w:r>
                    <w:rPr>
                      <w:rFonts w:hint="eastAsia" w:ascii="Times New Roman" w:hAnsi="Times New Roman"/>
                      <w:bCs/>
                      <w:color w:val="auto"/>
                      <w:sz w:val="21"/>
                      <w:szCs w:val="21"/>
                      <w:highlight w:val="none"/>
                    </w:rPr>
                    <w:t>台</w:t>
                  </w:r>
                </w:p>
              </w:tc>
              <w:tc>
                <w:tcPr>
                  <w:tcW w:w="661"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highlight w:val="none"/>
                      <w:lang w:eastAsia="zh-CN"/>
                    </w:rPr>
                  </w:pPr>
                  <w:r>
                    <w:rPr>
                      <w:rFonts w:hint="eastAsia" w:ascii="Times New Roman" w:hAnsi="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19</w:t>
                  </w:r>
                </w:p>
              </w:tc>
              <w:tc>
                <w:tcPr>
                  <w:tcW w:w="1916"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隧道窑内循环风机</w:t>
                  </w:r>
                </w:p>
              </w:tc>
              <w:tc>
                <w:tcPr>
                  <w:tcW w:w="1361"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14287m</w:t>
                  </w:r>
                  <w:r>
                    <w:rPr>
                      <w:rFonts w:hint="eastAsia" w:ascii="Times New Roman" w:hAnsi="Times New Roman"/>
                      <w:bCs/>
                      <w:color w:val="auto"/>
                      <w:sz w:val="21"/>
                      <w:szCs w:val="21"/>
                      <w:highlight w:val="none"/>
                      <w:vertAlign w:val="superscript"/>
                      <w:lang w:val="en-US" w:eastAsia="zh-CN"/>
                    </w:rPr>
                    <w:t>3</w:t>
                  </w:r>
                  <w:r>
                    <w:rPr>
                      <w:rFonts w:hint="eastAsia" w:ascii="Times New Roman" w:hAnsi="Times New Roman"/>
                      <w:bCs/>
                      <w:color w:val="auto"/>
                      <w:sz w:val="21"/>
                      <w:szCs w:val="21"/>
                      <w:highlight w:val="none"/>
                      <w:lang w:val="en-US" w:eastAsia="zh-CN"/>
                    </w:rPr>
                    <w:t>/h</w:t>
                  </w:r>
                </w:p>
              </w:tc>
              <w:tc>
                <w:tcPr>
                  <w:tcW w:w="46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661"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20</w:t>
                  </w:r>
                </w:p>
              </w:tc>
              <w:tc>
                <w:tcPr>
                  <w:tcW w:w="1916"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固定污染源自动在线监测系统</w:t>
                  </w:r>
                </w:p>
              </w:tc>
              <w:tc>
                <w:tcPr>
                  <w:tcW w:w="1361"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CM-CEMS-8000</w:t>
                  </w:r>
                </w:p>
              </w:tc>
              <w:tc>
                <w:tcPr>
                  <w:tcW w:w="466"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台</w:t>
                  </w:r>
                </w:p>
              </w:tc>
              <w:tc>
                <w:tcPr>
                  <w:tcW w:w="661"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21</w:t>
                  </w:r>
                </w:p>
              </w:tc>
              <w:tc>
                <w:tcPr>
                  <w:tcW w:w="1916"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装载机</w:t>
                  </w:r>
                </w:p>
              </w:tc>
              <w:tc>
                <w:tcPr>
                  <w:tcW w:w="1361"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50</w:t>
                  </w:r>
                </w:p>
              </w:tc>
              <w:tc>
                <w:tcPr>
                  <w:tcW w:w="466"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辆</w:t>
                  </w:r>
                </w:p>
              </w:tc>
              <w:tc>
                <w:tcPr>
                  <w:tcW w:w="661"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22</w:t>
                  </w:r>
                </w:p>
              </w:tc>
              <w:tc>
                <w:tcPr>
                  <w:tcW w:w="1916"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循环水泵</w:t>
                  </w:r>
                </w:p>
              </w:tc>
              <w:tc>
                <w:tcPr>
                  <w:tcW w:w="1361"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w:t>
                  </w:r>
                </w:p>
              </w:tc>
              <w:tc>
                <w:tcPr>
                  <w:tcW w:w="466"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661"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4</w:t>
                  </w:r>
                </w:p>
              </w:tc>
            </w:tr>
          </w:tbl>
          <w:p>
            <w:pPr>
              <w:pStyle w:val="60"/>
              <w:ind w:firstLine="420"/>
              <w:rPr>
                <w:rFonts w:hint="eastAsia"/>
                <w:color w:val="auto"/>
                <w:sz w:val="24"/>
                <w:szCs w:val="24"/>
                <w:lang w:val="en-US" w:eastAsia="zh-CN"/>
              </w:rPr>
            </w:pPr>
            <w:r>
              <w:rPr>
                <w:rFonts w:hint="eastAsia"/>
                <w:color w:val="auto"/>
                <w:sz w:val="24"/>
                <w:szCs w:val="24"/>
                <w:lang w:val="en-US" w:eastAsia="zh-CN"/>
              </w:rPr>
              <w:t>根据建设提供的湿式脱硫除尘塔设计方案可知，项目拟采用的脱硫除尘塔参数见表2-15：</w:t>
            </w:r>
          </w:p>
          <w:p>
            <w:pPr>
              <w:jc w:val="center"/>
              <w:rPr>
                <w:rFonts w:hint="eastAsia"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表2-</w:t>
            </w:r>
            <w:r>
              <w:rPr>
                <w:rFonts w:hint="eastAsia"/>
                <w:b/>
                <w:bCs/>
                <w:color w:val="auto"/>
                <w:sz w:val="21"/>
                <w:szCs w:val="21"/>
                <w:lang w:val="en-US" w:eastAsia="zh-CN"/>
              </w:rPr>
              <w:t>15</w:t>
            </w:r>
            <w:r>
              <w:rPr>
                <w:rFonts w:hint="eastAsia" w:ascii="Times New Roman" w:hAnsi="Times New Roman"/>
                <w:b/>
                <w:bCs/>
                <w:color w:val="auto"/>
                <w:sz w:val="21"/>
                <w:szCs w:val="21"/>
                <w:lang w:val="en-US" w:eastAsia="zh-CN"/>
              </w:rPr>
              <w:t xml:space="preserve">   拟采用的脱硫塔参数一览表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型号</w:t>
                  </w:r>
                </w:p>
              </w:tc>
              <w:tc>
                <w:tcPr>
                  <w:tcW w:w="2500"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color w:val="auto"/>
                      <w:sz w:val="21"/>
                      <w:szCs w:val="21"/>
                      <w:vertAlign w:val="baseline"/>
                      <w:lang w:val="en-US" w:eastAsia="zh-CN"/>
                    </w:rPr>
                  </w:pPr>
                  <w:r>
                    <w:rPr>
                      <w:rFonts w:hint="eastAsia"/>
                      <w:bCs/>
                      <w:color w:val="auto"/>
                      <w:sz w:val="21"/>
                      <w:szCs w:val="21"/>
                      <w:lang w:val="en-US" w:eastAsia="zh-CN"/>
                    </w:rPr>
                    <w:t>QYD45-2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变换气流量</w:t>
                  </w:r>
                </w:p>
              </w:tc>
              <w:tc>
                <w:tcPr>
                  <w:tcW w:w="2500"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71633Nm</w:t>
                  </w:r>
                  <w:r>
                    <w:rPr>
                      <w:rFonts w:hint="eastAsia"/>
                      <w:color w:val="auto"/>
                      <w:sz w:val="21"/>
                      <w:szCs w:val="21"/>
                      <w:vertAlign w:val="superscript"/>
                      <w:lang w:val="en-US" w:eastAsia="zh-CN"/>
                    </w:rPr>
                    <w:t>3</w:t>
                  </w:r>
                  <w:r>
                    <w:rPr>
                      <w:rFonts w:hint="eastAsia"/>
                      <w:color w:val="auto"/>
                      <w:sz w:val="21"/>
                      <w:szCs w:val="21"/>
                      <w:vertAlign w:val="baseli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压力</w:t>
                  </w:r>
                </w:p>
              </w:tc>
              <w:tc>
                <w:tcPr>
                  <w:tcW w:w="2500"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0.80MPa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入口H</w:t>
                  </w:r>
                  <w:r>
                    <w:rPr>
                      <w:rFonts w:hint="eastAsia"/>
                      <w:color w:val="auto"/>
                      <w:sz w:val="21"/>
                      <w:szCs w:val="21"/>
                      <w:vertAlign w:val="subscript"/>
                      <w:lang w:val="en-US" w:eastAsia="zh-CN"/>
                    </w:rPr>
                    <w:t>2</w:t>
                  </w:r>
                  <w:r>
                    <w:rPr>
                      <w:rFonts w:hint="eastAsia"/>
                      <w:color w:val="auto"/>
                      <w:sz w:val="21"/>
                      <w:szCs w:val="21"/>
                      <w:vertAlign w:val="baseline"/>
                      <w:lang w:val="en-US" w:eastAsia="zh-CN"/>
                    </w:rPr>
                    <w:t>S</w:t>
                  </w:r>
                </w:p>
              </w:tc>
              <w:tc>
                <w:tcPr>
                  <w:tcW w:w="2500"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150-250mg/Nm</w:t>
                  </w:r>
                  <w:r>
                    <w:rPr>
                      <w:rFonts w:hint="eastAsia"/>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出口H</w:t>
                  </w:r>
                  <w:r>
                    <w:rPr>
                      <w:rFonts w:hint="eastAsia"/>
                      <w:color w:val="auto"/>
                      <w:sz w:val="21"/>
                      <w:szCs w:val="21"/>
                      <w:vertAlign w:val="subscript"/>
                      <w:lang w:val="en-US" w:eastAsia="zh-CN"/>
                    </w:rPr>
                    <w:t>2</w:t>
                  </w:r>
                  <w:r>
                    <w:rPr>
                      <w:rFonts w:hint="eastAsia"/>
                      <w:color w:val="auto"/>
                      <w:sz w:val="21"/>
                      <w:szCs w:val="21"/>
                      <w:vertAlign w:val="baseline"/>
                      <w:lang w:val="en-US" w:eastAsia="zh-CN"/>
                    </w:rPr>
                    <w:t>S</w:t>
                  </w:r>
                </w:p>
              </w:tc>
              <w:tc>
                <w:tcPr>
                  <w:tcW w:w="2500"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10mg/Nm</w:t>
                  </w:r>
                  <w:r>
                    <w:rPr>
                      <w:rFonts w:hint="eastAsia"/>
                      <w:color w:val="auto"/>
                      <w:sz w:val="21"/>
                      <w:szCs w:val="21"/>
                      <w:vertAlign w:val="superscript"/>
                      <w:lang w:val="en-US" w:eastAsia="zh-CN"/>
                    </w:rPr>
                    <w:t>3</w:t>
                  </w:r>
                  <w:r>
                    <w:rPr>
                      <w:rFonts w:hint="eastAsia"/>
                      <w:color w:val="auto"/>
                      <w:sz w:val="21"/>
                      <w:szCs w:val="21"/>
                      <w:vertAlign w:val="baseline"/>
                      <w:lang w:val="en-US" w:eastAsia="zh-CN"/>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溶液循环量</w:t>
                  </w:r>
                </w:p>
              </w:tc>
              <w:tc>
                <w:tcPr>
                  <w:tcW w:w="2500"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line="240" w:lineRule="auto"/>
                    <w:ind w:firstLine="198"/>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150m</w:t>
                  </w:r>
                  <w:r>
                    <w:rPr>
                      <w:rFonts w:hint="eastAsia"/>
                      <w:color w:val="auto"/>
                      <w:sz w:val="21"/>
                      <w:szCs w:val="21"/>
                      <w:vertAlign w:val="superscript"/>
                      <w:lang w:val="en-US" w:eastAsia="zh-CN"/>
                    </w:rPr>
                    <w:t>3</w:t>
                  </w:r>
                  <w:r>
                    <w:rPr>
                      <w:rFonts w:hint="eastAsia"/>
                      <w:color w:val="auto"/>
                      <w:sz w:val="21"/>
                      <w:szCs w:val="21"/>
                      <w:vertAlign w:val="baseline"/>
                      <w:lang w:val="en-US" w:eastAsia="zh-CN"/>
                    </w:rPr>
                    <w:t>/h</w:t>
                  </w:r>
                </w:p>
              </w:tc>
            </w:tr>
          </w:tbl>
          <w:p>
            <w:pPr>
              <w:pStyle w:val="60"/>
              <w:ind w:left="0" w:leftChars="0" w:firstLine="0" w:firstLineChars="0"/>
              <w:rPr>
                <w:rFonts w:hint="default"/>
                <w:b/>
                <w:bCs/>
                <w:color w:val="auto"/>
                <w:sz w:val="24"/>
                <w:szCs w:val="24"/>
                <w:lang w:val="en-US" w:eastAsia="zh-CN"/>
              </w:rPr>
            </w:pPr>
            <w:r>
              <w:rPr>
                <w:rFonts w:hint="eastAsia"/>
                <w:b/>
                <w:bCs/>
                <w:color w:val="auto"/>
                <w:sz w:val="24"/>
                <w:szCs w:val="24"/>
                <w:lang w:val="en-US" w:eastAsia="zh-CN"/>
              </w:rPr>
              <w:t>8.</w:t>
            </w:r>
            <w:r>
              <w:rPr>
                <w:b/>
                <w:bCs/>
                <w:color w:val="000000"/>
                <w:kern w:val="0"/>
                <w:sz w:val="24"/>
              </w:rPr>
              <w:t>生产工艺流程及产污环节图</w:t>
            </w:r>
          </w:p>
          <w:p>
            <w:pPr>
              <w:pStyle w:val="60"/>
              <w:ind w:firstLine="420"/>
              <w:rPr>
                <w:color w:val="auto"/>
                <w:sz w:val="24"/>
                <w:szCs w:val="24"/>
              </w:rPr>
            </w:pPr>
            <w:r>
              <w:rPr>
                <w:color w:val="auto"/>
                <w:sz w:val="24"/>
                <w:szCs w:val="24"/>
              </w:rPr>
              <w:t>项目运营期包括粘土开采及烧结砖生产，工艺流程分述如下：</w:t>
            </w:r>
          </w:p>
          <w:p>
            <w:pPr>
              <w:pStyle w:val="60"/>
              <w:numPr>
                <w:ilvl w:val="0"/>
                <w:numId w:val="0"/>
              </w:numPr>
              <w:rPr>
                <w:b/>
                <w:bCs/>
                <w:color w:val="auto"/>
                <w:sz w:val="24"/>
                <w:szCs w:val="24"/>
              </w:rPr>
            </w:pPr>
            <w:r>
              <w:rPr>
                <w:rFonts w:hint="eastAsia"/>
                <w:b/>
                <w:bCs/>
                <w:color w:val="auto"/>
                <w:sz w:val="24"/>
                <w:szCs w:val="24"/>
                <w:lang w:val="en-US" w:eastAsia="zh-CN"/>
              </w:rPr>
              <w:t>8.1</w:t>
            </w:r>
            <w:r>
              <w:rPr>
                <w:b/>
                <w:bCs/>
                <w:color w:val="auto"/>
                <w:sz w:val="24"/>
                <w:szCs w:val="24"/>
              </w:rPr>
              <w:t>粘土矿开采</w:t>
            </w:r>
          </w:p>
          <w:p>
            <w:pPr>
              <w:pStyle w:val="14"/>
              <w:rPr>
                <w:rFonts w:cs="Times New Roman"/>
                <w:color w:val="auto"/>
              </w:rPr>
            </w:pPr>
            <w:r>
              <w:rPr>
                <w:color w:val="auto"/>
              </w:rPr>
              <w:object>
                <v:shape id="_x0000_i1027" o:spt="75" type="#_x0000_t75" style="height:128.95pt;width:164.7pt;" o:ole="t" filled="f" o:preferrelative="t" stroked="f" coordsize="21600,21600">
                  <v:path/>
                  <v:fill on="f" focussize="0,0"/>
                  <v:stroke on="f"/>
                  <v:imagedata r:id="rId11" o:title=""/>
                  <o:lock v:ext="edit" aspectratio="t"/>
                  <w10:wrap type="none"/>
                  <w10:anchorlock/>
                </v:shape>
                <o:OLEObject Type="Embed" ProgID="Visio.Drawing.15" ShapeID="_x0000_i1027" DrawAspect="Content" ObjectID="_1468075727">
                  <o:LockedField>false</o:LockedField>
                </o:OLEObject>
              </w:object>
            </w:r>
          </w:p>
          <w:p>
            <w:pPr>
              <w:pStyle w:val="14"/>
              <w:rPr>
                <w:rFonts w:eastAsia="宋体" w:cs="Times New Roman"/>
                <w:color w:val="auto"/>
              </w:rPr>
            </w:pPr>
            <w:r>
              <w:rPr>
                <w:rFonts w:eastAsia="宋体" w:cs="Times New Roman"/>
                <w:color w:val="auto"/>
              </w:rPr>
              <w:t>图</w:t>
            </w:r>
            <w:r>
              <w:rPr>
                <w:rFonts w:hint="eastAsia" w:eastAsia="宋体" w:cs="Times New Roman"/>
                <w:color w:val="auto"/>
                <w:lang w:val="en-US" w:eastAsia="zh-CN"/>
              </w:rPr>
              <w:t>1</w:t>
            </w:r>
            <w:r>
              <w:rPr>
                <w:rFonts w:cs="Times New Roman"/>
                <w:color w:val="auto"/>
              </w:rPr>
              <w:t xml:space="preserve"> </w:t>
            </w:r>
            <w:r>
              <w:rPr>
                <w:rFonts w:hint="eastAsia" w:eastAsia="宋体" w:cs="Times New Roman"/>
                <w:color w:val="auto"/>
                <w:lang w:val="en-US" w:eastAsia="zh-CN"/>
              </w:rPr>
              <w:t xml:space="preserve">  </w:t>
            </w:r>
            <w:r>
              <w:rPr>
                <w:rFonts w:eastAsia="宋体" w:cs="Times New Roman"/>
                <w:color w:val="auto"/>
              </w:rPr>
              <w:t>粘土开采工艺流程及产污环节图</w:t>
            </w:r>
          </w:p>
          <w:p>
            <w:pPr>
              <w:pStyle w:val="60"/>
              <w:ind w:firstLine="420"/>
              <w:rPr>
                <w:color w:val="auto"/>
                <w:sz w:val="24"/>
                <w:szCs w:val="24"/>
              </w:rPr>
            </w:pPr>
            <w:r>
              <w:rPr>
                <w:color w:val="auto"/>
                <w:sz w:val="24"/>
                <w:szCs w:val="24"/>
              </w:rPr>
              <w:t>粘土矿开采产污环节包括：</w:t>
            </w:r>
          </w:p>
          <w:p>
            <w:pPr>
              <w:pStyle w:val="60"/>
              <w:ind w:firstLine="420"/>
              <w:rPr>
                <w:color w:val="auto"/>
                <w:sz w:val="24"/>
                <w:szCs w:val="24"/>
              </w:rPr>
            </w:pPr>
            <w:r>
              <w:rPr>
                <w:color w:val="auto"/>
                <w:sz w:val="24"/>
                <w:szCs w:val="24"/>
              </w:rPr>
              <w:t>（1）粘土矿开采过程造成开采区植被破坏、采矿机械产生的噪声及扬尘等；</w:t>
            </w:r>
          </w:p>
          <w:p>
            <w:pPr>
              <w:pStyle w:val="60"/>
              <w:ind w:firstLine="420"/>
              <w:rPr>
                <w:color w:val="auto"/>
                <w:sz w:val="24"/>
                <w:szCs w:val="24"/>
              </w:rPr>
            </w:pPr>
            <w:r>
              <w:rPr>
                <w:color w:val="auto"/>
                <w:sz w:val="24"/>
                <w:szCs w:val="24"/>
              </w:rPr>
              <w:t>（2）粘土在运至</w:t>
            </w:r>
            <w:r>
              <w:rPr>
                <w:rFonts w:hint="eastAsia"/>
                <w:color w:val="auto"/>
                <w:sz w:val="24"/>
                <w:szCs w:val="24"/>
                <w:lang w:eastAsia="zh-CN"/>
              </w:rPr>
              <w:t>原料库</w:t>
            </w:r>
            <w:r>
              <w:rPr>
                <w:color w:val="auto"/>
                <w:sz w:val="24"/>
                <w:szCs w:val="24"/>
              </w:rPr>
              <w:t>过程中运输车辆产生扬尘及噪声等。</w:t>
            </w:r>
          </w:p>
          <w:p>
            <w:pPr>
              <w:pStyle w:val="60"/>
              <w:ind w:left="0" w:leftChars="0" w:firstLine="0" w:firstLineChars="0"/>
              <w:rPr>
                <w:b/>
                <w:bCs/>
                <w:color w:val="auto"/>
                <w:sz w:val="24"/>
                <w:szCs w:val="24"/>
              </w:rPr>
            </w:pPr>
            <w:r>
              <w:rPr>
                <w:rFonts w:hint="eastAsia"/>
                <w:b/>
                <w:bCs/>
                <w:color w:val="auto"/>
                <w:sz w:val="24"/>
                <w:szCs w:val="24"/>
                <w:lang w:val="en-US" w:eastAsia="zh-CN"/>
              </w:rPr>
              <w:t>8.2</w:t>
            </w:r>
            <w:r>
              <w:rPr>
                <w:b/>
                <w:bCs/>
                <w:color w:val="auto"/>
                <w:sz w:val="24"/>
                <w:szCs w:val="24"/>
              </w:rPr>
              <w:t>烧结砖生产</w:t>
            </w:r>
          </w:p>
          <w:p>
            <w:pPr>
              <w:pStyle w:val="14"/>
              <w:rPr>
                <w:color w:val="auto"/>
              </w:rPr>
            </w:pPr>
            <w:r>
              <w:drawing>
                <wp:inline distT="0" distB="0" distL="114300" distR="114300">
                  <wp:extent cx="4424680" cy="4001135"/>
                  <wp:effectExtent l="0" t="0" r="13970" b="184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4424680" cy="4001135"/>
                          </a:xfrm>
                          <a:prstGeom prst="rect">
                            <a:avLst/>
                          </a:prstGeom>
                          <a:noFill/>
                          <a:ln>
                            <a:noFill/>
                          </a:ln>
                        </pic:spPr>
                      </pic:pic>
                    </a:graphicData>
                  </a:graphic>
                </wp:inline>
              </w:drawing>
            </w:r>
          </w:p>
          <w:p>
            <w:pPr>
              <w:pStyle w:val="14"/>
              <w:rPr>
                <w:rFonts w:cs="Times New Roman"/>
                <w:b w:val="0"/>
                <w:bCs/>
                <w:color w:val="auto"/>
              </w:rPr>
            </w:pPr>
            <w:r>
              <w:rPr>
                <w:rFonts w:hint="eastAsia" w:ascii="宋体" w:hAnsi="宋体" w:eastAsia="宋体" w:cs="宋体"/>
                <w:color w:val="auto"/>
              </w:rPr>
              <w:t>图</w:t>
            </w:r>
            <w:r>
              <w:rPr>
                <w:rFonts w:hint="eastAsia" w:eastAsia="宋体"/>
                <w:color w:val="auto"/>
                <w:lang w:val="en-US" w:eastAsia="zh-CN"/>
              </w:rPr>
              <w:t>2</w:t>
            </w:r>
            <w:r>
              <w:rPr>
                <w:color w:val="auto"/>
              </w:rPr>
              <w:t xml:space="preserve"> </w:t>
            </w:r>
            <w:r>
              <w:rPr>
                <w:rFonts w:hint="eastAsia" w:eastAsia="宋体"/>
                <w:color w:val="auto"/>
                <w:lang w:val="en-US" w:eastAsia="zh-CN"/>
              </w:rPr>
              <w:t xml:space="preserve">  </w:t>
            </w:r>
            <w:r>
              <w:rPr>
                <w:rFonts w:eastAsia="宋体" w:cs="Times New Roman"/>
                <w:color w:val="auto"/>
              </w:rPr>
              <w:t>烧结砖生产工艺流程及产污环节图</w:t>
            </w:r>
          </w:p>
          <w:p>
            <w:pPr>
              <w:pStyle w:val="60"/>
              <w:keepNext w:val="0"/>
              <w:keepLines w:val="0"/>
              <w:pageBreakBefore w:val="0"/>
              <w:widowControl w:val="0"/>
              <w:kinsoku/>
              <w:wordWrap/>
              <w:overflowPunct/>
              <w:topLinePunct w:val="0"/>
              <w:autoSpaceDE/>
              <w:autoSpaceDN/>
              <w:bidi w:val="0"/>
              <w:adjustRightInd/>
              <w:snapToGrid/>
              <w:spacing w:line="360" w:lineRule="auto"/>
              <w:ind w:firstLine="422"/>
              <w:textAlignment w:val="auto"/>
              <w:rPr>
                <w:b/>
                <w:bCs/>
                <w:color w:val="auto"/>
                <w:sz w:val="24"/>
                <w:szCs w:val="24"/>
              </w:rPr>
            </w:pPr>
            <w:r>
              <w:rPr>
                <w:b/>
                <w:bCs/>
                <w:color w:val="auto"/>
                <w:sz w:val="24"/>
                <w:szCs w:val="24"/>
              </w:rPr>
              <w:t>工艺流程及产污环节简述：</w:t>
            </w:r>
          </w:p>
          <w:p>
            <w:pPr>
              <w:pStyle w:val="60"/>
              <w:ind w:firstLine="480"/>
              <w:rPr>
                <w:rFonts w:hint="default" w:eastAsia="宋体"/>
                <w:color w:val="auto"/>
                <w:sz w:val="24"/>
                <w:lang w:val="en-US" w:eastAsia="zh-CN"/>
              </w:rPr>
            </w:pPr>
            <w:r>
              <w:rPr>
                <w:rFonts w:hint="eastAsia"/>
                <w:color w:val="auto"/>
                <w:sz w:val="24"/>
              </w:rPr>
              <w:t>①粘土由铲车从采矿区运输至原料车间后通过给料机</w:t>
            </w:r>
            <w:r>
              <w:rPr>
                <w:rFonts w:hint="eastAsia"/>
                <w:color w:val="auto"/>
                <w:sz w:val="24"/>
                <w:lang w:val="en-US" w:eastAsia="zh-CN"/>
              </w:rPr>
              <w:t>及密闭廊道</w:t>
            </w:r>
            <w:r>
              <w:rPr>
                <w:rFonts w:hint="eastAsia"/>
                <w:color w:val="auto"/>
                <w:sz w:val="24"/>
              </w:rPr>
              <w:t>输送至打土机，打碎后进行筛分；煤矸石</w:t>
            </w:r>
            <w:r>
              <w:rPr>
                <w:rFonts w:hint="eastAsia"/>
                <w:color w:val="auto"/>
                <w:sz w:val="24"/>
                <w:lang w:val="en-US" w:eastAsia="zh-CN"/>
              </w:rPr>
              <w:t>通过密闭廊道</w:t>
            </w:r>
            <w:r>
              <w:rPr>
                <w:rFonts w:hint="eastAsia"/>
                <w:color w:val="auto"/>
                <w:sz w:val="24"/>
              </w:rPr>
              <w:t>送至破碎机经过破碎后进行筛分；筛分后粘土、煤矸石的筛下料混合</w:t>
            </w:r>
            <w:r>
              <w:rPr>
                <w:rFonts w:hint="eastAsia"/>
                <w:color w:val="auto"/>
                <w:sz w:val="24"/>
                <w:lang w:val="en-US" w:eastAsia="zh-CN"/>
              </w:rPr>
              <w:t>通过密闭廊道</w:t>
            </w:r>
            <w:r>
              <w:rPr>
                <w:rFonts w:hint="eastAsia"/>
                <w:color w:val="auto"/>
                <w:sz w:val="24"/>
              </w:rPr>
              <w:t>送入搅拌机加水搅拌</w:t>
            </w:r>
            <w:r>
              <w:rPr>
                <w:rFonts w:hint="eastAsia"/>
                <w:color w:val="auto"/>
                <w:sz w:val="24"/>
                <w:lang w:val="en-US" w:eastAsia="zh-CN"/>
              </w:rPr>
              <w:t>后</w:t>
            </w:r>
            <w:r>
              <w:rPr>
                <w:color w:val="auto"/>
                <w:sz w:val="24"/>
              </w:rPr>
              <w:t>经</w:t>
            </w:r>
            <w:r>
              <w:rPr>
                <w:rFonts w:hint="eastAsia"/>
                <w:color w:val="auto"/>
                <w:sz w:val="24"/>
                <w:lang w:val="en-US" w:eastAsia="zh-CN"/>
              </w:rPr>
              <w:t>密闭廊道</w:t>
            </w:r>
            <w:r>
              <w:rPr>
                <w:color w:val="auto"/>
                <w:sz w:val="24"/>
              </w:rPr>
              <w:t>输送至陈化库进行陈化</w:t>
            </w:r>
            <w:r>
              <w:rPr>
                <w:rFonts w:hint="eastAsia"/>
                <w:color w:val="auto"/>
                <w:sz w:val="24"/>
              </w:rPr>
              <w:t>；</w:t>
            </w:r>
            <w:r>
              <w:rPr>
                <w:rFonts w:hint="eastAsia"/>
                <w:color w:val="auto"/>
                <w:sz w:val="24"/>
                <w:lang w:val="en-US" w:eastAsia="zh-CN"/>
              </w:rPr>
              <w:t>煤矸石及粘土的筛上料继续返回至上一个工序进行破碎。</w:t>
            </w:r>
          </w:p>
          <w:p>
            <w:pPr>
              <w:pStyle w:val="60"/>
              <w:ind w:firstLine="480"/>
              <w:rPr>
                <w:rFonts w:ascii="宋体" w:hAnsi="宋体" w:cs="宋体"/>
                <w:color w:val="auto"/>
                <w:sz w:val="24"/>
              </w:rPr>
            </w:pPr>
            <w:r>
              <w:rPr>
                <w:color w:val="auto"/>
                <w:sz w:val="24"/>
              </w:rPr>
              <w:t>此工序</w:t>
            </w:r>
            <w:r>
              <w:rPr>
                <w:rFonts w:hint="eastAsia"/>
                <w:color w:val="auto"/>
                <w:sz w:val="24"/>
                <w:lang w:val="en-US" w:eastAsia="zh-CN"/>
              </w:rPr>
              <w:t>皮带运输为全密封过程，</w:t>
            </w:r>
            <w:r>
              <w:rPr>
                <w:color w:val="auto"/>
                <w:sz w:val="24"/>
              </w:rPr>
              <w:t>主要污染为</w:t>
            </w:r>
            <w:r>
              <w:rPr>
                <w:rFonts w:hint="eastAsia"/>
                <w:color w:val="auto"/>
                <w:sz w:val="24"/>
              </w:rPr>
              <w:t>粘土</w:t>
            </w:r>
            <w:r>
              <w:rPr>
                <w:rFonts w:hint="eastAsia"/>
                <w:color w:val="auto"/>
                <w:sz w:val="24"/>
                <w:lang w:val="en-US" w:eastAsia="zh-CN"/>
              </w:rPr>
              <w:t>转运</w:t>
            </w:r>
            <w:r>
              <w:rPr>
                <w:rFonts w:hint="eastAsia"/>
                <w:color w:val="auto"/>
                <w:sz w:val="24"/>
              </w:rPr>
              <w:t>、</w:t>
            </w:r>
            <w:r>
              <w:rPr>
                <w:color w:val="auto"/>
                <w:sz w:val="24"/>
              </w:rPr>
              <w:t>破碎、筛分等过程产生的粉尘及设备运行的机械噪声等。</w:t>
            </w:r>
          </w:p>
          <w:p>
            <w:pPr>
              <w:pStyle w:val="60"/>
              <w:ind w:firstLine="480"/>
              <w:rPr>
                <w:sz w:val="24"/>
              </w:rPr>
            </w:pPr>
            <w:r>
              <w:rPr>
                <w:rFonts w:hint="eastAsia" w:ascii="宋体" w:hAnsi="宋体" w:cs="宋体"/>
                <w:sz w:val="24"/>
              </w:rPr>
              <w:t>②</w:t>
            </w:r>
            <w:r>
              <w:rPr>
                <w:sz w:val="24"/>
              </w:rPr>
              <w:t>陈化</w:t>
            </w:r>
          </w:p>
          <w:p>
            <w:pPr>
              <w:pStyle w:val="60"/>
              <w:ind w:firstLine="480"/>
              <w:rPr>
                <w:color w:val="auto"/>
                <w:sz w:val="24"/>
              </w:rPr>
            </w:pPr>
            <w:r>
              <w:rPr>
                <w:color w:val="auto"/>
                <w:sz w:val="24"/>
              </w:rPr>
              <w:t>陈化是将粉磨至所需细度的料加少量水浸润，使其进一步疏解，促使水分分布均匀。原料陈化后，不但可以改善原料的塑性、成型性能和干燥性能，提高制品质量，而且能起到储存缓冲的作用。陈化处理后的混合</w:t>
            </w:r>
            <w:r>
              <w:rPr>
                <w:rFonts w:hint="eastAsia"/>
                <w:color w:val="auto"/>
                <w:sz w:val="24"/>
                <w:lang w:val="en-US" w:eastAsia="zh-CN"/>
              </w:rPr>
              <w:t>料通过皮带</w:t>
            </w:r>
            <w:r>
              <w:rPr>
                <w:color w:val="auto"/>
                <w:sz w:val="24"/>
              </w:rPr>
              <w:t>送入箱式给料机缓冲处理后，均匀进入</w:t>
            </w:r>
            <w:r>
              <w:rPr>
                <w:rFonts w:hint="eastAsia"/>
                <w:color w:val="auto"/>
                <w:sz w:val="24"/>
              </w:rPr>
              <w:t>搅拌机</w:t>
            </w:r>
            <w:r>
              <w:rPr>
                <w:color w:val="auto"/>
                <w:sz w:val="24"/>
              </w:rPr>
              <w:t>再进行适当加水搅拌。</w:t>
            </w:r>
          </w:p>
          <w:p>
            <w:pPr>
              <w:pStyle w:val="60"/>
              <w:ind w:firstLine="480"/>
              <w:rPr>
                <w:rFonts w:ascii="宋体" w:hAnsi="宋体" w:cs="宋体"/>
                <w:sz w:val="24"/>
              </w:rPr>
            </w:pPr>
            <w:r>
              <w:rPr>
                <w:rFonts w:hint="eastAsia" w:ascii="宋体" w:hAnsi="宋体" w:cs="宋体"/>
                <w:sz w:val="24"/>
                <w:lang w:val="en-US" w:eastAsia="zh-CN"/>
              </w:rPr>
              <w:t>此工序</w:t>
            </w:r>
            <w:r>
              <w:rPr>
                <w:rFonts w:hint="eastAsia" w:ascii="宋体" w:hAnsi="宋体" w:cs="宋体"/>
                <w:sz w:val="24"/>
              </w:rPr>
              <w:t>污染物主要为多斗挖掘机工作时产生的噪声</w:t>
            </w:r>
          </w:p>
          <w:p>
            <w:pPr>
              <w:pStyle w:val="60"/>
              <w:ind w:firstLine="480"/>
              <w:rPr>
                <w:color w:val="auto"/>
                <w:sz w:val="24"/>
              </w:rPr>
            </w:pPr>
            <w:r>
              <w:rPr>
                <w:rFonts w:hint="eastAsia" w:ascii="宋体" w:hAnsi="宋体" w:cs="宋体"/>
                <w:color w:val="auto"/>
                <w:sz w:val="24"/>
              </w:rPr>
              <w:t>③</w:t>
            </w:r>
            <w:r>
              <w:rPr>
                <w:color w:val="auto"/>
                <w:sz w:val="24"/>
              </w:rPr>
              <w:t>制坯、切坯、码坯</w:t>
            </w:r>
          </w:p>
          <w:p>
            <w:pPr>
              <w:pStyle w:val="60"/>
              <w:ind w:firstLine="480"/>
              <w:rPr>
                <w:color w:val="auto"/>
                <w:sz w:val="24"/>
              </w:rPr>
            </w:pPr>
            <w:r>
              <w:rPr>
                <w:color w:val="auto"/>
                <w:sz w:val="24"/>
              </w:rPr>
              <w:t>经过二次加水搅拌后的原料</w:t>
            </w:r>
            <w:r>
              <w:rPr>
                <w:rFonts w:hint="eastAsia"/>
                <w:color w:val="auto"/>
                <w:sz w:val="24"/>
                <w:lang w:val="en-US" w:eastAsia="zh-CN"/>
              </w:rPr>
              <w:t>由皮带输送机</w:t>
            </w:r>
            <w:r>
              <w:rPr>
                <w:rFonts w:hint="eastAsia"/>
                <w:color w:val="auto"/>
                <w:sz w:val="24"/>
              </w:rPr>
              <w:t>送入强力搅拌挤出机达到成型的目的</w:t>
            </w:r>
            <w:r>
              <w:rPr>
                <w:color w:val="auto"/>
                <w:sz w:val="24"/>
              </w:rPr>
              <w:t>，再经过真空处理后制成生坯，经自动切条机、自动切坯机切割成所要求尺寸的砖坯，由自动化高效码坯机码坯。</w:t>
            </w:r>
          </w:p>
          <w:p>
            <w:pPr>
              <w:pStyle w:val="60"/>
              <w:ind w:firstLine="480"/>
              <w:rPr>
                <w:color w:val="auto"/>
                <w:sz w:val="24"/>
              </w:rPr>
            </w:pPr>
            <w:r>
              <w:rPr>
                <w:color w:val="auto"/>
                <w:sz w:val="24"/>
              </w:rPr>
              <w:t>该工段主要污染包括设备机械噪声和制坯、切坯过程产生的边角料。</w:t>
            </w:r>
          </w:p>
          <w:p>
            <w:pPr>
              <w:pStyle w:val="60"/>
              <w:ind w:firstLine="480"/>
              <w:rPr>
                <w:color w:val="auto"/>
                <w:sz w:val="24"/>
              </w:rPr>
            </w:pPr>
            <w:r>
              <w:rPr>
                <w:rFonts w:hint="eastAsia" w:ascii="宋体" w:hAnsi="宋体" w:cs="宋体"/>
                <w:color w:val="auto"/>
                <w:sz w:val="24"/>
              </w:rPr>
              <w:t>④烘干</w:t>
            </w:r>
          </w:p>
          <w:p>
            <w:pPr>
              <w:pStyle w:val="60"/>
              <w:ind w:firstLine="480"/>
              <w:rPr>
                <w:color w:val="auto"/>
                <w:sz w:val="24"/>
              </w:rPr>
            </w:pPr>
            <w:r>
              <w:rPr>
                <w:color w:val="auto"/>
                <w:sz w:val="24"/>
              </w:rPr>
              <w:t>干燥是烧结砖工业非常重要的生产环节，干燥设备运行的正常与否，直接关系到整条生产线的产品产量和质量，关系到企业的生产经营成本和经济效益。</w:t>
            </w:r>
            <w:r>
              <w:rPr>
                <w:rFonts w:hint="eastAsia"/>
                <w:color w:val="auto"/>
                <w:sz w:val="24"/>
                <w:lang w:val="en-US" w:eastAsia="zh-CN"/>
              </w:rPr>
              <w:t>砖坯通过摆渡车送至烘干处，</w:t>
            </w:r>
            <w:r>
              <w:rPr>
                <w:color w:val="auto"/>
                <w:sz w:val="24"/>
              </w:rPr>
              <w:t>砖坯干燥采用自动方式进行，利用焙烧窑炉余热打入</w:t>
            </w:r>
            <w:r>
              <w:rPr>
                <w:rFonts w:hint="eastAsia"/>
                <w:color w:val="auto"/>
                <w:sz w:val="24"/>
              </w:rPr>
              <w:t>烘干窑</w:t>
            </w:r>
            <w:r>
              <w:rPr>
                <w:color w:val="auto"/>
                <w:sz w:val="24"/>
              </w:rPr>
              <w:t>出口处采用逆流进风干燥</w:t>
            </w:r>
            <w:r>
              <w:rPr>
                <w:rFonts w:hint="eastAsia"/>
                <w:color w:val="auto"/>
                <w:sz w:val="24"/>
              </w:rPr>
              <w:t>。</w:t>
            </w:r>
          </w:p>
          <w:p>
            <w:pPr>
              <w:pStyle w:val="60"/>
              <w:ind w:firstLine="480"/>
              <w:rPr>
                <w:sz w:val="24"/>
              </w:rPr>
            </w:pPr>
            <w:r>
              <w:rPr>
                <w:rFonts w:hint="eastAsia" w:ascii="宋体" w:hAnsi="宋体" w:cs="宋体"/>
                <w:sz w:val="24"/>
              </w:rPr>
              <w:t>⑤</w:t>
            </w:r>
            <w:r>
              <w:rPr>
                <w:sz w:val="24"/>
              </w:rPr>
              <w:t>焙烧</w:t>
            </w:r>
          </w:p>
          <w:p>
            <w:pPr>
              <w:pStyle w:val="60"/>
              <w:ind w:firstLine="480"/>
              <w:rPr>
                <w:sz w:val="24"/>
              </w:rPr>
            </w:pPr>
            <w:r>
              <w:rPr>
                <w:rFonts w:hint="eastAsia"/>
                <w:color w:val="auto"/>
                <w:sz w:val="24"/>
                <w:lang w:val="en-US" w:eastAsia="zh-CN"/>
              </w:rPr>
              <w:t>经过干燥的砖坯由摆渡车送至焙烧窑，进行焙烧。</w:t>
            </w:r>
            <w:r>
              <w:rPr>
                <w:rFonts w:hint="eastAsia"/>
                <w:color w:val="auto"/>
                <w:sz w:val="24"/>
              </w:rPr>
              <w:t>项目</w:t>
            </w:r>
            <w:r>
              <w:rPr>
                <w:rFonts w:hint="eastAsia"/>
                <w:sz w:val="24"/>
              </w:rPr>
              <w:t>采用固定式</w:t>
            </w:r>
            <w:r>
              <w:rPr>
                <w:sz w:val="24"/>
              </w:rPr>
              <w:t>隧道窑</w:t>
            </w:r>
            <w:r>
              <w:rPr>
                <w:rFonts w:hint="eastAsia"/>
                <w:sz w:val="24"/>
              </w:rPr>
              <w:t>进行焙烧</w:t>
            </w:r>
            <w:r>
              <w:rPr>
                <w:sz w:val="24"/>
              </w:rPr>
              <w:t>，烧成温度1050℃，要严格按焙烧温度曲线进行焙烧，严格控制预热、焙烧、保温、冷却“四带”的温度与时间，防止产生生砖、焦砖、裂纹哑音砖、黑心砖等不良产品，焙烧利用煤矸石自身的发热量提供的热能来完成但初始阶段需点火煤引燃。</w:t>
            </w:r>
          </w:p>
          <w:p>
            <w:pPr>
              <w:pStyle w:val="60"/>
              <w:ind w:firstLine="480"/>
              <w:rPr>
                <w:sz w:val="24"/>
              </w:rPr>
            </w:pPr>
            <w:r>
              <w:rPr>
                <w:sz w:val="24"/>
              </w:rPr>
              <w:t>该工段主要污染包括隧道窑点火煤及煤矸石燃烧产生的废气（SO</w:t>
            </w:r>
            <w:r>
              <w:rPr>
                <w:sz w:val="24"/>
                <w:vertAlign w:val="subscript"/>
              </w:rPr>
              <w:t>2</w:t>
            </w:r>
            <w:r>
              <w:rPr>
                <w:sz w:val="24"/>
              </w:rPr>
              <w:t>、NO</w:t>
            </w:r>
            <w:r>
              <w:rPr>
                <w:i/>
                <w:iCs/>
                <w:sz w:val="24"/>
              </w:rPr>
              <w:t>x</w:t>
            </w:r>
            <w:r>
              <w:rPr>
                <w:sz w:val="24"/>
              </w:rPr>
              <w:t>、</w:t>
            </w:r>
            <w:r>
              <w:rPr>
                <w:rFonts w:hint="eastAsia"/>
                <w:sz w:val="24"/>
              </w:rPr>
              <w:t>烟尘</w:t>
            </w:r>
            <w:r>
              <w:rPr>
                <w:sz w:val="24"/>
              </w:rPr>
              <w:t>、</w:t>
            </w:r>
            <w:r>
              <w:rPr>
                <w:rFonts w:hint="eastAsia"/>
                <w:sz w:val="24"/>
              </w:rPr>
              <w:t>氟化物、</w:t>
            </w:r>
            <w:r>
              <w:rPr>
                <w:sz w:val="24"/>
              </w:rPr>
              <w:t>水蒸气等），隧道窑体设置排烟系统，该系统由排烟风机和风管组成</w:t>
            </w:r>
            <w:r>
              <w:rPr>
                <w:rFonts w:hint="eastAsia"/>
                <w:sz w:val="24"/>
              </w:rPr>
              <w:t>，排烟系统将烟气输送至烟气处理系统，经处理系统处理后尾气达标排放</w:t>
            </w:r>
            <w:r>
              <w:rPr>
                <w:sz w:val="24"/>
              </w:rPr>
              <w:t>。</w:t>
            </w:r>
          </w:p>
          <w:p>
            <w:pPr>
              <w:pStyle w:val="60"/>
              <w:ind w:firstLine="480"/>
              <w:rPr>
                <w:color w:val="auto"/>
                <w:sz w:val="24"/>
              </w:rPr>
            </w:pPr>
            <w:r>
              <w:rPr>
                <w:rFonts w:hint="eastAsia" w:ascii="宋体" w:hAnsi="宋体" w:cs="宋体"/>
                <w:color w:val="auto"/>
                <w:sz w:val="24"/>
              </w:rPr>
              <w:t>⑥</w:t>
            </w:r>
            <w:r>
              <w:rPr>
                <w:color w:val="auto"/>
                <w:sz w:val="24"/>
              </w:rPr>
              <w:t>成品检验入库</w:t>
            </w:r>
          </w:p>
          <w:p>
            <w:pPr>
              <w:pStyle w:val="60"/>
              <w:ind w:firstLine="480"/>
              <w:rPr>
                <w:sz w:val="24"/>
              </w:rPr>
            </w:pPr>
            <w:r>
              <w:rPr>
                <w:color w:val="auto"/>
                <w:sz w:val="24"/>
              </w:rPr>
              <w:t>烧结后的产品</w:t>
            </w:r>
            <w:r>
              <w:rPr>
                <w:rFonts w:hint="eastAsia"/>
                <w:color w:val="auto"/>
                <w:sz w:val="24"/>
                <w:lang w:val="en-US" w:eastAsia="zh-CN"/>
              </w:rPr>
              <w:t>由摆渡车转出，</w:t>
            </w:r>
            <w:r>
              <w:rPr>
                <w:color w:val="auto"/>
                <w:sz w:val="24"/>
              </w:rPr>
              <w:t>人</w:t>
            </w:r>
            <w:r>
              <w:rPr>
                <w:sz w:val="24"/>
              </w:rPr>
              <w:t>工检验，剔除不合格产品，合格产品</w:t>
            </w:r>
            <w:r>
              <w:rPr>
                <w:rFonts w:hint="eastAsia"/>
                <w:sz w:val="24"/>
              </w:rPr>
              <w:t>自动装车</w:t>
            </w:r>
            <w:r>
              <w:rPr>
                <w:sz w:val="24"/>
              </w:rPr>
              <w:t>运走。</w:t>
            </w:r>
          </w:p>
          <w:p>
            <w:pPr>
              <w:pStyle w:val="60"/>
              <w:ind w:left="0" w:leftChars="0" w:firstLine="0" w:firstLineChars="0"/>
              <w:rPr>
                <w:rFonts w:hint="default"/>
                <w:b/>
                <w:bCs/>
                <w:color w:val="auto"/>
                <w:sz w:val="24"/>
                <w:szCs w:val="24"/>
                <w:lang w:val="en-US" w:eastAsia="zh-CN"/>
              </w:rPr>
            </w:pPr>
            <w:r>
              <w:rPr>
                <w:rFonts w:hint="eastAsia"/>
                <w:b/>
                <w:bCs/>
                <w:color w:val="auto"/>
                <w:sz w:val="24"/>
                <w:szCs w:val="24"/>
                <w:lang w:val="en-US" w:eastAsia="zh-CN"/>
              </w:rPr>
              <w:t>8.3隧道窑废气处理工艺</w:t>
            </w:r>
          </w:p>
          <w:p>
            <w:pPr>
              <w:pStyle w:val="60"/>
              <w:ind w:firstLine="480"/>
              <w:rPr>
                <w:sz w:val="24"/>
              </w:rPr>
            </w:pPr>
            <w:r>
              <w:rPr>
                <w:sz w:val="24"/>
              </w:rPr>
              <w:t>本项目使用隧道窑，隧道窑正常</w:t>
            </w:r>
            <w:r>
              <w:rPr>
                <w:rFonts w:hint="eastAsia"/>
                <w:sz w:val="24"/>
                <w:lang w:val="en-US" w:eastAsia="zh-CN"/>
              </w:rPr>
              <w:t>燃烧</w:t>
            </w:r>
            <w:r>
              <w:rPr>
                <w:sz w:val="24"/>
              </w:rPr>
              <w:t>后利用煤矸石本身的热值就能满足生产过程中的热能消耗，不需添加其它燃料，产生的污染物主要为烟尘、SO</w:t>
            </w:r>
            <w:r>
              <w:rPr>
                <w:sz w:val="24"/>
                <w:vertAlign w:val="subscript"/>
              </w:rPr>
              <w:t>2</w:t>
            </w:r>
            <w:r>
              <w:rPr>
                <w:sz w:val="24"/>
              </w:rPr>
              <w:t>、NO</w:t>
            </w:r>
            <w:r>
              <w:rPr>
                <w:sz w:val="24"/>
                <w:vertAlign w:val="subscript"/>
              </w:rPr>
              <w:t>X</w:t>
            </w:r>
            <w:r>
              <w:rPr>
                <w:sz w:val="24"/>
              </w:rPr>
              <w:t>。烟气排放前的处理措施为</w:t>
            </w:r>
            <w:r>
              <w:rPr>
                <w:rFonts w:hint="eastAsia"/>
                <w:sz w:val="24"/>
              </w:rPr>
              <w:t>SNCR</w:t>
            </w:r>
            <w:r>
              <w:rPr>
                <w:rFonts w:hint="eastAsia"/>
                <w:sz w:val="24"/>
                <w:lang w:val="en-US" w:eastAsia="zh-CN"/>
              </w:rPr>
              <w:t>脱硝</w:t>
            </w:r>
            <w:r>
              <w:rPr>
                <w:rFonts w:hint="eastAsia"/>
                <w:sz w:val="24"/>
              </w:rPr>
              <w:t>+</w:t>
            </w:r>
            <w:r>
              <w:rPr>
                <w:rFonts w:hint="eastAsia"/>
                <w:sz w:val="24"/>
                <w:lang w:val="en-US" w:eastAsia="zh-CN"/>
              </w:rPr>
              <w:t>袋式除尘+</w:t>
            </w:r>
            <w:r>
              <w:rPr>
                <w:rFonts w:hint="eastAsia"/>
                <w:sz w:val="24"/>
              </w:rPr>
              <w:t>湿</w:t>
            </w:r>
            <w:r>
              <w:rPr>
                <w:sz w:val="24"/>
              </w:rPr>
              <w:t>法脱硫</w:t>
            </w:r>
            <w:r>
              <w:rPr>
                <w:rFonts w:hint="eastAsia"/>
                <w:sz w:val="24"/>
              </w:rPr>
              <w:t>并协同脱氟</w:t>
            </w:r>
            <w:r>
              <w:rPr>
                <w:sz w:val="24"/>
              </w:rPr>
              <w:t>系统，处理后烟气经</w:t>
            </w:r>
            <w:r>
              <w:rPr>
                <w:rFonts w:hint="eastAsia"/>
                <w:sz w:val="24"/>
                <w:lang w:val="en-US" w:eastAsia="zh-CN"/>
              </w:rPr>
              <w:t>33</w:t>
            </w:r>
            <w:r>
              <w:rPr>
                <w:sz w:val="24"/>
              </w:rPr>
              <w:t>m高排气筒</w:t>
            </w:r>
            <w:r>
              <w:rPr>
                <w:rFonts w:hint="eastAsia"/>
                <w:sz w:val="24"/>
              </w:rPr>
              <w:t>（DA002）</w:t>
            </w:r>
            <w:r>
              <w:rPr>
                <w:sz w:val="24"/>
              </w:rPr>
              <w:t>排放。</w:t>
            </w:r>
          </w:p>
          <w:p>
            <w:pPr>
              <w:pStyle w:val="60"/>
              <w:ind w:firstLine="480"/>
              <w:rPr>
                <w:sz w:val="24"/>
              </w:rPr>
            </w:pPr>
            <w:r>
              <w:rPr>
                <w:sz w:val="24"/>
              </w:rPr>
              <w:t>本项目采用甘肃省推荐砖瓦行业烟气脱硫除尘技术，具体技术介绍如下：</w:t>
            </w:r>
          </w:p>
          <w:p>
            <w:pPr>
              <w:spacing w:line="360" w:lineRule="auto"/>
              <w:ind w:firstLine="480" w:firstLineChars="200"/>
              <w:rPr>
                <w:color w:val="auto"/>
                <w:sz w:val="24"/>
              </w:rPr>
            </w:pPr>
            <w:r>
              <w:rPr>
                <w:color w:val="auto"/>
                <w:sz w:val="24"/>
                <w:lang w:bidi="ar"/>
              </w:rPr>
              <w:t>（1）</w:t>
            </w:r>
            <w:r>
              <w:rPr>
                <w:color w:val="auto"/>
                <w:sz w:val="24"/>
              </w:rPr>
              <w:t>脱硝</w:t>
            </w:r>
          </w:p>
          <w:p>
            <w:pPr>
              <w:adjustRightInd w:val="0"/>
              <w:snapToGrid w:val="0"/>
              <w:spacing w:line="360" w:lineRule="auto"/>
              <w:ind w:firstLine="480" w:firstLineChars="200"/>
              <w:rPr>
                <w:color w:val="auto"/>
                <w:sz w:val="24"/>
              </w:rPr>
            </w:pPr>
            <w:r>
              <w:rPr>
                <w:color w:val="auto"/>
                <w:sz w:val="24"/>
              </w:rPr>
              <w:t>本项目隧道窑烟气拟采用SNCR作为脱硝方案，选用尿素溶液作为脱硝还原剂。</w:t>
            </w:r>
          </w:p>
          <w:p>
            <w:pPr>
              <w:adjustRightInd w:val="0"/>
              <w:snapToGrid w:val="0"/>
              <w:spacing w:line="360" w:lineRule="auto"/>
              <w:ind w:firstLine="480" w:firstLineChars="200"/>
              <w:rPr>
                <w:color w:val="auto"/>
                <w:sz w:val="24"/>
              </w:rPr>
            </w:pPr>
            <w:r>
              <w:rPr>
                <w:color w:val="auto"/>
                <w:sz w:val="24"/>
              </w:rPr>
              <w:t>SNCR脱硝技术是将NH</w:t>
            </w:r>
            <w:r>
              <w:rPr>
                <w:color w:val="auto"/>
                <w:sz w:val="24"/>
                <w:vertAlign w:val="subscript"/>
              </w:rPr>
              <w:t>3</w:t>
            </w:r>
            <w:r>
              <w:rPr>
                <w:color w:val="auto"/>
                <w:sz w:val="24"/>
              </w:rPr>
              <w:t>、尿素等还原剂喷入</w:t>
            </w:r>
            <w:r>
              <w:rPr>
                <w:rFonts w:hint="eastAsia"/>
                <w:color w:val="auto"/>
                <w:sz w:val="24"/>
                <w:lang w:val="en-US" w:eastAsia="zh-CN"/>
              </w:rPr>
              <w:t>窑</w:t>
            </w:r>
            <w:r>
              <w:rPr>
                <w:color w:val="auto"/>
                <w:sz w:val="24"/>
              </w:rPr>
              <w:t>内与NOx进行选择性反应，不用催化剂，因此必须在高温区加入还原剂。还原剂喷入炉膛温度为850～1100℃的区域，迅速热分解成NH</w:t>
            </w:r>
            <w:r>
              <w:rPr>
                <w:color w:val="auto"/>
                <w:sz w:val="24"/>
                <w:vertAlign w:val="subscript"/>
              </w:rPr>
              <w:t>3</w:t>
            </w:r>
            <w:r>
              <w:rPr>
                <w:color w:val="auto"/>
                <w:sz w:val="24"/>
              </w:rPr>
              <w:t>，与烟气中的NOx反应生成N</w:t>
            </w:r>
            <w:r>
              <w:rPr>
                <w:color w:val="auto"/>
                <w:sz w:val="24"/>
                <w:vertAlign w:val="subscript"/>
              </w:rPr>
              <w:t>2</w:t>
            </w:r>
            <w:r>
              <w:rPr>
                <w:color w:val="auto"/>
                <w:sz w:val="24"/>
              </w:rPr>
              <w:t>和水，该技术以炉膛为反应器。</w:t>
            </w:r>
          </w:p>
          <w:p>
            <w:pPr>
              <w:adjustRightInd w:val="0"/>
              <w:snapToGrid w:val="0"/>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object>
                <v:shape id="_x0000_i1028" o:spt="75" type="#_x0000_t75" style="height:18.35pt;width:166.35pt;" o:ole="t" filled="f" o:preferrelative="t" stroked="f" coordsize="21600,21600">
                  <v:path/>
                  <v:fill on="f" focussize="0,0"/>
                  <v:stroke on="f"/>
                  <v:imagedata r:id="rId14" o:title=""/>
                  <o:lock v:ext="edit" aspectratio="t"/>
                  <w10:wrap type="none"/>
                  <w10:anchorlock/>
                </v:shape>
                <o:OLEObject Type="Embed" ProgID="Visio.Drawing.11" ShapeID="_x0000_i1028" DrawAspect="Content" ObjectID="_1468075728" r:id="rId13">
                  <o:LockedField>false</o:LockedField>
                </o:OLEObject>
              </w:object>
            </w:r>
          </w:p>
          <w:p>
            <w:pPr>
              <w:adjustRightInd w:val="0"/>
              <w:snapToGrid w:val="0"/>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object>
                <v:shape id="_x0000_i1029" o:spt="75" type="#_x0000_t75" style="height:18.35pt;width:169.85pt;" o:ole="t" filled="f" o:preferrelative="t" stroked="f" coordsize="21600,21600">
                  <v:path/>
                  <v:fill on="f" focussize="0,0"/>
                  <v:stroke on="f"/>
                  <v:imagedata r:id="rId16" o:title=""/>
                  <o:lock v:ext="edit" aspectratio="t"/>
                  <w10:wrap type="none"/>
                  <w10:anchorlock/>
                </v:shape>
                <o:OLEObject Type="Embed" ProgID="Visio.Drawing.11" ShapeID="_x0000_i1029" DrawAspect="Content" ObjectID="_1468075729" r:id="rId15">
                  <o:LockedField>false</o:LockedField>
                </o:OLEObject>
              </w:object>
            </w:r>
          </w:p>
          <w:p>
            <w:pPr>
              <w:spacing w:line="360" w:lineRule="auto"/>
              <w:ind w:firstLine="480" w:firstLineChars="200"/>
              <w:rPr>
                <w:color w:val="auto"/>
                <w:sz w:val="24"/>
              </w:rPr>
            </w:pPr>
            <w:r>
              <w:rPr>
                <w:color w:val="auto"/>
                <w:sz w:val="24"/>
              </w:rPr>
              <w:t>隧道窑内配套安装尿素溶液喷射器。</w:t>
            </w:r>
          </w:p>
          <w:p>
            <w:pPr>
              <w:spacing w:line="360" w:lineRule="auto"/>
              <w:ind w:firstLine="480" w:firstLineChars="200"/>
              <w:rPr>
                <w:color w:val="auto"/>
                <w:sz w:val="24"/>
              </w:rPr>
            </w:pPr>
            <w:r>
              <w:rPr>
                <w:color w:val="auto"/>
                <w:sz w:val="24"/>
              </w:rPr>
              <w:t>SNCR系统主要设备均采用模块化设计，主要有还原剂储存与输送模块、稀释水模块、混合计量模块、喷射模块组成。</w:t>
            </w:r>
          </w:p>
          <w:p>
            <w:pPr>
              <w:spacing w:line="360" w:lineRule="auto"/>
              <w:ind w:firstLine="480" w:firstLineChars="200"/>
              <w:rPr>
                <w:color w:val="auto"/>
                <w:sz w:val="24"/>
                <w:lang w:val="pt-BR"/>
              </w:rPr>
            </w:pPr>
            <w:r>
              <w:rPr>
                <w:color w:val="auto"/>
                <w:sz w:val="24"/>
              </w:rPr>
              <w:t>主要设备有：尿素溶解罐、尿素储存罐、尿素溶液循环泵，供料泵，稀释水泵，备压控制阀，计量分配装置，尿素溶液喷射器等</w:t>
            </w:r>
            <w:r>
              <w:rPr>
                <w:color w:val="auto"/>
                <w:sz w:val="24"/>
                <w:lang w:val="pt-BR"/>
              </w:rPr>
              <w:t>：</w:t>
            </w:r>
          </w:p>
          <w:p>
            <w:pPr>
              <w:spacing w:line="360" w:lineRule="auto"/>
              <w:ind w:firstLine="480" w:firstLineChars="200"/>
              <w:rPr>
                <w:color w:val="auto"/>
                <w:sz w:val="24"/>
              </w:rPr>
            </w:pPr>
            <w:r>
              <w:rPr>
                <w:color w:val="auto"/>
                <w:sz w:val="24"/>
              </w:rPr>
              <w:t>（2）除尘</w:t>
            </w:r>
          </w:p>
          <w:p>
            <w:pPr>
              <w:spacing w:line="360" w:lineRule="auto"/>
              <w:ind w:firstLine="480" w:firstLineChars="200"/>
              <w:rPr>
                <w:rFonts w:hint="eastAsia" w:eastAsia="宋体"/>
                <w:color w:val="auto"/>
                <w:sz w:val="24"/>
                <w:lang w:val="pt-BR" w:eastAsia="zh-CN"/>
              </w:rPr>
            </w:pPr>
            <w:r>
              <w:rPr>
                <w:rFonts w:hint="eastAsia"/>
                <w:snapToGrid w:val="0"/>
                <w:color w:val="auto"/>
                <w:kern w:val="0"/>
                <w:sz w:val="24"/>
                <w:lang w:val="en-US" w:eastAsia="zh-CN"/>
              </w:rPr>
              <w:t>脱硝后</w:t>
            </w:r>
            <w:r>
              <w:rPr>
                <w:snapToGrid w:val="0"/>
                <w:color w:val="auto"/>
                <w:kern w:val="0"/>
                <w:sz w:val="24"/>
              </w:rPr>
              <w:t>后的烟气送入布袋除尘器，设一套烟气除尘装置，通过过滤材料，尘粒被过滤下来，过滤材料捕集粗粒粉尘主要靠惯性碰撞作用，捕集细粒粉尘主要靠扩散和筛分作用，布袋除尘器捕集的干灰通过气力干除灰方式输送至灰库。布袋除尘器除尘效率≥98%</w:t>
            </w:r>
            <w:r>
              <w:rPr>
                <w:rFonts w:hint="eastAsia"/>
                <w:snapToGrid w:val="0"/>
                <w:color w:val="auto"/>
                <w:kern w:val="0"/>
                <w:sz w:val="24"/>
                <w:lang w:eastAsia="zh-CN"/>
              </w:rPr>
              <w:t>。</w:t>
            </w:r>
          </w:p>
          <w:p>
            <w:pPr>
              <w:spacing w:line="360" w:lineRule="auto"/>
              <w:ind w:firstLine="480" w:firstLineChars="200"/>
              <w:rPr>
                <w:color w:val="auto"/>
                <w:sz w:val="24"/>
              </w:rPr>
            </w:pPr>
            <w:r>
              <w:rPr>
                <w:color w:val="auto"/>
                <w:sz w:val="24"/>
              </w:rPr>
              <w:t>（3）脱硫</w:t>
            </w:r>
          </w:p>
          <w:p>
            <w:pPr>
              <w:spacing w:line="360" w:lineRule="auto"/>
              <w:ind w:firstLine="480" w:firstLineChars="200"/>
              <w:rPr>
                <w:color w:val="auto"/>
                <w:sz w:val="24"/>
              </w:rPr>
            </w:pPr>
            <w:r>
              <w:rPr>
                <w:color w:val="auto"/>
                <w:sz w:val="24"/>
              </w:rPr>
              <w:t>A、湿式脱硫塔系统组成：</w:t>
            </w:r>
          </w:p>
          <w:p>
            <w:pPr>
              <w:spacing w:line="360" w:lineRule="auto"/>
              <w:ind w:firstLine="480" w:firstLineChars="200"/>
              <w:rPr>
                <w:color w:val="auto"/>
                <w:sz w:val="24"/>
              </w:rPr>
            </w:pPr>
            <w:r>
              <w:rPr>
                <w:color w:val="auto"/>
                <w:sz w:val="24"/>
              </w:rPr>
              <w:t>该系统由吸收塔塔体、喷淋装置、循环系统、脱硫剂供给系统、供浆系统、除雾装置、浆液池、沉淀池及检修附件等。吸收塔塔体由砖瓦砌筑，内部衬有防腐耐磨材料，部分与腐蚀性气体接触部件为不锈钢部件，浆液输送管为PPR防腐耐磨管。</w:t>
            </w:r>
          </w:p>
          <w:p>
            <w:pPr>
              <w:spacing w:line="360" w:lineRule="auto"/>
              <w:ind w:firstLine="480" w:firstLineChars="200"/>
              <w:rPr>
                <w:color w:val="auto"/>
                <w:sz w:val="24"/>
              </w:rPr>
            </w:pPr>
            <w:r>
              <w:rPr>
                <w:color w:val="auto"/>
                <w:sz w:val="24"/>
              </w:rPr>
              <w:t>B、脱硫工作原理：</w:t>
            </w:r>
          </w:p>
          <w:p>
            <w:pPr>
              <w:spacing w:line="360" w:lineRule="auto"/>
              <w:ind w:firstLine="480" w:firstLineChars="200"/>
              <w:rPr>
                <w:color w:val="auto"/>
                <w:sz w:val="24"/>
              </w:rPr>
            </w:pPr>
            <w:r>
              <w:rPr>
                <w:color w:val="auto"/>
                <w:sz w:val="24"/>
              </w:rPr>
              <w:t>隧道窑焙烧后所排出的含尘含硫烟气，经排烟风机送入净化器内，烟气与雾化的脱硫剂</w:t>
            </w:r>
            <w:r>
              <w:rPr>
                <w:rFonts w:hint="eastAsia"/>
                <w:color w:val="auto"/>
                <w:sz w:val="24"/>
                <w:lang w:val="en-US" w:eastAsia="zh-CN"/>
              </w:rPr>
              <w:t>反应进行脱硫</w:t>
            </w:r>
            <w:r>
              <w:rPr>
                <w:color w:val="auto"/>
                <w:sz w:val="24"/>
                <w:lang w:val="pt-BR"/>
              </w:rPr>
              <w:t>。</w:t>
            </w:r>
            <w:r>
              <w:rPr>
                <w:rFonts w:hint="eastAsia"/>
                <w:color w:val="auto"/>
                <w:sz w:val="24"/>
                <w:lang w:val="en-US" w:eastAsia="zh-CN"/>
              </w:rPr>
              <w:t>项目设循环水池，</w:t>
            </w:r>
            <w:r>
              <w:rPr>
                <w:color w:val="auto"/>
                <w:sz w:val="24"/>
                <w:lang w:val="pt-BR"/>
              </w:rPr>
              <w:t>脱硫液在PH值满足脱硫条件下可反复使用。PH值低于</w:t>
            </w:r>
            <w:r>
              <w:rPr>
                <w:color w:val="auto"/>
                <w:sz w:val="24"/>
              </w:rPr>
              <w:t>中混合，接触。通过碰撞，浸湿，对流和扩散等净化机理的作用下，脱除烟气中大部分的灰尘和二氧化硫，达到净化的目的。</w:t>
            </w:r>
            <w:r>
              <w:rPr>
                <w:rFonts w:hint="eastAsia"/>
                <w:color w:val="auto"/>
                <w:sz w:val="24"/>
                <w:lang w:val="en-US" w:eastAsia="zh-CN"/>
              </w:rPr>
              <w:t>本项目</w:t>
            </w:r>
            <w:r>
              <w:rPr>
                <w:color w:val="auto"/>
                <w:sz w:val="24"/>
              </w:rPr>
              <w:t>以</w:t>
            </w:r>
            <w:r>
              <w:rPr>
                <w:rFonts w:hint="eastAsia"/>
                <w:color w:val="auto"/>
                <w:sz w:val="24"/>
                <w:lang w:val="en-US" w:eastAsia="zh-CN"/>
              </w:rPr>
              <w:t>石灰石</w:t>
            </w:r>
            <w:r>
              <w:rPr>
                <w:color w:val="auto"/>
                <w:sz w:val="24"/>
              </w:rPr>
              <w:t>作为脱硫剂，脱硫化学反应机理如下：</w:t>
            </w:r>
          </w:p>
          <w:p>
            <w:pPr>
              <w:spacing w:line="360" w:lineRule="auto"/>
              <w:ind w:firstLine="360" w:firstLineChars="150"/>
              <w:rPr>
                <w:color w:val="auto"/>
                <w:sz w:val="24"/>
              </w:rPr>
            </w:pPr>
            <w:r>
              <w:rPr>
                <w:color w:val="auto"/>
                <w:sz w:val="24"/>
              </w:rPr>
              <w:t>系统启动阶段，脱硫塔内吸收液中加入</w:t>
            </w:r>
            <w:r>
              <w:rPr>
                <w:rFonts w:hint="eastAsia"/>
                <w:color w:val="auto"/>
                <w:sz w:val="24"/>
                <w:lang w:val="en-US" w:eastAsia="zh-CN"/>
              </w:rPr>
              <w:t>碳酸钙</w:t>
            </w:r>
            <w:r>
              <w:rPr>
                <w:color w:val="auto"/>
                <w:sz w:val="24"/>
              </w:rPr>
              <w:t>，发生如下反应：</w:t>
            </w:r>
          </w:p>
          <w:p>
            <w:pPr>
              <w:spacing w:line="360" w:lineRule="auto"/>
              <w:ind w:firstLine="1920" w:firstLineChars="80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吸收：</w:t>
            </w:r>
            <w:r>
              <w:rPr>
                <w:rFonts w:hint="default" w:ascii="Times New Roman" w:hAnsi="Times New Roman" w:eastAsia="宋体" w:cs="Times New Roman"/>
                <w:color w:val="auto"/>
                <w:sz w:val="24"/>
              </w:rPr>
              <w:t>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O=H</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SO</w:t>
            </w:r>
            <w:r>
              <w:rPr>
                <w:rFonts w:hint="default" w:ascii="Times New Roman" w:hAnsi="Times New Roman" w:eastAsia="宋体" w:cs="Times New Roman"/>
                <w:color w:val="auto"/>
                <w:sz w:val="24"/>
                <w:vertAlign w:val="subscript"/>
              </w:rPr>
              <w:t>3</w:t>
            </w:r>
          </w:p>
          <w:p>
            <w:pPr>
              <w:spacing w:line="360" w:lineRule="auto"/>
              <w:ind w:firstLine="1920" w:firstLineChars="800"/>
              <w:jc w:val="both"/>
              <w:rPr>
                <w:rFonts w:hint="default" w:ascii="Times New Roman" w:hAnsi="Times New Roman" w:eastAsia="宋体" w:cs="Times New Roman"/>
                <w:color w:val="auto"/>
                <w:sz w:val="24"/>
                <w:vertAlign w:val="subscript"/>
                <w:lang w:val="en-US" w:eastAsia="zh-CN"/>
              </w:rPr>
            </w:pPr>
            <w:r>
              <w:rPr>
                <w:rFonts w:hint="default" w:ascii="Times New Roman" w:hAnsi="Times New Roman" w:eastAsia="宋体" w:cs="Times New Roman"/>
                <w:color w:val="auto"/>
                <w:sz w:val="24"/>
                <w:lang w:val="en-US" w:eastAsia="zh-CN"/>
              </w:rPr>
              <w:t>中和</w:t>
            </w:r>
            <w:r>
              <w:rPr>
                <w:rFonts w:hint="default" w:ascii="Times New Roman" w:hAnsi="Times New Roman" w:eastAsia="宋体" w:cs="Times New Roman"/>
                <w:color w:val="auto"/>
                <w:sz w:val="24"/>
              </w:rPr>
              <w:t>：Ca</w:t>
            </w:r>
            <w:r>
              <w:rPr>
                <w:rFonts w:hint="default" w:ascii="Times New Roman" w:hAnsi="Times New Roman" w:eastAsia="宋体" w:cs="Times New Roman"/>
                <w:color w:val="auto"/>
                <w:sz w:val="24"/>
                <w:lang w:val="en-US" w:eastAsia="zh-CN"/>
              </w:rPr>
              <w:t>C</w:t>
            </w:r>
            <w:r>
              <w:rPr>
                <w:rFonts w:hint="default" w:ascii="Times New Roman" w:hAnsi="Times New Roman" w:eastAsia="宋体" w:cs="Times New Roman"/>
                <w:color w:val="auto"/>
                <w:sz w:val="24"/>
              </w:rPr>
              <w:t>O</w:t>
            </w:r>
            <w:r>
              <w:rPr>
                <w:rFonts w:hint="default" w:ascii="Times New Roman" w:hAnsi="Times New Roman" w:eastAsia="宋体" w:cs="Times New Roman"/>
                <w:color w:val="auto"/>
                <w:sz w:val="24"/>
                <w:vertAlign w:val="subscript"/>
                <w:lang w:val="en-US" w:eastAsia="zh-CN"/>
              </w:rPr>
              <w:t>3</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SO</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vertAlign w:val="baseline"/>
                <w:lang w:val="en-US" w:eastAsia="zh-CN"/>
              </w:rPr>
              <w:t>=</w:t>
            </w:r>
            <w:r>
              <w:rPr>
                <w:rFonts w:hint="default" w:ascii="Times New Roman" w:hAnsi="Times New Roman" w:eastAsia="宋体" w:cs="Times New Roman"/>
                <w:color w:val="auto"/>
                <w:sz w:val="24"/>
              </w:rPr>
              <w:t>Ca</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SO</w:t>
            </w:r>
            <w:r>
              <w:rPr>
                <w:rFonts w:hint="default" w:ascii="Times New Roman" w:hAnsi="Times New Roman" w:eastAsia="宋体" w:cs="Times New Roman"/>
                <w:color w:val="auto"/>
                <w:sz w:val="24"/>
                <w:vertAlign w:val="subscript"/>
                <w:lang w:val="en-US" w:eastAsia="zh-CN"/>
              </w:rPr>
              <w:t>3</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O</w:t>
            </w:r>
            <w:r>
              <w:rPr>
                <w:rFonts w:hint="default" w:ascii="Times New Roman" w:hAnsi="Times New Roman" w:eastAsia="宋体" w:cs="Times New Roman"/>
                <w:color w:val="auto"/>
                <w:sz w:val="24"/>
                <w:lang w:val="en-US" w:eastAsia="zh-CN"/>
              </w:rPr>
              <w:t>+CO</w:t>
            </w:r>
            <w:r>
              <w:rPr>
                <w:rFonts w:hint="default" w:ascii="Times New Roman" w:hAnsi="Times New Roman" w:eastAsia="宋体" w:cs="Times New Roman"/>
                <w:color w:val="auto"/>
                <w:sz w:val="24"/>
                <w:vertAlign w:val="subscript"/>
                <w:lang w:val="en-US" w:eastAsia="zh-CN"/>
              </w:rPr>
              <w:t>2</w:t>
            </w:r>
          </w:p>
          <w:p>
            <w:pPr>
              <w:spacing w:line="360" w:lineRule="auto"/>
              <w:ind w:firstLine="1920" w:firstLineChars="8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氧化：</w:t>
            </w:r>
            <w:r>
              <w:rPr>
                <w:rFonts w:hint="default" w:ascii="Times New Roman" w:hAnsi="Times New Roman" w:eastAsia="宋体" w:cs="Times New Roman"/>
                <w:i w:val="0"/>
                <w:iCs w:val="0"/>
                <w:caps w:val="0"/>
                <w:color w:val="auto"/>
                <w:spacing w:val="0"/>
                <w:sz w:val="24"/>
                <w:szCs w:val="24"/>
                <w:shd w:val="clear" w:fill="FFFFFF"/>
              </w:rPr>
              <w:t>CaSO</w:t>
            </w:r>
            <w:r>
              <w:rPr>
                <w:rFonts w:hint="eastAsia" w:ascii="Times New Roman" w:hAnsi="Times New Roman" w:eastAsia="宋体" w:cs="Times New Roman"/>
                <w:i w:val="0"/>
                <w:iCs w:val="0"/>
                <w:caps w:val="0"/>
                <w:color w:val="auto"/>
                <w:spacing w:val="0"/>
                <w:sz w:val="24"/>
                <w:szCs w:val="24"/>
                <w:shd w:val="clear" w:fill="FFFFFF"/>
                <w:vertAlign w:val="subscript"/>
                <w:lang w:val="en-US" w:eastAsia="zh-CN"/>
              </w:rPr>
              <w:t>3</w:t>
            </w:r>
            <w:r>
              <w:rPr>
                <w:rFonts w:hint="default" w:ascii="Times New Roman" w:hAnsi="Times New Roman" w:eastAsia="宋体" w:cs="Times New Roman"/>
                <w:i w:val="0"/>
                <w:iCs w:val="0"/>
                <w:caps w:val="0"/>
                <w:color w:val="auto"/>
                <w:spacing w:val="0"/>
                <w:sz w:val="24"/>
                <w:szCs w:val="24"/>
                <w:shd w:val="clear" w:fill="FFFFFF"/>
              </w:rPr>
              <w:t>+1/2O</w:t>
            </w:r>
            <w:r>
              <w:rPr>
                <w:rFonts w:hint="eastAsia" w:ascii="Times New Roman" w:hAnsi="Times New Roman" w:eastAsia="宋体" w:cs="Times New Roman"/>
                <w:i w:val="0"/>
                <w:iCs w:val="0"/>
                <w:caps w:val="0"/>
                <w:color w:val="auto"/>
                <w:spacing w:val="0"/>
                <w:sz w:val="24"/>
                <w:szCs w:val="24"/>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shd w:val="clear" w:fill="FFFFFF"/>
                <w:lang w:val="en-US" w:eastAsia="zh-CN"/>
              </w:rPr>
              <w:t>=</w:t>
            </w:r>
            <w:r>
              <w:rPr>
                <w:rFonts w:hint="default" w:ascii="Times New Roman" w:hAnsi="Times New Roman" w:eastAsia="宋体" w:cs="Times New Roman"/>
                <w:i w:val="0"/>
                <w:iCs w:val="0"/>
                <w:caps w:val="0"/>
                <w:color w:val="auto"/>
                <w:spacing w:val="0"/>
                <w:sz w:val="24"/>
                <w:szCs w:val="24"/>
                <w:shd w:val="clear" w:fill="FFFFFF"/>
              </w:rPr>
              <w:t>CaSO</w:t>
            </w:r>
            <w:r>
              <w:rPr>
                <w:rFonts w:hint="eastAsia" w:ascii="Times New Roman" w:hAnsi="Times New Roman" w:eastAsia="宋体" w:cs="Times New Roman"/>
                <w:i w:val="0"/>
                <w:iCs w:val="0"/>
                <w:caps w:val="0"/>
                <w:color w:val="auto"/>
                <w:spacing w:val="0"/>
                <w:sz w:val="24"/>
                <w:szCs w:val="24"/>
                <w:shd w:val="clear" w:fill="FFFFFF"/>
                <w:vertAlign w:val="subscript"/>
                <w:lang w:val="en-US" w:eastAsia="zh-CN"/>
              </w:rPr>
              <w:t>4</w:t>
            </w:r>
          </w:p>
          <w:p>
            <w:pPr>
              <w:spacing w:line="360" w:lineRule="auto"/>
              <w:ind w:firstLine="1920" w:firstLineChars="8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结晶：</w:t>
            </w:r>
            <w:r>
              <w:rPr>
                <w:rFonts w:hint="default" w:ascii="Times New Roman" w:hAnsi="Times New Roman" w:eastAsia="宋体" w:cs="Times New Roman"/>
                <w:color w:val="auto"/>
                <w:sz w:val="24"/>
              </w:rPr>
              <w:t>CaSO</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·1/2H</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O+1/2O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+3/2H</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O=CaSO</w:t>
            </w:r>
            <w:r>
              <w:rPr>
                <w:rFonts w:hint="default" w:ascii="Times New Roman" w:hAnsi="Times New Roman" w:eastAsia="宋体" w:cs="Times New Roman"/>
                <w:color w:val="auto"/>
                <w:sz w:val="24"/>
                <w:vertAlign w:val="subscript"/>
              </w:rPr>
              <w:t>4</w:t>
            </w:r>
            <w:r>
              <w:rPr>
                <w:rFonts w:hint="default" w:ascii="Times New Roman" w:hAnsi="Times New Roman" w:eastAsia="宋体" w:cs="Times New Roman"/>
                <w:color w:val="auto"/>
                <w:sz w:val="24"/>
              </w:rPr>
              <w:t>·2H</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O↓</w:t>
            </w:r>
          </w:p>
          <w:p>
            <w:pPr>
              <w:spacing w:line="360" w:lineRule="auto"/>
              <w:ind w:firstLine="480" w:firstLineChars="200"/>
              <w:rPr>
                <w:color w:val="auto"/>
                <w:sz w:val="24"/>
              </w:rPr>
            </w:pPr>
            <w:r>
              <w:rPr>
                <w:color w:val="auto"/>
                <w:sz w:val="24"/>
              </w:rPr>
              <w:t>产生的CaSO</w:t>
            </w:r>
            <w:r>
              <w:rPr>
                <w:color w:val="auto"/>
                <w:sz w:val="24"/>
                <w:vertAlign w:val="subscript"/>
              </w:rPr>
              <w:t>4</w:t>
            </w:r>
            <w:r>
              <w:rPr>
                <w:color w:val="auto"/>
                <w:sz w:val="24"/>
              </w:rPr>
              <w:t>·2H</w:t>
            </w:r>
            <w:r>
              <w:rPr>
                <w:color w:val="auto"/>
                <w:sz w:val="24"/>
                <w:vertAlign w:val="subscript"/>
              </w:rPr>
              <w:t>2</w:t>
            </w:r>
            <w:r>
              <w:rPr>
                <w:color w:val="auto"/>
                <w:sz w:val="24"/>
              </w:rPr>
              <w:t>O经过沉淀池沉淀，形成最终产物石膏，粉碎后混在原料中制砖。</w:t>
            </w:r>
          </w:p>
          <w:p>
            <w:pPr>
              <w:spacing w:line="360" w:lineRule="auto"/>
              <w:ind w:firstLine="480" w:firstLineChars="200"/>
              <w:rPr>
                <w:color w:val="auto"/>
                <w:sz w:val="24"/>
                <w:lang w:val="pt-BR"/>
              </w:rPr>
            </w:pPr>
            <w:r>
              <w:rPr>
                <w:color w:val="auto"/>
                <w:sz w:val="24"/>
                <w:lang w:val="pt-BR"/>
              </w:rPr>
              <w:t>C、脱硫塔安装环保要求</w:t>
            </w:r>
          </w:p>
          <w:p>
            <w:pPr>
              <w:spacing w:line="360" w:lineRule="auto"/>
              <w:ind w:firstLine="480" w:firstLineChars="200"/>
              <w:jc w:val="left"/>
              <w:rPr>
                <w:color w:val="auto"/>
                <w:sz w:val="24"/>
                <w:lang w:val="pt-BR"/>
              </w:rPr>
            </w:pPr>
            <w:r>
              <w:rPr>
                <w:color w:val="auto"/>
                <w:sz w:val="24"/>
                <w:lang w:val="pt-BR"/>
              </w:rPr>
              <w:t>脱硫塔设施要求购买正规厂家产品，脱硫塔安装由厂家专业技术人员进行科学安装，安装完成后剩余边角料、包装袋等分类收集，合理处置。脱硫塔配套的搅拌池、沉淀池等在建设过程中，物料需合理堆放，加盖篷布，运料通道进行洒水抑尘。</w:t>
            </w:r>
          </w:p>
          <w:p>
            <w:pPr>
              <w:spacing w:line="360" w:lineRule="auto"/>
              <w:ind w:firstLine="480" w:firstLineChars="200"/>
              <w:rPr>
                <w:rFonts w:hint="default" w:eastAsia="宋体"/>
                <w:color w:val="FF0000"/>
                <w:sz w:val="24"/>
                <w:lang w:val="en-US" w:eastAsia="zh-CN"/>
              </w:rPr>
            </w:pPr>
            <w:r>
              <w:rPr>
                <w:rFonts w:hint="eastAsia"/>
                <w:color w:val="FF0000"/>
                <w:sz w:val="24"/>
                <w:lang w:val="pt-BR" w:eastAsia="zh-CN"/>
              </w:rPr>
              <w:t>（</w:t>
            </w:r>
            <w:r>
              <w:rPr>
                <w:rFonts w:hint="eastAsia"/>
                <w:color w:val="FF0000"/>
                <w:sz w:val="24"/>
                <w:lang w:val="en-US" w:eastAsia="zh-CN"/>
              </w:rPr>
              <w:t>4</w:t>
            </w:r>
            <w:r>
              <w:rPr>
                <w:rFonts w:hint="eastAsia"/>
                <w:color w:val="FF0000"/>
                <w:sz w:val="24"/>
                <w:lang w:val="pt-BR" w:eastAsia="zh-CN"/>
              </w:rPr>
              <w:t>）</w:t>
            </w:r>
            <w:r>
              <w:rPr>
                <w:rFonts w:hint="eastAsia"/>
                <w:color w:val="FF0000"/>
                <w:sz w:val="24"/>
                <w:lang w:val="en-US" w:eastAsia="zh-CN"/>
              </w:rPr>
              <w:t>脱氟</w:t>
            </w:r>
          </w:p>
          <w:p>
            <w:pPr>
              <w:pStyle w:val="60"/>
              <w:ind w:firstLine="480" w:firstLineChars="200"/>
              <w:rPr>
                <w:rFonts w:hint="eastAsia"/>
                <w:b/>
                <w:bCs/>
                <w:sz w:val="24"/>
              </w:rPr>
            </w:pPr>
            <w:r>
              <w:rPr>
                <w:rFonts w:hint="eastAsia"/>
                <w:color w:val="FF0000"/>
                <w:sz w:val="24"/>
                <w:lang w:val="en-US" w:eastAsia="zh-CN"/>
              </w:rPr>
              <w:t>本项目采用石灰石进行湿法脱硫，石灰石本身就有固氟的作用，项目SNCR脱硝+袋式除尘+湿法脱硫处理设施也有一定的脱氟效果。</w:t>
            </w:r>
          </w:p>
          <w:p>
            <w:pPr>
              <w:pStyle w:val="60"/>
              <w:ind w:firstLine="480" w:firstLineChars="200"/>
              <w:rPr>
                <w:rFonts w:hint="eastAsia" w:eastAsia="宋体"/>
                <w:color w:val="auto"/>
                <w:sz w:val="24"/>
                <w:lang w:eastAsia="zh-CN"/>
              </w:rPr>
            </w:pPr>
            <w:r>
              <w:rPr>
                <w:color w:val="auto"/>
                <w:sz w:val="24"/>
              </w:rPr>
              <w:t>脱硫塔除尘效率≥98%，脱硫效率≥95%，脱硝效率≥60%</w:t>
            </w:r>
            <w:r>
              <w:rPr>
                <w:rFonts w:hint="eastAsia"/>
                <w:color w:val="auto"/>
                <w:sz w:val="24"/>
                <w:lang w:eastAsia="zh-CN"/>
              </w:rPr>
              <w:t>，</w:t>
            </w:r>
            <w:r>
              <w:rPr>
                <w:rFonts w:hint="eastAsia"/>
                <w:color w:val="auto"/>
                <w:sz w:val="24"/>
                <w:lang w:val="en-US" w:eastAsia="zh-CN"/>
              </w:rPr>
              <w:t>协同脱氟效率≥70%</w:t>
            </w:r>
            <w:r>
              <w:rPr>
                <w:color w:val="auto"/>
                <w:sz w:val="24"/>
              </w:rPr>
              <w:t>，处理后废气经内径3</w:t>
            </w:r>
            <w:r>
              <w:rPr>
                <w:rFonts w:hint="eastAsia"/>
                <w:color w:val="auto"/>
                <w:sz w:val="24"/>
                <w:lang w:val="en-US" w:eastAsia="zh-CN"/>
              </w:rPr>
              <w:t>.5</w:t>
            </w:r>
            <w:r>
              <w:rPr>
                <w:color w:val="auto"/>
                <w:sz w:val="24"/>
              </w:rPr>
              <w:t>m、高</w:t>
            </w:r>
            <w:r>
              <w:rPr>
                <w:rFonts w:hint="eastAsia"/>
                <w:color w:val="auto"/>
                <w:sz w:val="24"/>
                <w:lang w:val="en-US" w:eastAsia="zh-CN"/>
              </w:rPr>
              <w:t>33</w:t>
            </w:r>
            <w:r>
              <w:rPr>
                <w:color w:val="auto"/>
                <w:sz w:val="24"/>
              </w:rPr>
              <w:t>m的排气筒排放，排放废气中烟尘、SO</w:t>
            </w:r>
            <w:r>
              <w:rPr>
                <w:color w:val="auto"/>
                <w:sz w:val="24"/>
                <w:vertAlign w:val="subscript"/>
              </w:rPr>
              <w:t>2</w:t>
            </w:r>
            <w:r>
              <w:rPr>
                <w:color w:val="auto"/>
                <w:sz w:val="24"/>
              </w:rPr>
              <w:t>、NOx、氟化物排放浓度均低于《砖瓦工业大气污染物排放标准》（GB29620-2013）表2中要求。采取环评要求的污染治理措施后，项目大气污染源可得到有效控制</w:t>
            </w:r>
            <w:r>
              <w:rPr>
                <w:rFonts w:hint="eastAsia"/>
                <w:color w:val="auto"/>
                <w:sz w:val="24"/>
                <w:lang w:eastAsia="zh-CN"/>
              </w:rPr>
              <w:t>。</w:t>
            </w:r>
          </w:p>
          <w:p>
            <w:pPr>
              <w:pStyle w:val="60"/>
              <w:ind w:left="0" w:leftChars="0" w:firstLine="0" w:firstLineChars="0"/>
              <w:rPr>
                <w:b/>
                <w:bCs/>
                <w:color w:val="auto"/>
                <w:sz w:val="24"/>
                <w:szCs w:val="24"/>
              </w:rPr>
            </w:pPr>
            <w:r>
              <w:rPr>
                <w:rFonts w:hint="eastAsia"/>
                <w:b/>
                <w:bCs/>
                <w:color w:val="auto"/>
                <w:sz w:val="24"/>
                <w:szCs w:val="24"/>
                <w:lang w:val="en-US" w:eastAsia="zh-CN"/>
              </w:rPr>
              <w:t>9.</w:t>
            </w:r>
            <w:r>
              <w:rPr>
                <w:b/>
                <w:bCs/>
                <w:color w:val="auto"/>
                <w:sz w:val="24"/>
                <w:szCs w:val="24"/>
              </w:rPr>
              <w:t>公用工程</w:t>
            </w:r>
          </w:p>
          <w:p>
            <w:pPr>
              <w:pStyle w:val="60"/>
              <w:ind w:firstLine="420"/>
              <w:rPr>
                <w:color w:val="auto"/>
                <w:sz w:val="24"/>
                <w:szCs w:val="24"/>
              </w:rPr>
            </w:pPr>
            <w:r>
              <w:rPr>
                <w:color w:val="auto"/>
                <w:sz w:val="24"/>
                <w:szCs w:val="24"/>
              </w:rPr>
              <w:t>（1）供水</w:t>
            </w:r>
          </w:p>
          <w:p>
            <w:pPr>
              <w:pStyle w:val="60"/>
              <w:ind w:firstLine="420"/>
              <w:rPr>
                <w:color w:val="auto"/>
                <w:sz w:val="24"/>
                <w:szCs w:val="24"/>
              </w:rPr>
            </w:pPr>
            <w:r>
              <w:rPr>
                <w:color w:val="auto"/>
                <w:sz w:val="24"/>
                <w:szCs w:val="24"/>
              </w:rPr>
              <w:t>项目用水主要包括生产用水、脱硝脱硫</w:t>
            </w:r>
            <w:r>
              <w:rPr>
                <w:rFonts w:hint="eastAsia"/>
                <w:color w:val="auto"/>
                <w:sz w:val="24"/>
                <w:szCs w:val="24"/>
              </w:rPr>
              <w:t>脱氟</w:t>
            </w:r>
            <w:r>
              <w:rPr>
                <w:color w:val="auto"/>
                <w:sz w:val="24"/>
                <w:szCs w:val="24"/>
              </w:rPr>
              <w:t>系统补水、生活用水、洒水抑尘用水、绿化用水</w:t>
            </w:r>
            <w:r>
              <w:rPr>
                <w:rFonts w:hint="eastAsia"/>
                <w:color w:val="auto"/>
                <w:sz w:val="24"/>
                <w:szCs w:val="24"/>
                <w:lang w:val="en-US" w:eastAsia="zh-CN"/>
              </w:rPr>
              <w:t>等</w:t>
            </w:r>
            <w:r>
              <w:rPr>
                <w:color w:val="auto"/>
                <w:sz w:val="24"/>
                <w:szCs w:val="24"/>
              </w:rPr>
              <w:t>，供水由</w:t>
            </w:r>
            <w:r>
              <w:rPr>
                <w:rFonts w:hint="eastAsia"/>
                <w:color w:val="auto"/>
                <w:sz w:val="24"/>
                <w:szCs w:val="24"/>
                <w:lang w:val="en-US" w:eastAsia="zh-CN"/>
              </w:rPr>
              <w:t>中村镇秦店村自来水管网</w:t>
            </w:r>
            <w:r>
              <w:rPr>
                <w:color w:val="auto"/>
                <w:sz w:val="24"/>
                <w:szCs w:val="24"/>
              </w:rPr>
              <w:t>供给。</w:t>
            </w:r>
          </w:p>
          <w:p>
            <w:pPr>
              <w:pStyle w:val="60"/>
              <w:ind w:firstLine="420"/>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olor w:val="auto"/>
                <w:sz w:val="24"/>
                <w:szCs w:val="24"/>
              </w:rPr>
              <w:t>①</w:t>
            </w:r>
            <w:r>
              <w:rPr>
                <w:color w:val="auto"/>
                <w:sz w:val="24"/>
                <w:szCs w:val="24"/>
              </w:rPr>
              <w:fldChar w:fldCharType="end"/>
            </w:r>
            <w:r>
              <w:rPr>
                <w:color w:val="auto"/>
                <w:sz w:val="24"/>
                <w:szCs w:val="24"/>
              </w:rPr>
              <w:t>生产用水</w:t>
            </w:r>
          </w:p>
          <w:p>
            <w:pPr>
              <w:pStyle w:val="60"/>
              <w:ind w:firstLine="420"/>
              <w:rPr>
                <w:color w:val="auto"/>
                <w:sz w:val="24"/>
                <w:szCs w:val="24"/>
              </w:rPr>
            </w:pPr>
            <w:r>
              <w:rPr>
                <w:color w:val="auto"/>
                <w:sz w:val="24"/>
                <w:szCs w:val="24"/>
              </w:rPr>
              <w:t>生产用水主要为搅拌用水和脱硫除尘系统用水。搅拌用水根据《甘肃省行业用水定额》</w:t>
            </w:r>
            <w:r>
              <w:rPr>
                <w:rFonts w:hint="eastAsia"/>
                <w:color w:val="auto"/>
                <w:sz w:val="24"/>
                <w:szCs w:val="24"/>
                <w:lang w:eastAsia="zh-CN"/>
              </w:rPr>
              <w:t>（</w:t>
            </w:r>
            <w:r>
              <w:rPr>
                <w:rFonts w:hint="eastAsia"/>
                <w:color w:val="auto"/>
                <w:sz w:val="24"/>
                <w:szCs w:val="24"/>
                <w:lang w:val="en-US" w:eastAsia="zh-CN"/>
              </w:rPr>
              <w:t>2023</w:t>
            </w:r>
            <w:r>
              <w:rPr>
                <w:rFonts w:hint="eastAsia"/>
                <w:color w:val="auto"/>
                <w:sz w:val="24"/>
                <w:szCs w:val="24"/>
                <w:lang w:eastAsia="zh-CN"/>
              </w:rPr>
              <w:t>）</w:t>
            </w:r>
            <w:r>
              <w:rPr>
                <w:rFonts w:hint="eastAsia"/>
                <w:color w:val="auto"/>
                <w:sz w:val="24"/>
                <w:szCs w:val="24"/>
                <w:lang w:val="en-US" w:eastAsia="zh-CN"/>
              </w:rPr>
              <w:t>中砖瓦、石材等建筑材料制造中空心装制造用水量</w:t>
            </w:r>
            <w:r>
              <w:rPr>
                <w:rFonts w:hint="eastAsia"/>
                <w:color w:val="auto"/>
                <w:sz w:val="24"/>
                <w:szCs w:val="24"/>
                <w:lang w:eastAsia="zh-CN"/>
              </w:rPr>
              <w:t>、</w:t>
            </w:r>
            <w:r>
              <w:rPr>
                <w:rFonts w:hint="eastAsia"/>
                <w:color w:val="auto"/>
                <w:sz w:val="24"/>
                <w:szCs w:val="24"/>
                <w:lang w:val="en-US" w:eastAsia="zh-CN"/>
              </w:rPr>
              <w:t>为5.11</w:t>
            </w:r>
            <w:r>
              <w:rPr>
                <w:color w:val="auto"/>
                <w:sz w:val="24"/>
                <w:szCs w:val="24"/>
              </w:rPr>
              <w:t>m</w:t>
            </w:r>
            <w:r>
              <w:rPr>
                <w:color w:val="auto"/>
                <w:sz w:val="24"/>
                <w:szCs w:val="24"/>
                <w:vertAlign w:val="superscript"/>
              </w:rPr>
              <w:t>3</w:t>
            </w:r>
            <w:r>
              <w:rPr>
                <w:color w:val="auto"/>
                <w:sz w:val="24"/>
                <w:szCs w:val="24"/>
              </w:rPr>
              <w:t>/万</w:t>
            </w:r>
            <w:r>
              <w:rPr>
                <w:rFonts w:hint="eastAsia"/>
                <w:color w:val="auto"/>
                <w:sz w:val="24"/>
                <w:szCs w:val="24"/>
                <w:lang w:val="en-US" w:eastAsia="zh-CN"/>
              </w:rPr>
              <w:t>块</w:t>
            </w:r>
            <w:r>
              <w:rPr>
                <w:rFonts w:hint="eastAsia"/>
                <w:color w:val="auto"/>
                <w:sz w:val="24"/>
                <w:szCs w:val="24"/>
                <w:lang w:eastAsia="zh-CN"/>
              </w:rPr>
              <w:t>，</w:t>
            </w:r>
            <w:r>
              <w:rPr>
                <w:color w:val="auto"/>
                <w:sz w:val="24"/>
                <w:szCs w:val="24"/>
              </w:rPr>
              <w:t>项目生产规模为</w:t>
            </w:r>
            <w:r>
              <w:rPr>
                <w:rFonts w:hint="eastAsia"/>
                <w:color w:val="auto"/>
                <w:sz w:val="24"/>
                <w:szCs w:val="24"/>
                <w:lang w:val="en-US" w:eastAsia="zh-CN"/>
              </w:rPr>
              <w:t>6</w:t>
            </w:r>
            <w:r>
              <w:rPr>
                <w:color w:val="auto"/>
                <w:sz w:val="24"/>
                <w:szCs w:val="24"/>
              </w:rPr>
              <w:t>000万块/年，则搅拌用水量为</w:t>
            </w:r>
            <w:r>
              <w:rPr>
                <w:rFonts w:hint="eastAsia"/>
                <w:color w:val="auto"/>
                <w:sz w:val="24"/>
                <w:szCs w:val="24"/>
                <w:lang w:val="en-US" w:eastAsia="zh-CN"/>
              </w:rPr>
              <w:t>30660</w:t>
            </w:r>
            <w:r>
              <w:rPr>
                <w:color w:val="auto"/>
                <w:sz w:val="24"/>
                <w:szCs w:val="24"/>
              </w:rPr>
              <w:t>m</w:t>
            </w:r>
            <w:r>
              <w:rPr>
                <w:color w:val="auto"/>
                <w:sz w:val="24"/>
                <w:szCs w:val="24"/>
                <w:vertAlign w:val="superscript"/>
              </w:rPr>
              <w:t>3</w:t>
            </w:r>
            <w:r>
              <w:rPr>
                <w:color w:val="auto"/>
                <w:sz w:val="24"/>
                <w:szCs w:val="24"/>
              </w:rPr>
              <w:t>/a（</w:t>
            </w:r>
            <w:r>
              <w:rPr>
                <w:rFonts w:hint="eastAsia"/>
                <w:color w:val="auto"/>
                <w:sz w:val="24"/>
                <w:szCs w:val="24"/>
                <w:lang w:val="en-US" w:eastAsia="zh-CN"/>
              </w:rPr>
              <w:t>102.2</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lang w:eastAsia="zh-CN"/>
              </w:rPr>
              <w:t>，</w:t>
            </w:r>
            <w:r>
              <w:rPr>
                <w:rFonts w:hint="eastAsia"/>
                <w:color w:val="auto"/>
                <w:sz w:val="24"/>
                <w:szCs w:val="24"/>
                <w:lang w:val="en-US" w:eastAsia="zh-CN"/>
              </w:rPr>
              <w:t>项目生产用水来自雨水及自来水。</w:t>
            </w:r>
          </w:p>
          <w:p>
            <w:pPr>
              <w:pStyle w:val="60"/>
              <w:ind w:firstLine="420"/>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hint="eastAsia"/>
                <w:color w:val="auto"/>
                <w:sz w:val="24"/>
                <w:szCs w:val="24"/>
              </w:rPr>
              <w:t>②</w:t>
            </w:r>
            <w:r>
              <w:rPr>
                <w:color w:val="auto"/>
                <w:sz w:val="24"/>
                <w:szCs w:val="24"/>
              </w:rPr>
              <w:fldChar w:fldCharType="end"/>
            </w:r>
            <w:r>
              <w:rPr>
                <w:rFonts w:hint="eastAsia"/>
                <w:color w:val="auto"/>
                <w:sz w:val="24"/>
                <w:szCs w:val="24"/>
                <w:lang w:val="en-US" w:eastAsia="zh-CN"/>
              </w:rPr>
              <w:t>隧道窑烟气处理</w:t>
            </w:r>
            <w:r>
              <w:rPr>
                <w:color w:val="auto"/>
                <w:sz w:val="24"/>
                <w:szCs w:val="24"/>
              </w:rPr>
              <w:t>系统补水</w:t>
            </w:r>
          </w:p>
          <w:p>
            <w:pPr>
              <w:pStyle w:val="60"/>
              <w:ind w:firstLine="420"/>
              <w:rPr>
                <w:rFonts w:hint="default"/>
                <w:color w:val="auto"/>
                <w:sz w:val="24"/>
                <w:szCs w:val="24"/>
              </w:rPr>
            </w:pPr>
            <w:r>
              <w:rPr>
                <w:rFonts w:hint="default"/>
                <w:color w:val="auto"/>
                <w:sz w:val="24"/>
                <w:szCs w:val="24"/>
              </w:rPr>
              <w:t>本项目设一套</w:t>
            </w:r>
            <w:r>
              <w:rPr>
                <w:rFonts w:hint="eastAsia"/>
                <w:color w:val="auto"/>
                <w:sz w:val="24"/>
                <w:szCs w:val="24"/>
                <w:lang w:val="en-US" w:eastAsia="zh-CN"/>
              </w:rPr>
              <w:t>SNCR脱硝+袋式除尘+湿法脱硫并协同脱氟的隧道窑烟气处理</w:t>
            </w:r>
            <w:r>
              <w:rPr>
                <w:rFonts w:hint="default"/>
                <w:color w:val="auto"/>
                <w:sz w:val="24"/>
                <w:szCs w:val="24"/>
              </w:rPr>
              <w:t>装置，</w:t>
            </w:r>
            <w:r>
              <w:rPr>
                <w:rFonts w:hint="eastAsia"/>
                <w:color w:val="auto"/>
                <w:sz w:val="24"/>
                <w:szCs w:val="24"/>
                <w:lang w:val="en-US" w:eastAsia="zh-CN"/>
              </w:rPr>
              <w:t>隧道窑烟气处理系统废水</w:t>
            </w:r>
            <w:r>
              <w:rPr>
                <w:rFonts w:hint="default"/>
                <w:color w:val="auto"/>
                <w:sz w:val="24"/>
                <w:szCs w:val="24"/>
              </w:rPr>
              <w:t>进入沉淀池处理后循环使用，根据《工业锅炉及炉窑湿法烟气脱硫工程技术规范》（HJ462-2009）表1主要经济技术指标：液气比应&gt;2L/m</w:t>
            </w:r>
            <w:r>
              <w:rPr>
                <w:rFonts w:hint="default"/>
                <w:color w:val="auto"/>
                <w:sz w:val="24"/>
                <w:szCs w:val="24"/>
                <w:vertAlign w:val="superscript"/>
              </w:rPr>
              <w:t>3</w:t>
            </w:r>
            <w:r>
              <w:rPr>
                <w:rFonts w:hint="default"/>
                <w:color w:val="auto"/>
                <w:sz w:val="24"/>
                <w:szCs w:val="24"/>
              </w:rPr>
              <w:t>，则脱硫装置脱硫液循环体积流量见表</w:t>
            </w:r>
            <w:r>
              <w:rPr>
                <w:rFonts w:hint="eastAsia"/>
                <w:color w:val="auto"/>
                <w:sz w:val="24"/>
                <w:szCs w:val="24"/>
                <w:lang w:val="en-US" w:eastAsia="zh-CN"/>
              </w:rPr>
              <w:t>2-16</w:t>
            </w:r>
            <w:r>
              <w:rPr>
                <w:rFonts w:hint="default"/>
                <w:color w:val="auto"/>
                <w:sz w:val="24"/>
                <w:szCs w:val="24"/>
              </w:rPr>
              <w:t>。因受热蒸发需补充新水，蒸发量按循环水量的1%计。该装置</w:t>
            </w:r>
            <w:r>
              <w:rPr>
                <w:rFonts w:hint="eastAsia"/>
                <w:color w:val="auto"/>
                <w:sz w:val="24"/>
                <w:szCs w:val="24"/>
                <w:lang w:val="en-US" w:eastAsia="zh-CN"/>
              </w:rPr>
              <w:t>脱硫水</w:t>
            </w:r>
            <w:r>
              <w:rPr>
                <w:rFonts w:hint="default"/>
                <w:color w:val="auto"/>
                <w:sz w:val="24"/>
                <w:szCs w:val="24"/>
              </w:rPr>
              <w:t>循环使用，定期补充，无废水外排。</w:t>
            </w:r>
          </w:p>
          <w:p>
            <w:pPr>
              <w:pStyle w:val="60"/>
              <w:spacing w:line="240" w:lineRule="auto"/>
              <w:ind w:firstLine="420"/>
              <w:jc w:val="center"/>
              <w:rPr>
                <w:rFonts w:hint="default"/>
                <w:b/>
                <w:bCs/>
                <w:color w:val="auto"/>
              </w:rPr>
            </w:pPr>
            <w:r>
              <w:rPr>
                <w:rFonts w:hint="default"/>
                <w:b/>
                <w:bCs/>
                <w:color w:val="auto"/>
              </w:rPr>
              <w:t>表2-</w:t>
            </w:r>
            <w:r>
              <w:rPr>
                <w:rFonts w:hint="eastAsia"/>
                <w:b/>
                <w:bCs/>
                <w:color w:val="auto"/>
                <w:lang w:val="en-US" w:eastAsia="zh-CN"/>
              </w:rPr>
              <w:t xml:space="preserve">16  </w:t>
            </w:r>
            <w:r>
              <w:rPr>
                <w:rFonts w:hint="default"/>
                <w:b/>
                <w:bCs/>
                <w:color w:val="auto"/>
              </w:rPr>
              <w:t xml:space="preserve"> 本项目脱硫循环用水</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2624"/>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5"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处理烟气量（Nm</w:t>
                  </w:r>
                  <w:r>
                    <w:rPr>
                      <w:rFonts w:hint="default"/>
                      <w:color w:val="auto"/>
                      <w:vertAlign w:val="superscript"/>
                    </w:rPr>
                    <w:t>3</w:t>
                  </w:r>
                  <w:r>
                    <w:rPr>
                      <w:rFonts w:hint="default"/>
                      <w:color w:val="auto"/>
                    </w:rPr>
                    <w:t>/a）</w:t>
                  </w:r>
                </w:p>
              </w:tc>
              <w:tc>
                <w:tcPr>
                  <w:tcW w:w="1666"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脱硫循环用水（m</w:t>
                  </w:r>
                  <w:r>
                    <w:rPr>
                      <w:rFonts w:hint="default"/>
                      <w:color w:val="auto"/>
                      <w:vertAlign w:val="superscript"/>
                    </w:rPr>
                    <w:t>3</w:t>
                  </w:r>
                  <w:r>
                    <w:rPr>
                      <w:rFonts w:hint="default"/>
                      <w:color w:val="auto"/>
                    </w:rPr>
                    <w:t>/a）</w:t>
                  </w:r>
                </w:p>
              </w:tc>
              <w:tc>
                <w:tcPr>
                  <w:tcW w:w="1667"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循环补充水（m</w:t>
                  </w:r>
                  <w:r>
                    <w:rPr>
                      <w:rFonts w:hint="default"/>
                      <w:color w:val="auto"/>
                      <w:vertAlign w:val="superscript"/>
                    </w:rPr>
                    <w:t>3</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5"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eastAsia"/>
                      <w:color w:val="auto"/>
                      <w:lang w:val="en-US" w:eastAsia="zh-CN"/>
                    </w:rPr>
                    <w:t>5.16</w:t>
                  </w:r>
                  <w:r>
                    <w:rPr>
                      <w:rFonts w:hint="default"/>
                      <w:color w:val="auto"/>
                    </w:rPr>
                    <w:t>×10</w:t>
                  </w:r>
                  <w:r>
                    <w:rPr>
                      <w:rFonts w:hint="default"/>
                      <w:color w:val="auto"/>
                      <w:vertAlign w:val="superscript"/>
                    </w:rPr>
                    <w:t>8</w:t>
                  </w:r>
                </w:p>
              </w:tc>
              <w:tc>
                <w:tcPr>
                  <w:tcW w:w="1666"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516000</w:t>
                  </w:r>
                </w:p>
              </w:tc>
              <w:tc>
                <w:tcPr>
                  <w:tcW w:w="1667" w:type="pct"/>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5160</w:t>
                  </w:r>
                </w:p>
              </w:tc>
            </w:tr>
          </w:tbl>
          <w:p>
            <w:pPr>
              <w:pStyle w:val="60"/>
              <w:ind w:firstLine="420"/>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rFonts w:hint="eastAsia"/>
                <w:color w:val="auto"/>
                <w:sz w:val="24"/>
                <w:szCs w:val="24"/>
              </w:rPr>
              <w:t>③</w:t>
            </w:r>
            <w:r>
              <w:rPr>
                <w:color w:val="auto"/>
                <w:sz w:val="24"/>
                <w:szCs w:val="24"/>
              </w:rPr>
              <w:fldChar w:fldCharType="end"/>
            </w:r>
            <w:r>
              <w:rPr>
                <w:color w:val="auto"/>
                <w:sz w:val="24"/>
                <w:szCs w:val="24"/>
              </w:rPr>
              <w:t>生活用水</w:t>
            </w:r>
          </w:p>
          <w:p>
            <w:pPr>
              <w:pStyle w:val="60"/>
              <w:ind w:firstLine="420"/>
              <w:rPr>
                <w:rFonts w:hint="default" w:eastAsia="宋体"/>
                <w:color w:val="auto"/>
                <w:sz w:val="24"/>
                <w:szCs w:val="24"/>
                <w:lang w:val="en-US" w:eastAsia="zh-CN"/>
              </w:rPr>
            </w:pPr>
            <w:r>
              <w:rPr>
                <w:color w:val="auto"/>
                <w:sz w:val="24"/>
                <w:szCs w:val="24"/>
              </w:rPr>
              <w:t>项目职工定员</w:t>
            </w:r>
            <w:r>
              <w:rPr>
                <w:rFonts w:hint="eastAsia"/>
                <w:color w:val="auto"/>
                <w:sz w:val="24"/>
                <w:szCs w:val="24"/>
                <w:lang w:val="en-US" w:eastAsia="zh-CN"/>
              </w:rPr>
              <w:t>18</w:t>
            </w:r>
            <w:r>
              <w:rPr>
                <w:color w:val="auto"/>
                <w:sz w:val="24"/>
                <w:szCs w:val="24"/>
              </w:rPr>
              <w:t>人，厂区设食宿</w:t>
            </w:r>
            <w:r>
              <w:rPr>
                <w:rFonts w:hint="eastAsia"/>
                <w:color w:val="auto"/>
                <w:sz w:val="24"/>
                <w:szCs w:val="24"/>
                <w:lang w:eastAsia="zh-CN"/>
              </w:rPr>
              <w:t>。</w:t>
            </w:r>
            <w:r>
              <w:rPr>
                <w:rFonts w:hint="eastAsia"/>
                <w:color w:val="auto"/>
                <w:sz w:val="24"/>
                <w:szCs w:val="24"/>
                <w:lang w:val="en-US" w:eastAsia="zh-CN"/>
              </w:rPr>
              <w:t>项目</w:t>
            </w:r>
            <w:r>
              <w:rPr>
                <w:color w:val="auto"/>
                <w:sz w:val="24"/>
                <w:szCs w:val="24"/>
              </w:rPr>
              <w:t>年工作</w:t>
            </w:r>
            <w:r>
              <w:rPr>
                <w:rFonts w:hint="eastAsia"/>
                <w:color w:val="auto"/>
                <w:sz w:val="24"/>
                <w:szCs w:val="24"/>
                <w:lang w:val="en-US" w:eastAsia="zh-CN"/>
              </w:rPr>
              <w:t>300</w:t>
            </w:r>
            <w:r>
              <w:rPr>
                <w:color w:val="auto"/>
                <w:sz w:val="24"/>
                <w:szCs w:val="24"/>
              </w:rPr>
              <w:t>天，根据《甘肃省行业用水定额》（20</w:t>
            </w:r>
            <w:r>
              <w:rPr>
                <w:rFonts w:hint="eastAsia"/>
                <w:color w:val="auto"/>
                <w:sz w:val="24"/>
                <w:szCs w:val="24"/>
                <w:lang w:val="en-US" w:eastAsia="zh-CN"/>
              </w:rPr>
              <w:t>23</w:t>
            </w:r>
            <w:r>
              <w:rPr>
                <w:color w:val="auto"/>
                <w:sz w:val="24"/>
                <w:szCs w:val="24"/>
              </w:rPr>
              <w:t>版），生活用水定额为</w:t>
            </w:r>
            <w:r>
              <w:rPr>
                <w:rFonts w:hint="eastAsia"/>
                <w:color w:val="auto"/>
                <w:sz w:val="24"/>
                <w:szCs w:val="24"/>
                <w:lang w:val="en-US" w:eastAsia="zh-CN"/>
              </w:rPr>
              <w:t>60</w:t>
            </w:r>
            <w:r>
              <w:rPr>
                <w:color w:val="auto"/>
                <w:sz w:val="24"/>
                <w:szCs w:val="24"/>
              </w:rPr>
              <w:t>L/人·d，则项目生活用水量为</w:t>
            </w:r>
            <w:r>
              <w:rPr>
                <w:rFonts w:hint="eastAsia"/>
                <w:color w:val="auto"/>
                <w:sz w:val="24"/>
                <w:szCs w:val="24"/>
                <w:lang w:val="en-US" w:eastAsia="zh-CN"/>
              </w:rPr>
              <w:t>1.08</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lang w:val="en-US" w:eastAsia="zh-CN"/>
              </w:rPr>
              <w:t>324</w:t>
            </w:r>
            <w:r>
              <w:rPr>
                <w:color w:val="auto"/>
                <w:sz w:val="24"/>
                <w:szCs w:val="24"/>
              </w:rPr>
              <w:t>t/a）</w:t>
            </w:r>
            <w:r>
              <w:rPr>
                <w:rFonts w:hint="eastAsia"/>
                <w:color w:val="auto"/>
                <w:sz w:val="24"/>
                <w:szCs w:val="24"/>
                <w:lang w:eastAsia="zh-CN"/>
              </w:rPr>
              <w:t>。餐饮用水按25L/人·d计算，则餐饮用水量为0.</w:t>
            </w:r>
            <w:r>
              <w:rPr>
                <w:rFonts w:hint="eastAsia"/>
                <w:color w:val="auto"/>
                <w:sz w:val="24"/>
                <w:szCs w:val="24"/>
                <w:lang w:val="en-US" w:eastAsia="zh-CN"/>
              </w:rPr>
              <w:t>4</w:t>
            </w:r>
            <w:r>
              <w:rPr>
                <w:rFonts w:hint="eastAsia"/>
                <w:color w:val="auto"/>
                <w:sz w:val="24"/>
                <w:szCs w:val="24"/>
                <w:lang w:eastAsia="zh-CN"/>
              </w:rPr>
              <w:t>5m</w:t>
            </w:r>
            <w:r>
              <w:rPr>
                <w:rFonts w:hint="eastAsia"/>
                <w:color w:val="auto"/>
                <w:sz w:val="24"/>
                <w:szCs w:val="24"/>
                <w:vertAlign w:val="superscript"/>
                <w:lang w:eastAsia="zh-CN"/>
              </w:rPr>
              <w:t>3</w:t>
            </w:r>
            <w:r>
              <w:rPr>
                <w:rFonts w:hint="eastAsia"/>
                <w:color w:val="auto"/>
                <w:sz w:val="24"/>
                <w:szCs w:val="24"/>
                <w:lang w:eastAsia="zh-CN"/>
              </w:rPr>
              <w:t>/d(</w:t>
            </w:r>
            <w:r>
              <w:rPr>
                <w:rFonts w:hint="eastAsia"/>
                <w:color w:val="auto"/>
                <w:sz w:val="24"/>
                <w:szCs w:val="24"/>
                <w:lang w:val="en-US" w:eastAsia="zh-CN"/>
              </w:rPr>
              <w:t>135</w:t>
            </w:r>
            <w:r>
              <w:rPr>
                <w:rFonts w:hint="eastAsia"/>
                <w:color w:val="auto"/>
                <w:sz w:val="24"/>
                <w:szCs w:val="24"/>
                <w:lang w:eastAsia="zh-CN"/>
              </w:rPr>
              <w:t>m</w:t>
            </w:r>
            <w:r>
              <w:rPr>
                <w:rFonts w:hint="eastAsia"/>
                <w:color w:val="auto"/>
                <w:sz w:val="24"/>
                <w:szCs w:val="24"/>
                <w:vertAlign w:val="superscript"/>
                <w:lang w:eastAsia="zh-CN"/>
              </w:rPr>
              <w:t>3</w:t>
            </w:r>
            <w:r>
              <w:rPr>
                <w:rFonts w:hint="eastAsia"/>
                <w:color w:val="auto"/>
                <w:sz w:val="24"/>
                <w:szCs w:val="24"/>
                <w:lang w:eastAsia="zh-CN"/>
              </w:rPr>
              <w:t>/a)。</w:t>
            </w:r>
          </w:p>
          <w:p>
            <w:pPr>
              <w:pStyle w:val="60"/>
              <w:ind w:firstLine="420"/>
              <w:rPr>
                <w:color w:val="auto"/>
                <w:sz w:val="24"/>
                <w:szCs w:val="24"/>
              </w:rPr>
            </w:pPr>
            <w:r>
              <w:rPr>
                <w:color w:val="auto"/>
                <w:sz w:val="24"/>
                <w:szCs w:val="24"/>
              </w:rPr>
              <w:fldChar w:fldCharType="begin"/>
            </w:r>
            <w:r>
              <w:rPr>
                <w:color w:val="auto"/>
                <w:sz w:val="24"/>
                <w:szCs w:val="24"/>
              </w:rPr>
              <w:instrText xml:space="preserve"> = 4 \* GB3 </w:instrText>
            </w:r>
            <w:r>
              <w:rPr>
                <w:color w:val="auto"/>
                <w:sz w:val="24"/>
                <w:szCs w:val="24"/>
              </w:rPr>
              <w:fldChar w:fldCharType="separate"/>
            </w:r>
            <w:r>
              <w:rPr>
                <w:rFonts w:hint="eastAsia"/>
                <w:color w:val="auto"/>
                <w:sz w:val="24"/>
                <w:szCs w:val="24"/>
              </w:rPr>
              <w:t>④</w:t>
            </w:r>
            <w:r>
              <w:rPr>
                <w:color w:val="auto"/>
                <w:sz w:val="24"/>
                <w:szCs w:val="24"/>
              </w:rPr>
              <w:fldChar w:fldCharType="end"/>
            </w:r>
            <w:r>
              <w:rPr>
                <w:color w:val="auto"/>
                <w:sz w:val="24"/>
                <w:szCs w:val="24"/>
              </w:rPr>
              <w:t>场地抑尘用水</w:t>
            </w:r>
          </w:p>
          <w:p>
            <w:pPr>
              <w:pStyle w:val="60"/>
              <w:ind w:firstLine="420"/>
              <w:rPr>
                <w:rFonts w:hint="eastAsia" w:eastAsia="宋体"/>
                <w:color w:val="auto"/>
                <w:sz w:val="24"/>
                <w:szCs w:val="24"/>
                <w:lang w:eastAsia="zh-CN"/>
              </w:rPr>
            </w:pPr>
            <w:r>
              <w:rPr>
                <w:color w:val="auto"/>
                <w:sz w:val="24"/>
                <w:szCs w:val="24"/>
              </w:rPr>
              <w:t>项目厂区道路、空地及粘土矿区等定期采取洒水抑尘措施，洒水抑尘面积约</w:t>
            </w:r>
            <w:r>
              <w:rPr>
                <w:rFonts w:hint="eastAsia"/>
                <w:color w:val="auto"/>
                <w:sz w:val="24"/>
                <w:szCs w:val="24"/>
                <w:lang w:val="en-US" w:eastAsia="zh-CN"/>
              </w:rPr>
              <w:t>7500</w:t>
            </w:r>
            <w:r>
              <w:rPr>
                <w:color w:val="auto"/>
                <w:sz w:val="24"/>
                <w:szCs w:val="24"/>
              </w:rPr>
              <w:t>m</w:t>
            </w:r>
            <w:r>
              <w:rPr>
                <w:color w:val="auto"/>
                <w:sz w:val="24"/>
                <w:szCs w:val="24"/>
                <w:vertAlign w:val="superscript"/>
              </w:rPr>
              <w:t>2</w:t>
            </w:r>
            <w:r>
              <w:rPr>
                <w:color w:val="auto"/>
                <w:sz w:val="24"/>
                <w:szCs w:val="24"/>
              </w:rPr>
              <w:t>，根据《甘肃省行业用水定额》（</w:t>
            </w:r>
            <w:r>
              <w:rPr>
                <w:rFonts w:hint="eastAsia"/>
                <w:color w:val="auto"/>
                <w:sz w:val="24"/>
                <w:szCs w:val="24"/>
                <w:lang w:val="en-US" w:eastAsia="zh-CN"/>
              </w:rPr>
              <w:t>2023</w:t>
            </w:r>
            <w:r>
              <w:rPr>
                <w:color w:val="auto"/>
                <w:sz w:val="24"/>
                <w:szCs w:val="24"/>
              </w:rPr>
              <w:t>版），场地抑尘用水定额2L/（m</w:t>
            </w:r>
            <w:r>
              <w:rPr>
                <w:color w:val="auto"/>
                <w:sz w:val="24"/>
                <w:szCs w:val="24"/>
                <w:vertAlign w:val="superscript"/>
              </w:rPr>
              <w:t>2</w:t>
            </w:r>
            <w:r>
              <w:rPr>
                <w:color w:val="auto"/>
                <w:sz w:val="24"/>
                <w:szCs w:val="24"/>
              </w:rPr>
              <w:t>·d）计，则洒水抑尘日最大用水量为</w:t>
            </w:r>
            <w:r>
              <w:rPr>
                <w:rFonts w:hint="eastAsia"/>
                <w:color w:val="auto"/>
                <w:sz w:val="24"/>
                <w:szCs w:val="24"/>
                <w:lang w:val="en-US" w:eastAsia="zh-CN"/>
              </w:rPr>
              <w:t>15</w:t>
            </w:r>
            <w:r>
              <w:rPr>
                <w:color w:val="auto"/>
                <w:sz w:val="24"/>
                <w:szCs w:val="24"/>
              </w:rPr>
              <w:t>m</w:t>
            </w:r>
            <w:r>
              <w:rPr>
                <w:color w:val="auto"/>
                <w:sz w:val="24"/>
                <w:szCs w:val="24"/>
                <w:vertAlign w:val="superscript"/>
              </w:rPr>
              <w:t>3</w:t>
            </w:r>
            <w:r>
              <w:rPr>
                <w:color w:val="auto"/>
                <w:sz w:val="24"/>
                <w:szCs w:val="24"/>
              </w:rPr>
              <w:t>/d（除去雨季和冬季，全年按90天计），则洒水抑尘用水量为</w:t>
            </w:r>
            <w:r>
              <w:rPr>
                <w:rFonts w:hint="eastAsia"/>
                <w:color w:val="auto"/>
                <w:sz w:val="24"/>
                <w:szCs w:val="24"/>
                <w:lang w:val="en-US" w:eastAsia="zh-CN"/>
              </w:rPr>
              <w:t>1350</w:t>
            </w:r>
            <w:r>
              <w:rPr>
                <w:color w:val="auto"/>
                <w:sz w:val="24"/>
                <w:szCs w:val="24"/>
              </w:rPr>
              <w:t>t/a</w:t>
            </w:r>
            <w:r>
              <w:rPr>
                <w:rFonts w:hint="eastAsia"/>
                <w:color w:val="auto"/>
                <w:sz w:val="24"/>
                <w:szCs w:val="24"/>
                <w:lang w:eastAsia="zh-CN"/>
              </w:rPr>
              <w:t>，</w:t>
            </w:r>
            <w:r>
              <w:rPr>
                <w:rFonts w:hint="eastAsia"/>
                <w:color w:val="auto"/>
                <w:sz w:val="24"/>
                <w:szCs w:val="24"/>
                <w:lang w:val="en-US" w:eastAsia="zh-CN"/>
              </w:rPr>
              <w:t>场地抑尘用水均来自雨水池</w:t>
            </w:r>
            <w:r>
              <w:rPr>
                <w:rFonts w:hint="eastAsia"/>
                <w:color w:val="auto"/>
                <w:sz w:val="24"/>
                <w:szCs w:val="24"/>
                <w:lang w:eastAsia="zh-CN"/>
              </w:rPr>
              <w:t>。</w:t>
            </w:r>
          </w:p>
          <w:p>
            <w:pPr>
              <w:pStyle w:val="60"/>
              <w:ind w:firstLine="420"/>
              <w:rPr>
                <w:color w:val="auto"/>
                <w:sz w:val="24"/>
                <w:szCs w:val="24"/>
              </w:rPr>
            </w:pPr>
            <w:r>
              <w:rPr>
                <w:color w:val="auto"/>
                <w:sz w:val="24"/>
                <w:szCs w:val="24"/>
              </w:rPr>
              <w:fldChar w:fldCharType="begin"/>
            </w:r>
            <w:r>
              <w:rPr>
                <w:color w:val="auto"/>
                <w:sz w:val="24"/>
                <w:szCs w:val="24"/>
              </w:rPr>
              <w:instrText xml:space="preserve"> = 5 \* GB3 </w:instrText>
            </w:r>
            <w:r>
              <w:rPr>
                <w:color w:val="auto"/>
                <w:sz w:val="24"/>
                <w:szCs w:val="24"/>
              </w:rPr>
              <w:fldChar w:fldCharType="separate"/>
            </w:r>
            <w:r>
              <w:rPr>
                <w:rFonts w:hint="eastAsia"/>
                <w:color w:val="auto"/>
                <w:sz w:val="24"/>
                <w:szCs w:val="24"/>
              </w:rPr>
              <w:t>⑤</w:t>
            </w:r>
            <w:r>
              <w:rPr>
                <w:color w:val="auto"/>
                <w:sz w:val="24"/>
                <w:szCs w:val="24"/>
              </w:rPr>
              <w:fldChar w:fldCharType="end"/>
            </w:r>
            <w:r>
              <w:rPr>
                <w:color w:val="auto"/>
                <w:sz w:val="24"/>
                <w:szCs w:val="24"/>
              </w:rPr>
              <w:t>绿化用水</w:t>
            </w:r>
          </w:p>
          <w:p>
            <w:pPr>
              <w:pStyle w:val="60"/>
              <w:ind w:firstLine="420"/>
              <w:rPr>
                <w:color w:val="auto"/>
                <w:sz w:val="24"/>
                <w:szCs w:val="24"/>
              </w:rPr>
            </w:pPr>
            <w:r>
              <w:rPr>
                <w:color w:val="auto"/>
                <w:sz w:val="24"/>
                <w:szCs w:val="24"/>
              </w:rPr>
              <w:t>项目厂区绿化面积约</w:t>
            </w:r>
            <w:r>
              <w:rPr>
                <w:rFonts w:hint="eastAsia"/>
                <w:color w:val="auto"/>
                <w:sz w:val="24"/>
                <w:szCs w:val="24"/>
                <w:lang w:val="en-US" w:eastAsia="zh-CN"/>
              </w:rPr>
              <w:t>300</w:t>
            </w:r>
            <w:r>
              <w:rPr>
                <w:color w:val="auto"/>
                <w:sz w:val="24"/>
                <w:szCs w:val="24"/>
              </w:rPr>
              <w:t>m</w:t>
            </w:r>
            <w:r>
              <w:rPr>
                <w:color w:val="auto"/>
                <w:sz w:val="24"/>
                <w:szCs w:val="24"/>
                <w:vertAlign w:val="superscript"/>
              </w:rPr>
              <w:t>2</w:t>
            </w:r>
            <w:r>
              <w:rPr>
                <w:color w:val="auto"/>
                <w:sz w:val="24"/>
                <w:szCs w:val="24"/>
              </w:rPr>
              <w:t>，绿化用水量为2L/m</w:t>
            </w:r>
            <w:r>
              <w:rPr>
                <w:color w:val="auto"/>
                <w:sz w:val="24"/>
                <w:szCs w:val="24"/>
                <w:vertAlign w:val="superscript"/>
              </w:rPr>
              <w:t>2</w:t>
            </w:r>
            <w:r>
              <w:rPr>
                <w:color w:val="auto"/>
                <w:sz w:val="24"/>
                <w:szCs w:val="24"/>
              </w:rPr>
              <w:t>/d（除过雨季和冬季，全年按90天计），则项目绿化用水量约</w:t>
            </w:r>
            <w:r>
              <w:rPr>
                <w:rFonts w:hint="eastAsia"/>
                <w:color w:val="auto"/>
                <w:sz w:val="24"/>
                <w:szCs w:val="24"/>
                <w:lang w:val="en-US" w:eastAsia="zh-CN"/>
              </w:rPr>
              <w:t>0.6</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lang w:val="en-US" w:eastAsia="zh-CN"/>
              </w:rPr>
              <w:t>54</w:t>
            </w:r>
            <w:r>
              <w:rPr>
                <w:color w:val="auto"/>
                <w:sz w:val="24"/>
                <w:szCs w:val="24"/>
              </w:rPr>
              <w:t>t/a）</w:t>
            </w:r>
            <w:r>
              <w:rPr>
                <w:rFonts w:hint="eastAsia"/>
                <w:color w:val="auto"/>
                <w:sz w:val="24"/>
                <w:szCs w:val="24"/>
                <w:lang w:eastAsia="zh-CN"/>
              </w:rPr>
              <w:t>，</w:t>
            </w:r>
            <w:r>
              <w:rPr>
                <w:rFonts w:hint="eastAsia"/>
                <w:color w:val="auto"/>
                <w:sz w:val="24"/>
                <w:szCs w:val="24"/>
                <w:lang w:val="en-US" w:eastAsia="zh-CN"/>
              </w:rPr>
              <w:t>绿化用水来自雨水池</w:t>
            </w:r>
            <w:r>
              <w:rPr>
                <w:color w:val="auto"/>
                <w:sz w:val="24"/>
                <w:szCs w:val="24"/>
              </w:rPr>
              <w:t>。</w:t>
            </w:r>
          </w:p>
          <w:p>
            <w:pPr>
              <w:pStyle w:val="60"/>
              <w:ind w:firstLine="420"/>
              <w:rPr>
                <w:color w:val="auto"/>
                <w:sz w:val="24"/>
                <w:szCs w:val="24"/>
              </w:rPr>
            </w:pPr>
            <w:r>
              <w:rPr>
                <w:color w:val="auto"/>
                <w:sz w:val="24"/>
                <w:szCs w:val="24"/>
              </w:rPr>
              <w:t>（2）排水</w:t>
            </w:r>
          </w:p>
          <w:p>
            <w:pPr>
              <w:pStyle w:val="60"/>
              <w:ind w:firstLine="480"/>
              <w:rPr>
                <w:color w:val="auto"/>
                <w:sz w:val="24"/>
              </w:rPr>
            </w:pPr>
            <w:r>
              <w:rPr>
                <w:color w:val="auto"/>
                <w:sz w:val="24"/>
              </w:rPr>
              <w:fldChar w:fldCharType="begin"/>
            </w:r>
            <w:r>
              <w:rPr>
                <w:color w:val="auto"/>
                <w:sz w:val="24"/>
              </w:rPr>
              <w:instrText xml:space="preserve"> = 1 \* GB3 \* MERGEFORMAT </w:instrText>
            </w:r>
            <w:r>
              <w:rPr>
                <w:color w:val="auto"/>
                <w:sz w:val="24"/>
              </w:rPr>
              <w:fldChar w:fldCharType="separate"/>
            </w:r>
            <w:r>
              <w:rPr>
                <w:color w:val="auto"/>
                <w:sz w:val="24"/>
              </w:rPr>
              <w:t>①</w:t>
            </w:r>
            <w:r>
              <w:rPr>
                <w:color w:val="auto"/>
                <w:sz w:val="24"/>
              </w:rPr>
              <w:fldChar w:fldCharType="end"/>
            </w:r>
            <w:r>
              <w:rPr>
                <w:rFonts w:hint="eastAsia"/>
                <w:color w:val="auto"/>
                <w:sz w:val="24"/>
              </w:rPr>
              <w:t>雨水</w:t>
            </w:r>
          </w:p>
          <w:p>
            <w:pPr>
              <w:spacing w:line="360" w:lineRule="auto"/>
              <w:ind w:firstLine="480" w:firstLineChars="200"/>
              <w:contextualSpacing/>
              <w:jc w:val="left"/>
              <w:rPr>
                <w:color w:val="auto"/>
                <w:sz w:val="24"/>
                <w:lang w:val="en-GB"/>
              </w:rPr>
            </w:pPr>
            <w:r>
              <w:rPr>
                <w:color w:val="auto"/>
                <w:sz w:val="24"/>
              </w:rPr>
              <w:t>本项目占地</w:t>
            </w:r>
            <w:r>
              <w:rPr>
                <w:rFonts w:hint="eastAsia"/>
                <w:color w:val="auto"/>
                <w:sz w:val="24"/>
                <w:lang w:val="en-US" w:eastAsia="zh-CN"/>
              </w:rPr>
              <w:t>面积</w:t>
            </w:r>
            <w:r>
              <w:rPr>
                <w:rFonts w:hint="eastAsia"/>
                <w:color w:val="auto"/>
                <w:spacing w:val="5"/>
                <w:sz w:val="24"/>
                <w:lang w:val="en-US" w:eastAsia="zh-CN"/>
              </w:rPr>
              <w:t>13810</w:t>
            </w:r>
            <w:r>
              <w:rPr>
                <w:color w:val="auto"/>
                <w:sz w:val="24"/>
              </w:rPr>
              <w:t>m</w:t>
            </w:r>
            <w:r>
              <w:rPr>
                <w:color w:val="auto"/>
                <w:sz w:val="24"/>
                <w:vertAlign w:val="superscript"/>
              </w:rPr>
              <w:t>2</w:t>
            </w:r>
            <w:r>
              <w:rPr>
                <w:color w:val="auto"/>
                <w:sz w:val="24"/>
              </w:rPr>
              <w:t>计，雨水量主要与当地降雨强度、收集面积和地面径流系数以及地表蒸发量有关。</w:t>
            </w:r>
            <w:r>
              <w:rPr>
                <w:color w:val="auto"/>
                <w:sz w:val="24"/>
                <w:lang w:val="en-GB"/>
              </w:rPr>
              <w:t>其雨水地面径流量计算如下：</w:t>
            </w:r>
          </w:p>
          <w:p>
            <w:pPr>
              <w:spacing w:line="360" w:lineRule="auto"/>
              <w:ind w:firstLine="480" w:firstLineChars="200"/>
              <w:contextualSpacing/>
              <w:jc w:val="center"/>
              <w:rPr>
                <w:color w:val="auto"/>
                <w:sz w:val="24"/>
                <w:szCs w:val="24"/>
                <w:shd w:val="clear" w:color="auto" w:fill="FFFFFF"/>
              </w:rPr>
            </w:pPr>
            <w:r>
              <w:rPr>
                <w:color w:val="auto"/>
                <w:sz w:val="24"/>
                <w:szCs w:val="24"/>
              </w:rPr>
              <w:t>W=10</w:t>
            </w:r>
            <w:r>
              <w:rPr>
                <w:color w:val="auto"/>
                <w:sz w:val="24"/>
                <w:szCs w:val="24"/>
                <w:shd w:val="clear" w:color="auto" w:fill="FFFFFF"/>
              </w:rPr>
              <w:t>φ</w:t>
            </w:r>
            <w:r>
              <w:rPr>
                <w:color w:val="auto"/>
                <w:sz w:val="24"/>
                <w:szCs w:val="24"/>
                <w:shd w:val="clear" w:color="auto" w:fill="FFFFFF"/>
                <w:vertAlign w:val="subscript"/>
              </w:rPr>
              <w:t>c</w:t>
            </w:r>
            <w:r>
              <w:rPr>
                <w:color w:val="auto"/>
                <w:sz w:val="24"/>
                <w:szCs w:val="24"/>
                <w:shd w:val="clear" w:color="auto" w:fill="FFFFFF"/>
              </w:rPr>
              <w:t>H</w:t>
            </w:r>
            <w:r>
              <w:rPr>
                <w:color w:val="auto"/>
                <w:sz w:val="24"/>
                <w:szCs w:val="24"/>
                <w:shd w:val="clear" w:color="auto" w:fill="FFFFFF"/>
                <w:vertAlign w:val="subscript"/>
              </w:rPr>
              <w:t>d</w:t>
            </w:r>
            <w:r>
              <w:rPr>
                <w:color w:val="auto"/>
                <w:sz w:val="24"/>
                <w:szCs w:val="24"/>
                <w:shd w:val="clear" w:color="auto" w:fill="FFFFFF"/>
              </w:rPr>
              <w:t>F</w:t>
            </w:r>
          </w:p>
          <w:p>
            <w:pPr>
              <w:spacing w:line="360" w:lineRule="auto"/>
              <w:ind w:firstLine="480" w:firstLineChars="200"/>
              <w:contextualSpacing/>
              <w:jc w:val="left"/>
              <w:rPr>
                <w:color w:val="auto"/>
                <w:sz w:val="24"/>
                <w:shd w:val="clear" w:color="auto" w:fill="FFFFFF"/>
              </w:rPr>
            </w:pPr>
            <w:r>
              <w:rPr>
                <w:color w:val="auto"/>
                <w:sz w:val="24"/>
                <w:shd w:val="clear" w:color="auto" w:fill="FFFFFF"/>
              </w:rPr>
              <w:t>w--硬化面雨水径流量（m</w:t>
            </w:r>
            <w:r>
              <w:rPr>
                <w:color w:val="auto"/>
                <w:sz w:val="24"/>
                <w:shd w:val="clear" w:color="auto" w:fill="FFFFFF"/>
                <w:vertAlign w:val="superscript"/>
              </w:rPr>
              <w:t>3</w:t>
            </w:r>
            <w:r>
              <w:rPr>
                <w:color w:val="auto"/>
                <w:sz w:val="24"/>
                <w:shd w:val="clear" w:color="auto" w:fill="FFFFFF"/>
              </w:rPr>
              <w:t>）</w:t>
            </w:r>
          </w:p>
          <w:p>
            <w:pPr>
              <w:spacing w:line="360" w:lineRule="auto"/>
              <w:ind w:firstLine="480" w:firstLineChars="200"/>
              <w:contextualSpacing/>
              <w:jc w:val="left"/>
              <w:rPr>
                <w:color w:val="auto"/>
                <w:sz w:val="24"/>
                <w:shd w:val="clear" w:color="auto" w:fill="FFFFFF"/>
              </w:rPr>
            </w:pPr>
            <w:r>
              <w:rPr>
                <w:color w:val="auto"/>
                <w:sz w:val="24"/>
                <w:shd w:val="clear" w:color="auto" w:fill="FFFFFF"/>
              </w:rPr>
              <w:t>φ</w:t>
            </w:r>
            <w:r>
              <w:rPr>
                <w:color w:val="auto"/>
                <w:sz w:val="24"/>
                <w:shd w:val="clear" w:color="auto" w:fill="FFFFFF"/>
                <w:vertAlign w:val="subscript"/>
              </w:rPr>
              <w:t>c</w:t>
            </w:r>
            <w:r>
              <w:rPr>
                <w:color w:val="auto"/>
                <w:sz w:val="24"/>
                <w:shd w:val="clear" w:color="auto" w:fill="FFFFFF"/>
                <w:vertAlign w:val="subscript"/>
              </w:rPr>
              <w:softHyphen/>
            </w:r>
            <w:r>
              <w:rPr>
                <w:color w:val="auto"/>
                <w:sz w:val="24"/>
                <w:shd w:val="clear" w:color="auto" w:fill="FFFFFF"/>
              </w:rPr>
              <w:t>--硬化面雨水径流系数</w:t>
            </w:r>
          </w:p>
          <w:p>
            <w:pPr>
              <w:spacing w:line="360" w:lineRule="auto"/>
              <w:ind w:firstLine="480" w:firstLineChars="200"/>
              <w:contextualSpacing/>
              <w:jc w:val="left"/>
              <w:rPr>
                <w:color w:val="auto"/>
                <w:sz w:val="24"/>
                <w:shd w:val="clear" w:color="auto" w:fill="FFFFFF"/>
              </w:rPr>
            </w:pPr>
            <w:r>
              <w:rPr>
                <w:color w:val="auto"/>
                <w:sz w:val="24"/>
                <w:shd w:val="clear" w:color="auto" w:fill="FFFFFF"/>
              </w:rPr>
              <w:t>H</w:t>
            </w:r>
            <w:r>
              <w:rPr>
                <w:color w:val="auto"/>
                <w:sz w:val="24"/>
                <w:shd w:val="clear" w:color="auto" w:fill="FFFFFF"/>
                <w:vertAlign w:val="subscript"/>
              </w:rPr>
              <w:t>d</w:t>
            </w:r>
            <w:r>
              <w:rPr>
                <w:color w:val="auto"/>
                <w:sz w:val="24"/>
                <w:shd w:val="clear" w:color="auto" w:fill="FFFFFF"/>
              </w:rPr>
              <w:t>--30年重现期最大日降雨厚度（mm）</w:t>
            </w:r>
          </w:p>
          <w:p>
            <w:pPr>
              <w:spacing w:line="360" w:lineRule="auto"/>
              <w:ind w:firstLine="480" w:firstLineChars="200"/>
              <w:contextualSpacing/>
              <w:jc w:val="left"/>
              <w:rPr>
                <w:color w:val="auto"/>
                <w:sz w:val="24"/>
                <w:shd w:val="clear" w:color="auto" w:fill="FFFFFF"/>
              </w:rPr>
            </w:pPr>
            <w:r>
              <w:rPr>
                <w:color w:val="auto"/>
                <w:sz w:val="24"/>
                <w:shd w:val="clear" w:color="auto" w:fill="FFFFFF"/>
              </w:rPr>
              <w:t>F--硬化面汇水面积（hm</w:t>
            </w:r>
            <w:r>
              <w:rPr>
                <w:color w:val="auto"/>
                <w:sz w:val="24"/>
                <w:shd w:val="clear" w:color="auto" w:fill="FFFFFF"/>
                <w:vertAlign w:val="superscript"/>
              </w:rPr>
              <w:t>2</w:t>
            </w:r>
            <w:r>
              <w:rPr>
                <w:color w:val="auto"/>
                <w:sz w:val="24"/>
                <w:shd w:val="clear" w:color="auto" w:fill="FFFFFF"/>
              </w:rPr>
              <w:t>）</w:t>
            </w:r>
          </w:p>
          <w:p>
            <w:pPr>
              <w:widowControl/>
              <w:spacing w:line="360" w:lineRule="auto"/>
              <w:ind w:firstLine="480" w:firstLineChars="200"/>
              <w:rPr>
                <w:rFonts w:hint="default" w:eastAsia="宋体"/>
                <w:color w:val="auto"/>
                <w:sz w:val="24"/>
                <w:shd w:val="clear" w:color="auto" w:fill="FFFFFF"/>
                <w:vertAlign w:val="baseline"/>
                <w:lang w:val="en-US" w:eastAsia="zh-CN"/>
              </w:rPr>
            </w:pPr>
            <w:r>
              <w:rPr>
                <w:color w:val="auto"/>
                <w:sz w:val="24"/>
                <w:shd w:val="clear" w:color="auto" w:fill="FFFFFF"/>
              </w:rPr>
              <w:t>本项目场区地面采用原有土地夯实，依据《室外排水设计规范（2011年版）》（GB50014-2006），</w:t>
            </w:r>
            <w:r>
              <w:rPr>
                <w:rFonts w:hint="eastAsia"/>
                <w:color w:val="auto"/>
                <w:sz w:val="24"/>
                <w:shd w:val="clear" w:color="auto" w:fill="FFFFFF"/>
                <w:lang w:val="en-US" w:eastAsia="zh-CN"/>
              </w:rPr>
              <w:t>本项目取</w:t>
            </w:r>
            <w:r>
              <w:rPr>
                <w:color w:val="auto"/>
                <w:sz w:val="24"/>
                <w:shd w:val="clear" w:color="auto" w:fill="FFFFFF"/>
              </w:rPr>
              <w:t>地面径流系数0.</w:t>
            </w:r>
            <w:r>
              <w:rPr>
                <w:rFonts w:hint="eastAsia"/>
                <w:color w:val="auto"/>
                <w:sz w:val="24"/>
                <w:shd w:val="clear" w:color="auto" w:fill="FFFFFF"/>
                <w:lang w:val="en-US" w:eastAsia="zh-CN"/>
              </w:rPr>
              <w:t>25</w:t>
            </w:r>
            <w:r>
              <w:rPr>
                <w:color w:val="auto"/>
                <w:sz w:val="24"/>
                <w:shd w:val="clear" w:color="auto" w:fill="FFFFFF"/>
              </w:rPr>
              <w:t>；本次取30年重现期最大日降雨量，宁县多年平均降雨量为565.9mm，30年重现期最大日降雨量一般取年降雨量的10%，本次取56.59mm；场地面积为</w:t>
            </w:r>
            <w:r>
              <w:rPr>
                <w:rFonts w:hint="eastAsia"/>
                <w:color w:val="auto"/>
                <w:spacing w:val="5"/>
                <w:sz w:val="24"/>
                <w:lang w:val="en-US" w:eastAsia="zh-CN"/>
              </w:rPr>
              <w:t>13810</w:t>
            </w:r>
            <w:r>
              <w:rPr>
                <w:color w:val="auto"/>
                <w:sz w:val="24"/>
                <w:shd w:val="clear" w:color="auto" w:fill="FFFFFF"/>
              </w:rPr>
              <w:t>m</w:t>
            </w:r>
            <w:r>
              <w:rPr>
                <w:color w:val="auto"/>
                <w:sz w:val="24"/>
                <w:shd w:val="clear" w:color="auto" w:fill="FFFFFF"/>
                <w:vertAlign w:val="superscript"/>
              </w:rPr>
              <w:t>2</w:t>
            </w:r>
            <w:r>
              <w:rPr>
                <w:color w:val="auto"/>
                <w:sz w:val="24"/>
                <w:shd w:val="clear" w:color="auto" w:fill="FFFFFF"/>
              </w:rPr>
              <w:t>即</w:t>
            </w:r>
            <w:r>
              <w:rPr>
                <w:rFonts w:hint="eastAsia"/>
                <w:color w:val="auto"/>
                <w:sz w:val="24"/>
                <w:shd w:val="clear" w:color="auto" w:fill="FFFFFF"/>
                <w:lang w:val="en-US" w:eastAsia="zh-CN"/>
              </w:rPr>
              <w:t>1.381</w:t>
            </w:r>
            <w:r>
              <w:rPr>
                <w:color w:val="auto"/>
                <w:sz w:val="24"/>
                <w:shd w:val="clear" w:color="auto" w:fill="FFFFFF"/>
              </w:rPr>
              <w:t>hm</w:t>
            </w:r>
            <w:r>
              <w:rPr>
                <w:color w:val="auto"/>
                <w:sz w:val="24"/>
                <w:shd w:val="clear" w:color="auto" w:fill="FFFFFF"/>
                <w:vertAlign w:val="superscript"/>
              </w:rPr>
              <w:t>2</w:t>
            </w:r>
            <w:r>
              <w:rPr>
                <w:color w:val="auto"/>
                <w:sz w:val="24"/>
                <w:shd w:val="clear" w:color="auto" w:fill="FFFFFF"/>
              </w:rPr>
              <w:t>，经计算后雨水径流量为</w:t>
            </w:r>
            <w:r>
              <w:rPr>
                <w:rFonts w:hint="eastAsia"/>
                <w:color w:val="auto"/>
                <w:sz w:val="24"/>
                <w:shd w:val="clear" w:color="auto" w:fill="FFFFFF"/>
                <w:lang w:val="en-US" w:eastAsia="zh-CN"/>
              </w:rPr>
              <w:t>195.38</w:t>
            </w:r>
            <w:r>
              <w:rPr>
                <w:color w:val="auto"/>
                <w:sz w:val="24"/>
                <w:shd w:val="clear" w:color="auto" w:fill="FFFFFF"/>
              </w:rPr>
              <w:t>m</w:t>
            </w:r>
            <w:r>
              <w:rPr>
                <w:color w:val="auto"/>
                <w:sz w:val="24"/>
                <w:shd w:val="clear" w:color="auto" w:fill="FFFFFF"/>
                <w:vertAlign w:val="superscript"/>
              </w:rPr>
              <w:t>3</w:t>
            </w:r>
            <w:r>
              <w:rPr>
                <w:rFonts w:hint="eastAsia"/>
                <w:color w:val="auto"/>
                <w:sz w:val="24"/>
                <w:shd w:val="clear" w:color="auto" w:fill="FFFFFF"/>
                <w:vertAlign w:val="baseline"/>
                <w:lang w:val="en-US" w:eastAsia="zh-CN"/>
              </w:rPr>
              <w:t>。环评要求企业建设250m</w:t>
            </w:r>
            <w:r>
              <w:rPr>
                <w:rFonts w:hint="eastAsia"/>
                <w:color w:val="auto"/>
                <w:sz w:val="24"/>
                <w:shd w:val="clear" w:color="auto" w:fill="FFFFFF"/>
                <w:vertAlign w:val="superscript"/>
                <w:lang w:val="en-US" w:eastAsia="zh-CN"/>
              </w:rPr>
              <w:t>3</w:t>
            </w:r>
            <w:r>
              <w:rPr>
                <w:rFonts w:hint="eastAsia"/>
                <w:color w:val="auto"/>
                <w:sz w:val="24"/>
                <w:shd w:val="clear" w:color="auto" w:fill="FFFFFF"/>
                <w:vertAlign w:val="baseline"/>
                <w:lang w:val="en-US" w:eastAsia="zh-CN"/>
              </w:rPr>
              <w:t>的雨水收集池。根据宁县多年平均降雨量及本项目的雨水收集效率（80%），项目年收集雨水6252m</w:t>
            </w:r>
            <w:r>
              <w:rPr>
                <w:rFonts w:hint="eastAsia"/>
                <w:color w:val="auto"/>
                <w:sz w:val="24"/>
                <w:shd w:val="clear" w:color="auto" w:fill="FFFFFF"/>
                <w:vertAlign w:val="superscript"/>
                <w:lang w:val="en-US" w:eastAsia="zh-CN"/>
              </w:rPr>
              <w:t>3</w:t>
            </w:r>
            <w:r>
              <w:rPr>
                <w:rFonts w:hint="eastAsia"/>
                <w:color w:val="auto"/>
                <w:sz w:val="24"/>
                <w:shd w:val="clear" w:color="auto" w:fill="FFFFFF"/>
                <w:vertAlign w:val="baseline"/>
                <w:lang w:val="en-US" w:eastAsia="zh-CN"/>
              </w:rPr>
              <w:t>，收集雨水回用率以90%计，则可回用的雨水量为5626m</w:t>
            </w:r>
            <w:r>
              <w:rPr>
                <w:rFonts w:hint="eastAsia"/>
                <w:color w:val="auto"/>
                <w:sz w:val="24"/>
                <w:shd w:val="clear" w:color="auto" w:fill="FFFFFF"/>
                <w:vertAlign w:val="superscript"/>
                <w:lang w:val="en-US" w:eastAsia="zh-CN"/>
              </w:rPr>
              <w:t>3</w:t>
            </w:r>
            <w:r>
              <w:rPr>
                <w:rFonts w:hint="eastAsia"/>
                <w:color w:val="auto"/>
                <w:sz w:val="24"/>
                <w:shd w:val="clear" w:color="auto" w:fill="FFFFFF"/>
                <w:vertAlign w:val="baseline"/>
                <w:lang w:val="en-US" w:eastAsia="zh-CN"/>
              </w:rPr>
              <w:t>，项目区内设雨水导排渠，收集的雨水用于隧道窑烟气处理系统补水。生产及抑尘用水，不外排。</w:t>
            </w:r>
          </w:p>
          <w:p>
            <w:pPr>
              <w:pStyle w:val="60"/>
              <w:ind w:firstLine="420"/>
              <w:rPr>
                <w:rFonts w:hint="eastAsia"/>
                <w:color w:val="auto"/>
                <w:sz w:val="24"/>
                <w:szCs w:val="24"/>
                <w:lang w:val="en-US" w:eastAsia="zh-CN"/>
              </w:rPr>
            </w:pPr>
            <w:r>
              <w:rPr>
                <w:color w:val="auto"/>
                <w:sz w:val="24"/>
                <w:szCs w:val="24"/>
                <w:highlight w:val="none"/>
              </w:rPr>
              <w:t>项目生产车间、厂区及进出口道路修建排水渠。无废水外排</w:t>
            </w:r>
            <w:r>
              <w:rPr>
                <w:rFonts w:hint="eastAsia"/>
                <w:color w:val="auto"/>
                <w:sz w:val="24"/>
                <w:szCs w:val="24"/>
                <w:highlight w:val="none"/>
                <w:lang w:eastAsia="zh-CN"/>
              </w:rPr>
              <w:t>，</w:t>
            </w:r>
            <w:r>
              <w:rPr>
                <w:color w:val="auto"/>
                <w:sz w:val="24"/>
                <w:szCs w:val="24"/>
                <w:highlight w:val="none"/>
              </w:rPr>
              <w:t>可满足项目需求。</w:t>
            </w:r>
          </w:p>
          <w:p>
            <w:pPr>
              <w:pStyle w:val="60"/>
              <w:ind w:firstLine="420"/>
              <w:rPr>
                <w:rFonts w:hint="eastAsia"/>
                <w:color w:val="auto"/>
                <w:sz w:val="24"/>
                <w:szCs w:val="24"/>
                <w:lang w:val="en-US" w:eastAsia="zh-CN"/>
              </w:rPr>
            </w:pPr>
            <w:r>
              <w:rPr>
                <w:color w:val="auto"/>
                <w:sz w:val="24"/>
                <w:szCs w:val="24"/>
              </w:rPr>
              <w:fldChar w:fldCharType="begin"/>
            </w:r>
            <w:r>
              <w:rPr>
                <w:color w:val="auto"/>
                <w:sz w:val="24"/>
                <w:szCs w:val="24"/>
              </w:rPr>
              <w:instrText xml:space="preserve"> = 2 \* GB3 \* MERGEFORMAT </w:instrText>
            </w:r>
            <w:r>
              <w:rPr>
                <w:color w:val="auto"/>
                <w:sz w:val="24"/>
                <w:szCs w:val="24"/>
              </w:rPr>
              <w:fldChar w:fldCharType="separate"/>
            </w:r>
            <w:r>
              <w:rPr>
                <w:color w:val="auto"/>
                <w:sz w:val="24"/>
                <w:szCs w:val="24"/>
              </w:rPr>
              <w:t>②</w:t>
            </w:r>
            <w:r>
              <w:rPr>
                <w:color w:val="auto"/>
                <w:sz w:val="24"/>
                <w:szCs w:val="24"/>
              </w:rPr>
              <w:fldChar w:fldCharType="end"/>
            </w:r>
            <w:r>
              <w:rPr>
                <w:rFonts w:hint="eastAsia"/>
                <w:color w:val="auto"/>
                <w:sz w:val="24"/>
                <w:szCs w:val="24"/>
                <w:lang w:val="en-US" w:eastAsia="zh-CN"/>
              </w:rPr>
              <w:t>废水</w:t>
            </w:r>
          </w:p>
          <w:p>
            <w:pPr>
              <w:pStyle w:val="60"/>
              <w:ind w:firstLine="420"/>
              <w:rPr>
                <w:color w:val="auto"/>
                <w:sz w:val="24"/>
                <w:szCs w:val="24"/>
              </w:rPr>
            </w:pPr>
            <w:r>
              <w:rPr>
                <w:color w:val="auto"/>
                <w:sz w:val="24"/>
                <w:szCs w:val="24"/>
              </w:rPr>
              <w:t>项目</w:t>
            </w:r>
            <w:r>
              <w:rPr>
                <w:rFonts w:hint="eastAsia"/>
                <w:color w:val="auto"/>
                <w:sz w:val="24"/>
                <w:szCs w:val="24"/>
              </w:rPr>
              <w:t>运营期废水主要</w:t>
            </w:r>
            <w:r>
              <w:rPr>
                <w:rFonts w:hint="eastAsia"/>
                <w:color w:val="auto"/>
                <w:sz w:val="24"/>
                <w:szCs w:val="24"/>
                <w:lang w:val="en-US" w:eastAsia="zh-CN"/>
              </w:rPr>
              <w:t>为工作人员产生的</w:t>
            </w:r>
            <w:r>
              <w:rPr>
                <w:rFonts w:hint="eastAsia"/>
                <w:color w:val="auto"/>
                <w:sz w:val="24"/>
                <w:szCs w:val="24"/>
              </w:rPr>
              <w:t>生活污水。</w:t>
            </w:r>
          </w:p>
          <w:p>
            <w:pPr>
              <w:pStyle w:val="60"/>
              <w:ind w:firstLine="420"/>
              <w:rPr>
                <w:color w:val="auto"/>
                <w:sz w:val="24"/>
                <w:szCs w:val="24"/>
              </w:rPr>
            </w:pPr>
            <w:r>
              <w:rPr>
                <w:color w:val="auto"/>
                <w:sz w:val="24"/>
                <w:szCs w:val="24"/>
              </w:rPr>
              <w:t>项目</w:t>
            </w:r>
            <w:r>
              <w:rPr>
                <w:rFonts w:hint="eastAsia"/>
                <w:color w:val="auto"/>
                <w:sz w:val="24"/>
                <w:szCs w:val="24"/>
              </w:rPr>
              <w:t>运营期</w:t>
            </w:r>
            <w:r>
              <w:rPr>
                <w:color w:val="auto"/>
                <w:sz w:val="24"/>
                <w:szCs w:val="24"/>
              </w:rPr>
              <w:t>职工定员</w:t>
            </w:r>
            <w:r>
              <w:rPr>
                <w:rFonts w:hint="eastAsia"/>
                <w:color w:val="auto"/>
                <w:sz w:val="24"/>
                <w:szCs w:val="24"/>
                <w:lang w:val="en-US" w:eastAsia="zh-CN"/>
              </w:rPr>
              <w:t>18</w:t>
            </w:r>
            <w:r>
              <w:rPr>
                <w:color w:val="auto"/>
                <w:sz w:val="24"/>
                <w:szCs w:val="24"/>
              </w:rPr>
              <w:t>人，生活用水量为</w:t>
            </w:r>
            <w:r>
              <w:rPr>
                <w:rFonts w:hint="eastAsia"/>
                <w:color w:val="auto"/>
                <w:sz w:val="24"/>
                <w:szCs w:val="24"/>
                <w:lang w:val="en-US" w:eastAsia="zh-CN"/>
              </w:rPr>
              <w:t>1.08</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lang w:val="en-US" w:eastAsia="zh-CN"/>
              </w:rPr>
              <w:t>324</w:t>
            </w:r>
            <w:r>
              <w:rPr>
                <w:color w:val="auto"/>
                <w:sz w:val="24"/>
                <w:szCs w:val="24"/>
              </w:rPr>
              <w:t>t/a）</w:t>
            </w:r>
            <w:r>
              <w:rPr>
                <w:rFonts w:hint="eastAsia"/>
                <w:color w:val="auto"/>
                <w:sz w:val="24"/>
                <w:szCs w:val="24"/>
              </w:rPr>
              <w:t>，生活污水产生系数按0</w:t>
            </w:r>
            <w:r>
              <w:rPr>
                <w:color w:val="auto"/>
                <w:sz w:val="24"/>
                <w:szCs w:val="24"/>
              </w:rPr>
              <w:t>.8</w:t>
            </w:r>
            <w:r>
              <w:rPr>
                <w:rFonts w:hint="eastAsia"/>
                <w:color w:val="auto"/>
                <w:sz w:val="24"/>
                <w:szCs w:val="24"/>
              </w:rPr>
              <w:t>计，则生活污水产生量</w:t>
            </w:r>
            <w:r>
              <w:rPr>
                <w:rFonts w:hint="eastAsia"/>
                <w:color w:val="auto"/>
                <w:sz w:val="24"/>
                <w:szCs w:val="24"/>
                <w:lang w:val="en-US" w:eastAsia="zh-CN"/>
              </w:rPr>
              <w:t>0.864</w:t>
            </w:r>
            <w:r>
              <w:rPr>
                <w:rFonts w:hint="eastAsia"/>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val="en-US" w:eastAsia="zh-CN"/>
              </w:rPr>
              <w:t>259.2</w:t>
            </w:r>
            <w:r>
              <w:rPr>
                <w:rFonts w:hint="eastAsia"/>
                <w:color w:val="auto"/>
                <w:sz w:val="24"/>
                <w:szCs w:val="24"/>
              </w:rPr>
              <w:t>t/a）</w:t>
            </w:r>
            <w:r>
              <w:rPr>
                <w:color w:val="auto"/>
                <w:sz w:val="24"/>
                <w:szCs w:val="24"/>
              </w:rPr>
              <w:t>；</w:t>
            </w:r>
            <w:r>
              <w:rPr>
                <w:rFonts w:hint="eastAsia"/>
                <w:color w:val="auto"/>
                <w:sz w:val="24"/>
                <w:szCs w:val="24"/>
                <w:lang w:val="en-US" w:eastAsia="zh-CN"/>
              </w:rPr>
              <w:t>餐饮废水产生量为108m</w:t>
            </w:r>
            <w:r>
              <w:rPr>
                <w:rFonts w:hint="eastAsia"/>
                <w:color w:val="auto"/>
                <w:sz w:val="24"/>
                <w:szCs w:val="24"/>
                <w:vertAlign w:val="superscript"/>
                <w:lang w:val="en-US" w:eastAsia="zh-CN"/>
              </w:rPr>
              <w:t>3</w:t>
            </w:r>
            <w:r>
              <w:rPr>
                <w:rFonts w:hint="eastAsia"/>
                <w:color w:val="auto"/>
                <w:sz w:val="24"/>
                <w:szCs w:val="24"/>
                <w:lang w:val="en-US" w:eastAsia="zh-CN"/>
              </w:rPr>
              <w:t>/a（0.36m</w:t>
            </w:r>
            <w:r>
              <w:rPr>
                <w:rFonts w:hint="eastAsia"/>
                <w:color w:val="auto"/>
                <w:sz w:val="24"/>
                <w:szCs w:val="24"/>
                <w:vertAlign w:val="superscript"/>
                <w:lang w:val="en-US" w:eastAsia="zh-CN"/>
              </w:rPr>
              <w:t>3</w:t>
            </w:r>
            <w:r>
              <w:rPr>
                <w:rFonts w:hint="eastAsia"/>
                <w:color w:val="auto"/>
                <w:sz w:val="24"/>
                <w:szCs w:val="24"/>
                <w:lang w:val="en-US" w:eastAsia="zh-CN"/>
              </w:rPr>
              <w:t>/d）。餐饮废水经隔油池处理后与生活污水排入旱厕定期拉运至附近生活污水处理厂进行处理</w:t>
            </w:r>
            <w:r>
              <w:rPr>
                <w:rFonts w:hint="eastAsia"/>
                <w:color w:val="auto"/>
                <w:sz w:val="24"/>
                <w:szCs w:val="24"/>
              </w:rPr>
              <w:t>。</w:t>
            </w:r>
          </w:p>
          <w:p>
            <w:pPr>
              <w:pStyle w:val="60"/>
              <w:ind w:firstLine="420"/>
              <w:rPr>
                <w:rFonts w:hint="default" w:eastAsia="宋体"/>
                <w:color w:val="auto"/>
                <w:sz w:val="24"/>
                <w:szCs w:val="24"/>
                <w:lang w:val="en-US" w:eastAsia="zh-CN"/>
              </w:rPr>
            </w:pPr>
            <w:r>
              <w:rPr>
                <w:rFonts w:hint="eastAsia"/>
                <w:color w:val="auto"/>
                <w:sz w:val="24"/>
                <w:szCs w:val="24"/>
              </w:rPr>
              <w:t>项目制砖工艺过程无废水产生，原料中所含水分</w:t>
            </w:r>
            <w:r>
              <w:rPr>
                <w:rFonts w:hint="eastAsia"/>
                <w:color w:val="auto"/>
                <w:sz w:val="24"/>
                <w:szCs w:val="24"/>
                <w:lang w:val="en-US" w:eastAsia="zh-CN"/>
              </w:rPr>
              <w:t>干燥过程</w:t>
            </w:r>
            <w:r>
              <w:rPr>
                <w:rFonts w:hint="eastAsia"/>
                <w:color w:val="auto"/>
                <w:sz w:val="24"/>
                <w:szCs w:val="24"/>
              </w:rPr>
              <w:t>挥发排入空气；</w:t>
            </w:r>
            <w:r>
              <w:rPr>
                <w:rFonts w:hint="eastAsia"/>
                <w:color w:val="auto"/>
                <w:sz w:val="24"/>
                <w:szCs w:val="24"/>
                <w:lang w:val="en-US" w:eastAsia="zh-CN"/>
              </w:rPr>
              <w:t>隧道窑烟气处理系统废水</w:t>
            </w:r>
            <w:r>
              <w:rPr>
                <w:color w:val="auto"/>
                <w:sz w:val="24"/>
                <w:szCs w:val="24"/>
              </w:rPr>
              <w:t>循环</w:t>
            </w:r>
            <w:r>
              <w:rPr>
                <w:rFonts w:hint="eastAsia"/>
                <w:color w:val="auto"/>
                <w:sz w:val="24"/>
                <w:szCs w:val="24"/>
              </w:rPr>
              <w:t>利用</w:t>
            </w:r>
            <w:r>
              <w:rPr>
                <w:color w:val="auto"/>
                <w:sz w:val="24"/>
                <w:szCs w:val="24"/>
              </w:rPr>
              <w:t>不外排</w:t>
            </w:r>
            <w:r>
              <w:rPr>
                <w:rFonts w:hint="eastAsia"/>
                <w:color w:val="auto"/>
                <w:sz w:val="24"/>
                <w:szCs w:val="24"/>
                <w:lang w:eastAsia="zh-CN"/>
              </w:rPr>
              <w:t>；</w:t>
            </w:r>
            <w:r>
              <w:rPr>
                <w:rFonts w:hint="eastAsia"/>
                <w:color w:val="auto"/>
                <w:sz w:val="24"/>
                <w:szCs w:val="24"/>
              </w:rPr>
              <w:t>生活污水中盥洗水泼洒地面抑尘，</w:t>
            </w:r>
            <w:r>
              <w:rPr>
                <w:rFonts w:hint="eastAsia"/>
                <w:color w:val="auto"/>
                <w:sz w:val="24"/>
                <w:szCs w:val="24"/>
                <w:lang w:val="en-US" w:eastAsia="zh-CN"/>
              </w:rPr>
              <w:t>生活污物进入旱厕堆肥。项目水平衡表见表2-17、水平衡图见4。</w:t>
            </w:r>
          </w:p>
          <w:p>
            <w:pPr>
              <w:pStyle w:val="6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pacing w:val="-62"/>
                <w:sz w:val="21"/>
                <w:szCs w:val="21"/>
                <w:highlight w:val="none"/>
              </w:rPr>
              <w:t xml:space="preserve"> </w:t>
            </w:r>
            <w:r>
              <w:rPr>
                <w:rFonts w:hint="default" w:ascii="Times New Roman" w:hAnsi="Times New Roman" w:eastAsia="宋体" w:cs="Times New Roman"/>
                <w:b/>
                <w:bCs/>
                <w:color w:val="auto"/>
                <w:sz w:val="21"/>
                <w:szCs w:val="21"/>
                <w:highlight w:val="none"/>
              </w:rPr>
              <w:t>2-</w:t>
            </w:r>
            <w:r>
              <w:rPr>
                <w:rFonts w:hint="eastAsia" w:ascii="Times New Roman" w:hAnsi="Times New Roman" w:cs="Times New Roman"/>
                <w:b/>
                <w:bCs/>
                <w:color w:val="auto"/>
                <w:sz w:val="21"/>
                <w:szCs w:val="21"/>
                <w:highlight w:val="none"/>
                <w:lang w:val="en-US" w:eastAsia="zh-CN"/>
              </w:rPr>
              <w:t xml:space="preserve">17   </w:t>
            </w:r>
            <w:r>
              <w:rPr>
                <w:rFonts w:hint="default" w:ascii="Times New Roman" w:hAnsi="Times New Roman" w:eastAsia="宋体" w:cs="Times New Roman"/>
                <w:b/>
                <w:bCs/>
                <w:color w:val="auto"/>
                <w:sz w:val="21"/>
                <w:szCs w:val="21"/>
                <w:highlight w:val="none"/>
              </w:rPr>
              <w:t>本项目水平衡一览表</w:t>
            </w:r>
          </w:p>
          <w:tbl>
            <w:tblPr>
              <w:tblStyle w:val="29"/>
              <w:tblW w:w="7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111"/>
              <w:gridCol w:w="1200"/>
              <w:gridCol w:w="894"/>
              <w:gridCol w:w="851"/>
              <w:gridCol w:w="853"/>
              <w:gridCol w:w="85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7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color w:val="auto"/>
                      <w:kern w:val="2"/>
                      <w:sz w:val="21"/>
                      <w:szCs w:val="21"/>
                      <w:highlight w:val="none"/>
                      <w:lang w:val="zh-CN" w:eastAsia="zh-CN" w:bidi="zh-CN"/>
                    </w:rPr>
                  </w:pPr>
                  <w:r>
                    <w:rPr>
                      <w:rFonts w:hint="default" w:ascii="Times New Roman" w:hAnsi="Times New Roman" w:eastAsia="宋体" w:cs="Times New Roman"/>
                      <w:b/>
                      <w:color w:val="auto"/>
                      <w:sz w:val="21"/>
                      <w:szCs w:val="21"/>
                      <w:highlight w:val="none"/>
                    </w:rPr>
                    <w:t>类别</w:t>
                  </w:r>
                </w:p>
              </w:tc>
              <w:tc>
                <w:tcPr>
                  <w:tcW w:w="696"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b/>
                      <w:color w:val="auto"/>
                      <w:kern w:val="2"/>
                      <w:sz w:val="21"/>
                      <w:szCs w:val="21"/>
                      <w:highlight w:val="none"/>
                      <w:lang w:val="zh-CN" w:eastAsia="zh-CN" w:bidi="zh-CN"/>
                    </w:rPr>
                  </w:pPr>
                  <w:r>
                    <w:rPr>
                      <w:rFonts w:hint="default" w:ascii="Times New Roman" w:hAnsi="Times New Roman" w:eastAsia="宋体" w:cs="Times New Roman"/>
                      <w:b/>
                      <w:color w:val="auto"/>
                      <w:sz w:val="21"/>
                      <w:szCs w:val="21"/>
                      <w:highlight w:val="none"/>
                    </w:rPr>
                    <w:t>用水标准</w:t>
                  </w:r>
                </w:p>
              </w:tc>
              <w:tc>
                <w:tcPr>
                  <w:tcW w:w="75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color w:val="auto"/>
                      <w:kern w:val="2"/>
                      <w:sz w:val="21"/>
                      <w:szCs w:val="21"/>
                      <w:highlight w:val="none"/>
                      <w:lang w:val="zh-CN" w:eastAsia="zh-CN" w:bidi="zh-CN"/>
                    </w:rPr>
                  </w:pPr>
                  <w:r>
                    <w:rPr>
                      <w:rFonts w:hint="default" w:ascii="Times New Roman" w:hAnsi="Times New Roman" w:eastAsia="宋体" w:cs="Times New Roman"/>
                      <w:b/>
                      <w:color w:val="auto"/>
                      <w:sz w:val="21"/>
                      <w:szCs w:val="21"/>
                      <w:highlight w:val="none"/>
                    </w:rPr>
                    <w:t>规模</w:t>
                  </w:r>
                </w:p>
              </w:tc>
              <w:tc>
                <w:tcPr>
                  <w:tcW w:w="56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新鲜</w:t>
                  </w:r>
                  <w:r>
                    <w:rPr>
                      <w:rFonts w:hint="default" w:ascii="Times New Roman" w:hAnsi="Times New Roman" w:eastAsia="宋体" w:cs="Times New Roman"/>
                      <w:b/>
                      <w:color w:val="auto"/>
                      <w:sz w:val="21"/>
                      <w:szCs w:val="21"/>
                      <w:highlight w:val="none"/>
                    </w:rPr>
                    <w:t>水</w:t>
                  </w:r>
                  <w:r>
                    <w:rPr>
                      <w:rFonts w:hint="eastAsia" w:ascii="Times New Roman" w:hAnsi="Times New Roman" w:cs="Times New Roman"/>
                      <w:b/>
                      <w:color w:val="auto"/>
                      <w:sz w:val="21"/>
                      <w:szCs w:val="21"/>
                      <w:highlight w:val="none"/>
                      <w:lang w:val="en-US" w:eastAsia="zh-CN"/>
                    </w:rPr>
                    <w:t>用</w:t>
                  </w:r>
                  <w:r>
                    <w:rPr>
                      <w:rFonts w:hint="default" w:ascii="Times New Roman" w:hAnsi="Times New Roman" w:eastAsia="宋体" w:cs="Times New Roman"/>
                      <w:b/>
                      <w:color w:val="auto"/>
                      <w:sz w:val="21"/>
                      <w:szCs w:val="21"/>
                      <w:highlight w:val="none"/>
                    </w:rPr>
                    <w:t>量</w:t>
                  </w:r>
                </w:p>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b/>
                      <w:color w:val="auto"/>
                      <w:kern w:val="2"/>
                      <w:sz w:val="21"/>
                      <w:szCs w:val="21"/>
                      <w:highlight w:val="none"/>
                      <w:lang w:val="zh-CN" w:eastAsia="zh-CN" w:bidi="zh-CN"/>
                    </w:rPr>
                  </w:pPr>
                  <w:r>
                    <w:rPr>
                      <w:rFonts w:hint="default" w:ascii="Times New Roman" w:hAnsi="Times New Roman" w:eastAsia="宋体" w:cs="Times New Roman"/>
                      <w:b/>
                      <w:color w:val="auto"/>
                      <w:sz w:val="21"/>
                      <w:szCs w:val="21"/>
                      <w:highlight w:val="none"/>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/d)</w:t>
                  </w:r>
                </w:p>
              </w:tc>
              <w:tc>
                <w:tcPr>
                  <w:tcW w:w="534"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总</w:t>
                  </w:r>
                  <w:r>
                    <w:rPr>
                      <w:rFonts w:hint="default" w:ascii="Times New Roman" w:hAnsi="Times New Roman" w:eastAsia="宋体" w:cs="Times New Roman"/>
                      <w:b/>
                      <w:color w:val="auto"/>
                      <w:sz w:val="21"/>
                      <w:szCs w:val="21"/>
                      <w:highlight w:val="none"/>
                    </w:rPr>
                    <w:t>用水量</w:t>
                  </w:r>
                </w:p>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b/>
                      <w:color w:val="auto"/>
                      <w:kern w:val="2"/>
                      <w:sz w:val="21"/>
                      <w:szCs w:val="21"/>
                      <w:highlight w:val="none"/>
                      <w:lang w:val="zh-CN" w:eastAsia="zh-CN" w:bidi="zh-CN"/>
                    </w:rPr>
                  </w:pPr>
                  <w:r>
                    <w:rPr>
                      <w:rFonts w:hint="default" w:ascii="Times New Roman" w:hAnsi="Times New Roman" w:eastAsia="宋体" w:cs="Times New Roman"/>
                      <w:b/>
                      <w:color w:val="auto"/>
                      <w:sz w:val="21"/>
                      <w:szCs w:val="21"/>
                      <w:highlight w:val="none"/>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/a)</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Times New Roman" w:hAnsi="Times New Roman" w:eastAsia="宋体"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雨水回用量</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w w:val="95"/>
                      <w:sz w:val="21"/>
                      <w:szCs w:val="21"/>
                      <w:highlight w:val="none"/>
                      <w:lang w:val="en-US" w:eastAsia="zh-CN"/>
                    </w:rPr>
                    <w:t>排</w:t>
                  </w:r>
                  <w:r>
                    <w:rPr>
                      <w:rFonts w:hint="default" w:ascii="Times New Roman" w:hAnsi="Times New Roman" w:eastAsia="宋体" w:cs="Times New Roman"/>
                      <w:b/>
                      <w:color w:val="auto"/>
                      <w:w w:val="95"/>
                      <w:sz w:val="21"/>
                      <w:szCs w:val="21"/>
                      <w:highlight w:val="none"/>
                    </w:rPr>
                    <w:t>水量</w:t>
                  </w:r>
                </w:p>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b/>
                      <w:color w:val="auto"/>
                      <w:kern w:val="2"/>
                      <w:sz w:val="21"/>
                      <w:szCs w:val="21"/>
                      <w:highlight w:val="none"/>
                      <w:lang w:val="zh-CN" w:eastAsia="zh-CN" w:bidi="zh-CN"/>
                    </w:rPr>
                  </w:pPr>
                  <w:r>
                    <w:rPr>
                      <w:rFonts w:hint="default" w:ascii="Times New Roman" w:hAnsi="Times New Roman" w:eastAsia="宋体" w:cs="Times New Roman"/>
                      <w:b/>
                      <w:color w:val="auto"/>
                      <w:sz w:val="21"/>
                      <w:szCs w:val="21"/>
                      <w:highlight w:val="none"/>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/d)</w:t>
                  </w:r>
                </w:p>
              </w:tc>
              <w:tc>
                <w:tcPr>
                  <w:tcW w:w="510"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排</w:t>
                  </w:r>
                  <w:r>
                    <w:rPr>
                      <w:rFonts w:hint="default" w:ascii="Times New Roman" w:hAnsi="Times New Roman" w:eastAsia="宋体" w:cs="Times New Roman"/>
                      <w:b/>
                      <w:color w:val="auto"/>
                      <w:sz w:val="21"/>
                      <w:szCs w:val="21"/>
                      <w:highlight w:val="none"/>
                    </w:rPr>
                    <w:t>水量</w:t>
                  </w:r>
                </w:p>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b/>
                      <w:color w:val="auto"/>
                      <w:kern w:val="2"/>
                      <w:sz w:val="21"/>
                      <w:szCs w:val="21"/>
                      <w:highlight w:val="none"/>
                      <w:lang w:val="zh-CN" w:eastAsia="zh-CN" w:bidi="zh-CN"/>
                    </w:rPr>
                  </w:pPr>
                  <w:r>
                    <w:rPr>
                      <w:rFonts w:hint="default" w:ascii="Times New Roman" w:hAnsi="Times New Roman" w:eastAsia="宋体" w:cs="Times New Roman"/>
                      <w:b/>
                      <w:color w:val="auto"/>
                      <w:sz w:val="21"/>
                      <w:szCs w:val="21"/>
                      <w:highlight w:val="none"/>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zh-CN" w:eastAsia="zh-CN" w:bidi="zh-CN"/>
                    </w:rPr>
                  </w:pPr>
                  <w:r>
                    <w:rPr>
                      <w:rFonts w:hint="eastAsia" w:ascii="Times New Roman" w:hAnsi="Times New Roman" w:cs="Times New Roman"/>
                      <w:b w:val="0"/>
                      <w:bCs w:val="0"/>
                      <w:color w:val="auto"/>
                      <w:sz w:val="21"/>
                      <w:szCs w:val="21"/>
                      <w:lang w:val="en-US" w:eastAsia="zh-CN"/>
                    </w:rPr>
                    <w:t>搅拌</w:t>
                  </w:r>
                  <w:r>
                    <w:rPr>
                      <w:rFonts w:hint="default" w:ascii="Times New Roman" w:hAnsi="Times New Roman" w:eastAsia="宋体" w:cs="Times New Roman"/>
                      <w:b w:val="0"/>
                      <w:bCs w:val="0"/>
                      <w:color w:val="auto"/>
                      <w:sz w:val="21"/>
                      <w:szCs w:val="21"/>
                    </w:rPr>
                    <w:t>用水</w:t>
                  </w:r>
                </w:p>
              </w:tc>
              <w:tc>
                <w:tcPr>
                  <w:tcW w:w="696"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eastAsia" w:ascii="Times New Roman" w:hAnsi="Times New Roman" w:cs="Times New Roman"/>
                      <w:color w:val="auto"/>
                      <w:sz w:val="21"/>
                      <w:szCs w:val="21"/>
                      <w:lang w:val="en-US" w:eastAsia="zh-CN"/>
                    </w:rPr>
                    <w:t>5.11</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/万块</w:t>
                  </w:r>
                </w:p>
              </w:tc>
              <w:tc>
                <w:tcPr>
                  <w:tcW w:w="75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rPr>
                    <w:t>000万块/年</w:t>
                  </w:r>
                </w:p>
              </w:tc>
              <w:tc>
                <w:tcPr>
                  <w:tcW w:w="56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lang w:val="en-US" w:eastAsia="zh-CN"/>
                    </w:rPr>
                    <w:t>88.12</w:t>
                  </w:r>
                </w:p>
              </w:tc>
              <w:tc>
                <w:tcPr>
                  <w:tcW w:w="534"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30660</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4222</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zh-CN"/>
                    </w:rPr>
                    <w:t>/</w:t>
                  </w:r>
                </w:p>
              </w:tc>
              <w:tc>
                <w:tcPr>
                  <w:tcW w:w="510"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zh-CN" w:eastAsia="zh-CN" w:bidi="zh-CN"/>
                    </w:rPr>
                  </w:pPr>
                  <w:r>
                    <w:rPr>
                      <w:rFonts w:hint="default" w:ascii="Times New Roman" w:hAnsi="Times New Roman" w:eastAsia="宋体" w:cs="Times New Roman"/>
                      <w:b w:val="0"/>
                      <w:bCs w:val="0"/>
                      <w:color w:val="auto"/>
                      <w:sz w:val="21"/>
                      <w:szCs w:val="21"/>
                      <w:lang w:val="en-US" w:eastAsia="zh-CN"/>
                    </w:rPr>
                    <w:t>隧道窑烟气处理系统</w:t>
                  </w:r>
                  <w:r>
                    <w:rPr>
                      <w:rFonts w:hint="default" w:ascii="Times New Roman" w:hAnsi="Times New Roman" w:eastAsia="宋体" w:cs="Times New Roman"/>
                      <w:b w:val="0"/>
                      <w:bCs w:val="0"/>
                      <w:color w:val="auto"/>
                      <w:sz w:val="21"/>
                      <w:szCs w:val="21"/>
                    </w:rPr>
                    <w:t>补水</w:t>
                  </w:r>
                </w:p>
              </w:tc>
              <w:tc>
                <w:tcPr>
                  <w:tcW w:w="696"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17.2</w:t>
                  </w:r>
                  <w:r>
                    <w:rPr>
                      <w:rFonts w:hint="default" w:ascii="Times New Roman" w:hAnsi="Times New Roman" w:eastAsia="宋体" w:cs="Times New Roman"/>
                      <w:bCs w:val="0"/>
                      <w:color w:val="auto"/>
                      <w:kern w:val="0"/>
                      <w:sz w:val="21"/>
                      <w:szCs w:val="21"/>
                      <w:highlight w:val="none"/>
                      <w:lang w:bidi="ar"/>
                    </w:rPr>
                    <w:t>m</w:t>
                  </w:r>
                  <w:r>
                    <w:rPr>
                      <w:rFonts w:hint="default" w:ascii="Times New Roman" w:hAnsi="Times New Roman" w:eastAsia="宋体" w:cs="Times New Roman"/>
                      <w:bCs w:val="0"/>
                      <w:color w:val="auto"/>
                      <w:kern w:val="0"/>
                      <w:sz w:val="21"/>
                      <w:szCs w:val="21"/>
                      <w:highlight w:val="none"/>
                      <w:vertAlign w:val="superscript"/>
                      <w:lang w:bidi="ar"/>
                    </w:rPr>
                    <w:t>3</w:t>
                  </w:r>
                  <w:r>
                    <w:rPr>
                      <w:rFonts w:hint="default" w:ascii="Times New Roman" w:hAnsi="Times New Roman" w:eastAsia="宋体" w:cs="Times New Roman"/>
                      <w:bCs w:val="0"/>
                      <w:color w:val="auto"/>
                      <w:kern w:val="0"/>
                      <w:sz w:val="21"/>
                      <w:szCs w:val="21"/>
                      <w:highlight w:val="none"/>
                      <w:lang w:bidi="ar"/>
                    </w:rPr>
                    <w:t>/d</w:t>
                  </w:r>
                </w:p>
              </w:tc>
              <w:tc>
                <w:tcPr>
                  <w:tcW w:w="75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300</w:t>
                  </w:r>
                  <w:r>
                    <w:rPr>
                      <w:rFonts w:hint="default" w:ascii="Times New Roman" w:hAnsi="Times New Roman" w:eastAsia="宋体" w:cs="Times New Roman"/>
                      <w:color w:val="auto"/>
                      <w:kern w:val="2"/>
                      <w:sz w:val="21"/>
                      <w:szCs w:val="21"/>
                      <w:highlight w:val="none"/>
                      <w:lang w:val="en-US" w:eastAsia="zh-CN" w:bidi="zh-CN"/>
                    </w:rPr>
                    <w:t>d</w:t>
                  </w:r>
                </w:p>
              </w:tc>
              <w:tc>
                <w:tcPr>
                  <w:tcW w:w="56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lang w:val="en-US" w:eastAsia="zh-CN"/>
                    </w:rPr>
                    <w:t>17.2</w:t>
                  </w:r>
                </w:p>
              </w:tc>
              <w:tc>
                <w:tcPr>
                  <w:tcW w:w="534"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5160</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0</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zh-CN"/>
                    </w:rPr>
                    <w:t>/</w:t>
                  </w:r>
                </w:p>
              </w:tc>
              <w:tc>
                <w:tcPr>
                  <w:tcW w:w="510"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rPr>
                    <w:t>生活用水</w:t>
                  </w:r>
                </w:p>
              </w:tc>
              <w:tc>
                <w:tcPr>
                  <w:tcW w:w="696"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L/人·d</w:t>
                  </w:r>
                </w:p>
              </w:tc>
              <w:tc>
                <w:tcPr>
                  <w:tcW w:w="75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18</w:t>
                  </w:r>
                  <w:r>
                    <w:rPr>
                      <w:rFonts w:hint="default" w:ascii="Times New Roman" w:hAnsi="Times New Roman" w:eastAsia="宋体" w:cs="Times New Roman"/>
                      <w:color w:val="auto"/>
                      <w:kern w:val="2"/>
                      <w:sz w:val="21"/>
                      <w:szCs w:val="21"/>
                      <w:highlight w:val="none"/>
                      <w:lang w:val="en-US" w:eastAsia="zh-CN" w:bidi="zh-CN"/>
                    </w:rPr>
                    <w:t>人</w:t>
                  </w:r>
                  <w:r>
                    <w:rPr>
                      <w:rFonts w:hint="eastAsia" w:ascii="Times New Roman" w:hAnsi="Times New Roman" w:cs="Times New Roman"/>
                      <w:color w:val="auto"/>
                      <w:kern w:val="2"/>
                      <w:sz w:val="21"/>
                      <w:szCs w:val="21"/>
                      <w:highlight w:val="none"/>
                      <w:lang w:val="en-US" w:eastAsia="zh-CN" w:bidi="zh-CN"/>
                    </w:rPr>
                    <w:t>、300d</w:t>
                  </w:r>
                </w:p>
              </w:tc>
              <w:tc>
                <w:tcPr>
                  <w:tcW w:w="56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lang w:val="en-US" w:eastAsia="zh-CN"/>
                    </w:rPr>
                    <w:t>1.08</w:t>
                  </w:r>
                </w:p>
              </w:tc>
              <w:tc>
                <w:tcPr>
                  <w:tcW w:w="534"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324</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0</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eastAsia="宋体" w:cs="Times New Roman"/>
                      <w:color w:val="auto"/>
                      <w:kern w:val="2"/>
                      <w:sz w:val="21"/>
                      <w:szCs w:val="21"/>
                      <w:highlight w:val="none"/>
                      <w:lang w:val="en-US" w:eastAsia="zh-CN" w:bidi="zh-CN"/>
                    </w:rPr>
                    <w:t>0.</w:t>
                  </w:r>
                  <w:r>
                    <w:rPr>
                      <w:rFonts w:hint="eastAsia" w:ascii="Times New Roman" w:hAnsi="Times New Roman" w:cs="Times New Roman"/>
                      <w:color w:val="auto"/>
                      <w:kern w:val="2"/>
                      <w:sz w:val="21"/>
                      <w:szCs w:val="21"/>
                      <w:highlight w:val="none"/>
                      <w:lang w:val="en-US" w:eastAsia="zh-CN" w:bidi="zh-CN"/>
                    </w:rPr>
                    <w:t>864</w:t>
                  </w:r>
                </w:p>
              </w:tc>
              <w:tc>
                <w:tcPr>
                  <w:tcW w:w="510"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场地抑尘用水</w:t>
                  </w:r>
                </w:p>
              </w:tc>
              <w:tc>
                <w:tcPr>
                  <w:tcW w:w="696"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rPr>
                    <w:t>2L/（m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·d）</w:t>
                  </w:r>
                </w:p>
              </w:tc>
              <w:tc>
                <w:tcPr>
                  <w:tcW w:w="75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eastAsia" w:ascii="Times New Roman" w:hAnsi="Times New Roman" w:cs="Times New Roman"/>
                      <w:color w:val="auto"/>
                      <w:kern w:val="2"/>
                      <w:sz w:val="21"/>
                      <w:szCs w:val="21"/>
                      <w:highlight w:val="none"/>
                      <w:lang w:val="en-US" w:eastAsia="zh-CN" w:bidi="zh-CN"/>
                    </w:rPr>
                    <w:t>750</w:t>
                  </w:r>
                  <w:r>
                    <w:rPr>
                      <w:rFonts w:hint="default" w:ascii="Times New Roman" w:hAnsi="Times New Roman" w:eastAsia="宋体" w:cs="Times New Roman"/>
                      <w:color w:val="auto"/>
                      <w:kern w:val="2"/>
                      <w:sz w:val="21"/>
                      <w:szCs w:val="21"/>
                      <w:highlight w:val="none"/>
                      <w:lang w:val="en-US" w:eastAsia="zh-CN" w:bidi="zh-CN"/>
                    </w:rPr>
                    <w:t>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lang w:val="en-US" w:eastAsia="zh-CN"/>
                    </w:rPr>
                    <w:t>2</w:t>
                  </w:r>
                </w:p>
              </w:tc>
              <w:tc>
                <w:tcPr>
                  <w:tcW w:w="56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0</w:t>
                  </w:r>
                </w:p>
              </w:tc>
              <w:tc>
                <w:tcPr>
                  <w:tcW w:w="534"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1350</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1350</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zh-CN"/>
                    </w:rPr>
                    <w:t>/</w:t>
                  </w:r>
                </w:p>
              </w:tc>
              <w:tc>
                <w:tcPr>
                  <w:tcW w:w="510"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zh-CN" w:eastAsia="zh-CN" w:bidi="zh-CN"/>
                    </w:rPr>
                  </w:pPr>
                  <w:r>
                    <w:rPr>
                      <w:rFonts w:hint="default" w:ascii="Times New Roman" w:hAnsi="Times New Roman" w:eastAsia="宋体" w:cs="Times New Roman"/>
                      <w:b w:val="0"/>
                      <w:bCs w:val="0"/>
                      <w:color w:val="auto"/>
                      <w:sz w:val="21"/>
                      <w:szCs w:val="21"/>
                      <w:highlight w:val="none"/>
                    </w:rPr>
                    <w:t>绿化用水</w:t>
                  </w:r>
                </w:p>
              </w:tc>
              <w:tc>
                <w:tcPr>
                  <w:tcW w:w="696"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rPr>
                    <w:t>2L/m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/d</w:t>
                  </w:r>
                </w:p>
              </w:tc>
              <w:tc>
                <w:tcPr>
                  <w:tcW w:w="75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eastAsia="宋体" w:cs="Times New Roman"/>
                      <w:color w:val="auto"/>
                      <w:kern w:val="2"/>
                      <w:sz w:val="21"/>
                      <w:szCs w:val="21"/>
                      <w:highlight w:val="none"/>
                      <w:lang w:val="en-US" w:eastAsia="zh-CN" w:bidi="zh-CN"/>
                    </w:rPr>
                    <w:t>300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lang w:val="en-US" w:eastAsia="zh-CN"/>
                    </w:rPr>
                    <w:t>2</w:t>
                  </w:r>
                </w:p>
              </w:tc>
              <w:tc>
                <w:tcPr>
                  <w:tcW w:w="56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0</w:t>
                  </w:r>
                </w:p>
              </w:tc>
              <w:tc>
                <w:tcPr>
                  <w:tcW w:w="534"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eastAsia="宋体" w:cs="Times New Roman"/>
                      <w:color w:val="auto"/>
                      <w:kern w:val="2"/>
                      <w:sz w:val="21"/>
                      <w:szCs w:val="21"/>
                      <w:highlight w:val="none"/>
                      <w:lang w:val="en-US" w:eastAsia="zh-CN" w:bidi="zh-CN"/>
                    </w:rPr>
                    <w:t>54</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54</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zh-CN"/>
                    </w:rPr>
                    <w:t>/</w:t>
                  </w:r>
                </w:p>
              </w:tc>
              <w:tc>
                <w:tcPr>
                  <w:tcW w:w="510"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餐饮用水</w:t>
                  </w:r>
                </w:p>
              </w:tc>
              <w:tc>
                <w:tcPr>
                  <w:tcW w:w="696"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25</w:t>
                  </w:r>
                  <w:r>
                    <w:rPr>
                      <w:rFonts w:hint="default" w:ascii="Times New Roman" w:hAnsi="Times New Roman" w:eastAsia="宋体" w:cs="Times New Roman"/>
                      <w:color w:val="auto"/>
                      <w:sz w:val="21"/>
                      <w:szCs w:val="21"/>
                    </w:rPr>
                    <w:t>L/人·d</w:t>
                  </w:r>
                </w:p>
              </w:tc>
              <w:tc>
                <w:tcPr>
                  <w:tcW w:w="75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18人、300d</w:t>
                  </w:r>
                </w:p>
              </w:tc>
              <w:tc>
                <w:tcPr>
                  <w:tcW w:w="56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0.45</w:t>
                  </w:r>
                </w:p>
              </w:tc>
              <w:tc>
                <w:tcPr>
                  <w:tcW w:w="534"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135</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0</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0.36</w:t>
                  </w:r>
                </w:p>
              </w:tc>
              <w:tc>
                <w:tcPr>
                  <w:tcW w:w="510"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8" w:type="pct"/>
                  <w:gridSpan w:val="2"/>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总计</w:t>
                  </w:r>
                </w:p>
              </w:tc>
              <w:tc>
                <w:tcPr>
                  <w:tcW w:w="753"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zh-CN"/>
                    </w:rPr>
                    <w:t>/</w:t>
                  </w:r>
                </w:p>
              </w:tc>
              <w:tc>
                <w:tcPr>
                  <w:tcW w:w="561"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106.85</w:t>
                  </w:r>
                </w:p>
              </w:tc>
              <w:tc>
                <w:tcPr>
                  <w:tcW w:w="534"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37683</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5626</w:t>
                  </w:r>
                </w:p>
              </w:tc>
              <w:tc>
                <w:tcPr>
                  <w:tcW w:w="535"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1.224</w:t>
                  </w:r>
                </w:p>
              </w:tc>
              <w:tc>
                <w:tcPr>
                  <w:tcW w:w="510" w:type="pct"/>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367.2</w:t>
                  </w:r>
                </w:p>
              </w:tc>
            </w:tr>
          </w:tbl>
          <w:p>
            <w:pPr>
              <w:pStyle w:val="60"/>
              <w:ind w:firstLine="422"/>
              <w:rPr>
                <w:b/>
                <w:bCs/>
                <w:color w:val="auto"/>
              </w:rPr>
            </w:pPr>
            <w:r>
              <w:rPr>
                <w:bCs/>
                <w:color w:val="auto"/>
                <w:sz w:val="21"/>
                <w:szCs w:val="21"/>
              </w:rPr>
              <mc:AlternateContent>
                <mc:Choice Requires="wpc">
                  <w:drawing>
                    <wp:inline distT="0" distB="0" distL="114300" distR="114300">
                      <wp:extent cx="4272915" cy="4517390"/>
                      <wp:effectExtent l="0" t="0" r="0" b="16510"/>
                      <wp:docPr id="56" name="画布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 name="矩形 9"/>
                              <wps:cNvSpPr/>
                              <wps:spPr>
                                <a:xfrm>
                                  <a:off x="2898140" y="1587500"/>
                                  <a:ext cx="589915" cy="257175"/>
                                </a:xfrm>
                                <a:prstGeom prst="rect">
                                  <a:avLst/>
                                </a:prstGeom>
                                <a:solidFill>
                                  <a:srgbClr val="FFFFFF"/>
                                </a:solidFill>
                                <a:ln>
                                  <a:noFill/>
                                </a:ln>
                              </wps:spPr>
                              <wps:txbx>
                                <w:txbxContent>
                                  <w:p>
                                    <w:pPr>
                                      <w:spacing w:line="240" w:lineRule="auto"/>
                                      <w:ind w:left="-141" w:leftChars="-67" w:right="-191" w:rightChars="-91" w:firstLine="0" w:firstLineChars="0"/>
                                      <w:jc w:val="center"/>
                                      <w:rPr>
                                        <w:rFonts w:hint="default" w:eastAsia="宋体"/>
                                        <w:lang w:val="en-US" w:eastAsia="zh-CN"/>
                                      </w:rPr>
                                    </w:pPr>
                                    <w:r>
                                      <w:rPr>
                                        <w:rFonts w:hint="eastAsia"/>
                                        <w:lang w:val="en-US" w:eastAsia="zh-CN"/>
                                      </w:rPr>
                                      <w:t>1702</w:t>
                                    </w:r>
                                  </w:p>
                                </w:txbxContent>
                              </wps:txbx>
                              <wps:bodyPr upright="1"/>
                            </wps:wsp>
                            <wps:wsp>
                              <wps:cNvPr id="80" name="矩形 12"/>
                              <wps:cNvSpPr/>
                              <wps:spPr>
                                <a:xfrm>
                                  <a:off x="591185" y="1225550"/>
                                  <a:ext cx="980440" cy="257175"/>
                                </a:xfrm>
                                <a:prstGeom prst="rect">
                                  <a:avLst/>
                                </a:prstGeom>
                                <a:solidFill>
                                  <a:srgbClr val="FFFFFF"/>
                                </a:solidFill>
                                <a:ln>
                                  <a:noFill/>
                                </a:ln>
                              </wps:spPr>
                              <wps:txbx>
                                <w:txbxContent>
                                  <w:p>
                                    <w:pPr>
                                      <w:spacing w:line="240" w:lineRule="auto"/>
                                      <w:ind w:firstLine="0" w:firstLineChars="0"/>
                                      <w:jc w:val="left"/>
                                      <w:rPr>
                                        <w:rFonts w:hint="default"/>
                                        <w:lang w:val="en-US"/>
                                      </w:rPr>
                                    </w:pPr>
                                    <w:r>
                                      <w:rPr>
                                        <w:rFonts w:hint="eastAsia"/>
                                        <w:lang w:val="en-US" w:eastAsia="zh-CN"/>
                                      </w:rPr>
                                      <w:t>新鲜水88.12</w:t>
                                    </w:r>
                                  </w:p>
                                </w:txbxContent>
                              </wps:txbx>
                              <wps:bodyPr upright="1"/>
                            </wps:wsp>
                            <wps:wsp>
                              <wps:cNvPr id="81" name="矩形 13"/>
                              <wps:cNvSpPr/>
                              <wps:spPr>
                                <a:xfrm>
                                  <a:off x="609600" y="1936750"/>
                                  <a:ext cx="542290" cy="257175"/>
                                </a:xfrm>
                                <a:prstGeom prst="rect">
                                  <a:avLst/>
                                </a:prstGeom>
                                <a:solidFill>
                                  <a:srgbClr val="FFFFFF"/>
                                </a:solidFill>
                                <a:ln>
                                  <a:noFill/>
                                </a:ln>
                              </wps:spPr>
                              <wps:txbx>
                                <w:txbxContent>
                                  <w:p>
                                    <w:pPr>
                                      <w:spacing w:line="240" w:lineRule="auto"/>
                                      <w:ind w:left="0" w:leftChars="0" w:firstLine="0" w:firstLineChars="0"/>
                                      <w:rPr>
                                        <w:rFonts w:hint="default" w:eastAsia="宋体"/>
                                        <w:lang w:val="en-US" w:eastAsia="zh-CN"/>
                                      </w:rPr>
                                    </w:pPr>
                                    <w:r>
                                      <w:rPr>
                                        <w:rFonts w:hint="eastAsia"/>
                                        <w:lang w:val="en-US" w:eastAsia="zh-CN"/>
                                      </w:rPr>
                                      <w:t>17.2</w:t>
                                    </w:r>
                                  </w:p>
                                </w:txbxContent>
                              </wps:txbx>
                              <wps:bodyPr upright="1"/>
                            </wps:wsp>
                            <wps:wsp>
                              <wps:cNvPr id="82" name="矩形 14"/>
                              <wps:cNvSpPr/>
                              <wps:spPr>
                                <a:xfrm>
                                  <a:off x="616585" y="2654300"/>
                                  <a:ext cx="626745" cy="257175"/>
                                </a:xfrm>
                                <a:prstGeom prst="rect">
                                  <a:avLst/>
                                </a:prstGeom>
                                <a:solidFill>
                                  <a:srgbClr val="FFFFFF"/>
                                </a:solidFill>
                                <a:ln>
                                  <a:noFill/>
                                </a:ln>
                              </wps:spPr>
                              <wps:txbx>
                                <w:txbxContent>
                                  <w:p>
                                    <w:pPr>
                                      <w:spacing w:line="240" w:lineRule="auto"/>
                                      <w:ind w:firstLine="0" w:firstLineChars="0"/>
                                      <w:jc w:val="left"/>
                                      <w:rPr>
                                        <w:rFonts w:hint="default" w:eastAsia="宋体"/>
                                        <w:lang w:val="en-US" w:eastAsia="zh-CN"/>
                                      </w:rPr>
                                    </w:pPr>
                                    <w:r>
                                      <w:rPr>
                                        <w:rFonts w:hint="eastAsia"/>
                                        <w:lang w:val="en-US" w:eastAsia="zh-CN"/>
                                      </w:rPr>
                                      <w:t>雨水15</w:t>
                                    </w:r>
                                  </w:p>
                                </w:txbxContent>
                              </wps:txbx>
                              <wps:bodyPr upright="1"/>
                            </wps:wsp>
                            <wps:wsp>
                              <wps:cNvPr id="83" name="矩形 15"/>
                              <wps:cNvSpPr/>
                              <wps:spPr>
                                <a:xfrm>
                                  <a:off x="624840" y="3479165"/>
                                  <a:ext cx="729615" cy="257175"/>
                                </a:xfrm>
                                <a:prstGeom prst="rect">
                                  <a:avLst/>
                                </a:prstGeom>
                                <a:solidFill>
                                  <a:srgbClr val="FFFFFF"/>
                                </a:solid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雨水0.6</w:t>
                                    </w:r>
                                  </w:p>
                                </w:txbxContent>
                              </wps:txbx>
                              <wps:bodyPr upright="1"/>
                            </wps:wsp>
                            <wps:wsp>
                              <wps:cNvPr id="84" name="矩形 16"/>
                              <wps:cNvSpPr/>
                              <wps:spPr>
                                <a:xfrm>
                                  <a:off x="616585" y="492125"/>
                                  <a:ext cx="499110" cy="257175"/>
                                </a:xfrm>
                                <a:prstGeom prst="rect">
                                  <a:avLst/>
                                </a:prstGeom>
                                <a:solidFill>
                                  <a:srgbClr val="FFFFFF"/>
                                </a:solidFill>
                                <a:ln>
                                  <a:noFill/>
                                </a:ln>
                              </wps:spPr>
                              <wps:txbx>
                                <w:txbxContent>
                                  <w:p>
                                    <w:pPr>
                                      <w:spacing w:line="240" w:lineRule="auto"/>
                                      <w:ind w:firstLine="0" w:firstLineChars="0"/>
                                      <w:jc w:val="center"/>
                                      <w:rPr>
                                        <w:rFonts w:hint="default"/>
                                        <w:lang w:val="en-US"/>
                                      </w:rPr>
                                    </w:pPr>
                                    <w:r>
                                      <w:rPr>
                                        <w:rFonts w:hint="eastAsia"/>
                                        <w:lang w:val="en-US" w:eastAsia="zh-CN"/>
                                      </w:rPr>
                                      <w:t>1.08</w:t>
                                    </w:r>
                                  </w:p>
                                </w:txbxContent>
                              </wps:txbx>
                              <wps:bodyPr upright="1"/>
                            </wps:wsp>
                            <wps:wsp>
                              <wps:cNvPr id="85" name="矩形 17"/>
                              <wps:cNvSpPr/>
                              <wps:spPr>
                                <a:xfrm>
                                  <a:off x="92075" y="34290"/>
                                  <a:ext cx="1047750" cy="45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both"/>
                                      <w:rPr>
                                        <w:rFonts w:hint="default"/>
                                        <w:lang w:val="en-US" w:eastAsia="zh-CN"/>
                                      </w:rPr>
                                    </w:pPr>
                                    <w:r>
                                      <w:rPr>
                                        <w:rFonts w:hint="eastAsia"/>
                                      </w:rPr>
                                      <w:t>新鲜水</w:t>
                                    </w:r>
                                    <w:r>
                                      <w:rPr>
                                        <w:rFonts w:hint="eastAsia"/>
                                        <w:lang w:val="en-US" w:eastAsia="zh-CN"/>
                                      </w:rPr>
                                      <w:t>106.85</w:t>
                                    </w:r>
                                  </w:p>
                                  <w:p>
                                    <w:pPr>
                                      <w:pStyle w:val="2"/>
                                      <w:rPr>
                                        <w:rFonts w:hint="default"/>
                                        <w:lang w:val="en-US" w:eastAsia="zh-CN"/>
                                      </w:rPr>
                                    </w:pPr>
                                    <w:r>
                                      <w:rPr>
                                        <w:rFonts w:hint="eastAsia"/>
                                        <w:lang w:val="en-US" w:eastAsia="zh-CN"/>
                                      </w:rPr>
                                      <w:t>雨水29.68</w:t>
                                    </w:r>
                                  </w:p>
                                </w:txbxContent>
                              </wps:txbx>
                              <wps:bodyPr upright="1"/>
                            </wps:wsp>
                            <wps:wsp>
                              <wps:cNvPr id="86" name="直接箭头连接符 18"/>
                              <wps:cNvCnPr/>
                              <wps:spPr>
                                <a:xfrm flipV="1">
                                  <a:off x="616488" y="746210"/>
                                  <a:ext cx="523582" cy="2881"/>
                                </a:xfrm>
                                <a:prstGeom prst="straightConnector1">
                                  <a:avLst/>
                                </a:prstGeom>
                                <a:ln w="9525" cap="flat" cmpd="sng">
                                  <a:solidFill>
                                    <a:srgbClr val="000000"/>
                                  </a:solidFill>
                                  <a:prstDash val="solid"/>
                                  <a:headEnd type="none" w="med" len="med"/>
                                  <a:tailEnd type="triangle" w="med" len="med"/>
                                </a:ln>
                              </wps:spPr>
                              <wps:bodyPr/>
                            </wps:wsp>
                            <wps:wsp>
                              <wps:cNvPr id="87" name="矩形 19"/>
                              <wps:cNvSpPr/>
                              <wps:spPr>
                                <a:xfrm>
                                  <a:off x="1140070" y="593511"/>
                                  <a:ext cx="933374" cy="3046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生活用水</w:t>
                                    </w:r>
                                  </w:p>
                                </w:txbxContent>
                              </wps:txbx>
                              <wps:bodyPr upright="1"/>
                            </wps:wsp>
                            <wps:wsp>
                              <wps:cNvPr id="88" name="直接箭头连接符 20"/>
                              <wps:cNvCnPr/>
                              <wps:spPr>
                                <a:xfrm flipV="1">
                                  <a:off x="2073444" y="745490"/>
                                  <a:ext cx="443641" cy="720"/>
                                </a:xfrm>
                                <a:prstGeom prst="straightConnector1">
                                  <a:avLst/>
                                </a:prstGeom>
                                <a:ln w="9525" cap="flat" cmpd="sng">
                                  <a:solidFill>
                                    <a:srgbClr val="000000"/>
                                  </a:solidFill>
                                  <a:prstDash val="solid"/>
                                  <a:headEnd type="none" w="med" len="med"/>
                                  <a:tailEnd type="triangle" w="med" len="med"/>
                                </a:ln>
                              </wps:spPr>
                              <wps:bodyPr/>
                            </wps:wsp>
                            <wps:wsp>
                              <wps:cNvPr id="89" name="直接箭头连接符 24"/>
                              <wps:cNvCnPr/>
                              <wps:spPr>
                                <a:xfrm flipV="1">
                                  <a:off x="1606757" y="397595"/>
                                  <a:ext cx="190132" cy="195916"/>
                                </a:xfrm>
                                <a:prstGeom prst="straightConnector1">
                                  <a:avLst/>
                                </a:prstGeom>
                                <a:ln w="9525" cap="flat" cmpd="sng">
                                  <a:solidFill>
                                    <a:srgbClr val="000000"/>
                                  </a:solidFill>
                                  <a:prstDash val="dash"/>
                                  <a:headEnd type="none" w="med" len="med"/>
                                  <a:tailEnd type="triangle" w="med" len="med"/>
                                </a:ln>
                              </wps:spPr>
                              <wps:bodyPr/>
                            </wps:wsp>
                            <wps:wsp>
                              <wps:cNvPr id="90" name="直接箭头连接符 25"/>
                              <wps:cNvCnPr/>
                              <wps:spPr>
                                <a:xfrm flipH="1">
                                  <a:off x="606425" y="490855"/>
                                  <a:ext cx="5080" cy="3838575"/>
                                </a:xfrm>
                                <a:prstGeom prst="straightConnector1">
                                  <a:avLst/>
                                </a:prstGeom>
                                <a:ln w="9525" cap="flat" cmpd="sng">
                                  <a:solidFill>
                                    <a:srgbClr val="000000"/>
                                  </a:solidFill>
                                  <a:prstDash val="solid"/>
                                  <a:headEnd type="none" w="med" len="med"/>
                                  <a:tailEnd type="none" w="med" len="med"/>
                                </a:ln>
                              </wps:spPr>
                              <wps:bodyPr/>
                            </wps:wsp>
                            <wps:wsp>
                              <wps:cNvPr id="91" name="直接箭头连接符 26"/>
                              <wps:cNvCnPr/>
                              <wps:spPr>
                                <a:xfrm>
                                  <a:off x="626110" y="1491615"/>
                                  <a:ext cx="946785" cy="3810"/>
                                </a:xfrm>
                                <a:prstGeom prst="straightConnector1">
                                  <a:avLst/>
                                </a:prstGeom>
                                <a:ln w="9525" cap="flat" cmpd="sng">
                                  <a:solidFill>
                                    <a:srgbClr val="000000"/>
                                  </a:solidFill>
                                  <a:prstDash val="solid"/>
                                  <a:headEnd type="none" w="med" len="med"/>
                                  <a:tailEnd type="triangle" w="med" len="med"/>
                                </a:ln>
                              </wps:spPr>
                              <wps:bodyPr/>
                            </wps:wsp>
                            <wps:wsp>
                              <wps:cNvPr id="92" name="矩形 27"/>
                              <wps:cNvSpPr/>
                              <wps:spPr>
                                <a:xfrm>
                                  <a:off x="1564640" y="1317625"/>
                                  <a:ext cx="9334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r>
                                      <w:rPr>
                                        <w:rFonts w:hint="eastAsia"/>
                                        <w:lang w:val="en-US" w:eastAsia="zh-CN"/>
                                      </w:rPr>
                                      <w:t>生产用水</w:t>
                                    </w:r>
                                  </w:p>
                                </w:txbxContent>
                              </wps:txbx>
                              <wps:bodyPr upright="1"/>
                            </wps:wsp>
                            <wps:wsp>
                              <wps:cNvPr id="93" name="直接箭头连接符 28"/>
                              <wps:cNvCnPr/>
                              <wps:spPr>
                                <a:xfrm flipV="1">
                                  <a:off x="1606757" y="1121476"/>
                                  <a:ext cx="190132" cy="195916"/>
                                </a:xfrm>
                                <a:prstGeom prst="straightConnector1">
                                  <a:avLst/>
                                </a:prstGeom>
                                <a:ln w="9525" cap="flat" cmpd="sng">
                                  <a:solidFill>
                                    <a:srgbClr val="000000"/>
                                  </a:solidFill>
                                  <a:prstDash val="dash"/>
                                  <a:headEnd type="none" w="med" len="med"/>
                                  <a:tailEnd type="triangle" w="med" len="med"/>
                                </a:ln>
                              </wps:spPr>
                              <wps:bodyPr/>
                            </wps:wsp>
                            <wps:wsp>
                              <wps:cNvPr id="94" name="直接箭头连接符 29"/>
                              <wps:cNvCnPr/>
                              <wps:spPr>
                                <a:xfrm flipV="1">
                                  <a:off x="615767" y="2194693"/>
                                  <a:ext cx="523582" cy="2881"/>
                                </a:xfrm>
                                <a:prstGeom prst="straightConnector1">
                                  <a:avLst/>
                                </a:prstGeom>
                                <a:ln w="9525" cap="flat" cmpd="sng">
                                  <a:solidFill>
                                    <a:srgbClr val="000000"/>
                                  </a:solidFill>
                                  <a:prstDash val="solid"/>
                                  <a:headEnd type="none" w="med" len="med"/>
                                  <a:tailEnd type="triangle" w="med" len="med"/>
                                </a:ln>
                              </wps:spPr>
                              <wps:bodyPr/>
                            </wps:wsp>
                            <wps:wsp>
                              <wps:cNvPr id="95" name="矩形 30"/>
                              <wps:cNvSpPr/>
                              <wps:spPr>
                                <a:xfrm>
                                  <a:off x="1139350" y="2041273"/>
                                  <a:ext cx="1377735" cy="3053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脱硫塔用水</w:t>
                                    </w:r>
                                  </w:p>
                                </w:txbxContent>
                              </wps:txbx>
                              <wps:bodyPr upright="1"/>
                            </wps:wsp>
                            <wps:wsp>
                              <wps:cNvPr id="96" name="直接箭头连接符 31"/>
                              <wps:cNvCnPr/>
                              <wps:spPr>
                                <a:xfrm flipV="1">
                                  <a:off x="1516732" y="1844637"/>
                                  <a:ext cx="191572" cy="196636"/>
                                </a:xfrm>
                                <a:prstGeom prst="straightConnector1">
                                  <a:avLst/>
                                </a:prstGeom>
                                <a:ln w="9525" cap="flat" cmpd="sng">
                                  <a:solidFill>
                                    <a:srgbClr val="000000"/>
                                  </a:solidFill>
                                  <a:prstDash val="dash"/>
                                  <a:headEnd type="none" w="med" len="med"/>
                                  <a:tailEnd type="triangle" w="med" len="med"/>
                                </a:ln>
                              </wps:spPr>
                              <wps:bodyPr/>
                            </wps:wsp>
                            <wps:wsp>
                              <wps:cNvPr id="97" name="直接箭头连接符 32"/>
                              <wps:cNvCnPr>
                                <a:endCxn id="98" idx="1"/>
                              </wps:cNvCnPr>
                              <wps:spPr>
                                <a:xfrm flipV="1">
                                  <a:off x="616488" y="2908575"/>
                                  <a:ext cx="601345" cy="635"/>
                                </a:xfrm>
                                <a:prstGeom prst="straightConnector1">
                                  <a:avLst/>
                                </a:prstGeom>
                                <a:ln w="9525" cap="flat" cmpd="sng">
                                  <a:solidFill>
                                    <a:srgbClr val="000000"/>
                                  </a:solidFill>
                                  <a:prstDash val="solid"/>
                                  <a:headEnd type="none" w="med" len="med"/>
                                  <a:tailEnd type="triangle" w="med" len="med"/>
                                </a:ln>
                              </wps:spPr>
                              <wps:bodyPr/>
                            </wps:wsp>
                            <wps:wsp>
                              <wps:cNvPr id="98" name="矩形 33"/>
                              <wps:cNvSpPr/>
                              <wps:spPr>
                                <a:xfrm>
                                  <a:off x="1217930" y="2755900"/>
                                  <a:ext cx="145986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r>
                                      <w:rPr>
                                        <w:rFonts w:hint="eastAsia"/>
                                        <w:lang w:val="en-US" w:eastAsia="zh-CN"/>
                                      </w:rPr>
                                      <w:t>场地抑尘用水</w:t>
                                    </w:r>
                                  </w:p>
                                </w:txbxContent>
                              </wps:txbx>
                              <wps:bodyPr upright="1"/>
                            </wps:wsp>
                            <wps:wsp>
                              <wps:cNvPr id="99" name="直接箭头连接符 34"/>
                              <wps:cNvCnPr/>
                              <wps:spPr>
                                <a:xfrm flipV="1">
                                  <a:off x="1516732" y="2559155"/>
                                  <a:ext cx="190852" cy="196636"/>
                                </a:xfrm>
                                <a:prstGeom prst="straightConnector1">
                                  <a:avLst/>
                                </a:prstGeom>
                                <a:ln w="9525" cap="flat" cmpd="sng">
                                  <a:solidFill>
                                    <a:srgbClr val="000000"/>
                                  </a:solidFill>
                                  <a:prstDash val="dash"/>
                                  <a:headEnd type="none" w="med" len="med"/>
                                  <a:tailEnd type="triangle" w="med" len="med"/>
                                </a:ln>
                              </wps:spPr>
                              <wps:bodyPr/>
                            </wps:wsp>
                            <wps:wsp>
                              <wps:cNvPr id="100" name="直接箭头连接符 35"/>
                              <wps:cNvCnPr/>
                              <wps:spPr>
                                <a:xfrm flipV="1">
                                  <a:off x="607060" y="3711575"/>
                                  <a:ext cx="680085" cy="7620"/>
                                </a:xfrm>
                                <a:prstGeom prst="straightConnector1">
                                  <a:avLst/>
                                </a:prstGeom>
                                <a:ln w="9525" cap="flat" cmpd="sng">
                                  <a:solidFill>
                                    <a:srgbClr val="000000"/>
                                  </a:solidFill>
                                  <a:prstDash val="solid"/>
                                  <a:headEnd type="none" w="med" len="med"/>
                                  <a:tailEnd type="triangle" w="med" len="med"/>
                                </a:ln>
                              </wps:spPr>
                              <wps:bodyPr/>
                            </wps:wsp>
                            <wps:wsp>
                              <wps:cNvPr id="101" name="矩形 36"/>
                              <wps:cNvSpPr/>
                              <wps:spPr>
                                <a:xfrm>
                                  <a:off x="1295400" y="3563620"/>
                                  <a:ext cx="137795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lang w:val="en-US" w:eastAsia="zh-CN"/>
                                      </w:rPr>
                                    </w:pPr>
                                    <w:r>
                                      <w:rPr>
                                        <w:rFonts w:hint="eastAsia"/>
                                        <w:lang w:val="en-US" w:eastAsia="zh-CN"/>
                                      </w:rPr>
                                      <w:t>绿化用水</w:t>
                                    </w:r>
                                  </w:p>
                                </w:txbxContent>
                              </wps:txbx>
                              <wps:bodyPr upright="1"/>
                            </wps:wsp>
                            <wps:wsp>
                              <wps:cNvPr id="102" name="直接箭头连接符 37"/>
                              <wps:cNvCnPr/>
                              <wps:spPr>
                                <a:xfrm flipV="1">
                                  <a:off x="1415905" y="3350022"/>
                                  <a:ext cx="190852" cy="196636"/>
                                </a:xfrm>
                                <a:prstGeom prst="straightConnector1">
                                  <a:avLst/>
                                </a:prstGeom>
                                <a:ln w="9525" cap="flat" cmpd="sng">
                                  <a:solidFill>
                                    <a:srgbClr val="000000"/>
                                  </a:solidFill>
                                  <a:prstDash val="dash"/>
                                  <a:headEnd type="none" w="med" len="med"/>
                                  <a:tailEnd type="triangle" w="med" len="med"/>
                                </a:ln>
                              </wps:spPr>
                              <wps:bodyPr/>
                            </wps:wsp>
                            <wps:wsp>
                              <wps:cNvPr id="103" name="直接箭头连接符 38"/>
                              <wps:cNvCnPr/>
                              <wps:spPr>
                                <a:xfrm>
                                  <a:off x="2517084" y="2194693"/>
                                  <a:ext cx="605685" cy="2161"/>
                                </a:xfrm>
                                <a:prstGeom prst="straightConnector1">
                                  <a:avLst/>
                                </a:prstGeom>
                                <a:ln w="9525" cap="flat" cmpd="sng">
                                  <a:solidFill>
                                    <a:srgbClr val="000000"/>
                                  </a:solidFill>
                                  <a:prstDash val="solid"/>
                                  <a:headEnd type="none" w="med" len="med"/>
                                  <a:tailEnd type="triangle" w="med" len="med"/>
                                </a:ln>
                              </wps:spPr>
                              <wps:bodyPr/>
                            </wps:wsp>
                            <wps:wsp>
                              <wps:cNvPr id="104" name="矩形 39"/>
                              <wps:cNvSpPr/>
                              <wps:spPr>
                                <a:xfrm>
                                  <a:off x="3122769" y="2044875"/>
                                  <a:ext cx="884400" cy="3046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r>
                                      <w:rPr>
                                        <w:rFonts w:hint="eastAsia"/>
                                        <w:lang w:val="en-US" w:eastAsia="zh-CN"/>
                                      </w:rPr>
                                      <w:t>循环水池</w:t>
                                    </w:r>
                                  </w:p>
                                </w:txbxContent>
                              </wps:txbx>
                              <wps:bodyPr upright="1"/>
                            </wps:wsp>
                            <wps:wsp>
                              <wps:cNvPr id="105" name="肘形连接符 42"/>
                              <wps:cNvCnPr/>
                              <wps:spPr>
                                <a:xfrm rot="10800000">
                                  <a:off x="2263576" y="1844637"/>
                                  <a:ext cx="1743594" cy="352217"/>
                                </a:xfrm>
                                <a:prstGeom prst="bentConnector3">
                                  <a:avLst>
                                    <a:gd name="adj1" fmla="val -10856"/>
                                  </a:avLst>
                                </a:prstGeom>
                                <a:ln w="9525" cap="flat" cmpd="sng">
                                  <a:solidFill>
                                    <a:srgbClr val="000000"/>
                                  </a:solidFill>
                                  <a:prstDash val="solid"/>
                                  <a:miter/>
                                  <a:headEnd type="none" w="med" len="med"/>
                                  <a:tailEnd type="none" w="med" len="med"/>
                                </a:ln>
                              </wps:spPr>
                              <wps:bodyPr/>
                            </wps:wsp>
                            <wps:wsp>
                              <wps:cNvPr id="106" name="直接箭头连接符 43"/>
                              <wps:cNvCnPr/>
                              <wps:spPr>
                                <a:xfrm>
                                  <a:off x="2263576" y="1844637"/>
                                  <a:ext cx="720" cy="196636"/>
                                </a:xfrm>
                                <a:prstGeom prst="straightConnector1">
                                  <a:avLst/>
                                </a:prstGeom>
                                <a:ln w="9525" cap="flat" cmpd="sng">
                                  <a:solidFill>
                                    <a:srgbClr val="000000"/>
                                  </a:solidFill>
                                  <a:prstDash val="solid"/>
                                  <a:headEnd type="none" w="med" len="med"/>
                                  <a:tailEnd type="triangle" w="med" len="med"/>
                                </a:ln>
                              </wps:spPr>
                              <wps:bodyPr/>
                            </wps:wsp>
                            <wps:wsp>
                              <wps:cNvPr id="107" name="矩形 46"/>
                              <wps:cNvSpPr/>
                              <wps:spPr>
                                <a:xfrm>
                                  <a:off x="1845310" y="234950"/>
                                  <a:ext cx="514350" cy="257175"/>
                                </a:xfrm>
                                <a:prstGeom prst="rect">
                                  <a:avLst/>
                                </a:prstGeom>
                                <a:solidFill>
                                  <a:srgbClr val="FFFFFF"/>
                                </a:solidFill>
                                <a:ln>
                                  <a:noFill/>
                                </a:ln>
                              </wps:spPr>
                              <wps:txbx>
                                <w:txbxContent>
                                  <w:p>
                                    <w:pPr>
                                      <w:spacing w:line="240" w:lineRule="auto"/>
                                      <w:ind w:firstLine="0" w:firstLineChars="0"/>
                                      <w:jc w:val="center"/>
                                      <w:rPr>
                                        <w:rFonts w:hint="default"/>
                                        <w:lang w:val="en-US"/>
                                      </w:rPr>
                                    </w:pPr>
                                    <w:r>
                                      <w:rPr>
                                        <w:rFonts w:hint="eastAsia"/>
                                        <w:lang w:val="en-US" w:eastAsia="zh-CN"/>
                                      </w:rPr>
                                      <w:t>0.24</w:t>
                                    </w:r>
                                  </w:p>
                                </w:txbxContent>
                              </wps:txbx>
                              <wps:bodyPr upright="1"/>
                            </wps:wsp>
                            <wps:wsp>
                              <wps:cNvPr id="108" name="矩形 47"/>
                              <wps:cNvSpPr/>
                              <wps:spPr>
                                <a:xfrm>
                                  <a:off x="1797050" y="959485"/>
                                  <a:ext cx="592455" cy="257175"/>
                                </a:xfrm>
                                <a:prstGeom prst="rect">
                                  <a:avLst/>
                                </a:prstGeom>
                                <a:solidFill>
                                  <a:srgbClr val="FFFFFF"/>
                                </a:solid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102.2</w:t>
                                    </w:r>
                                  </w:p>
                                </w:txbxContent>
                              </wps:txbx>
                              <wps:bodyPr upright="1"/>
                            </wps:wsp>
                            <wps:wsp>
                              <wps:cNvPr id="109" name="矩形 48"/>
                              <wps:cNvSpPr/>
                              <wps:spPr>
                                <a:xfrm>
                                  <a:off x="1708150" y="1679575"/>
                                  <a:ext cx="448310" cy="257175"/>
                                </a:xfrm>
                                <a:prstGeom prst="rect">
                                  <a:avLst/>
                                </a:prstGeom>
                                <a:solidFill>
                                  <a:srgbClr val="FFFFFF"/>
                                </a:solidFill>
                                <a:ln>
                                  <a:noFill/>
                                </a:ln>
                              </wps:spPr>
                              <wps:txbx>
                                <w:txbxContent>
                                  <w:p>
                                    <w:pPr>
                                      <w:spacing w:line="240" w:lineRule="auto"/>
                                      <w:ind w:left="-141" w:leftChars="-67" w:right="-50" w:rightChars="-24" w:firstLine="0" w:firstLineChars="0"/>
                                      <w:jc w:val="center"/>
                                      <w:rPr>
                                        <w:rFonts w:hint="default" w:eastAsia="宋体"/>
                                        <w:lang w:val="en-US" w:eastAsia="zh-CN"/>
                                      </w:rPr>
                                    </w:pPr>
                                    <w:r>
                                      <w:rPr>
                                        <w:rFonts w:hint="eastAsia"/>
                                        <w:lang w:val="en-US" w:eastAsia="zh-CN"/>
                                      </w:rPr>
                                      <w:t>17.2</w:t>
                                    </w:r>
                                  </w:p>
                                </w:txbxContent>
                              </wps:txbx>
                              <wps:bodyPr upright="1"/>
                            </wps:wsp>
                            <wps:wsp>
                              <wps:cNvPr id="110" name="矩形 49"/>
                              <wps:cNvSpPr/>
                              <wps:spPr>
                                <a:xfrm>
                                  <a:off x="1606757" y="3254225"/>
                                  <a:ext cx="419154" cy="257140"/>
                                </a:xfrm>
                                <a:prstGeom prst="rect">
                                  <a:avLst/>
                                </a:prstGeom>
                                <a:solidFill>
                                  <a:srgbClr val="FFFFFF"/>
                                </a:solid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0.6</w:t>
                                    </w:r>
                                  </w:p>
                                </w:txbxContent>
                              </wps:txbx>
                              <wps:bodyPr upright="1"/>
                            </wps:wsp>
                            <wps:wsp>
                              <wps:cNvPr id="111" name="矩形 50"/>
                              <wps:cNvSpPr/>
                              <wps:spPr>
                                <a:xfrm>
                                  <a:off x="1707584" y="2443910"/>
                                  <a:ext cx="419154" cy="257140"/>
                                </a:xfrm>
                                <a:prstGeom prst="rect">
                                  <a:avLst/>
                                </a:prstGeom>
                                <a:solidFill>
                                  <a:srgbClr val="FFFFFF"/>
                                </a:solidFill>
                                <a:ln>
                                  <a:noFill/>
                                </a:ln>
                              </wps:spPr>
                              <wps:txbx>
                                <w:txbxContent>
                                  <w:p>
                                    <w:pPr>
                                      <w:spacing w:line="240" w:lineRule="auto"/>
                                      <w:ind w:firstLine="0" w:firstLineChars="0"/>
                                      <w:jc w:val="left"/>
                                      <w:rPr>
                                        <w:rFonts w:hint="default" w:eastAsia="宋体"/>
                                        <w:lang w:val="en-US" w:eastAsia="zh-CN"/>
                                      </w:rPr>
                                    </w:pPr>
                                    <w:r>
                                      <w:rPr>
                                        <w:rFonts w:hint="eastAsia"/>
                                        <w:lang w:val="en-US" w:eastAsia="zh-CN"/>
                                      </w:rPr>
                                      <w:t>15</w:t>
                                    </w:r>
                                  </w:p>
                                </w:txbxContent>
                              </wps:txbx>
                              <wps:bodyPr upright="1"/>
                            </wps:wsp>
                            <wps:wsp>
                              <wps:cNvPr id="116" name="矩形 170"/>
                              <wps:cNvSpPr/>
                              <wps:spPr>
                                <a:xfrm>
                                  <a:off x="2528570" y="594995"/>
                                  <a:ext cx="720090" cy="290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r>
                                      <w:rPr>
                                        <w:rFonts w:hint="eastAsia"/>
                                        <w:lang w:val="en-US" w:eastAsia="zh-CN"/>
                                      </w:rPr>
                                      <w:t>旱厕</w:t>
                                    </w:r>
                                  </w:p>
                                </w:txbxContent>
                              </wps:txbx>
                              <wps:bodyPr upright="1"/>
                            </wps:wsp>
                            <wps:wsp>
                              <wps:cNvPr id="117" name="矩形 180"/>
                              <wps:cNvSpPr/>
                              <wps:spPr>
                                <a:xfrm>
                                  <a:off x="2033270" y="487680"/>
                                  <a:ext cx="514350" cy="257175"/>
                                </a:xfrm>
                                <a:prstGeom prst="rect">
                                  <a:avLst/>
                                </a:prstGeom>
                                <a:noFill/>
                                <a:ln>
                                  <a:noFill/>
                                </a:ln>
                              </wps:spPr>
                              <wps:txbx>
                                <w:txbxContent>
                                  <w:p>
                                    <w:pPr>
                                      <w:spacing w:line="240" w:lineRule="auto"/>
                                      <w:ind w:firstLine="0" w:firstLineChars="0"/>
                                      <w:jc w:val="center"/>
                                      <w:rPr>
                                        <w:rFonts w:hint="default"/>
                                        <w:lang w:val="en-US"/>
                                      </w:rPr>
                                    </w:pPr>
                                    <w:r>
                                      <w:rPr>
                                        <w:rFonts w:hint="eastAsia"/>
                                        <w:lang w:val="en-US" w:eastAsia="zh-CN"/>
                                      </w:rPr>
                                      <w:t>0.96</w:t>
                                    </w:r>
                                  </w:p>
                                </w:txbxContent>
                              </wps:txbx>
                              <wps:bodyPr upright="1"/>
                            </wps:wsp>
                            <wps:wsp>
                              <wps:cNvPr id="2" name="直接箭头连接符 35"/>
                              <wps:cNvCnPr/>
                              <wps:spPr>
                                <a:xfrm flipV="1">
                                  <a:off x="598805" y="4332605"/>
                                  <a:ext cx="523240" cy="3175"/>
                                </a:xfrm>
                                <a:prstGeom prst="straightConnector1">
                                  <a:avLst/>
                                </a:prstGeom>
                                <a:ln w="9525" cap="flat" cmpd="sng">
                                  <a:solidFill>
                                    <a:srgbClr val="000000"/>
                                  </a:solidFill>
                                  <a:prstDash val="solid"/>
                                  <a:headEnd type="none" w="med" len="med"/>
                                  <a:tailEnd type="triangle" w="med" len="med"/>
                                </a:ln>
                              </wps:spPr>
                              <wps:bodyPr/>
                            </wps:wsp>
                            <wps:wsp>
                              <wps:cNvPr id="3" name="矩形 36"/>
                              <wps:cNvSpPr/>
                              <wps:spPr>
                                <a:xfrm>
                                  <a:off x="1113155" y="4161155"/>
                                  <a:ext cx="137795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r>
                                      <w:rPr>
                                        <w:rFonts w:hint="eastAsia"/>
                                        <w:lang w:val="en-US" w:eastAsia="zh-CN"/>
                                      </w:rPr>
                                      <w:t>餐饮用水</w:t>
                                    </w:r>
                                  </w:p>
                                </w:txbxContent>
                              </wps:txbx>
                              <wps:bodyPr upright="1"/>
                            </wps:wsp>
                            <wps:wsp>
                              <wps:cNvPr id="8" name="矩形 49"/>
                              <wps:cNvSpPr/>
                              <wps:spPr>
                                <a:xfrm>
                                  <a:off x="1608455" y="3884930"/>
                                  <a:ext cx="381000" cy="228600"/>
                                </a:xfrm>
                                <a:prstGeom prst="rect">
                                  <a:avLst/>
                                </a:prstGeom>
                                <a:solidFill>
                                  <a:srgbClr val="FFFFFF"/>
                                </a:solid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0.6</w:t>
                                    </w:r>
                                  </w:p>
                                </w:txbxContent>
                              </wps:txbx>
                              <wps:bodyPr upright="1"/>
                            </wps:wsp>
                            <wps:wsp>
                              <wps:cNvPr id="11" name="直接箭头连接符 37"/>
                              <wps:cNvCnPr/>
                              <wps:spPr>
                                <a:xfrm flipV="1">
                                  <a:off x="1398905" y="3961130"/>
                                  <a:ext cx="190500" cy="196215"/>
                                </a:xfrm>
                                <a:prstGeom prst="straightConnector1">
                                  <a:avLst/>
                                </a:prstGeom>
                                <a:ln w="9525" cap="flat" cmpd="sng">
                                  <a:solidFill>
                                    <a:srgbClr val="000000"/>
                                  </a:solidFill>
                                  <a:prstDash val="dash"/>
                                  <a:headEnd type="none" w="med" len="med"/>
                                  <a:tailEnd type="triangle" w="med" len="med"/>
                                </a:ln>
                              </wps:spPr>
                              <wps:bodyPr/>
                            </wps:wsp>
                            <wps:wsp>
                              <wps:cNvPr id="12" name="矩形 15"/>
                              <wps:cNvSpPr/>
                              <wps:spPr>
                                <a:xfrm>
                                  <a:off x="627380" y="4075430"/>
                                  <a:ext cx="419100" cy="257175"/>
                                </a:xfrm>
                                <a:prstGeom prst="rect">
                                  <a:avLst/>
                                </a:prstGeom>
                                <a:solidFill>
                                  <a:srgbClr val="FFFFFF"/>
                                </a:solid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0.45</w:t>
                                    </w:r>
                                  </w:p>
                                </w:txbxContent>
                              </wps:txbx>
                              <wps:bodyPr upright="1"/>
                            </wps:wsp>
                            <wps:wsp>
                              <wps:cNvPr id="13" name="矩形 170"/>
                              <wps:cNvSpPr/>
                              <wps:spPr>
                                <a:xfrm>
                                  <a:off x="2999105" y="4161155"/>
                                  <a:ext cx="720090" cy="290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r>
                                      <w:rPr>
                                        <w:rFonts w:hint="eastAsia"/>
                                        <w:lang w:val="en-US" w:eastAsia="zh-CN"/>
                                      </w:rPr>
                                      <w:t>旱厕</w:t>
                                    </w:r>
                                  </w:p>
                                </w:txbxContent>
                              </wps:txbx>
                              <wps:bodyPr upright="1"/>
                            </wps:wsp>
                            <wps:wsp>
                              <wps:cNvPr id="15" name="直接箭头连接符 38"/>
                              <wps:cNvCnPr/>
                              <wps:spPr>
                                <a:xfrm flipV="1">
                                  <a:off x="2513330" y="4301490"/>
                                  <a:ext cx="492125" cy="2540"/>
                                </a:xfrm>
                                <a:prstGeom prst="straightConnector1">
                                  <a:avLst/>
                                </a:prstGeom>
                                <a:ln w="9525" cap="flat" cmpd="sng">
                                  <a:solidFill>
                                    <a:srgbClr val="000000"/>
                                  </a:solidFill>
                                  <a:prstDash val="solid"/>
                                  <a:headEnd type="none" w="med" len="med"/>
                                  <a:tailEnd type="triangle" w="med" len="med"/>
                                </a:ln>
                              </wps:spPr>
                              <wps:bodyPr/>
                            </wps:wsp>
                            <wps:wsp>
                              <wps:cNvPr id="17" name="矩形 49"/>
                              <wps:cNvSpPr/>
                              <wps:spPr>
                                <a:xfrm>
                                  <a:off x="2570480" y="4056380"/>
                                  <a:ext cx="428625" cy="228600"/>
                                </a:xfrm>
                                <a:prstGeom prst="rect">
                                  <a:avLst/>
                                </a:prstGeom>
                                <a:solidFill>
                                  <a:srgbClr val="FFFFFF"/>
                                </a:solid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0.36</w:t>
                                    </w:r>
                                  </w:p>
                                </w:txbxContent>
                              </wps:txbx>
                              <wps:bodyPr upright="1"/>
                            </wps:wsp>
                            <wps:wsp>
                              <wps:cNvPr id="188" name="矩形 12"/>
                              <wps:cNvSpPr/>
                              <wps:spPr>
                                <a:xfrm>
                                  <a:off x="605155" y="1504315"/>
                                  <a:ext cx="790575" cy="257175"/>
                                </a:xfrm>
                                <a:prstGeom prst="rect">
                                  <a:avLst/>
                                </a:prstGeom>
                                <a:solidFill>
                                  <a:srgbClr val="FFFFFF"/>
                                </a:solidFill>
                                <a:ln>
                                  <a:noFill/>
                                </a:ln>
                              </wps:spPr>
                              <wps:txbx>
                                <w:txbxContent>
                                  <w:p>
                                    <w:pPr>
                                      <w:spacing w:line="240" w:lineRule="auto"/>
                                      <w:ind w:firstLine="0" w:firstLineChars="0"/>
                                      <w:jc w:val="left"/>
                                      <w:rPr>
                                        <w:rFonts w:hint="default"/>
                                        <w:lang w:val="en-US"/>
                                      </w:rPr>
                                    </w:pPr>
                                    <w:r>
                                      <w:rPr>
                                        <w:rFonts w:hint="eastAsia"/>
                                        <w:lang w:val="en-US" w:eastAsia="zh-CN"/>
                                      </w:rPr>
                                      <w:t>雨水14.08</w:t>
                                    </w:r>
                                  </w:p>
                                </w:txbxContent>
                              </wps:txbx>
                              <wps:bodyPr upright="1"/>
                            </wps:wsp>
                          </wpc:wpc>
                        </a:graphicData>
                      </a:graphic>
                    </wp:inline>
                  </w:drawing>
                </mc:Choice>
                <mc:Fallback>
                  <w:pict>
                    <v:group id="_x0000_s1026" o:spid="_x0000_s1026" o:spt="203" style="height:355.7pt;width:336.45pt;" coordsize="4272915,4517390" editas="canvas" o:gfxdata="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">
                      <o:lock v:ext="edit" aspectratio="f"/>
                      <v:shape id="_x0000_s1026" o:spid="_x0000_s1026" style="position:absolute;left:0;top:0;height:4517390;width:4272915;" filled="f" stroked="f" coordsize="21600,21600" o:gfxdata="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">
                        <v:fill on="f" focussize="0,0"/>
                        <v:stroke on="f"/>
                        <v:imagedata o:title=""/>
                        <o:lock v:ext="edit" aspectratio="t"/>
                      </v:shape>
                      <v:rect id="矩形 9" o:spid="_x0000_s1026" o:spt="1" style="position:absolute;left:2898140;top:1587500;height:257175;width:58991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u0bb3VAAAABQEAAA8AAAAAAAAAAQAgAAAAIgAAAGRycy9kb3ducmV2Lnht&#10;bFBLAQIUABQAAAAIAIdO4kDkrIMPwwEAAHYDAAAOAAAAAAAAAAEAIAAAACQBAABkcnMvZTJvRG9j&#10;LnhtbFBLBQYAAAAABgAGAFkBAABZBQAAAAA=&#10;">
                        <v:fill on="t" focussize="0,0"/>
                        <v:stroke on="f"/>
                        <v:imagedata o:title=""/>
                        <o:lock v:ext="edit" aspectratio="f"/>
                        <v:textbox>
                          <w:txbxContent>
                            <w:p>
                              <w:pPr>
                                <w:spacing w:line="240" w:lineRule="auto"/>
                                <w:ind w:left="-141" w:leftChars="-67" w:right="-191" w:rightChars="-91" w:firstLine="0" w:firstLineChars="0"/>
                                <w:jc w:val="center"/>
                                <w:rPr>
                                  <w:rFonts w:hint="default" w:eastAsia="宋体"/>
                                  <w:lang w:val="en-US" w:eastAsia="zh-CN"/>
                                </w:rPr>
                              </w:pPr>
                              <w:r>
                                <w:rPr>
                                  <w:rFonts w:hint="eastAsia"/>
                                  <w:lang w:val="en-US" w:eastAsia="zh-CN"/>
                                </w:rPr>
                                <w:t>1702</w:t>
                              </w:r>
                            </w:p>
                          </w:txbxContent>
                        </v:textbox>
                      </v:rect>
                      <v:rect id="矩形 12" o:spid="_x0000_s1026" o:spt="1" style="position:absolute;left:591185;top:1225550;height:257175;width:98044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7RtvdUAAAAFAQAADwAAAAAAAAABACAAAAAiAAAAZHJzL2Rvd25yZXYueG1s&#10;UEsBAhQAFAAAAAgAh07iQNyg3+zCAQAAdgMAAA4AAAAAAAAAAQAgAAAAJAEAAGRycy9lMm9Eb2Mu&#10;eG1sUEsFBgAAAAAGAAYAWQEAAFgFAAAAAA==&#10;">
                        <v:fill on="t" focussize="0,0"/>
                        <v:stroke on="f"/>
                        <v:imagedata o:title=""/>
                        <o:lock v:ext="edit" aspectratio="f"/>
                        <v:textbox>
                          <w:txbxContent>
                            <w:p>
                              <w:pPr>
                                <w:spacing w:line="240" w:lineRule="auto"/>
                                <w:ind w:firstLine="0" w:firstLineChars="0"/>
                                <w:jc w:val="left"/>
                                <w:rPr>
                                  <w:rFonts w:hint="default"/>
                                  <w:lang w:val="en-US"/>
                                </w:rPr>
                              </w:pPr>
                              <w:r>
                                <w:rPr>
                                  <w:rFonts w:hint="eastAsia"/>
                                  <w:lang w:val="en-US" w:eastAsia="zh-CN"/>
                                </w:rPr>
                                <w:t>新鲜水88.12</w:t>
                              </w:r>
                            </w:p>
                          </w:txbxContent>
                        </v:textbox>
                      </v:rect>
                      <v:rect id="矩形 13" o:spid="_x0000_s1026" o:spt="1" style="position:absolute;left:609600;top:1936750;height:257175;width:54229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u0bb3VAAAABQEAAA8AAAAAAAAAAQAgAAAAIgAAAGRycy9kb3ducmV2Lnht&#10;bFBLAQIUABQAAAAIAIdO4kBlUB3cwwEAAHYDAAAOAAAAAAAAAAEAIAAAACQBAABkcnMvZTJvRG9j&#10;LnhtbFBLBQYAAAAABgAGAFkBAABZBQAAAAA=&#10;">
                        <v:fill on="t" focussize="0,0"/>
                        <v:stroke on="f"/>
                        <v:imagedata o:title=""/>
                        <o:lock v:ext="edit" aspectratio="f"/>
                        <v:textbox>
                          <w:txbxContent>
                            <w:p>
                              <w:pPr>
                                <w:spacing w:line="240" w:lineRule="auto"/>
                                <w:ind w:left="0" w:leftChars="0" w:firstLine="0" w:firstLineChars="0"/>
                                <w:rPr>
                                  <w:rFonts w:hint="default" w:eastAsia="宋体"/>
                                  <w:lang w:val="en-US" w:eastAsia="zh-CN"/>
                                </w:rPr>
                              </w:pPr>
                              <w:r>
                                <w:rPr>
                                  <w:rFonts w:hint="eastAsia"/>
                                  <w:lang w:val="en-US" w:eastAsia="zh-CN"/>
                                </w:rPr>
                                <w:t>17.2</w:t>
                              </w:r>
                            </w:p>
                          </w:txbxContent>
                        </v:textbox>
                      </v:rect>
                      <v:rect id="矩形 14" o:spid="_x0000_s1026" o:spt="1" style="position:absolute;left:616585;top:2654300;height:257175;width:62674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7RtvdUAAAAFAQAADwAAAAAAAAABACAAAAAiAAAAZHJzL2Rvd25yZXYueG1s&#10;UEsBAhQAFAAAAAgAh07iQKqSU07CAQAAdgMAAA4AAAAAAAAAAQAgAAAAJAEAAGRycy9lMm9Eb2Mu&#10;eG1sUEsFBgAAAAAGAAYAWQEAAFgFAAAAAA==&#10;">
                        <v:fill on="t" focussize="0,0"/>
                        <v:stroke on="f"/>
                        <v:imagedata o:title=""/>
                        <o:lock v:ext="edit" aspectratio="f"/>
                        <v:textbox>
                          <w:txbxContent>
                            <w:p>
                              <w:pPr>
                                <w:spacing w:line="240" w:lineRule="auto"/>
                                <w:ind w:firstLine="0" w:firstLineChars="0"/>
                                <w:jc w:val="left"/>
                                <w:rPr>
                                  <w:rFonts w:hint="default" w:eastAsia="宋体"/>
                                  <w:lang w:val="en-US" w:eastAsia="zh-CN"/>
                                </w:rPr>
                              </w:pPr>
                              <w:r>
                                <w:rPr>
                                  <w:rFonts w:hint="eastAsia"/>
                                  <w:lang w:val="en-US" w:eastAsia="zh-CN"/>
                                </w:rPr>
                                <w:t>雨水15</w:t>
                              </w:r>
                            </w:p>
                          </w:txbxContent>
                        </v:textbox>
                      </v:rect>
                      <v:rect id="矩形 15" o:spid="_x0000_s1026" o:spt="1" style="position:absolute;left:624840;top:3479165;height:257175;width:72961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BhMz/zFAQAAdgMAAA4AAAAAAAAAAQAgAAAAJAEAAGRycy9lMm9E&#10;b2MueG1sUEsFBgAAAAAGAAYAWQEAAFsFAAAAAA==&#10;">
                        <v:fill on="t"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雨水0.6</w:t>
                              </w:r>
                            </w:p>
                          </w:txbxContent>
                        </v:textbox>
                      </v:rect>
                      <v:rect id="矩形 16" o:spid="_x0000_s1026" o:spt="1" style="position:absolute;left:616585;top:492125;height:257175;width:49911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CtLY8jFAQAAdQMAAA4AAAAAAAAAAQAgAAAAJAEAAGRycy9lMm9E&#10;b2MueG1sUEsFBgAAAAAGAAYAWQEAAFsFAAAAAA==&#10;">
                        <v:fill on="t" focussize="0,0"/>
                        <v:stroke on="f"/>
                        <v:imagedata o:title=""/>
                        <o:lock v:ext="edit" aspectratio="f"/>
                        <v:textbox>
                          <w:txbxContent>
                            <w:p>
                              <w:pPr>
                                <w:spacing w:line="240" w:lineRule="auto"/>
                                <w:ind w:firstLine="0" w:firstLineChars="0"/>
                                <w:jc w:val="center"/>
                                <w:rPr>
                                  <w:rFonts w:hint="default"/>
                                  <w:lang w:val="en-US"/>
                                </w:rPr>
                              </w:pPr>
                              <w:r>
                                <w:rPr>
                                  <w:rFonts w:hint="eastAsia"/>
                                  <w:lang w:val="en-US" w:eastAsia="zh-CN"/>
                                </w:rPr>
                                <w:t>1.08</w:t>
                              </w:r>
                            </w:p>
                          </w:txbxContent>
                        </v:textbox>
                      </v:rect>
                      <v:rect id="矩形 17" o:spid="_x0000_s1026" o:spt="1" style="position:absolute;left:92075;top:34290;height:452120;width:104775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U2i49UAAAAFAQAADwAAAAAAAAABACAAAAAi&#10;AAAAZHJzL2Rvd25yZXYueG1sUEsBAhQAFAAAAAgAh07iQLzk3sQNAgAAMwQAAA4AAAAAAAAAAQAg&#10;AAAAJAEAAGRycy9lMm9Eb2MueG1sUEsFBgAAAAAGAAYAWQEAAKMFAAAAAA==&#10;">
                        <v:fill on="t" focussize="0,0"/>
                        <v:stroke color="#000000" joinstyle="miter"/>
                        <v:imagedata o:title=""/>
                        <o:lock v:ext="edit" aspectratio="f"/>
                        <v:textbox>
                          <w:txbxContent>
                            <w:p>
                              <w:pPr>
                                <w:spacing w:line="240" w:lineRule="auto"/>
                                <w:ind w:firstLine="0" w:firstLineChars="0"/>
                                <w:jc w:val="both"/>
                                <w:rPr>
                                  <w:rFonts w:hint="default"/>
                                  <w:lang w:val="en-US" w:eastAsia="zh-CN"/>
                                </w:rPr>
                              </w:pPr>
                              <w:r>
                                <w:rPr>
                                  <w:rFonts w:hint="eastAsia"/>
                                </w:rPr>
                                <w:t>新鲜水</w:t>
                              </w:r>
                              <w:r>
                                <w:rPr>
                                  <w:rFonts w:hint="eastAsia"/>
                                  <w:lang w:val="en-US" w:eastAsia="zh-CN"/>
                                </w:rPr>
                                <w:t>106.85</w:t>
                              </w:r>
                            </w:p>
                            <w:p>
                              <w:pPr>
                                <w:pStyle w:val="2"/>
                                <w:rPr>
                                  <w:rFonts w:hint="default"/>
                                  <w:lang w:val="en-US" w:eastAsia="zh-CN"/>
                                </w:rPr>
                              </w:pPr>
                              <w:r>
                                <w:rPr>
                                  <w:rFonts w:hint="eastAsia"/>
                                  <w:lang w:val="en-US" w:eastAsia="zh-CN"/>
                                </w:rPr>
                                <w:t>雨水29.68</w:t>
                              </w:r>
                            </w:p>
                          </w:txbxContent>
                        </v:textbox>
                      </v:rect>
                      <v:shape id="直接箭头连接符 18" o:spid="_x0000_s1026" o:spt="32" type="#_x0000_t32" style="position:absolute;left:616488;top:746210;flip:y;height:2881;width:523582;"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Otdy3XAAAABQEA&#10;AA8AAAAAAAAAAQAgAAAAIgAAAGRycy9kb3ducmV2LnhtbFBLAQIUABQAAAAIAIdO4kBNPyF/GwIA&#10;AAgEAAAOAAAAAAAAAAEAIAAAACYBAABkcnMvZTJvRG9jLnhtbFBLBQYAAAAABgAGAFkBAACzBQAA&#10;AAA=&#10;">
                        <v:fill on="f" focussize="0,0"/>
                        <v:stroke color="#000000" joinstyle="round" endarrow="block"/>
                        <v:imagedata o:title=""/>
                        <o:lock v:ext="edit" aspectratio="f"/>
                      </v:shape>
                      <v:rect id="矩形 19" o:spid="_x0000_s1026" o:spt="1" style="position:absolute;left:1140070;top:593511;height:304678;width:933374;"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U2i49UAAAAFAQAADwAAAAAAAAABACAAAAAi&#10;AAAAZHJzL2Rvd25yZXYueG1sUEsBAhQAFAAAAAgAh07iQBNnlHUNAgAANQQAAA4AAAAAAAAAAQAg&#10;AAAAJAEAAGRycy9lMm9Eb2MueG1sUEsFBgAAAAAGAAYAWQEAAKMFAAAAAA==&#10;">
                        <v:fill on="t" focussize="0,0"/>
                        <v:stroke color="#000000" joinstyle="miter"/>
                        <v:imagedata o:title=""/>
                        <o:lock v:ext="edit" aspectratio="f"/>
                        <v:textbox>
                          <w:txbxContent>
                            <w:p>
                              <w:pPr>
                                <w:spacing w:line="240" w:lineRule="auto"/>
                                <w:ind w:firstLine="0" w:firstLineChars="0"/>
                                <w:jc w:val="center"/>
                              </w:pPr>
                              <w:r>
                                <w:rPr>
                                  <w:rFonts w:hint="eastAsia"/>
                                </w:rPr>
                                <w:t>生活用水</w:t>
                              </w:r>
                            </w:p>
                          </w:txbxContent>
                        </v:textbox>
                      </v:rect>
                      <v:shape id="直接箭头连接符 20" o:spid="_x0000_s1026" o:spt="32" type="#_x0000_t32" style="position:absolute;left:2073444;top:745490;flip:y;height:720;width:443641;"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613LdcAAAAFAQAA&#10;DwAAAAAAAAABACAAAAAiAAAAZHJzL2Rvd25yZXYueG1sUEsBAhQAFAAAAAgAh07iQIaHzP4aAgAA&#10;CAQAAA4AAAAAAAAAAQAgAAAAJgEAAGRycy9lMm9Eb2MueG1sUEsFBgAAAAAGAAYAWQEAALIFAAAA&#10;AA==&#10;">
                        <v:fill on="f" focussize="0,0"/>
                        <v:stroke color="#000000" joinstyle="round" endarrow="block"/>
                        <v:imagedata o:title=""/>
                        <o:lock v:ext="edit" aspectratio="f"/>
                      </v:shape>
                      <v:shape id="直接箭头连接符 24" o:spid="_x0000_s1026" o:spt="32" type="#_x0000_t32" style="position:absolute;left:1606757;top:397595;flip:y;height:195916;width:190132;"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eDzK0gAAAAUBAAAP&#10;AAAAAAAAAAEAIAAAACIAAABkcnMvZG93bnJldi54bWxQSwECFAAUAAAACACHTuJA6FDsWh4CAAAK&#10;BAAADgAAAAAAAAABACAAAAAhAQAAZHJzL2Uyb0RvYy54bWxQSwUGAAAAAAYABgBZAQAAsQUAAAAA&#10;">
                        <v:fill on="f" focussize="0,0"/>
                        <v:stroke color="#000000" joinstyle="round" dashstyle="dash" endarrow="block"/>
                        <v:imagedata o:title=""/>
                        <o:lock v:ext="edit" aspectratio="f"/>
                      </v:shape>
                      <v:shape id="直接箭头连接符 25" o:spid="_x0000_s1026" o:spt="32" type="#_x0000_t32" style="position:absolute;left:606425;top:490855;flip:x;height:3838575;width:5080;" filled="f" stroked="t" coordsize="21600,21600" o:gfxdata="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JaGo1QAAAAUBAAAPAAAAAAAA&#10;AAEAIAAAACIAAABkcnMvZG93bnJldi54bWxQSwECFAAUAAAACACHTuJAg2co/hUCAAAFBAAADgAA&#10;AAAAAAABACAAAAAkAQAAZHJzL2Uyb0RvYy54bWxQSwUGAAAAAAYABgBZAQAAqwUAAAAA&#10;">
                        <v:fill on="f" focussize="0,0"/>
                        <v:stroke color="#000000" joinstyle="round"/>
                        <v:imagedata o:title=""/>
                        <o:lock v:ext="edit" aspectratio="f"/>
                      </v:shape>
                      <v:shape id="直接箭头连接符 26" o:spid="_x0000_s1026" o:spt="32" type="#_x0000_t32" style="position:absolute;left:626110;top:1491615;height:3810;width:946785;" filled="f" stroked="t" coordsize="21600,21600" o:gfxdata="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MV9T1wAAAAUBAAAPAAAAAAAA&#10;AAEAIAAAACIAAABkcnMvZG93bnJldi54bWxQSwECFAAUAAAACACHTuJAGw2Y1BMCAAD/AwAADgAA&#10;AAAAAAABACAAAAAmAQAAZHJzL2Uyb0RvYy54bWxQSwUGAAAAAAYABgBZAQAAqwUAAAAA&#10;">
                        <v:fill on="f" focussize="0,0"/>
                        <v:stroke color="#000000" joinstyle="round" endarrow="block"/>
                        <v:imagedata o:title=""/>
                        <o:lock v:ext="edit" aspectratio="f"/>
                      </v:shape>
                      <v:rect id="矩形 27" o:spid="_x0000_s1026" o:spt="1" style="position:absolute;left:1564640;top:1317625;height:305435;width:93345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FNouPVAAAABQEAAA8AAAAAAAAAAQAgAAAA&#10;IgAAAGRycy9kb3ducmV2LnhtbFBLAQIUABQAAAAIAIdO4kBLntVfDgIAADYEAAAOAAAAAAAAAAEA&#10;IAAAACQBAABkcnMvZTJvRG9jLnhtbFBLBQYAAAAABgAGAFkBAACkBQAAAAA=&#10;">
                        <v:fill on="t"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生产用水</w:t>
                              </w:r>
                            </w:p>
                          </w:txbxContent>
                        </v:textbox>
                      </v:rect>
                      <v:shape id="直接箭头连接符 28" o:spid="_x0000_s1026" o:spt="32" type="#_x0000_t32" style="position:absolute;left:1606757;top:1121476;flip:y;height:195916;width:190132;"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h4PMrSAAAABQEAAA8A&#10;AAAAAAAAAQAgAAAAIgAAAGRycy9kb3ducmV2LnhtbFBLAQIUABQAAAAIAIdO4kDqPKGMHQIAAAsE&#10;AAAOAAAAAAAAAAEAIAAAACEBAABkcnMvZTJvRG9jLnhtbFBLBQYAAAAABgAGAFkBAACwBQAAAAA=&#10;">
                        <v:fill on="f" focussize="0,0"/>
                        <v:stroke color="#000000" joinstyle="round" dashstyle="dash" endarrow="block"/>
                        <v:imagedata o:title=""/>
                        <o:lock v:ext="edit" aspectratio="f"/>
                      </v:shape>
                      <v:shape id="直接箭头连接符 29" o:spid="_x0000_s1026" o:spt="32" type="#_x0000_t32" style="position:absolute;left:615767;top:2194693;flip:y;height:2881;width:523582;"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rXct1wAAAAUB&#10;AAAPAAAAAAAAAAEAIAAAACIAAABkcnMvZG93bnJldi54bWxQSwECFAAUAAAACACHTuJAOFgMQRwC&#10;AAAJBAAADgAAAAAAAAABACAAAAAmAQAAZHJzL2Uyb0RvYy54bWxQSwUGAAAAAAYABgBZAQAAtAUA&#10;AAAA&#10;">
                        <v:fill on="f" focussize="0,0"/>
                        <v:stroke color="#000000" joinstyle="round" endarrow="block"/>
                        <v:imagedata o:title=""/>
                        <o:lock v:ext="edit" aspectratio="f"/>
                      </v:shape>
                      <v:rect id="矩形 30" o:spid="_x0000_s1026" o:spt="1" style="position:absolute;left:1139350;top:2041273;height:305399;width:1377735;"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FNouPVAAAABQEAAA8AAAAAAAAAAQAgAAAAIgAA&#10;AGRycy9kb3ducmV2LnhtbFBLAQIUABQAAAAIAIdO4kC789/ECwIAADcEAAAOAAAAAAAAAAEAIAAA&#10;ACQBAABkcnMvZTJvRG9jLnhtbFBLBQYAAAAABgAGAFkBAAChBQAAAAA=&#10;">
                        <v:fill on="t" focussize="0,0"/>
                        <v:stroke color="#000000" joinstyle="miter"/>
                        <v:imagedata o:title=""/>
                        <o:lock v:ext="edit" aspectratio="f"/>
                        <v:textbox>
                          <w:txbxContent>
                            <w:p>
                              <w:pPr>
                                <w:spacing w:line="240" w:lineRule="auto"/>
                                <w:ind w:firstLine="0" w:firstLineChars="0"/>
                                <w:jc w:val="center"/>
                              </w:pPr>
                              <w:r>
                                <w:rPr>
                                  <w:rFonts w:hint="eastAsia"/>
                                </w:rPr>
                                <w:t>脱硫塔用水</w:t>
                              </w:r>
                            </w:p>
                          </w:txbxContent>
                        </v:textbox>
                      </v:rect>
                      <v:shape id="直接箭头连接符 31" o:spid="_x0000_s1026" o:spt="32" type="#_x0000_t32" style="position:absolute;left:1516732;top:1844637;flip:y;height:196636;width:191572;"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h4PMrSAAAABQEAAA8A&#10;AAAAAAAAAQAgAAAAIgAAAGRycy9kb3ducmV2LnhtbFBLAQIUABQAAAAIAIdO4kDuZUhIHQIAAAsE&#10;AAAOAAAAAAAAAAEAIAAAACEBAABkcnMvZTJvRG9jLnhtbFBLBQYAAAAABgAGAFkBAACwBQAAAAA=&#10;">
                        <v:fill on="f" focussize="0,0"/>
                        <v:stroke color="#000000" joinstyle="round" dashstyle="dash" endarrow="block"/>
                        <v:imagedata o:title=""/>
                        <o:lock v:ext="edit" aspectratio="f"/>
                      </v:shape>
                      <v:shape id="直接箭头连接符 32" o:spid="_x0000_s1026" o:spt="32" type="#_x0000_t32" style="position:absolute;left:616488;top:2908575;flip:y;height:635;width:601345;"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613LdcAAAAFAQAADwAAAAAAAAABACAAAAAiAAAAZHJzL2Rvd25yZXYueG1sUEsBAhQAFAAA&#10;AAgAh07iQL3HF70pAgAAMAQAAA4AAAAAAAAAAQAgAAAAJgEAAGRycy9lMm9Eb2MueG1sUEsFBgAA&#10;AAAGAAYAWQEAAMEFAAAAAA==&#10;">
                        <v:fill on="f" focussize="0,0"/>
                        <v:stroke color="#000000" joinstyle="round" endarrow="block"/>
                        <v:imagedata o:title=""/>
                        <o:lock v:ext="edit" aspectratio="f"/>
                      </v:shape>
                      <v:rect id="矩形 33" o:spid="_x0000_s1026" o:spt="1" style="position:absolute;left:1217930;top:2755900;height:304800;width:1459865;"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U2i49UAAAAFAQAADwAAAAAAAAABACAA&#10;AAAiAAAAZHJzL2Rvd25yZXYueG1sUEsBAhQAFAAAAAgAh07iQFTCVOAQAgAANwQAAA4AAAAAAAAA&#10;AQAgAAAAJAEAAGRycy9lMm9Eb2MueG1sUEsFBgAAAAAGAAYAWQEAAKYFAAAAAA==&#10;">
                        <v:fill on="t"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场地抑尘用水</w:t>
                              </w:r>
                            </w:p>
                          </w:txbxContent>
                        </v:textbox>
                      </v:rect>
                      <v:shape id="直接箭头连接符 34" o:spid="_x0000_s1026" o:spt="32" type="#_x0000_t32" style="position:absolute;left:1516732;top:2559155;flip:y;height:196636;width:190852;"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h4PMrSAAAABQEAAA8A&#10;AAAAAAAAAQAgAAAAIgAAAGRycy9kb3ducmV2LnhtbFBLAQIUABQAAAAIAIdO4kCpSm/AHQIAAAsE&#10;AAAOAAAAAAAAAAEAIAAAACEBAABkcnMvZTJvRG9jLnhtbFBLBQYAAAAABgAGAFkBAACwBQAAAAA=&#10;">
                        <v:fill on="f" focussize="0,0"/>
                        <v:stroke color="#000000" joinstyle="round" dashstyle="dash" endarrow="block"/>
                        <v:imagedata o:title=""/>
                        <o:lock v:ext="edit" aspectratio="f"/>
                      </v:shape>
                      <v:shape id="直接箭头连接符 35" o:spid="_x0000_s1026" o:spt="32" type="#_x0000_t32" style="position:absolute;left:607060;top:3711575;flip:y;height:7620;width:680085;"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613LdcAAAAF&#10;AQAADwAAAAAAAAABACAAAAAiAAAAZHJzL2Rvd25yZXYueG1sUEsBAhQAFAAAAAgAh07iQNjkTBQd&#10;AgAACgQAAA4AAAAAAAAAAQAgAAAAJgEAAGRycy9lMm9Eb2MueG1sUEsFBgAAAAAGAAYAWQEAALUF&#10;AAAAAA==&#10;">
                        <v:fill on="f" focussize="0,0"/>
                        <v:stroke color="#000000" joinstyle="round" endarrow="block"/>
                        <v:imagedata o:title=""/>
                        <o:lock v:ext="edit" aspectratio="f"/>
                      </v:shape>
                      <v:rect id="矩形 36" o:spid="_x0000_s1026" o:spt="1" style="position:absolute;left:1295400;top:3563620;height:304800;width:137795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FNouPVAAAABQEAAA8AAAAAAAAAAQAgAAAA&#10;IgAAAGRycy9kb3ducmV2LnhtbFBLAQIUABQAAAAIAIdO4kAt5xUoDgIAADgEAAAOAAAAAAAAAAEA&#10;IAAAACQBAABkcnMvZTJvRG9jLnhtbFBLBQYAAAAABgAGAFkBAACkBQAAAAA=&#10;">
                        <v:fill on="t" focussize="0,0"/>
                        <v:stroke color="#000000" joinstyle="miter"/>
                        <v:imagedata o:title=""/>
                        <o:lock v:ext="edit" aspectratio="f"/>
                        <v:textbox>
                          <w:txbxContent>
                            <w:p>
                              <w:pPr>
                                <w:spacing w:line="240" w:lineRule="auto"/>
                                <w:ind w:firstLine="0" w:firstLineChars="0"/>
                                <w:jc w:val="center"/>
                                <w:rPr>
                                  <w:rFonts w:hint="eastAsia" w:eastAsia="宋体"/>
                                  <w:lang w:val="en-US" w:eastAsia="zh-CN"/>
                                </w:rPr>
                              </w:pPr>
                              <w:r>
                                <w:rPr>
                                  <w:rFonts w:hint="eastAsia"/>
                                  <w:lang w:val="en-US" w:eastAsia="zh-CN"/>
                                </w:rPr>
                                <w:t>绿化用水</w:t>
                              </w:r>
                            </w:p>
                          </w:txbxContent>
                        </v:textbox>
                      </v:rect>
                      <v:shape id="直接箭头连接符 37" o:spid="_x0000_s1026" o:spt="32" type="#_x0000_t32" style="position:absolute;left:1415905;top:3350022;flip:y;height:196636;width:190852;"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eDzK0gAAAAUBAAAP&#10;AAAAAAAAAAEAIAAAACIAAABkcnMvZG93bnJldi54bWxQSwECFAAUAAAACACHTuJAwYnsXh4CAAAM&#10;BAAADgAAAAAAAAABACAAAAAhAQAAZHJzL2Uyb0RvYy54bWxQSwUGAAAAAAYABgBZAQAAsQUAAAAA&#10;">
                        <v:fill on="f" focussize="0,0"/>
                        <v:stroke color="#000000" joinstyle="round" dashstyle="dash" endarrow="block"/>
                        <v:imagedata o:title=""/>
                        <o:lock v:ext="edit" aspectratio="f"/>
                      </v:shape>
                      <v:shape id="直接箭头连接符 38" o:spid="_x0000_s1026" o:spt="32" type="#_x0000_t32" style="position:absolute;left:2517084;top:2194693;height:2161;width:605685;" filled="f" stroked="t" coordsize="21600,21600" o:gfxdata="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zFfU9cAAAAFAQAADwAAAAAA&#10;AAABACAAAAAiAAAAZHJzL2Rvd25yZXYueG1sUEsBAhQAFAAAAAgAh07iQMjmi0MUAgAAAQQAAA4A&#10;AAAAAAAAAQAgAAAAJgEAAGRycy9lMm9Eb2MueG1sUEsFBgAAAAAGAAYAWQEAAKwFAAAAAA==&#10;">
                        <v:fill on="f" focussize="0,0"/>
                        <v:stroke color="#000000" joinstyle="round" endarrow="block"/>
                        <v:imagedata o:title=""/>
                        <o:lock v:ext="edit" aspectratio="f"/>
                      </v:shape>
                      <v:rect id="矩形 39" o:spid="_x0000_s1026" o:spt="1" style="position:absolute;left:3122769;top:2044875;height:304678;width:88440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U2i49UAAAAFAQAADwAAAAAAAAABACAA&#10;AAAiAAAAZHJzL2Rvd25yZXYueG1sUEsBAhQAFAAAAAgAh07iQEIwNckQAgAANwQAAA4AAAAAAAAA&#10;AQAgAAAAJAEAAGRycy9lMm9Eb2MueG1sUEsFBgAAAAAGAAYAWQEAAKYFAAAAAA==&#10;">
                        <v:fill on="t"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循环水池</w:t>
                              </w:r>
                            </w:p>
                          </w:txbxContent>
                        </v:textbox>
                      </v:rect>
                      <v:shape id="肘形连接符 42" o:spid="_x0000_s1026" o:spt="34" type="#_x0000_t34" style="position:absolute;left:2263576;top:1844637;height:352217;width:1743594;rotation:11796480f;" filled="f" stroked="t" coordsize="21600,21600" o:gfxdata="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OoaAfXAAAABQEAAA8AAAAAAAAAAQAgAAAAIgAAAGRycy9kb3ducmV2Lnht&#10;bFBLAQIUABQAAAAIAIdO4kCtJgknMwIAAD0EAAAOAAAAAAAAAAEAIAAAACYBAABkcnMvZTJvRG9j&#10;LnhtbFBLBQYAAAAABgAGAFkBAADLBQAAAAA=&#10;" adj="-2345">
                        <v:fill on="f" focussize="0,0"/>
                        <v:stroke color="#000000" joinstyle="miter"/>
                        <v:imagedata o:title=""/>
                        <o:lock v:ext="edit" aspectratio="f"/>
                      </v:shape>
                      <v:shape id="直接箭头连接符 43" o:spid="_x0000_s1026" o:spt="32" type="#_x0000_t32" style="position:absolute;left:2263576;top:1844637;height:196636;width:720;" filled="f" stroked="t" coordsize="21600,21600" o:gfxdata="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MxX1PXAAAABQEAAA8AAAAA&#10;AAAAAQAgAAAAIgAAAGRycy9kb3ducmV2LnhtbFBLAQIUABQAAAAIAIdO4kBJoydTFQIAAAAEAAAO&#10;AAAAAAAAAAEAIAAAACYBAABkcnMvZTJvRG9jLnhtbFBLBQYAAAAABgAGAFkBAACtBQAAAAA=&#10;">
                        <v:fill on="f" focussize="0,0"/>
                        <v:stroke color="#000000" joinstyle="round" endarrow="block"/>
                        <v:imagedata o:title=""/>
                        <o:lock v:ext="edit" aspectratio="f"/>
                      </v:shape>
                      <v:rect id="矩形 46" o:spid="_x0000_s1026" o:spt="1" style="position:absolute;left:1845310;top:234950;height:257175;width:51435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u0bb3VAAAABQEAAA8AAAAAAAAAAQAgAAAAIgAAAGRycy9kb3ducmV2Lnht&#10;bFBLAQIUABQAAAAIAIdO4kAdb7QQwwEAAHcDAAAOAAAAAAAAAAEAIAAAACQBAABkcnMvZTJvRG9j&#10;LnhtbFBLBQYAAAAABgAGAFkBAABZBQAAAAA=&#10;">
                        <v:fill on="t" focussize="0,0"/>
                        <v:stroke on="f"/>
                        <v:imagedata o:title=""/>
                        <o:lock v:ext="edit" aspectratio="f"/>
                        <v:textbox>
                          <w:txbxContent>
                            <w:p>
                              <w:pPr>
                                <w:spacing w:line="240" w:lineRule="auto"/>
                                <w:ind w:firstLine="0" w:firstLineChars="0"/>
                                <w:jc w:val="center"/>
                                <w:rPr>
                                  <w:rFonts w:hint="default"/>
                                  <w:lang w:val="en-US"/>
                                </w:rPr>
                              </w:pPr>
                              <w:r>
                                <w:rPr>
                                  <w:rFonts w:hint="eastAsia"/>
                                  <w:lang w:val="en-US" w:eastAsia="zh-CN"/>
                                </w:rPr>
                                <w:t>0.24</w:t>
                              </w:r>
                            </w:p>
                          </w:txbxContent>
                        </v:textbox>
                      </v:rect>
                      <v:rect id="矩形 47" o:spid="_x0000_s1026" o:spt="1" style="position:absolute;left:1797050;top:959485;height:257175;width:59245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u0bb3VAAAABQEAAA8AAAAAAAAAAQAgAAAAIgAAAGRycy9kb3ducmV2&#10;LnhtbFBLAQIUABQAAAAIAIdO4kB/QV89xgEAAHcDAAAOAAAAAAAAAAEAIAAAACQBAABkcnMvZTJv&#10;RG9jLnhtbFBLBQYAAAAABgAGAFkBAABcBQAAAAA=&#10;">
                        <v:fill on="t"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102.2</w:t>
                              </w:r>
                            </w:p>
                          </w:txbxContent>
                        </v:textbox>
                      </v:rect>
                      <v:rect id="矩形 48" o:spid="_x0000_s1026" o:spt="1" style="position:absolute;left:1708150;top:1679575;height:257175;width:44831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D1x33DFAQAAeAMAAA4AAAAAAAAAAQAgAAAAJAEAAGRycy9lMm9E&#10;b2MueG1sUEsFBgAAAAAGAAYAWQEAAFsFAAAAAA==&#10;">
                        <v:fill on="t" focussize="0,0"/>
                        <v:stroke on="f"/>
                        <v:imagedata o:title=""/>
                        <o:lock v:ext="edit" aspectratio="f"/>
                        <v:textbox>
                          <w:txbxContent>
                            <w:p>
                              <w:pPr>
                                <w:spacing w:line="240" w:lineRule="auto"/>
                                <w:ind w:left="-141" w:leftChars="-67" w:right="-50" w:rightChars="-24" w:firstLine="0" w:firstLineChars="0"/>
                                <w:jc w:val="center"/>
                                <w:rPr>
                                  <w:rFonts w:hint="default" w:eastAsia="宋体"/>
                                  <w:lang w:val="en-US" w:eastAsia="zh-CN"/>
                                </w:rPr>
                              </w:pPr>
                              <w:r>
                                <w:rPr>
                                  <w:rFonts w:hint="eastAsia"/>
                                  <w:lang w:val="en-US" w:eastAsia="zh-CN"/>
                                </w:rPr>
                                <w:t>17.2</w:t>
                              </w:r>
                            </w:p>
                          </w:txbxContent>
                        </v:textbox>
                      </v:rect>
                      <v:rect id="矩形 49" o:spid="_x0000_s1026" o:spt="1" style="position:absolute;left:1606757;top:3254225;height:257140;width:419154;"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LtG291QAAAAUBAAAPAAAAAAAAAAEAIAAAACIAAABkcnMvZG93bnJl&#10;di54bWxQSwECFAAUAAAACACHTuJAj404aMcBAAB4AwAADgAAAAAAAAABACAAAAAkAQAAZHJzL2Uy&#10;b0RvYy54bWxQSwUGAAAAAAYABgBZAQAAXQUAAAAA&#10;">
                        <v:fill on="t"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0.6</w:t>
                              </w:r>
                            </w:p>
                          </w:txbxContent>
                        </v:textbox>
                      </v:rect>
                      <v:rect id="矩形 50" o:spid="_x0000_s1026" o:spt="1" style="position:absolute;left:1707584;top:2443910;height:257140;width:419154;"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tG291QAAAAUBAAAPAAAAAAAAAAEAIAAAACIAAABkcnMvZG93bnJldi54&#10;bWxQSwECFAAUAAAACACHTuJAid2IG8QBAAB4AwAADgAAAAAAAAABACAAAAAkAQAAZHJzL2Uyb0Rv&#10;Yy54bWxQSwUGAAAAAAYABgBZAQAAWgUAAAAA&#10;">
                        <v:fill on="t" focussize="0,0"/>
                        <v:stroke on="f"/>
                        <v:imagedata o:title=""/>
                        <o:lock v:ext="edit" aspectratio="f"/>
                        <v:textbox>
                          <w:txbxContent>
                            <w:p>
                              <w:pPr>
                                <w:spacing w:line="240" w:lineRule="auto"/>
                                <w:ind w:firstLine="0" w:firstLineChars="0"/>
                                <w:jc w:val="left"/>
                                <w:rPr>
                                  <w:rFonts w:hint="default" w:eastAsia="宋体"/>
                                  <w:lang w:val="en-US" w:eastAsia="zh-CN"/>
                                </w:rPr>
                              </w:pPr>
                              <w:r>
                                <w:rPr>
                                  <w:rFonts w:hint="eastAsia"/>
                                  <w:lang w:val="en-US" w:eastAsia="zh-CN"/>
                                </w:rPr>
                                <w:t>15</w:t>
                              </w:r>
                            </w:p>
                          </w:txbxContent>
                        </v:textbox>
                      </v:rect>
                      <v:rect id="矩形 170" o:spid="_x0000_s1026" o:spt="1" style="position:absolute;left:2528570;top:594995;height:290195;width:72009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FNouPVAAAABQEAAA8AAAAAAAAAAQAgAAAA&#10;IgAAAGRycy9kb3ducmV2LnhtbFBLAQIUABQAAAAIAIdO4kCLYiNcDgIAADcEAAAOAAAAAAAAAAEA&#10;IAAAACQBAABkcnMvZTJvRG9jLnhtbFBLBQYAAAAABgAGAFkBAACkBQAAAAA=&#10;">
                        <v:fill on="t"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旱厕</w:t>
                              </w:r>
                            </w:p>
                          </w:txbxContent>
                        </v:textbox>
                      </v:rect>
                      <v:rect id="矩形 180" o:spid="_x0000_s1026" o:spt="1" style="position:absolute;left:2033270;top:487680;height:257175;width:514350;" filled="f" stroked="f" coordsize="21600,21600" o:gfxdata="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QtuDbX&#10;AAAABQEAAA8AAAAAAAAAAQAgAAAAIgAAAGRycy9kb3ducmV2LnhtbFBLAQIUABQAAAAIAIdO4kCy&#10;wnydrwEAAE8DAAAOAAAAAAAAAAEAIAAAACYBAABkcnMvZTJvRG9jLnhtbFBLBQYAAAAABgAGAFkB&#10;AABHBQAAAAA=&#10;">
                        <v:fill on="f" focussize="0,0"/>
                        <v:stroke on="f"/>
                        <v:imagedata o:title=""/>
                        <o:lock v:ext="edit" aspectratio="f"/>
                        <v:textbox>
                          <w:txbxContent>
                            <w:p>
                              <w:pPr>
                                <w:spacing w:line="240" w:lineRule="auto"/>
                                <w:ind w:firstLine="0" w:firstLineChars="0"/>
                                <w:jc w:val="center"/>
                                <w:rPr>
                                  <w:rFonts w:hint="default"/>
                                  <w:lang w:val="en-US"/>
                                </w:rPr>
                              </w:pPr>
                              <w:r>
                                <w:rPr>
                                  <w:rFonts w:hint="eastAsia"/>
                                  <w:lang w:val="en-US" w:eastAsia="zh-CN"/>
                                </w:rPr>
                                <w:t>0.96</w:t>
                              </w:r>
                            </w:p>
                          </w:txbxContent>
                        </v:textbox>
                      </v:rect>
                      <v:shape id="直接箭头连接符 35" o:spid="_x0000_s1026" o:spt="32" type="#_x0000_t32" style="position:absolute;left:598805;top:4332605;flip:y;height:3175;width:523240;"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Otdy3XAAAABQEA&#10;AA8AAAAAAAAAAQAgAAAAIgAAAGRycy9kb3ducmV2LnhtbFBLAQIUABQAAAAIAIdO4kCzf2b3GwIA&#10;AAgEAAAOAAAAAAAAAAEAIAAAACYBAABkcnMvZTJvRG9jLnhtbFBLBQYAAAAABgAGAFkBAACzBQAA&#10;AAA=&#10;">
                        <v:fill on="f" focussize="0,0"/>
                        <v:stroke color="#000000" joinstyle="round" endarrow="block"/>
                        <v:imagedata o:title=""/>
                        <o:lock v:ext="edit" aspectratio="f"/>
                      </v:shape>
                      <v:rect id="矩形 36" o:spid="_x0000_s1026" o:spt="1" style="position:absolute;left:1113155;top:4161155;height:304800;width:137795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TaLj1QAAAAUBAAAPAAAAAAAAAAEAIAAA&#10;ACIAAABkcnMvZG93bnJldi54bWxQSwECFAAUAAAACACHTuJA6/AUYw8CAAA2BAAADgAAAAAAAAAB&#10;ACAAAAAkAQAAZHJzL2Uyb0RvYy54bWxQSwUGAAAAAAYABgBZAQAApQUAAAAA&#10;">
                        <v:fill on="t"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餐饮用水</w:t>
                              </w:r>
                            </w:p>
                          </w:txbxContent>
                        </v:textbox>
                      </v:rect>
                      <v:rect id="矩形 49" o:spid="_x0000_s1026" o:spt="1" style="position:absolute;left:1608455;top:3884930;height:228600;width:38100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7RtvdUAAAAFAQAADwAAAAAAAAABACAAAAAiAAAAZHJzL2Rvd25yZXYueG1s&#10;UEsBAhQAFAAAAAgAh07iQATeMK/CAQAAdgMAAA4AAAAAAAAAAQAgAAAAJAEAAGRycy9lMm9Eb2Mu&#10;eG1sUEsFBgAAAAAGAAYAWQEAAFgFAAAAAA==&#10;">
                        <v:fill on="t"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0.6</w:t>
                              </w:r>
                            </w:p>
                          </w:txbxContent>
                        </v:textbox>
                      </v:rect>
                      <v:shape id="直接箭头连接符 37" o:spid="_x0000_s1026" o:spt="32" type="#_x0000_t32" style="position:absolute;left:1398905;top:3961130;flip:y;height:196215;width:190500;"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eDzK0gAAAAUBAAAPAAAA&#10;AAAAAAEAIAAAACIAAABkcnMvZG93bnJldi54bWxQSwECFAAUAAAACACHTuJAXihDcxsCAAALBAAA&#10;DgAAAAAAAAABACAAAAAhAQAAZHJzL2Uyb0RvYy54bWxQSwUGAAAAAAYABgBZAQAArgUAAAAA&#10;">
                        <v:fill on="f" focussize="0,0"/>
                        <v:stroke color="#000000" joinstyle="round" dashstyle="dash" endarrow="block"/>
                        <v:imagedata o:title=""/>
                        <o:lock v:ext="edit" aspectratio="f"/>
                      </v:shape>
                      <v:rect id="矩形 15" o:spid="_x0000_s1026" o:spt="1" style="position:absolute;left:627380;top:4075430;height:257175;width:41910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KO7c/rFAQAAdgMAAA4AAAAAAAAAAQAgAAAAJAEAAGRycy9lMm9E&#10;b2MueG1sUEsFBgAAAAAGAAYAWQEAAFsFAAAAAA==&#10;">
                        <v:fill on="t"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0.45</w:t>
                              </w:r>
                            </w:p>
                          </w:txbxContent>
                        </v:textbox>
                      </v:rect>
                      <v:rect id="矩形 170" o:spid="_x0000_s1026" o:spt="1" style="position:absolute;left:2999105;top:4161155;height:290195;width:72009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TaLj1QAAAAUBAAAPAAAAAAAAAAEAIAAA&#10;ACIAAABkcnMvZG93bnJldi54bWxQSwECFAAUAAAACACHTuJAGFXUOw8CAAA3BAAADgAAAAAAAAAB&#10;ACAAAAAkAQAAZHJzL2Uyb0RvYy54bWxQSwUGAAAAAAYABgBZAQAApQUAAAAA&#10;">
                        <v:fill on="t"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旱厕</w:t>
                              </w:r>
                            </w:p>
                          </w:txbxContent>
                        </v:textbox>
                      </v:rect>
                      <v:shape id="直接箭头连接符 38" o:spid="_x0000_s1026" o:spt="32" type="#_x0000_t32" style="position:absolute;left:2513330;top:4301490;flip:y;height:2540;width:492125;"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rXct1wAAAAUB&#10;AAAPAAAAAAAAAAEAIAAAACIAAABkcnMvZG93bnJldi54bWxQSwECFAAUAAAACACHTuJACo6vbhwC&#10;AAAKBAAADgAAAAAAAAABACAAAAAmAQAAZHJzL2Uyb0RvYy54bWxQSwUGAAAAAAYABgBZAQAAtAUA&#10;AAAA&#10;">
                        <v:fill on="f" focussize="0,0"/>
                        <v:stroke color="#000000" joinstyle="round" endarrow="block"/>
                        <v:imagedata o:title=""/>
                        <o:lock v:ext="edit" aspectratio="f"/>
                      </v:shape>
                      <v:rect id="矩形 49" o:spid="_x0000_s1026" o:spt="1" style="position:absolute;left:2570480;top:4056380;height:228600;width:42862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LukQqnFAQAAdwMAAA4AAAAAAAAAAQAgAAAAJAEAAGRycy9lMm9E&#10;b2MueG1sUEsFBgAAAAAGAAYAWQEAAFsFAAAAAA==&#10;">
                        <v:fill on="t"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0.36</w:t>
                              </w:r>
                            </w:p>
                          </w:txbxContent>
                        </v:textbox>
                      </v:rect>
                      <v:rect id="矩形 12" o:spid="_x0000_s1026" o:spt="1" style="position:absolute;left:605155;top:1504315;height:257175;width:79057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7RtvdUAAAAFAQAADwAAAAAAAAABACAAAAAiAAAAZHJzL2Rvd25yZXYueG1s&#10;UEsBAhQAFAAAAAgAh07iQEzv6YnCAQAAdwMAAA4AAAAAAAAAAQAgAAAAJAEAAGRycy9lMm9Eb2Mu&#10;eG1sUEsFBgAAAAAGAAYAWQEAAFgFAAAAAA==&#10;">
                        <v:fill on="t" focussize="0,0"/>
                        <v:stroke on="f"/>
                        <v:imagedata o:title=""/>
                        <o:lock v:ext="edit" aspectratio="f"/>
                        <v:textbox>
                          <w:txbxContent>
                            <w:p>
                              <w:pPr>
                                <w:spacing w:line="240" w:lineRule="auto"/>
                                <w:ind w:firstLine="0" w:firstLineChars="0"/>
                                <w:jc w:val="left"/>
                                <w:rPr>
                                  <w:rFonts w:hint="default"/>
                                  <w:lang w:val="en-US"/>
                                </w:rPr>
                              </w:pPr>
                              <w:r>
                                <w:rPr>
                                  <w:rFonts w:hint="eastAsia"/>
                                  <w:lang w:val="en-US" w:eastAsia="zh-CN"/>
                                </w:rPr>
                                <w:t>雨水14.08</w:t>
                              </w:r>
                            </w:p>
                          </w:txbxContent>
                        </v:textbox>
                      </v:rect>
                      <w10:wrap type="none"/>
                      <w10:anchorlock/>
                    </v:group>
                  </w:pict>
                </mc:Fallback>
              </mc:AlternateContent>
            </w:r>
          </w:p>
          <w:p>
            <w:pPr>
              <w:pStyle w:val="60"/>
              <w:ind w:left="0" w:leftChars="0" w:firstLine="0" w:firstLineChars="0"/>
              <w:jc w:val="center"/>
              <w:rPr>
                <w:rFonts w:hint="default" w:eastAsia="宋体"/>
                <w:b/>
                <w:bCs/>
                <w:color w:val="auto"/>
                <w:lang w:val="en-US" w:eastAsia="zh-CN"/>
              </w:rPr>
            </w:pPr>
            <w:r>
              <w:rPr>
                <w:rFonts w:hint="eastAsia"/>
                <w:b/>
                <w:bCs/>
                <w:color w:val="auto"/>
                <w:lang w:val="en-US" w:eastAsia="zh-CN"/>
              </w:rPr>
              <w:t>图4   项目水平衡图       单位t/d</w:t>
            </w:r>
          </w:p>
          <w:p>
            <w:pPr>
              <w:pStyle w:val="60"/>
              <w:ind w:left="0" w:leftChars="0" w:firstLine="0" w:firstLineChars="0"/>
              <w:rPr>
                <w:b/>
                <w:bCs/>
                <w:color w:val="auto"/>
                <w:sz w:val="24"/>
                <w:szCs w:val="24"/>
              </w:rPr>
            </w:pPr>
            <w:r>
              <w:rPr>
                <w:rFonts w:hint="eastAsia"/>
                <w:b/>
                <w:bCs/>
                <w:color w:val="auto"/>
                <w:sz w:val="24"/>
                <w:szCs w:val="24"/>
                <w:lang w:val="en-US" w:eastAsia="zh-CN"/>
              </w:rPr>
              <w:t>10.</w:t>
            </w:r>
            <w:r>
              <w:rPr>
                <w:b/>
                <w:bCs/>
                <w:color w:val="auto"/>
                <w:sz w:val="24"/>
                <w:szCs w:val="24"/>
              </w:rPr>
              <w:t>劳动定员及工作制度</w:t>
            </w:r>
          </w:p>
          <w:p>
            <w:pPr>
              <w:pStyle w:val="60"/>
              <w:ind w:firstLine="420"/>
              <w:rPr>
                <w:rFonts w:hint="default" w:eastAsia="宋体"/>
                <w:color w:val="auto"/>
                <w:sz w:val="24"/>
                <w:szCs w:val="24"/>
                <w:lang w:val="en-US" w:eastAsia="zh-CN"/>
              </w:rPr>
            </w:pPr>
            <w:r>
              <w:rPr>
                <w:color w:val="auto"/>
                <w:sz w:val="24"/>
              </w:rPr>
              <w:t>项目建成后在岗职工</w:t>
            </w:r>
            <w:r>
              <w:rPr>
                <w:rFonts w:hint="eastAsia"/>
                <w:color w:val="auto"/>
                <w:sz w:val="24"/>
                <w:lang w:val="en-US" w:eastAsia="zh-CN"/>
              </w:rPr>
              <w:t>18</w:t>
            </w:r>
            <w:r>
              <w:rPr>
                <w:color w:val="auto"/>
                <w:sz w:val="24"/>
              </w:rPr>
              <w:t>人，年工作日</w:t>
            </w:r>
            <w:r>
              <w:rPr>
                <w:rFonts w:hint="eastAsia"/>
                <w:color w:val="auto"/>
                <w:sz w:val="24"/>
              </w:rPr>
              <w:t>300</w:t>
            </w:r>
            <w:r>
              <w:rPr>
                <w:color w:val="auto"/>
                <w:sz w:val="24"/>
              </w:rPr>
              <w:t>天，</w:t>
            </w:r>
            <w:r>
              <w:rPr>
                <w:rFonts w:hint="eastAsia"/>
                <w:color w:val="auto"/>
                <w:sz w:val="24"/>
              </w:rPr>
              <w:t>焙烧岗位三班倒，</w:t>
            </w:r>
            <w:r>
              <w:rPr>
                <w:color w:val="auto"/>
                <w:sz w:val="24"/>
              </w:rPr>
              <w:t>每班8h</w:t>
            </w:r>
            <w:r>
              <w:rPr>
                <w:rFonts w:hint="eastAsia"/>
                <w:color w:val="auto"/>
                <w:sz w:val="24"/>
              </w:rPr>
              <w:t>；原料加工岗</w:t>
            </w:r>
            <w:r>
              <w:rPr>
                <w:rFonts w:hint="eastAsia"/>
                <w:color w:val="auto"/>
                <w:sz w:val="24"/>
                <w:lang w:val="en-US" w:eastAsia="zh-CN"/>
              </w:rPr>
              <w:t>每天工作3h、粘土采掘每天工作3h</w:t>
            </w:r>
            <w:r>
              <w:rPr>
                <w:rFonts w:hint="eastAsia"/>
                <w:color w:val="auto"/>
                <w:sz w:val="24"/>
              </w:rPr>
              <w:t>。</w:t>
            </w:r>
          </w:p>
          <w:p>
            <w:pPr>
              <w:pStyle w:val="60"/>
              <w:ind w:left="0" w:leftChars="0" w:firstLine="0" w:firstLineChars="0"/>
              <w:rPr>
                <w:rFonts w:hint="default"/>
                <w:color w:val="auto"/>
                <w:sz w:val="24"/>
                <w:szCs w:val="24"/>
                <w:lang w:val="en-US" w:eastAsia="zh-CN"/>
              </w:rPr>
            </w:pPr>
            <w:r>
              <w:rPr>
                <w:rFonts w:hint="eastAsia"/>
                <w:b/>
                <w:bCs/>
                <w:color w:val="auto"/>
                <w:sz w:val="24"/>
                <w:szCs w:val="24"/>
                <w:lang w:val="en-US" w:eastAsia="zh-CN"/>
              </w:rPr>
              <w:t>11.项目投资</w:t>
            </w:r>
          </w:p>
          <w:p>
            <w:pPr>
              <w:pStyle w:val="60"/>
              <w:ind w:firstLine="420"/>
              <w:rPr>
                <w:rFonts w:hint="default"/>
                <w:color w:val="auto"/>
                <w:lang w:val="en-US" w:eastAsia="zh-CN"/>
              </w:rPr>
            </w:pPr>
            <w:r>
              <w:rPr>
                <w:color w:val="auto"/>
                <w:sz w:val="24"/>
                <w:szCs w:val="24"/>
              </w:rPr>
              <w:t>本项目总投资估算为</w:t>
            </w:r>
            <w:r>
              <w:rPr>
                <w:rFonts w:hint="eastAsia"/>
                <w:color w:val="auto"/>
                <w:sz w:val="24"/>
                <w:szCs w:val="24"/>
                <w:lang w:val="en-US" w:eastAsia="zh-CN"/>
              </w:rPr>
              <w:t>1280</w:t>
            </w:r>
            <w:r>
              <w:rPr>
                <w:color w:val="auto"/>
                <w:sz w:val="24"/>
                <w:szCs w:val="24"/>
              </w:rPr>
              <w:t>万元，其中：固定投资及生产线</w:t>
            </w:r>
            <w:r>
              <w:rPr>
                <w:rFonts w:hint="eastAsia"/>
                <w:color w:val="auto"/>
                <w:sz w:val="24"/>
                <w:szCs w:val="24"/>
                <w:lang w:val="en-US" w:eastAsia="zh-CN"/>
              </w:rPr>
              <w:t>1000</w:t>
            </w:r>
            <w:r>
              <w:rPr>
                <w:color w:val="auto"/>
                <w:sz w:val="24"/>
                <w:szCs w:val="24"/>
              </w:rPr>
              <w:t>万元，流动资金</w:t>
            </w:r>
            <w:r>
              <w:rPr>
                <w:rFonts w:hint="eastAsia"/>
                <w:color w:val="auto"/>
                <w:sz w:val="24"/>
                <w:szCs w:val="24"/>
                <w:lang w:val="en-US" w:eastAsia="zh-CN"/>
              </w:rPr>
              <w:t>280</w:t>
            </w:r>
            <w:r>
              <w:rPr>
                <w:color w:val="auto"/>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416" w:type="dxa"/>
            <w:vAlign w:val="center"/>
          </w:tcPr>
          <w:p>
            <w:pPr>
              <w:pStyle w:val="24"/>
              <w:adjustRightInd w:val="0"/>
              <w:snapToGrid w:val="0"/>
              <w:spacing w:before="0" w:beforeAutospacing="0" w:after="0" w:afterAutospacing="0"/>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总平面布置</w:t>
            </w:r>
          </w:p>
        </w:tc>
        <w:tc>
          <w:tcPr>
            <w:tcW w:w="8101" w:type="dxa"/>
          </w:tcPr>
          <w:p>
            <w:pPr>
              <w:pStyle w:val="60"/>
              <w:ind w:firstLine="420"/>
              <w:rPr>
                <w:color w:val="auto"/>
                <w:sz w:val="24"/>
                <w:szCs w:val="24"/>
              </w:rPr>
            </w:pPr>
            <w:r>
              <w:rPr>
                <w:rFonts w:hint="eastAsia"/>
                <w:color w:val="auto"/>
                <w:sz w:val="24"/>
                <w:szCs w:val="24"/>
              </w:rPr>
              <w:t>（1）平面布置</w:t>
            </w:r>
          </w:p>
          <w:p>
            <w:pPr>
              <w:pStyle w:val="60"/>
              <w:ind w:firstLine="420"/>
              <w:rPr>
                <w:color w:val="auto"/>
                <w:sz w:val="24"/>
                <w:szCs w:val="24"/>
              </w:rPr>
            </w:pPr>
            <w:r>
              <w:rPr>
                <w:color w:val="auto"/>
                <w:sz w:val="24"/>
                <w:szCs w:val="24"/>
              </w:rPr>
              <w:t>项目</w:t>
            </w:r>
            <w:r>
              <w:rPr>
                <w:rFonts w:hint="eastAsia"/>
                <w:color w:val="auto"/>
                <w:sz w:val="24"/>
                <w:szCs w:val="24"/>
              </w:rPr>
              <w:t>平面</w:t>
            </w:r>
            <w:r>
              <w:rPr>
                <w:color w:val="auto"/>
                <w:sz w:val="24"/>
                <w:szCs w:val="24"/>
              </w:rPr>
              <w:t>布局主要由粘土采矿区、</w:t>
            </w:r>
            <w:r>
              <w:rPr>
                <w:rFonts w:hint="eastAsia"/>
                <w:color w:val="auto"/>
                <w:sz w:val="24"/>
                <w:szCs w:val="24"/>
                <w:lang w:val="en-US" w:eastAsia="zh-CN"/>
              </w:rPr>
              <w:t>焙烧区</w:t>
            </w:r>
            <w:r>
              <w:rPr>
                <w:rFonts w:hint="eastAsia"/>
                <w:color w:val="auto"/>
                <w:sz w:val="24"/>
                <w:szCs w:val="24"/>
              </w:rPr>
              <w:t>、</w:t>
            </w:r>
            <w:r>
              <w:rPr>
                <w:rFonts w:hint="eastAsia"/>
                <w:color w:val="auto"/>
                <w:sz w:val="24"/>
                <w:szCs w:val="24"/>
                <w:lang w:val="en-US" w:eastAsia="zh-CN"/>
              </w:rPr>
              <w:t>原料库</w:t>
            </w:r>
            <w:r>
              <w:rPr>
                <w:rFonts w:hint="eastAsia"/>
                <w:color w:val="auto"/>
                <w:sz w:val="24"/>
                <w:szCs w:val="24"/>
              </w:rPr>
              <w:t>、陈化库、</w:t>
            </w:r>
            <w:r>
              <w:rPr>
                <w:rFonts w:hint="eastAsia"/>
                <w:color w:val="auto"/>
                <w:sz w:val="24"/>
                <w:szCs w:val="24"/>
                <w:lang w:val="en-US" w:eastAsia="zh-CN"/>
              </w:rPr>
              <w:t>砖机车间、原</w:t>
            </w:r>
            <w:r>
              <w:rPr>
                <w:rFonts w:hint="eastAsia"/>
                <w:color w:val="auto"/>
                <w:sz w:val="24"/>
                <w:szCs w:val="24"/>
              </w:rPr>
              <w:t>辅料</w:t>
            </w:r>
            <w:r>
              <w:rPr>
                <w:rFonts w:hint="eastAsia"/>
                <w:color w:val="auto"/>
                <w:sz w:val="24"/>
                <w:szCs w:val="24"/>
                <w:lang w:val="en-US" w:eastAsia="zh-CN"/>
              </w:rPr>
              <w:t>库</w:t>
            </w:r>
            <w:r>
              <w:rPr>
                <w:rFonts w:hint="eastAsia"/>
                <w:color w:val="auto"/>
                <w:sz w:val="24"/>
                <w:szCs w:val="24"/>
              </w:rPr>
              <w:t>、</w:t>
            </w:r>
            <w:r>
              <w:rPr>
                <w:rFonts w:hint="eastAsia"/>
                <w:color w:val="auto"/>
                <w:sz w:val="24"/>
                <w:szCs w:val="24"/>
                <w:lang w:val="en-US" w:eastAsia="zh-CN"/>
              </w:rPr>
              <w:t>隧道窑</w:t>
            </w:r>
            <w:r>
              <w:rPr>
                <w:rFonts w:hint="eastAsia"/>
                <w:color w:val="auto"/>
                <w:sz w:val="24"/>
                <w:szCs w:val="24"/>
              </w:rPr>
              <w:t>烟气处理系统</w:t>
            </w:r>
            <w:r>
              <w:rPr>
                <w:rFonts w:hint="eastAsia"/>
                <w:color w:val="auto"/>
                <w:sz w:val="24"/>
                <w:szCs w:val="24"/>
                <w:lang w:eastAsia="zh-CN"/>
              </w:rPr>
              <w:t>、</w:t>
            </w:r>
            <w:r>
              <w:rPr>
                <w:rFonts w:hint="eastAsia"/>
                <w:color w:val="auto"/>
                <w:sz w:val="24"/>
                <w:szCs w:val="24"/>
              </w:rPr>
              <w:t>生活办公区及道路等组成。</w:t>
            </w:r>
            <w:r>
              <w:rPr>
                <w:rFonts w:hint="eastAsia"/>
                <w:color w:val="auto"/>
                <w:sz w:val="24"/>
                <w:szCs w:val="24"/>
                <w:lang w:val="en-US" w:eastAsia="zh-CN"/>
              </w:rPr>
              <w:t>厂区入口位于厂区中部东侧位置；</w:t>
            </w:r>
            <w:r>
              <w:rPr>
                <w:color w:val="auto"/>
                <w:sz w:val="24"/>
                <w:szCs w:val="24"/>
              </w:rPr>
              <w:t>粘土矿采区位于厂区</w:t>
            </w:r>
            <w:r>
              <w:rPr>
                <w:rFonts w:hint="eastAsia"/>
                <w:color w:val="auto"/>
                <w:sz w:val="24"/>
                <w:szCs w:val="24"/>
                <w:lang w:val="en-US" w:eastAsia="zh-CN"/>
              </w:rPr>
              <w:t>西北</w:t>
            </w:r>
            <w:r>
              <w:rPr>
                <w:color w:val="auto"/>
                <w:sz w:val="24"/>
                <w:szCs w:val="24"/>
              </w:rPr>
              <w:t>侧</w:t>
            </w:r>
            <w:r>
              <w:rPr>
                <w:rFonts w:hint="eastAsia"/>
                <w:color w:val="auto"/>
                <w:sz w:val="24"/>
                <w:szCs w:val="24"/>
                <w:lang w:eastAsia="zh-CN"/>
              </w:rPr>
              <w:t>；</w:t>
            </w:r>
            <w:r>
              <w:rPr>
                <w:rFonts w:hint="eastAsia"/>
                <w:color w:val="auto"/>
                <w:sz w:val="24"/>
                <w:szCs w:val="24"/>
                <w:lang w:val="en-US" w:eastAsia="zh-CN"/>
              </w:rPr>
              <w:t>焙烧车间</w:t>
            </w:r>
            <w:r>
              <w:rPr>
                <w:rFonts w:hint="eastAsia"/>
                <w:color w:val="auto"/>
                <w:sz w:val="24"/>
                <w:szCs w:val="24"/>
              </w:rPr>
              <w:t>位于厂区</w:t>
            </w:r>
            <w:r>
              <w:rPr>
                <w:rFonts w:hint="eastAsia"/>
                <w:color w:val="auto"/>
                <w:sz w:val="24"/>
                <w:szCs w:val="24"/>
                <w:lang w:val="en-US" w:eastAsia="zh-CN"/>
              </w:rPr>
              <w:t>北侧位置</w:t>
            </w:r>
            <w:r>
              <w:rPr>
                <w:rFonts w:hint="eastAsia"/>
                <w:color w:val="auto"/>
                <w:sz w:val="24"/>
                <w:szCs w:val="24"/>
              </w:rPr>
              <w:t>，为</w:t>
            </w:r>
            <w:r>
              <w:rPr>
                <w:rFonts w:hint="eastAsia"/>
                <w:color w:val="auto"/>
                <w:sz w:val="24"/>
                <w:szCs w:val="24"/>
                <w:lang w:val="en-US" w:eastAsia="zh-CN"/>
              </w:rPr>
              <w:t>矩形状，脱硫脱销除尘脱氟设施位于焙烧车间北侧、原料破碎及筛分粉尘排气筒位于破碎及筛分车间北侧</w:t>
            </w:r>
            <w:r>
              <w:rPr>
                <w:rFonts w:hint="eastAsia"/>
                <w:color w:val="auto"/>
                <w:sz w:val="24"/>
                <w:szCs w:val="24"/>
              </w:rPr>
              <w:t>；</w:t>
            </w:r>
            <w:r>
              <w:rPr>
                <w:rFonts w:hint="eastAsia"/>
                <w:color w:val="auto"/>
                <w:sz w:val="24"/>
                <w:szCs w:val="24"/>
                <w:lang w:val="en-US" w:eastAsia="zh-CN"/>
              </w:rPr>
              <w:t>焙烧车间南侧依次为砖机车间、原料库，陈化库；办公区位于厂区东侧，配套建设休息室等。</w:t>
            </w:r>
            <w:r>
              <w:rPr>
                <w:color w:val="auto"/>
                <w:sz w:val="24"/>
                <w:szCs w:val="24"/>
              </w:rPr>
              <w:t>项目平面布置图见附图。</w:t>
            </w:r>
          </w:p>
          <w:p>
            <w:pPr>
              <w:pStyle w:val="60"/>
              <w:ind w:firstLine="420"/>
              <w:rPr>
                <w:color w:val="auto"/>
                <w:sz w:val="24"/>
                <w:szCs w:val="24"/>
              </w:rPr>
            </w:pPr>
            <w:r>
              <w:rPr>
                <w:rFonts w:hint="eastAsia"/>
                <w:color w:val="auto"/>
                <w:sz w:val="24"/>
                <w:szCs w:val="24"/>
              </w:rPr>
              <w:t>（2）平面布置合理性分析</w:t>
            </w:r>
          </w:p>
          <w:p>
            <w:pPr>
              <w:pStyle w:val="60"/>
              <w:ind w:firstLine="420"/>
              <w:rPr>
                <w:color w:val="auto"/>
                <w:sz w:val="24"/>
                <w:szCs w:val="24"/>
              </w:rPr>
            </w:pPr>
            <w:r>
              <w:rPr>
                <w:rFonts w:hint="eastAsia"/>
                <w:color w:val="auto"/>
                <w:sz w:val="24"/>
                <w:szCs w:val="24"/>
                <w:lang w:val="en-US" w:eastAsia="zh-CN"/>
              </w:rPr>
              <w:t>根据本项目平面布局。本项目从原料至成品遵循流水作业，高效快捷；</w:t>
            </w:r>
            <w:r>
              <w:rPr>
                <w:rFonts w:hint="eastAsia"/>
                <w:color w:val="auto"/>
                <w:sz w:val="24"/>
                <w:szCs w:val="24"/>
              </w:rPr>
              <w:t>隧道窑</w:t>
            </w:r>
            <w:r>
              <w:rPr>
                <w:rFonts w:hint="eastAsia"/>
                <w:color w:val="auto"/>
                <w:sz w:val="24"/>
                <w:szCs w:val="24"/>
                <w:lang w:val="en-US" w:eastAsia="zh-CN"/>
              </w:rPr>
              <w:t>内部双向摆渡车</w:t>
            </w:r>
            <w:r>
              <w:rPr>
                <w:rFonts w:hint="eastAsia"/>
                <w:color w:val="auto"/>
                <w:sz w:val="24"/>
                <w:szCs w:val="24"/>
              </w:rPr>
              <w:t>分段设置砖坯干燥、预热、焙烧、保温冷却工段，实现砖坯流水线作业，产品砖块通过隧道窑出口自动装车运出；</w:t>
            </w:r>
            <w:r>
              <w:rPr>
                <w:rFonts w:hint="eastAsia"/>
                <w:color w:val="auto"/>
                <w:sz w:val="24"/>
                <w:szCs w:val="24"/>
                <w:lang w:val="en-US" w:eastAsia="zh-CN"/>
              </w:rPr>
              <w:t>生活办公区远离矿区边坡，能够防止发生滑坡等风险事故导致人员受伤；项目废气排气筒位于最近居民的下风向，产生的废气污染物对居民点影响较小。因此从环保角度考虑项目</w:t>
            </w:r>
            <w:r>
              <w:rPr>
                <w:color w:val="auto"/>
                <w:sz w:val="24"/>
                <w:szCs w:val="24"/>
              </w:rPr>
              <w:t>厂区布局合理。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416" w:type="dxa"/>
            <w:vAlign w:val="center"/>
          </w:tcPr>
          <w:p>
            <w:pPr>
              <w:pStyle w:val="24"/>
              <w:adjustRightInd w:val="0"/>
              <w:snapToGrid w:val="0"/>
              <w:spacing w:before="0" w:beforeAutospacing="0" w:after="0" w:afterAutospacing="0"/>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施工方案</w:t>
            </w:r>
          </w:p>
        </w:tc>
        <w:tc>
          <w:tcPr>
            <w:tcW w:w="8101" w:type="dxa"/>
          </w:tcPr>
          <w:p>
            <w:pPr>
              <w:widowControl/>
              <w:numPr>
                <w:ilvl w:val="0"/>
                <w:numId w:val="0"/>
              </w:numPr>
              <w:spacing w:line="360" w:lineRule="auto"/>
              <w:jc w:val="left"/>
              <w:rPr>
                <w:b/>
                <w:bCs/>
                <w:color w:val="000000"/>
                <w:sz w:val="24"/>
              </w:rPr>
            </w:pPr>
            <w:r>
              <w:rPr>
                <w:rFonts w:hint="eastAsia"/>
                <w:b/>
                <w:bCs/>
                <w:color w:val="000000"/>
                <w:sz w:val="24"/>
                <w:lang w:val="en-US" w:eastAsia="zh-CN"/>
              </w:rPr>
              <w:t>1.</w:t>
            </w:r>
            <w:r>
              <w:rPr>
                <w:b/>
                <w:bCs/>
                <w:color w:val="000000"/>
                <w:sz w:val="24"/>
              </w:rPr>
              <w:t>施工工序</w:t>
            </w:r>
          </w:p>
          <w:p>
            <w:pPr>
              <w:autoSpaceDE w:val="0"/>
              <w:autoSpaceDN w:val="0"/>
              <w:spacing w:line="360" w:lineRule="auto"/>
              <w:jc w:val="center"/>
              <w:rPr>
                <w:bCs/>
                <w:color w:val="000000"/>
                <w:sz w:val="24"/>
              </w:rPr>
            </w:pPr>
            <w:r>
              <w:rPr>
                <w:color w:val="auto"/>
              </w:rPr>
              <w:drawing>
                <wp:inline distT="0" distB="0" distL="114300" distR="114300">
                  <wp:extent cx="4551045" cy="1896110"/>
                  <wp:effectExtent l="0" t="0" r="1905" b="889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7"/>
                          <a:stretch>
                            <a:fillRect/>
                          </a:stretch>
                        </pic:blipFill>
                        <pic:spPr>
                          <a:xfrm>
                            <a:off x="0" y="0"/>
                            <a:ext cx="4551045" cy="1896110"/>
                          </a:xfrm>
                          <a:prstGeom prst="rect">
                            <a:avLst/>
                          </a:prstGeom>
                          <a:noFill/>
                          <a:ln>
                            <a:noFill/>
                          </a:ln>
                        </pic:spPr>
                      </pic:pic>
                    </a:graphicData>
                  </a:graphic>
                </wp:inline>
              </w:drawing>
            </w:r>
          </w:p>
          <w:p>
            <w:pPr>
              <w:autoSpaceDE w:val="0"/>
              <w:autoSpaceDN w:val="0"/>
              <w:spacing w:line="360" w:lineRule="auto"/>
              <w:ind w:firstLine="422" w:firstLineChars="200"/>
              <w:jc w:val="center"/>
              <w:rPr>
                <w:b/>
                <w:color w:val="000000"/>
                <w:szCs w:val="21"/>
              </w:rPr>
            </w:pPr>
            <w:r>
              <w:rPr>
                <w:b/>
                <w:color w:val="000000"/>
                <w:szCs w:val="21"/>
              </w:rPr>
              <w:t>图</w:t>
            </w:r>
            <w:r>
              <w:rPr>
                <w:rFonts w:hint="eastAsia"/>
                <w:b/>
                <w:color w:val="000000"/>
                <w:szCs w:val="21"/>
                <w:lang w:val="en-US" w:eastAsia="zh-CN"/>
              </w:rPr>
              <w:t>5</w:t>
            </w:r>
            <w:r>
              <w:rPr>
                <w:b/>
                <w:color w:val="000000"/>
                <w:szCs w:val="21"/>
              </w:rPr>
              <w:t xml:space="preserve">   施工期</w:t>
            </w:r>
            <w:r>
              <w:rPr>
                <w:rFonts w:hint="eastAsia"/>
                <w:b/>
                <w:color w:val="000000"/>
                <w:szCs w:val="21"/>
                <w:lang w:val="en-US" w:eastAsia="zh-CN"/>
              </w:rPr>
              <w:t>工序</w:t>
            </w:r>
            <w:r>
              <w:rPr>
                <w:b/>
                <w:color w:val="000000"/>
                <w:szCs w:val="21"/>
              </w:rPr>
              <w:t>及产污节点图</w:t>
            </w:r>
          </w:p>
          <w:p>
            <w:pPr>
              <w:widowControl/>
              <w:numPr>
                <w:ilvl w:val="0"/>
                <w:numId w:val="0"/>
              </w:numPr>
              <w:spacing w:line="360" w:lineRule="auto"/>
              <w:jc w:val="left"/>
              <w:rPr>
                <w:color w:val="000000"/>
                <w:sz w:val="24"/>
              </w:rPr>
            </w:pPr>
            <w:r>
              <w:rPr>
                <w:rFonts w:hint="eastAsia"/>
                <w:b/>
                <w:bCs/>
                <w:color w:val="000000"/>
                <w:sz w:val="24"/>
                <w:lang w:val="en-US" w:eastAsia="zh-CN"/>
              </w:rPr>
              <w:t>2.</w:t>
            </w:r>
            <w:r>
              <w:rPr>
                <w:b/>
                <w:bCs/>
                <w:color w:val="000000"/>
                <w:sz w:val="24"/>
              </w:rPr>
              <w:t>施工时序</w:t>
            </w:r>
            <w:r>
              <w:rPr>
                <w:bCs/>
                <w:color w:val="000000"/>
                <w:sz w:val="24"/>
              </w:rPr>
              <w:t xml:space="preserve"> </w:t>
            </w:r>
          </w:p>
          <w:p>
            <w:pPr>
              <w:widowControl/>
              <w:spacing w:line="360" w:lineRule="auto"/>
              <w:ind w:firstLine="480" w:firstLineChars="200"/>
              <w:jc w:val="left"/>
              <w:rPr>
                <w:bCs/>
                <w:color w:val="000000"/>
                <w:sz w:val="24"/>
              </w:rPr>
            </w:pPr>
            <w:r>
              <w:rPr>
                <w:bCs/>
                <w:color w:val="000000"/>
                <w:sz w:val="24"/>
              </w:rPr>
              <w:t>本项目从开始到建成投产的周期约为</w:t>
            </w:r>
            <w:r>
              <w:rPr>
                <w:rFonts w:hint="eastAsia"/>
                <w:bCs/>
                <w:color w:val="000000"/>
                <w:sz w:val="24"/>
                <w:lang w:val="en-US" w:eastAsia="zh-CN"/>
              </w:rPr>
              <w:t>5</w:t>
            </w:r>
            <w:r>
              <w:rPr>
                <w:bCs/>
                <w:color w:val="000000"/>
                <w:sz w:val="24"/>
              </w:rPr>
              <w:t>个月，在实施过程中可根据建设状况、资金状况等进行调整。</w:t>
            </w:r>
          </w:p>
          <w:p>
            <w:pPr>
              <w:widowControl/>
              <w:spacing w:line="360" w:lineRule="auto"/>
              <w:ind w:firstLine="480" w:firstLineChars="200"/>
              <w:jc w:val="left"/>
              <w:rPr>
                <w:rFonts w:hint="default" w:eastAsia="宋体"/>
                <w:bCs/>
                <w:color w:val="000000"/>
                <w:sz w:val="24"/>
                <w:lang w:val="en-US" w:eastAsia="zh-CN"/>
              </w:rPr>
            </w:pPr>
            <w:r>
              <w:rPr>
                <w:rFonts w:hint="eastAsia"/>
                <w:bCs/>
                <w:color w:val="000000"/>
                <w:sz w:val="24"/>
                <w:lang w:val="en-US" w:eastAsia="zh-CN"/>
              </w:rPr>
              <w:t>第一阶段（淘汰工艺拆除阶段）：1个月，将原项目无利用价值的建筑物进行拆除；</w:t>
            </w:r>
          </w:p>
          <w:p>
            <w:pPr>
              <w:widowControl/>
              <w:spacing w:line="360" w:lineRule="auto"/>
              <w:ind w:firstLine="480" w:firstLineChars="200"/>
              <w:jc w:val="left"/>
              <w:rPr>
                <w:bCs/>
                <w:color w:val="000000"/>
                <w:sz w:val="24"/>
              </w:rPr>
            </w:pPr>
            <w:r>
              <w:rPr>
                <w:bCs/>
                <w:color w:val="000000"/>
                <w:sz w:val="24"/>
              </w:rPr>
              <w:t>第</w:t>
            </w:r>
            <w:r>
              <w:rPr>
                <w:rFonts w:hint="eastAsia"/>
                <w:bCs/>
                <w:color w:val="000000"/>
                <w:sz w:val="24"/>
                <w:lang w:val="en-US" w:eastAsia="zh-CN"/>
              </w:rPr>
              <w:t>二</w:t>
            </w:r>
            <w:r>
              <w:rPr>
                <w:bCs/>
                <w:color w:val="000000"/>
                <w:sz w:val="24"/>
              </w:rPr>
              <w:t>阶段（准备阶段）</w:t>
            </w:r>
            <w:r>
              <w:rPr>
                <w:rFonts w:hint="eastAsia"/>
                <w:bCs/>
                <w:color w:val="000000"/>
                <w:sz w:val="24"/>
                <w:lang w:val="en-US" w:eastAsia="zh-CN"/>
              </w:rPr>
              <w:t>1</w:t>
            </w:r>
            <w:r>
              <w:rPr>
                <w:bCs/>
                <w:color w:val="000000"/>
                <w:sz w:val="24"/>
              </w:rPr>
              <w:t>个月，完成项目立项、开发利用方案编制审批及各项手续审批等开工前的各种准备工作；</w:t>
            </w:r>
          </w:p>
          <w:p>
            <w:pPr>
              <w:widowControl/>
              <w:spacing w:line="360" w:lineRule="auto"/>
              <w:ind w:firstLine="480" w:firstLineChars="200"/>
              <w:jc w:val="left"/>
              <w:rPr>
                <w:bCs/>
                <w:color w:val="000000"/>
                <w:sz w:val="24"/>
              </w:rPr>
            </w:pPr>
            <w:r>
              <w:rPr>
                <w:bCs/>
                <w:color w:val="000000"/>
                <w:sz w:val="24"/>
              </w:rPr>
              <w:t>第</w:t>
            </w:r>
            <w:r>
              <w:rPr>
                <w:rFonts w:hint="eastAsia"/>
                <w:bCs/>
                <w:color w:val="000000"/>
                <w:sz w:val="24"/>
                <w:lang w:val="en-US" w:eastAsia="zh-CN"/>
              </w:rPr>
              <w:t>三</w:t>
            </w:r>
            <w:r>
              <w:rPr>
                <w:bCs/>
                <w:color w:val="000000"/>
                <w:sz w:val="24"/>
              </w:rPr>
              <w:t>阶段（建设阶段）：</w:t>
            </w:r>
            <w:r>
              <w:rPr>
                <w:rFonts w:hint="eastAsia"/>
                <w:bCs/>
                <w:color w:val="000000"/>
                <w:sz w:val="24"/>
                <w:lang w:val="en-US" w:eastAsia="zh-CN"/>
              </w:rPr>
              <w:t>2</w:t>
            </w:r>
            <w:r>
              <w:rPr>
                <w:bCs/>
                <w:color w:val="000000"/>
                <w:sz w:val="24"/>
              </w:rPr>
              <w:t xml:space="preserve">个月，完成采土场准备工程，砖厂生产厂区全部主体建筑工程及配套设施建设、设备选型、采购和安装； </w:t>
            </w:r>
          </w:p>
          <w:p>
            <w:pPr>
              <w:widowControl/>
              <w:spacing w:line="360" w:lineRule="auto"/>
              <w:ind w:firstLine="480" w:firstLineChars="200"/>
              <w:jc w:val="left"/>
              <w:rPr>
                <w:bCs/>
                <w:color w:val="000000"/>
                <w:sz w:val="24"/>
              </w:rPr>
            </w:pPr>
            <w:r>
              <w:rPr>
                <w:bCs/>
                <w:color w:val="000000"/>
                <w:sz w:val="24"/>
              </w:rPr>
              <w:t>第</w:t>
            </w:r>
            <w:r>
              <w:rPr>
                <w:rFonts w:hint="eastAsia"/>
                <w:bCs/>
                <w:color w:val="000000"/>
                <w:sz w:val="24"/>
                <w:lang w:val="en-US" w:eastAsia="zh-CN"/>
              </w:rPr>
              <w:t>四</w:t>
            </w:r>
            <w:r>
              <w:rPr>
                <w:bCs/>
                <w:color w:val="000000"/>
                <w:sz w:val="24"/>
              </w:rPr>
              <w:t>阶段（交付使用阶段）：</w:t>
            </w:r>
            <w:r>
              <w:rPr>
                <w:rFonts w:hint="eastAsia"/>
                <w:bCs/>
                <w:color w:val="000000"/>
                <w:sz w:val="24"/>
                <w:lang w:val="en-US" w:eastAsia="zh-CN"/>
              </w:rPr>
              <w:t>1</w:t>
            </w:r>
            <w:r>
              <w:rPr>
                <w:bCs/>
                <w:color w:val="000000"/>
                <w:sz w:val="24"/>
              </w:rPr>
              <w:t>个月，完成项目竣工验收、试运转、交付使用。</w:t>
            </w:r>
          </w:p>
          <w:p>
            <w:pPr>
              <w:widowControl/>
              <w:spacing w:line="360" w:lineRule="auto"/>
              <w:jc w:val="left"/>
              <w:rPr>
                <w:b/>
                <w:bCs/>
                <w:color w:val="000000"/>
                <w:sz w:val="24"/>
              </w:rPr>
            </w:pPr>
            <w:r>
              <w:rPr>
                <w:b/>
                <w:bCs/>
                <w:color w:val="000000"/>
                <w:sz w:val="24"/>
              </w:rPr>
              <w:t>3</w:t>
            </w:r>
            <w:r>
              <w:rPr>
                <w:rFonts w:hint="eastAsia"/>
                <w:b/>
                <w:bCs/>
                <w:color w:val="000000"/>
                <w:sz w:val="24"/>
                <w:lang w:val="en-US" w:eastAsia="zh-CN"/>
              </w:rPr>
              <w:t>.</w:t>
            </w:r>
            <w:r>
              <w:rPr>
                <w:b/>
                <w:bCs/>
                <w:color w:val="000000"/>
                <w:sz w:val="24"/>
              </w:rPr>
              <w:t>施工工期</w:t>
            </w:r>
          </w:p>
          <w:p>
            <w:pPr>
              <w:pStyle w:val="60"/>
              <w:ind w:firstLine="420"/>
              <w:rPr>
                <w:rFonts w:hint="eastAsia"/>
                <w:color w:val="auto"/>
                <w:sz w:val="24"/>
                <w:szCs w:val="24"/>
                <w:lang w:val="en-US" w:eastAsia="zh-CN"/>
              </w:rPr>
            </w:pPr>
            <w:r>
              <w:rPr>
                <w:bCs/>
                <w:color w:val="000000"/>
                <w:sz w:val="24"/>
              </w:rPr>
              <w:t>本项目施工期约</w:t>
            </w:r>
            <w:r>
              <w:rPr>
                <w:rFonts w:hint="eastAsia"/>
                <w:bCs/>
                <w:color w:val="000000"/>
                <w:sz w:val="24"/>
                <w:lang w:val="en-US" w:eastAsia="zh-CN"/>
              </w:rPr>
              <w:t>5</w:t>
            </w:r>
            <w:r>
              <w:rPr>
                <w:bCs/>
                <w:color w:val="000000"/>
                <w:sz w:val="24"/>
              </w:rPr>
              <w:t>个月，时间为每天8h，采取</w:t>
            </w:r>
            <w:r>
              <w:rPr>
                <w:rFonts w:hint="eastAsia"/>
                <w:bCs/>
                <w:color w:val="000000"/>
                <w:sz w:val="24"/>
                <w:lang w:val="en-US" w:eastAsia="zh-CN"/>
              </w:rPr>
              <w:t>机械为主人工为辅的</w:t>
            </w:r>
            <w:r>
              <w:rPr>
                <w:bCs/>
                <w:color w:val="000000"/>
                <w:sz w:val="24"/>
              </w:rPr>
              <w:t>施工方式</w:t>
            </w:r>
            <w:r>
              <w:rPr>
                <w:color w:val="000000"/>
              </w:rPr>
              <w:t>。</w:t>
            </w:r>
          </w:p>
        </w:tc>
      </w:tr>
    </w:tbl>
    <w:p>
      <w:pPr>
        <w:pStyle w:val="24"/>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hint="default" w:ascii="Times New Roman" w:hAnsi="Times New Roman" w:eastAsia="宋体" w:cs="Times New Roman"/>
          <w:b/>
          <w:bCs/>
          <w:snapToGrid w:val="0"/>
          <w:color w:val="auto"/>
          <w:sz w:val="30"/>
          <w:szCs w:val="30"/>
        </w:rPr>
      </w:pPr>
      <w:r>
        <w:rPr>
          <w:rFonts w:hint="default" w:ascii="Times New Roman" w:hAnsi="Times New Roman" w:eastAsia="宋体" w:cs="Times New Roman"/>
          <w:b/>
          <w:bCs/>
          <w:snapToGrid w:val="0"/>
          <w:color w:val="auto"/>
          <w:sz w:val="30"/>
          <w:szCs w:val="30"/>
        </w:rPr>
        <w:t>三、生态环境现状、保护目标及评价标准</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2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0" w:type="dxa"/>
            <w:vAlign w:val="center"/>
          </w:tcPr>
          <w:p>
            <w:pPr>
              <w:adjustRightInd w:val="0"/>
              <w:snapToGrid w:val="0"/>
              <w:jc w:val="center"/>
              <w:rPr>
                <w:color w:val="auto"/>
                <w:kern w:val="0"/>
                <w:szCs w:val="21"/>
              </w:rPr>
            </w:pPr>
            <w:r>
              <w:rPr>
                <w:color w:val="auto"/>
                <w:kern w:val="0"/>
                <w:sz w:val="24"/>
                <w:szCs w:val="24"/>
              </w:rPr>
              <w:t>区域环境质量现状</w:t>
            </w:r>
          </w:p>
        </w:tc>
        <w:tc>
          <w:tcPr>
            <w:tcW w:w="8237" w:type="dxa"/>
          </w:tcPr>
          <w:p>
            <w:pPr>
              <w:pStyle w:val="60"/>
              <w:ind w:left="0" w:leftChars="0" w:firstLine="0" w:firstLineChars="0"/>
              <w:rPr>
                <w:rFonts w:hint="default"/>
                <w:b/>
                <w:bCs/>
                <w:color w:val="auto"/>
                <w:sz w:val="24"/>
                <w:szCs w:val="24"/>
                <w:lang w:val="en-US" w:eastAsia="zh-CN"/>
              </w:rPr>
            </w:pPr>
            <w:r>
              <w:rPr>
                <w:rFonts w:hint="eastAsia"/>
                <w:b/>
                <w:bCs/>
                <w:color w:val="auto"/>
                <w:sz w:val="24"/>
                <w:szCs w:val="24"/>
                <w:lang w:val="en-US" w:eastAsia="zh-CN"/>
              </w:rPr>
              <w:t>1.主体功能区划</w:t>
            </w:r>
          </w:p>
          <w:p>
            <w:pPr>
              <w:pStyle w:val="60"/>
              <w:ind w:left="0" w:leftChars="0" w:firstLine="480" w:firstLineChars="200"/>
              <w:rPr>
                <w:rFonts w:hint="eastAsia" w:eastAsia="宋体"/>
                <w:b/>
                <w:bCs/>
                <w:color w:val="auto"/>
                <w:sz w:val="24"/>
                <w:szCs w:val="24"/>
                <w:lang w:val="en-US" w:eastAsia="zh-CN"/>
              </w:rPr>
            </w:pPr>
            <w:r>
              <w:rPr>
                <w:color w:val="auto"/>
                <w:sz w:val="24"/>
                <w:szCs w:val="24"/>
              </w:rPr>
              <w:t>根据《甘肃省主体功能区规划》，本项目所在地</w:t>
            </w:r>
            <w:r>
              <w:rPr>
                <w:rFonts w:hint="eastAsia"/>
                <w:color w:val="auto"/>
                <w:sz w:val="24"/>
                <w:szCs w:val="24"/>
                <w:lang w:val="en-US" w:eastAsia="zh-CN"/>
              </w:rPr>
              <w:t>宁县</w:t>
            </w:r>
            <w:r>
              <w:rPr>
                <w:color w:val="auto"/>
                <w:sz w:val="24"/>
                <w:szCs w:val="24"/>
              </w:rPr>
              <w:t>位于甘肃省限制开发区-重点生态功能区范围里面陇东黄土高原丘陵沟壑水土保持生态功能区，项目属于基础设施建设，项目的建设符合甘肃省限制开发区的相关功能定位</w:t>
            </w:r>
            <w:r>
              <w:rPr>
                <w:rFonts w:hint="eastAsia"/>
                <w:color w:val="auto"/>
                <w:sz w:val="24"/>
                <w:szCs w:val="24"/>
                <w:lang w:eastAsia="zh-CN"/>
              </w:rPr>
              <w:t>。</w:t>
            </w:r>
          </w:p>
          <w:p>
            <w:pPr>
              <w:pStyle w:val="15"/>
              <w:spacing w:line="360" w:lineRule="auto"/>
              <w:rPr>
                <w:b/>
                <w:color w:val="000000"/>
                <w:sz w:val="24"/>
              </w:rPr>
            </w:pPr>
            <w:r>
              <w:rPr>
                <w:b/>
                <w:color w:val="000000"/>
                <w:sz w:val="24"/>
              </w:rPr>
              <w:t>2</w:t>
            </w:r>
            <w:r>
              <w:rPr>
                <w:rFonts w:hint="eastAsia"/>
                <w:b/>
                <w:color w:val="000000"/>
                <w:sz w:val="24"/>
                <w:lang w:val="en-US" w:eastAsia="zh-CN"/>
              </w:rPr>
              <w:t>.</w:t>
            </w:r>
            <w:r>
              <w:rPr>
                <w:b/>
                <w:color w:val="000000"/>
                <w:sz w:val="24"/>
              </w:rPr>
              <w:t>生态环境功能区划分</w:t>
            </w:r>
          </w:p>
          <w:p>
            <w:pPr>
              <w:spacing w:line="360" w:lineRule="auto"/>
              <w:ind w:firstLine="480" w:firstLineChars="200"/>
              <w:contextualSpacing/>
              <w:rPr>
                <w:color w:val="000000"/>
                <w:sz w:val="24"/>
              </w:rPr>
            </w:pPr>
            <w:r>
              <w:rPr>
                <w:color w:val="000000"/>
                <w:kern w:val="0"/>
                <w:sz w:val="24"/>
              </w:rPr>
              <w:t>（1）</w:t>
            </w:r>
            <w:r>
              <w:rPr>
                <w:color w:val="000000"/>
                <w:sz w:val="24"/>
              </w:rPr>
              <w:t>生态功能区划</w:t>
            </w:r>
          </w:p>
          <w:p>
            <w:pPr>
              <w:spacing w:line="360" w:lineRule="auto"/>
              <w:ind w:firstLine="480" w:firstLineChars="200"/>
              <w:contextualSpacing/>
              <w:rPr>
                <w:color w:val="000000"/>
                <w:sz w:val="24"/>
              </w:rPr>
            </w:pPr>
            <w:r>
              <w:rPr>
                <w:color w:val="000000"/>
                <w:sz w:val="24"/>
              </w:rPr>
              <w:t>根据《</w:t>
            </w:r>
            <w:r>
              <w:rPr>
                <w:color w:val="000000"/>
                <w:kern w:val="24"/>
                <w:sz w:val="24"/>
              </w:rPr>
              <w:t>甘肃省生态功能区划</w:t>
            </w:r>
            <w:r>
              <w:rPr>
                <w:color w:val="000000"/>
                <w:sz w:val="24"/>
              </w:rPr>
              <w:t>》本项目位于宁南-陇东黄土丘陵农业生态亚区中的黄土残塬旱作农业强烈水土流失生态功能区范围内。</w:t>
            </w:r>
          </w:p>
          <w:p>
            <w:pPr>
              <w:pStyle w:val="26"/>
              <w:snapToGrid/>
              <w:spacing w:before="0" w:after="0" w:line="360" w:lineRule="auto"/>
              <w:ind w:right="0" w:firstLine="480" w:firstLineChars="200"/>
              <w:rPr>
                <w:color w:val="000000"/>
                <w:sz w:val="24"/>
                <w:szCs w:val="24"/>
              </w:rPr>
            </w:pPr>
            <w:r>
              <w:rPr>
                <w:color w:val="000000"/>
                <w:sz w:val="24"/>
                <w:szCs w:val="24"/>
              </w:rPr>
              <w:t>根据《庆阳市生态功能区划图》，本项目位于宁县</w:t>
            </w:r>
            <w:r>
              <w:rPr>
                <w:rFonts w:hint="eastAsia"/>
                <w:color w:val="000000"/>
                <w:sz w:val="24"/>
                <w:szCs w:val="24"/>
                <w:lang w:val="en-US" w:eastAsia="zh-CN"/>
              </w:rPr>
              <w:t>中村镇秦店村</w:t>
            </w:r>
            <w:r>
              <w:rPr>
                <w:color w:val="000000"/>
                <w:sz w:val="24"/>
                <w:szCs w:val="24"/>
              </w:rPr>
              <w:t>，所处生态环境功能区为Ⅱ-2中南部生态工业集中发展亚区。</w:t>
            </w:r>
          </w:p>
          <w:p>
            <w:pPr>
              <w:pStyle w:val="26"/>
              <w:snapToGrid/>
              <w:spacing w:before="0" w:after="0" w:line="360" w:lineRule="auto"/>
              <w:ind w:right="0" w:firstLine="480" w:firstLineChars="200"/>
              <w:rPr>
                <w:color w:val="000000"/>
                <w:sz w:val="24"/>
                <w:szCs w:val="24"/>
              </w:rPr>
            </w:pPr>
            <w:r>
              <w:rPr>
                <w:bCs/>
                <w:color w:val="000000"/>
                <w:sz w:val="24"/>
                <w:szCs w:val="24"/>
              </w:rPr>
              <w:t>根据《关于划定省级水土流失重点预防区和重点治理区的公告》（甘政发〔2016〕59号），本项目所在地属于甘肃省水土流失重点治理区。</w:t>
            </w:r>
          </w:p>
          <w:p>
            <w:pPr>
              <w:pStyle w:val="26"/>
              <w:snapToGrid/>
              <w:spacing w:before="0" w:after="0" w:line="360" w:lineRule="auto"/>
              <w:ind w:right="0" w:firstLine="480" w:firstLineChars="200"/>
              <w:rPr>
                <w:color w:val="000000"/>
                <w:sz w:val="24"/>
                <w:szCs w:val="24"/>
              </w:rPr>
            </w:pPr>
            <w:r>
              <w:rPr>
                <w:color w:val="000000"/>
                <w:sz w:val="24"/>
                <w:szCs w:val="24"/>
              </w:rPr>
              <w:t>（2）大气</w:t>
            </w:r>
          </w:p>
          <w:p>
            <w:pPr>
              <w:spacing w:line="360" w:lineRule="auto"/>
              <w:ind w:firstLine="480" w:firstLineChars="200"/>
              <w:contextualSpacing/>
              <w:rPr>
                <w:color w:val="000000"/>
                <w:kern w:val="0"/>
                <w:sz w:val="24"/>
              </w:rPr>
            </w:pPr>
            <w:r>
              <w:rPr>
                <w:color w:val="000000"/>
                <w:kern w:val="0"/>
                <w:sz w:val="24"/>
              </w:rPr>
              <w:t>根据《关于印发&lt;庆阳地区环境空气质量功能区划分方案&gt;的通知》，庆阳市除</w:t>
            </w:r>
            <w:r>
              <w:rPr>
                <w:color w:val="000000"/>
                <w:sz w:val="24"/>
              </w:rPr>
              <w:t>子午岭林区执行一级标准外，其余区域全部</w:t>
            </w:r>
            <w:r>
              <w:rPr>
                <w:color w:val="000000"/>
                <w:kern w:val="0"/>
                <w:sz w:val="24"/>
              </w:rPr>
              <w:t>执行《环境空气质量标准》二级标准，本项目执行二级标准。</w:t>
            </w:r>
          </w:p>
          <w:p>
            <w:pPr>
              <w:pStyle w:val="26"/>
              <w:snapToGrid/>
              <w:spacing w:before="0" w:after="0" w:line="360" w:lineRule="auto"/>
              <w:ind w:right="0" w:firstLine="480" w:firstLineChars="200"/>
              <w:rPr>
                <w:color w:val="000000"/>
                <w:sz w:val="24"/>
                <w:szCs w:val="24"/>
              </w:rPr>
            </w:pPr>
            <w:r>
              <w:rPr>
                <w:color w:val="000000"/>
                <w:sz w:val="24"/>
                <w:szCs w:val="24"/>
              </w:rPr>
              <w:t>（3）地表水</w:t>
            </w:r>
          </w:p>
          <w:p>
            <w:pPr>
              <w:spacing w:line="360" w:lineRule="auto"/>
              <w:ind w:firstLine="480" w:firstLineChars="200"/>
              <w:contextualSpacing/>
              <w:rPr>
                <w:color w:val="000000"/>
                <w:sz w:val="24"/>
              </w:rPr>
            </w:pPr>
            <w:r>
              <w:rPr>
                <w:color w:val="000000"/>
                <w:sz w:val="24"/>
              </w:rPr>
              <w:t>根据《甘肃省地表水功能区划》（2012-2030年）的划分结果，本项目地表水执行</w:t>
            </w:r>
            <w:r>
              <w:rPr>
                <w:bCs/>
                <w:color w:val="000000"/>
                <w:sz w:val="24"/>
              </w:rPr>
              <w:t>《地表水环境质量标准》（GB3838-2002）</w:t>
            </w:r>
            <w:r>
              <w:rPr>
                <w:color w:val="000000"/>
                <w:sz w:val="24"/>
              </w:rPr>
              <w:fldChar w:fldCharType="begin"/>
            </w:r>
            <w:r>
              <w:rPr>
                <w:color w:val="000000"/>
                <w:sz w:val="24"/>
              </w:rPr>
              <w:instrText xml:space="preserve"> = 4 \* ROMAN \* MERGEFORMAT </w:instrText>
            </w:r>
            <w:r>
              <w:rPr>
                <w:color w:val="000000"/>
                <w:sz w:val="24"/>
              </w:rPr>
              <w:fldChar w:fldCharType="separate"/>
            </w:r>
            <w:r>
              <w:t>IV</w:t>
            </w:r>
            <w:r>
              <w:rPr>
                <w:color w:val="000000"/>
                <w:sz w:val="24"/>
              </w:rPr>
              <w:fldChar w:fldCharType="end"/>
            </w:r>
            <w:r>
              <w:rPr>
                <w:color w:val="000000"/>
                <w:sz w:val="24"/>
              </w:rPr>
              <w:t>类水质标准。</w:t>
            </w:r>
          </w:p>
          <w:p>
            <w:pPr>
              <w:spacing w:line="360" w:lineRule="auto"/>
              <w:ind w:firstLine="480" w:firstLineChars="200"/>
              <w:contextualSpacing/>
              <w:rPr>
                <w:color w:val="000000"/>
                <w:sz w:val="24"/>
              </w:rPr>
            </w:pPr>
            <w:r>
              <w:rPr>
                <w:color w:val="000000"/>
                <w:sz w:val="24"/>
              </w:rPr>
              <w:t>（4）地下水</w:t>
            </w:r>
          </w:p>
          <w:p>
            <w:pPr>
              <w:spacing w:line="360" w:lineRule="auto"/>
              <w:ind w:firstLine="480" w:firstLineChars="200"/>
              <w:contextualSpacing/>
              <w:rPr>
                <w:color w:val="000000"/>
                <w:sz w:val="24"/>
              </w:rPr>
            </w:pPr>
            <w:r>
              <w:rPr>
                <w:color w:val="000000"/>
                <w:sz w:val="24"/>
              </w:rPr>
              <w:t>根据《地下水质量标准》（GB/T14848-2017）中地下水分类，本项目地下水执行《地下水质量标准》中III类标准。</w:t>
            </w:r>
          </w:p>
          <w:p>
            <w:pPr>
              <w:spacing w:line="360" w:lineRule="auto"/>
              <w:ind w:firstLine="480" w:firstLineChars="200"/>
              <w:contextualSpacing/>
              <w:rPr>
                <w:color w:val="000000"/>
                <w:sz w:val="24"/>
              </w:rPr>
            </w:pPr>
            <w:r>
              <w:rPr>
                <w:color w:val="000000"/>
                <w:sz w:val="24"/>
              </w:rPr>
              <w:t>（5）声环境</w:t>
            </w:r>
          </w:p>
          <w:p>
            <w:pPr>
              <w:spacing w:line="360" w:lineRule="auto"/>
              <w:ind w:firstLine="480" w:firstLineChars="200"/>
              <w:contextualSpacing/>
              <w:rPr>
                <w:color w:val="000000"/>
                <w:sz w:val="24"/>
              </w:rPr>
            </w:pPr>
            <w:r>
              <w:rPr>
                <w:color w:val="000000"/>
                <w:sz w:val="24"/>
              </w:rPr>
              <w:t>本项目声环境执行《声环境质量标准》（GB3096-2008）2类区标准。</w:t>
            </w:r>
          </w:p>
          <w:p>
            <w:pPr>
              <w:pStyle w:val="15"/>
              <w:spacing w:line="360" w:lineRule="auto"/>
              <w:rPr>
                <w:b/>
                <w:color w:val="auto"/>
                <w:sz w:val="24"/>
              </w:rPr>
            </w:pPr>
            <w:r>
              <w:rPr>
                <w:b/>
                <w:color w:val="000000"/>
                <w:sz w:val="24"/>
              </w:rPr>
              <w:t>3</w:t>
            </w:r>
            <w:r>
              <w:rPr>
                <w:rFonts w:hint="eastAsia"/>
                <w:b/>
                <w:color w:val="000000"/>
                <w:sz w:val="24"/>
                <w:lang w:val="en-US" w:eastAsia="zh-CN"/>
              </w:rPr>
              <w:t>.</w:t>
            </w:r>
            <w:r>
              <w:rPr>
                <w:b/>
                <w:color w:val="auto"/>
                <w:sz w:val="24"/>
              </w:rPr>
              <w:t>生态现状</w:t>
            </w:r>
          </w:p>
          <w:p>
            <w:pPr>
              <w:pStyle w:val="15"/>
              <w:spacing w:line="360" w:lineRule="auto"/>
              <w:ind w:firstLine="480" w:firstLineChars="200"/>
              <w:rPr>
                <w:b w:val="0"/>
                <w:bCs w:val="0"/>
                <w:color w:val="auto"/>
                <w:sz w:val="24"/>
              </w:rPr>
            </w:pPr>
            <w:r>
              <w:rPr>
                <w:b w:val="0"/>
                <w:bCs w:val="0"/>
                <w:color w:val="auto"/>
                <w:sz w:val="24"/>
              </w:rPr>
              <w:t>（1）土地利用类型</w:t>
            </w:r>
          </w:p>
          <w:p>
            <w:pPr>
              <w:pStyle w:val="74"/>
              <w:ind w:firstLine="480"/>
              <w:rPr>
                <w:rFonts w:hint="eastAsia" w:eastAsia="宋体"/>
                <w:bCs w:val="0"/>
                <w:color w:val="auto"/>
                <w:szCs w:val="24"/>
                <w:lang w:val="en-US" w:eastAsia="zh-CN"/>
              </w:rPr>
            </w:pPr>
            <w:r>
              <w:rPr>
                <w:bCs w:val="0"/>
                <w:color w:val="auto"/>
                <w:szCs w:val="24"/>
                <w:lang w:val="en-US"/>
              </w:rPr>
              <w:t>根据调查结果，项目区</w:t>
            </w:r>
            <w:r>
              <w:rPr>
                <w:rFonts w:hint="eastAsia"/>
                <w:bCs w:val="0"/>
                <w:color w:val="auto"/>
                <w:szCs w:val="24"/>
                <w:lang w:val="en-US" w:eastAsia="zh-CN"/>
              </w:rPr>
              <w:t>土地类型现状为采矿及建设用地，土壤</w:t>
            </w:r>
            <w:r>
              <w:rPr>
                <w:bCs w:val="0"/>
                <w:color w:val="auto"/>
                <w:szCs w:val="24"/>
                <w:lang w:val="en-US"/>
              </w:rPr>
              <w:t>类型主要为</w:t>
            </w:r>
            <w:r>
              <w:rPr>
                <w:rFonts w:hint="eastAsia"/>
                <w:bCs w:val="0"/>
                <w:color w:val="auto"/>
                <w:szCs w:val="24"/>
                <w:lang w:val="en-US"/>
              </w:rPr>
              <w:t>黄褐土</w:t>
            </w:r>
            <w:r>
              <w:rPr>
                <w:bCs w:val="0"/>
                <w:color w:val="auto"/>
                <w:szCs w:val="24"/>
                <w:lang w:val="en-US"/>
              </w:rPr>
              <w:t>，土壤呈黄褐色</w:t>
            </w:r>
            <w:r>
              <w:rPr>
                <w:rFonts w:hint="eastAsia"/>
                <w:bCs w:val="0"/>
                <w:color w:val="auto"/>
                <w:szCs w:val="24"/>
                <w:lang w:val="en-US" w:eastAsia="zh-CN"/>
              </w:rPr>
              <w:t>及</w:t>
            </w:r>
            <w:r>
              <w:rPr>
                <w:bCs w:val="0"/>
                <w:color w:val="auto"/>
                <w:szCs w:val="24"/>
                <w:lang w:val="en-US"/>
              </w:rPr>
              <w:t>黄棕色，质地粘重（粘壤土至粘土），土层紧实，尤以心底土中的粘粒聚积明显，并有铁锰胶膜和结核淀积。结合《环境影响平技术导则 土壤环境》附录D，本项目区域的土壤盐化分级结果为轻度盐化，土壤酸化、碱化强度分级结果多为无酸化或碱化</w:t>
            </w:r>
            <w:r>
              <w:rPr>
                <w:rFonts w:hint="eastAsia"/>
                <w:bCs w:val="0"/>
                <w:color w:val="auto"/>
                <w:szCs w:val="24"/>
                <w:lang w:val="en-US" w:eastAsia="zh-CN"/>
              </w:rPr>
              <w:t>。</w:t>
            </w:r>
          </w:p>
          <w:p>
            <w:pPr>
              <w:pStyle w:val="74"/>
              <w:ind w:firstLine="480"/>
              <w:rPr>
                <w:color w:val="auto"/>
                <w:szCs w:val="24"/>
                <w:lang w:val="en-US"/>
              </w:rPr>
            </w:pPr>
            <w:r>
              <w:rPr>
                <w:color w:val="auto"/>
                <w:szCs w:val="24"/>
                <w:lang w:val="en-US"/>
              </w:rPr>
              <w:t>根据现场勘查，项目所在区域地质条件：本项目属陇东黄土高原地貌，植被发育良好。受地质构造控制区内沟壑纵横发育、梁峁规律分布、河谷平坦宽阔，水系纵横交叉，侵蚀与堆积相辅相成。山区海拔一般约1130～1350m，相对高差约100～220m左右。按地貌形态成因不同，可划分为两个地貌单元，黄土低山丘陵区地貌：工程区内沟谷密布，沟坡陡立，与河谷边垂直，Ⅲ级阶地以及各地貌由于地形连绵起伏，冲沟、黄土塬、梁、峁等黄土地貌形态交错分布，沟谷坡段常显黄土陷穴、落水洞等黄土地貌景观。土地利用现状见附图。</w:t>
            </w:r>
          </w:p>
          <w:p>
            <w:pPr>
              <w:spacing w:line="360" w:lineRule="auto"/>
              <w:contextualSpacing/>
              <w:jc w:val="left"/>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3.2水土流失现状</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本项目属西北黄土高原区，</w:t>
            </w:r>
            <w:r>
              <w:rPr>
                <w:rFonts w:hint="eastAsia" w:cs="Times New Roman"/>
                <w:color w:val="auto"/>
                <w:kern w:val="0"/>
                <w:sz w:val="24"/>
                <w:szCs w:val="24"/>
                <w:lang w:val="en-US" w:eastAsia="zh-CN" w:bidi="ar"/>
              </w:rPr>
              <w:t>根据本企业委托甘肃成君成环保科技有限公司编制的水土保持方案报告表可知，</w:t>
            </w:r>
            <w:r>
              <w:rPr>
                <w:rFonts w:hint="default" w:ascii="Times New Roman" w:hAnsi="Times New Roman" w:eastAsia="宋体" w:cs="Times New Roman"/>
                <w:color w:val="auto"/>
                <w:kern w:val="0"/>
                <w:sz w:val="24"/>
                <w:szCs w:val="24"/>
                <w:lang w:val="en-US" w:eastAsia="zh-CN" w:bidi="ar"/>
              </w:rPr>
              <w:t>土壤侵蚀的类型主要为水力侵蚀。根据《土壤侵蚀分类分级标准》（SL190-2015），确定本项目区允许土壤侵蚀模数为1000t/km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b/>
                <w:bCs/>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a；根据《庆阳市土壤侵蚀模数等值线图》查算，同时参考同区域已建同类已批建并实施项目水土流失监测结果确定本项目现状侵蚀模数背景值为3400t/km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p>
          <w:p>
            <w:pPr>
              <w:spacing w:line="360" w:lineRule="auto"/>
              <w:contextualSpacing/>
              <w:jc w:val="left"/>
              <w:rPr>
                <w:rFonts w:hint="default" w:eastAsia="宋体"/>
                <w:b/>
                <w:bCs/>
                <w:color w:val="auto"/>
                <w:sz w:val="24"/>
                <w:lang w:val="en-US" w:eastAsia="zh-CN"/>
              </w:rPr>
            </w:pPr>
            <w:r>
              <w:rPr>
                <w:rFonts w:hint="eastAsia"/>
                <w:b/>
                <w:bCs/>
                <w:color w:val="auto"/>
                <w:sz w:val="24"/>
                <w:lang w:val="en-US" w:eastAsia="zh-CN"/>
              </w:rPr>
              <w:t>3.3生态系统类型</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bCs/>
                <w:color w:val="auto"/>
                <w:sz w:val="24"/>
              </w:rPr>
            </w:pPr>
            <w:r>
              <w:rPr>
                <w:bCs/>
                <w:color w:val="auto"/>
                <w:sz w:val="24"/>
              </w:rPr>
              <w:t>根据实地调查，项目评价区共涉及</w:t>
            </w:r>
            <w:r>
              <w:rPr>
                <w:rFonts w:hint="eastAsia"/>
                <w:bCs/>
                <w:color w:val="auto"/>
                <w:sz w:val="24"/>
                <w:lang w:val="en-US" w:eastAsia="zh-CN"/>
              </w:rPr>
              <w:t>3</w:t>
            </w:r>
            <w:r>
              <w:rPr>
                <w:bCs/>
                <w:color w:val="auto"/>
                <w:sz w:val="24"/>
              </w:rPr>
              <w:t>种生态系统类型。</w:t>
            </w:r>
            <w:r>
              <w:rPr>
                <w:rFonts w:hint="eastAsia"/>
                <w:bCs/>
                <w:color w:val="auto"/>
                <w:sz w:val="24"/>
                <w:lang w:val="en-US" w:eastAsia="zh-CN"/>
              </w:rPr>
              <w:t>主要为</w:t>
            </w:r>
            <w:r>
              <w:rPr>
                <w:bCs/>
                <w:color w:val="auto"/>
                <w:sz w:val="24"/>
              </w:rPr>
              <w:t>农田生态系统</w:t>
            </w:r>
            <w:r>
              <w:rPr>
                <w:rFonts w:hint="eastAsia"/>
                <w:bCs/>
                <w:color w:val="auto"/>
                <w:sz w:val="24"/>
                <w:lang w:val="en-US" w:eastAsia="zh-CN"/>
              </w:rPr>
              <w:t>及</w:t>
            </w:r>
            <w:r>
              <w:rPr>
                <w:bCs/>
                <w:color w:val="auto"/>
                <w:sz w:val="24"/>
              </w:rPr>
              <w:t>草地生态系统，分布广，面积大。各个生态系统的组成及分布见表3-1。</w:t>
            </w:r>
          </w:p>
          <w:p>
            <w:pPr>
              <w:snapToGrid w:val="0"/>
              <w:spacing w:before="120" w:beforeLines="50"/>
              <w:jc w:val="center"/>
              <w:rPr>
                <w:b/>
                <w:color w:val="auto"/>
                <w:szCs w:val="21"/>
              </w:rPr>
            </w:pPr>
            <w:r>
              <w:rPr>
                <w:b/>
                <w:color w:val="auto"/>
              </w:rPr>
              <w:t>表3-1     评价区生态系统类型及特征</w:t>
            </w:r>
          </w:p>
          <w:tbl>
            <w:tblPr>
              <w:tblStyle w:val="28"/>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3"/>
              <w:gridCol w:w="3261"/>
              <w:gridCol w:w="250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 w:type="pct"/>
                  <w:tcBorders>
                    <w:tl2br w:val="nil"/>
                    <w:tr2bl w:val="nil"/>
                  </w:tcBorders>
                  <w:noWrap w:val="0"/>
                  <w:vAlign w:val="center"/>
                </w:tcPr>
                <w:p>
                  <w:pPr>
                    <w:snapToGrid w:val="0"/>
                    <w:jc w:val="center"/>
                    <w:rPr>
                      <w:color w:val="auto"/>
                      <w:kern w:val="0"/>
                      <w:szCs w:val="21"/>
                    </w:rPr>
                  </w:pPr>
                  <w:r>
                    <w:rPr>
                      <w:color w:val="auto"/>
                      <w:kern w:val="0"/>
                      <w:szCs w:val="21"/>
                    </w:rPr>
                    <w:t>序号</w:t>
                  </w:r>
                </w:p>
              </w:tc>
              <w:tc>
                <w:tcPr>
                  <w:tcW w:w="976" w:type="pct"/>
                  <w:tcBorders>
                    <w:tl2br w:val="nil"/>
                    <w:tr2bl w:val="nil"/>
                  </w:tcBorders>
                  <w:noWrap w:val="0"/>
                  <w:vAlign w:val="center"/>
                </w:tcPr>
                <w:p>
                  <w:pPr>
                    <w:snapToGrid w:val="0"/>
                    <w:jc w:val="center"/>
                    <w:rPr>
                      <w:color w:val="auto"/>
                      <w:kern w:val="0"/>
                      <w:szCs w:val="21"/>
                    </w:rPr>
                  </w:pPr>
                  <w:r>
                    <w:rPr>
                      <w:color w:val="auto"/>
                      <w:kern w:val="0"/>
                      <w:szCs w:val="21"/>
                    </w:rPr>
                    <w:t>生态系统类型</w:t>
                  </w:r>
                </w:p>
              </w:tc>
              <w:tc>
                <w:tcPr>
                  <w:tcW w:w="2037" w:type="pct"/>
                  <w:tcBorders>
                    <w:tl2br w:val="nil"/>
                    <w:tr2bl w:val="nil"/>
                  </w:tcBorders>
                  <w:noWrap w:val="0"/>
                  <w:vAlign w:val="center"/>
                </w:tcPr>
                <w:p>
                  <w:pPr>
                    <w:snapToGrid w:val="0"/>
                    <w:jc w:val="center"/>
                    <w:rPr>
                      <w:color w:val="auto"/>
                      <w:kern w:val="0"/>
                      <w:szCs w:val="21"/>
                    </w:rPr>
                  </w:pPr>
                  <w:r>
                    <w:rPr>
                      <w:color w:val="auto"/>
                      <w:kern w:val="0"/>
                      <w:szCs w:val="21"/>
                    </w:rPr>
                    <w:t>主要物种</w:t>
                  </w:r>
                </w:p>
              </w:tc>
              <w:tc>
                <w:tcPr>
                  <w:tcW w:w="1563" w:type="pct"/>
                  <w:tcBorders>
                    <w:tl2br w:val="nil"/>
                    <w:tr2bl w:val="nil"/>
                  </w:tcBorders>
                  <w:noWrap w:val="0"/>
                  <w:vAlign w:val="center"/>
                </w:tcPr>
                <w:p>
                  <w:pPr>
                    <w:snapToGrid w:val="0"/>
                    <w:jc w:val="center"/>
                    <w:rPr>
                      <w:color w:val="auto"/>
                      <w:kern w:val="0"/>
                      <w:szCs w:val="21"/>
                    </w:rPr>
                  </w:pPr>
                  <w:r>
                    <w:rPr>
                      <w:color w:val="auto"/>
                      <w:kern w:val="0"/>
                      <w:szCs w:val="21"/>
                    </w:rPr>
                    <w:t>分布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 w:type="pct"/>
                  <w:tcBorders>
                    <w:tl2br w:val="nil"/>
                    <w:tr2bl w:val="nil"/>
                  </w:tcBorders>
                  <w:noWrap w:val="0"/>
                  <w:vAlign w:val="center"/>
                </w:tcPr>
                <w:p>
                  <w:pPr>
                    <w:snapToGrid w:val="0"/>
                    <w:jc w:val="center"/>
                    <w:rPr>
                      <w:color w:val="auto"/>
                      <w:kern w:val="0"/>
                      <w:szCs w:val="21"/>
                    </w:rPr>
                  </w:pPr>
                  <w:r>
                    <w:rPr>
                      <w:color w:val="auto"/>
                      <w:kern w:val="0"/>
                      <w:szCs w:val="21"/>
                    </w:rPr>
                    <w:t>1</w:t>
                  </w:r>
                </w:p>
              </w:tc>
              <w:tc>
                <w:tcPr>
                  <w:tcW w:w="976" w:type="pct"/>
                  <w:tcBorders>
                    <w:tl2br w:val="nil"/>
                    <w:tr2bl w:val="nil"/>
                  </w:tcBorders>
                  <w:noWrap w:val="0"/>
                  <w:vAlign w:val="center"/>
                </w:tcPr>
                <w:p>
                  <w:pPr>
                    <w:snapToGrid w:val="0"/>
                    <w:jc w:val="center"/>
                    <w:rPr>
                      <w:color w:val="auto"/>
                      <w:kern w:val="0"/>
                      <w:szCs w:val="21"/>
                    </w:rPr>
                  </w:pPr>
                  <w:r>
                    <w:rPr>
                      <w:color w:val="auto"/>
                      <w:kern w:val="0"/>
                      <w:szCs w:val="21"/>
                    </w:rPr>
                    <w:t>农田生态系统</w:t>
                  </w:r>
                </w:p>
              </w:tc>
              <w:tc>
                <w:tcPr>
                  <w:tcW w:w="2037" w:type="pct"/>
                  <w:tcBorders>
                    <w:tl2br w:val="nil"/>
                    <w:tr2bl w:val="nil"/>
                  </w:tcBorders>
                  <w:noWrap w:val="0"/>
                  <w:vAlign w:val="center"/>
                </w:tcPr>
                <w:p>
                  <w:pPr>
                    <w:snapToGrid w:val="0"/>
                    <w:jc w:val="center"/>
                    <w:rPr>
                      <w:color w:val="auto"/>
                      <w:kern w:val="0"/>
                      <w:szCs w:val="21"/>
                    </w:rPr>
                  </w:pPr>
                  <w:r>
                    <w:rPr>
                      <w:color w:val="auto"/>
                      <w:kern w:val="0"/>
                      <w:szCs w:val="21"/>
                    </w:rPr>
                    <w:t>农作物有玉米、豆类、谷类、薯类等</w:t>
                  </w:r>
                </w:p>
              </w:tc>
              <w:tc>
                <w:tcPr>
                  <w:tcW w:w="1563" w:type="pct"/>
                  <w:tcBorders>
                    <w:tl2br w:val="nil"/>
                    <w:tr2bl w:val="nil"/>
                  </w:tcBorders>
                  <w:noWrap w:val="0"/>
                  <w:vAlign w:val="center"/>
                </w:tcPr>
                <w:p>
                  <w:pPr>
                    <w:snapToGrid w:val="0"/>
                    <w:jc w:val="center"/>
                    <w:rPr>
                      <w:color w:val="auto"/>
                      <w:kern w:val="0"/>
                      <w:szCs w:val="21"/>
                    </w:rPr>
                  </w:pPr>
                  <w:r>
                    <w:rPr>
                      <w:color w:val="auto"/>
                      <w:kern w:val="0"/>
                      <w:szCs w:val="21"/>
                    </w:rPr>
                    <w:t>呈带状或斑块状分布于评价区内台塬</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 w:type="pct"/>
                  <w:tcBorders>
                    <w:tl2br w:val="nil"/>
                    <w:tr2bl w:val="nil"/>
                  </w:tcBorders>
                  <w:noWrap w:val="0"/>
                  <w:vAlign w:val="center"/>
                </w:tcPr>
                <w:p>
                  <w:pPr>
                    <w:snapToGrid w:val="0"/>
                    <w:jc w:val="center"/>
                    <w:rPr>
                      <w:color w:val="auto"/>
                      <w:kern w:val="0"/>
                      <w:szCs w:val="21"/>
                    </w:rPr>
                  </w:pPr>
                  <w:r>
                    <w:rPr>
                      <w:color w:val="auto"/>
                      <w:kern w:val="0"/>
                      <w:szCs w:val="21"/>
                    </w:rPr>
                    <w:t>2</w:t>
                  </w:r>
                </w:p>
              </w:tc>
              <w:tc>
                <w:tcPr>
                  <w:tcW w:w="976" w:type="pct"/>
                  <w:tcBorders>
                    <w:tl2br w:val="nil"/>
                    <w:tr2bl w:val="nil"/>
                  </w:tcBorders>
                  <w:noWrap w:val="0"/>
                  <w:vAlign w:val="center"/>
                </w:tcPr>
                <w:p>
                  <w:pPr>
                    <w:snapToGrid w:val="0"/>
                    <w:jc w:val="center"/>
                    <w:rPr>
                      <w:color w:val="auto"/>
                      <w:kern w:val="0"/>
                      <w:szCs w:val="21"/>
                    </w:rPr>
                  </w:pPr>
                  <w:r>
                    <w:rPr>
                      <w:color w:val="auto"/>
                      <w:kern w:val="0"/>
                      <w:szCs w:val="21"/>
                    </w:rPr>
                    <w:t>草地生态系统</w:t>
                  </w:r>
                </w:p>
              </w:tc>
              <w:tc>
                <w:tcPr>
                  <w:tcW w:w="2037" w:type="pct"/>
                  <w:tcBorders>
                    <w:tl2br w:val="nil"/>
                    <w:tr2bl w:val="nil"/>
                  </w:tcBorders>
                  <w:noWrap w:val="0"/>
                  <w:vAlign w:val="top"/>
                </w:tcPr>
                <w:p>
                  <w:pPr>
                    <w:snapToGrid w:val="0"/>
                    <w:jc w:val="center"/>
                    <w:rPr>
                      <w:color w:val="auto"/>
                      <w:kern w:val="0"/>
                      <w:szCs w:val="21"/>
                    </w:rPr>
                  </w:pPr>
                  <w:r>
                    <w:rPr>
                      <w:color w:val="auto"/>
                      <w:kern w:val="0"/>
                      <w:szCs w:val="21"/>
                    </w:rPr>
                    <w:t>草本植物主要有白羊草、大油芒、针茅、狗尾草、铁杆蒿等</w:t>
                  </w:r>
                </w:p>
              </w:tc>
              <w:tc>
                <w:tcPr>
                  <w:tcW w:w="1563" w:type="pct"/>
                  <w:tcBorders>
                    <w:tl2br w:val="nil"/>
                    <w:tr2bl w:val="nil"/>
                  </w:tcBorders>
                  <w:noWrap w:val="0"/>
                  <w:vAlign w:val="top"/>
                </w:tcPr>
                <w:p>
                  <w:pPr>
                    <w:snapToGrid w:val="0"/>
                    <w:jc w:val="center"/>
                    <w:rPr>
                      <w:color w:val="auto"/>
                      <w:kern w:val="0"/>
                      <w:szCs w:val="21"/>
                    </w:rPr>
                  </w:pPr>
                  <w:r>
                    <w:rPr>
                      <w:color w:val="auto"/>
                      <w:kern w:val="0"/>
                      <w:szCs w:val="21"/>
                    </w:rPr>
                    <w:t>呈片状分布于评价区内的荒坡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 w:type="pct"/>
                  <w:tcBorders>
                    <w:tl2br w:val="nil"/>
                    <w:tr2bl w:val="nil"/>
                  </w:tcBorders>
                  <w:noWrap w:val="0"/>
                  <w:vAlign w:val="center"/>
                </w:tcPr>
                <w:p>
                  <w:pPr>
                    <w:snapToGrid w:val="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w:t>
                  </w:r>
                </w:p>
              </w:tc>
              <w:tc>
                <w:tcPr>
                  <w:tcW w:w="976" w:type="pct"/>
                  <w:tcBorders>
                    <w:tl2br w:val="nil"/>
                    <w:tr2bl w:val="nil"/>
                  </w:tcBorders>
                  <w:noWrap w:val="0"/>
                  <w:vAlign w:val="center"/>
                </w:tcPr>
                <w:p>
                  <w:pPr>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村镇生态系统</w:t>
                  </w:r>
                </w:p>
              </w:tc>
              <w:tc>
                <w:tcPr>
                  <w:tcW w:w="2037" w:type="pct"/>
                  <w:tcBorders>
                    <w:tl2br w:val="nil"/>
                    <w:tr2bl w:val="nil"/>
                  </w:tcBorders>
                  <w:noWrap w:val="0"/>
                  <w:vAlign w:val="center"/>
                </w:tcPr>
                <w:p>
                  <w:pPr>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以人为主，人工绿色植物</w:t>
                  </w:r>
                </w:p>
              </w:tc>
              <w:tc>
                <w:tcPr>
                  <w:tcW w:w="1563" w:type="pct"/>
                  <w:tcBorders>
                    <w:tl2br w:val="nil"/>
                    <w:tr2bl w:val="nil"/>
                  </w:tcBorders>
                  <w:noWrap w:val="0"/>
                  <w:vAlign w:val="center"/>
                </w:tcPr>
                <w:p>
                  <w:pPr>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呈斑块状散布评价区</w:t>
                  </w:r>
                </w:p>
              </w:tc>
            </w:tr>
          </w:tbl>
          <w:p>
            <w:pPr>
              <w:spacing w:line="360" w:lineRule="auto"/>
              <w:ind w:firstLine="480"/>
              <w:rPr>
                <w:color w:val="auto"/>
                <w:sz w:val="24"/>
              </w:rPr>
            </w:pPr>
            <w:r>
              <w:rPr>
                <w:color w:val="auto"/>
                <w:sz w:val="24"/>
              </w:rPr>
              <w:t>（1）农田生态系统</w:t>
            </w:r>
          </w:p>
          <w:p>
            <w:pPr>
              <w:spacing w:line="360" w:lineRule="auto"/>
              <w:ind w:firstLine="480"/>
              <w:rPr>
                <w:color w:val="auto"/>
                <w:sz w:val="24"/>
              </w:rPr>
            </w:pPr>
            <w:r>
              <w:rPr>
                <w:color w:val="auto"/>
                <w:sz w:val="24"/>
              </w:rPr>
              <w:t>农田生态系统结构简单，作物种类较单一，占较大比例的农作物群落与其它生物群落相互作用，共同生存。受人类活动的强烈干扰，农田生态系统具有高度开放性，系统内能量流动和物质循环量较大。</w:t>
            </w:r>
          </w:p>
          <w:p>
            <w:pPr>
              <w:spacing w:line="360" w:lineRule="auto"/>
              <w:ind w:firstLine="480"/>
              <w:rPr>
                <w:color w:val="auto"/>
                <w:sz w:val="24"/>
              </w:rPr>
            </w:pPr>
            <w:r>
              <w:rPr>
                <w:color w:val="auto"/>
                <w:sz w:val="24"/>
              </w:rPr>
              <w:t>（2）草地生态系统</w:t>
            </w:r>
          </w:p>
          <w:p>
            <w:pPr>
              <w:spacing w:line="360" w:lineRule="auto"/>
              <w:ind w:firstLine="480"/>
              <w:rPr>
                <w:color w:val="auto"/>
                <w:sz w:val="24"/>
              </w:rPr>
            </w:pPr>
            <w:r>
              <w:rPr>
                <w:color w:val="auto"/>
                <w:sz w:val="24"/>
              </w:rPr>
              <w:t>评价区草地主要是天然草地，主要分布在山间沟谷洪水冲刷、水土流失较严重、土壤瘠薄地区，其生长缓慢、稀疏、低矮，牧用价值不高。该系统中动物种群简单，以野兔为主，还有蛇、蛙等。</w:t>
            </w:r>
          </w:p>
          <w:p>
            <w:pPr>
              <w:spacing w:line="360" w:lineRule="auto"/>
              <w:ind w:firstLine="480"/>
              <w:rPr>
                <w:color w:val="auto"/>
                <w:sz w:val="24"/>
              </w:rPr>
            </w:pPr>
            <w:r>
              <w:rPr>
                <w:color w:val="auto"/>
                <w:sz w:val="24"/>
              </w:rPr>
              <w:t>（3）村镇生态系统</w:t>
            </w:r>
          </w:p>
          <w:p>
            <w:pPr>
              <w:spacing w:line="360" w:lineRule="auto"/>
              <w:ind w:firstLine="480" w:firstLineChars="200"/>
              <w:contextualSpacing/>
              <w:jc w:val="left"/>
              <w:rPr>
                <w:rFonts w:hint="eastAsia" w:eastAsia="宋体"/>
                <w:b w:val="0"/>
                <w:bCs w:val="0"/>
                <w:color w:val="auto"/>
                <w:sz w:val="24"/>
                <w:lang w:val="en-US" w:eastAsia="zh-CN"/>
              </w:rPr>
            </w:pPr>
            <w:r>
              <w:rPr>
                <w:color w:val="auto"/>
                <w:sz w:val="24"/>
              </w:rPr>
              <w:t>评价区村庄呈条带状、斑块状散布，主要集中于黄土梁峁地带。评价区主要涉及庆阳市</w:t>
            </w:r>
            <w:r>
              <w:rPr>
                <w:rFonts w:hint="eastAsia"/>
                <w:color w:val="auto"/>
                <w:sz w:val="24"/>
                <w:lang w:val="en-US" w:eastAsia="zh-CN"/>
              </w:rPr>
              <w:t>焦村镇南堡村</w:t>
            </w:r>
            <w:r>
              <w:rPr>
                <w:color w:val="auto"/>
                <w:sz w:val="24"/>
              </w:rPr>
              <w:t>的村庄，村镇生态系统以人为主，辅以人居环境。村居四邻栽植有桐、槐等乔木，院落内有桃、杏等果树，在零散土地种植各类蔬菜。整体上，评价区村镇生态环境</w:t>
            </w:r>
            <w:r>
              <w:rPr>
                <w:rFonts w:hint="eastAsia"/>
                <w:color w:val="auto"/>
                <w:sz w:val="24"/>
                <w:lang w:val="en-US" w:eastAsia="zh-CN"/>
              </w:rPr>
              <w:t>整体上</w:t>
            </w:r>
            <w:r>
              <w:rPr>
                <w:color w:val="auto"/>
                <w:sz w:val="24"/>
              </w:rPr>
              <w:t>发展良好</w:t>
            </w:r>
            <w:r>
              <w:rPr>
                <w:rFonts w:hint="eastAsia"/>
                <w:color w:val="auto"/>
                <w:sz w:val="24"/>
                <w:lang w:eastAsia="zh-CN"/>
              </w:rPr>
              <w:t>。</w:t>
            </w:r>
          </w:p>
          <w:p>
            <w:pPr>
              <w:spacing w:line="360" w:lineRule="auto"/>
              <w:contextualSpacing/>
              <w:jc w:val="left"/>
              <w:rPr>
                <w:b/>
                <w:bCs/>
                <w:color w:val="auto"/>
                <w:sz w:val="24"/>
              </w:rPr>
            </w:pPr>
            <w:r>
              <w:rPr>
                <w:rFonts w:hint="eastAsia"/>
                <w:b/>
                <w:bCs/>
                <w:color w:val="auto"/>
                <w:sz w:val="24"/>
                <w:lang w:val="en-US" w:eastAsia="zh-CN"/>
              </w:rPr>
              <w:t>3.4</w:t>
            </w:r>
            <w:r>
              <w:rPr>
                <w:b/>
                <w:bCs/>
                <w:color w:val="auto"/>
                <w:sz w:val="24"/>
              </w:rPr>
              <w:t>植被类型</w:t>
            </w:r>
          </w:p>
          <w:p>
            <w:pPr>
              <w:pStyle w:val="6"/>
              <w:spacing w:before="0" w:after="0" w:line="360" w:lineRule="auto"/>
              <w:ind w:firstLine="480" w:firstLineChars="200"/>
              <w:rPr>
                <w:rFonts w:ascii="Times New Roman" w:hAnsi="Times New Roman" w:eastAsia="宋体"/>
                <w:color w:val="auto"/>
                <w:sz w:val="24"/>
                <w:szCs w:val="24"/>
              </w:rPr>
            </w:pPr>
            <w:r>
              <w:rPr>
                <w:rFonts w:ascii="Times New Roman" w:hAnsi="Times New Roman" w:eastAsia="宋体"/>
                <w:b w:val="0"/>
                <w:bCs w:val="0"/>
                <w:color w:val="auto"/>
                <w:sz w:val="24"/>
                <w:szCs w:val="24"/>
              </w:rPr>
              <w:t>影响范围内植被类型主要为草丛与农业植被，其中草丛主要分布于黄土谷坡，植被种类为白羊草、长芒草、达乌里胡枝子、茭蒿、铁杆蒿等草本植物以及狼牙刺、酸枣、荆条、黄刺玫、胡颓子等；农作物种类以小麦为主，其次为高粱、玉米、谷子、糜子、豆类、油菜等，农业植被主要分布于黄土塬与河流阶地；灌丛面积植被种类主要为黄刺玫、蒿属灌丛，同时有狼牙刺、酸枣、荆条等。阔叶林主要为刺槐林，树木种类主要为刺槐、泡桐、山杨、油松等乔木，以刺槐为为主，林下混生有少量狼牙刺、酸枣、荆条、黄刺玫等灌木。项目评价范围内无珍稀保护物种。植被覆盖见附图。</w:t>
            </w:r>
          </w:p>
          <w:p>
            <w:pPr>
              <w:spacing w:line="360" w:lineRule="auto"/>
              <w:contextualSpacing/>
              <w:jc w:val="left"/>
              <w:rPr>
                <w:b/>
                <w:bCs/>
                <w:color w:val="000000"/>
                <w:sz w:val="24"/>
              </w:rPr>
            </w:pPr>
            <w:r>
              <w:rPr>
                <w:rFonts w:hint="eastAsia"/>
                <w:b/>
                <w:bCs/>
                <w:color w:val="000000"/>
                <w:sz w:val="24"/>
                <w:lang w:val="en-US" w:eastAsia="zh-CN"/>
              </w:rPr>
              <w:t>3.5</w:t>
            </w:r>
            <w:r>
              <w:rPr>
                <w:b/>
                <w:bCs/>
                <w:color w:val="000000"/>
                <w:sz w:val="24"/>
              </w:rPr>
              <w:t>动物资源现状</w:t>
            </w:r>
          </w:p>
          <w:p>
            <w:pPr>
              <w:pStyle w:val="75"/>
              <w:rPr>
                <w:rFonts w:cs="Times New Roman"/>
                <w:color w:val="000000"/>
                <w:lang w:val="zh-CN"/>
              </w:rPr>
            </w:pPr>
            <w:r>
              <w:rPr>
                <w:rFonts w:cs="Times New Roman"/>
                <w:color w:val="000000"/>
              </w:rPr>
              <w:t>根据调查，评价区的动物组成比较简单，种类较少，多为常见种类，物种组成以小型兽类和鸟类为主。兽类主要有黄鼬、狗獾、蒙古兔、花鼠、达吾尔黄鼠、大仓鼠、小家鼠等；野生禽类主要有啄木鸟、杜鹃、小沙百灵、家燕、喜鹊、大嘴乌鸦、麻雀等。野生动物主要分布在林地及灌草丛中。</w:t>
            </w:r>
          </w:p>
          <w:p>
            <w:pPr>
              <w:pStyle w:val="74"/>
              <w:ind w:firstLine="480"/>
              <w:rPr>
                <w:lang w:val="en-US"/>
              </w:rPr>
            </w:pPr>
            <w:r>
              <w:rPr>
                <w:bCs w:val="0"/>
                <w:szCs w:val="24"/>
                <w:lang w:val="en-US"/>
              </w:rPr>
              <w:t>项目评价范围内无珍稀保护物种。</w:t>
            </w:r>
          </w:p>
          <w:p>
            <w:pPr>
              <w:pStyle w:val="60"/>
              <w:ind w:left="0" w:leftChars="0" w:firstLine="0" w:firstLineChars="0"/>
              <w:rPr>
                <w:b/>
                <w:bCs/>
                <w:color w:val="auto"/>
                <w:sz w:val="24"/>
                <w:szCs w:val="24"/>
              </w:rPr>
            </w:pPr>
            <w:r>
              <w:rPr>
                <w:rFonts w:hint="eastAsia"/>
                <w:b/>
                <w:bCs/>
                <w:color w:val="auto"/>
                <w:sz w:val="24"/>
                <w:szCs w:val="24"/>
                <w:lang w:val="en-US" w:eastAsia="zh-CN"/>
              </w:rPr>
              <w:t>4.</w:t>
            </w:r>
            <w:r>
              <w:rPr>
                <w:b/>
                <w:bCs/>
                <w:color w:val="auto"/>
                <w:sz w:val="24"/>
                <w:szCs w:val="24"/>
              </w:rPr>
              <w:t>环境空气质量现状</w:t>
            </w:r>
          </w:p>
          <w:p>
            <w:pPr>
              <w:pStyle w:val="60"/>
              <w:ind w:firstLine="420"/>
              <w:rPr>
                <w:color w:val="auto"/>
                <w:sz w:val="24"/>
                <w:szCs w:val="24"/>
              </w:rPr>
            </w:pPr>
            <w:r>
              <w:rPr>
                <w:color w:val="auto"/>
                <w:sz w:val="24"/>
                <w:szCs w:val="24"/>
              </w:rPr>
              <w:t>（1）达标区判定</w:t>
            </w:r>
          </w:p>
          <w:p>
            <w:pPr>
              <w:pStyle w:val="60"/>
              <w:ind w:firstLine="420"/>
              <w:rPr>
                <w:color w:val="auto"/>
                <w:sz w:val="24"/>
                <w:szCs w:val="24"/>
              </w:rPr>
            </w:pPr>
            <w:r>
              <w:rPr>
                <w:color w:val="auto"/>
                <w:sz w:val="24"/>
                <w:szCs w:val="24"/>
              </w:rPr>
              <w:t>根据《环境影响评价技术导则 大气环境》（HJ2.2-2018），基本污染物环境质量现状数据优先采用国家或地方生态环境主管部门公开发布的评价基准年环境质量公告或环境质量报告中的数据或结论。本次评价采用202</w:t>
            </w:r>
            <w:r>
              <w:rPr>
                <w:rFonts w:hint="eastAsia"/>
                <w:color w:val="auto"/>
                <w:sz w:val="24"/>
                <w:szCs w:val="24"/>
                <w:lang w:val="en-US" w:eastAsia="zh-CN"/>
              </w:rPr>
              <w:t>3</w:t>
            </w:r>
            <w:r>
              <w:rPr>
                <w:color w:val="auto"/>
                <w:sz w:val="24"/>
                <w:szCs w:val="24"/>
              </w:rPr>
              <w:t>年1月</w:t>
            </w:r>
            <w:r>
              <w:rPr>
                <w:rFonts w:hint="eastAsia"/>
                <w:color w:val="auto"/>
                <w:sz w:val="24"/>
                <w:szCs w:val="24"/>
                <w:lang w:val="en-US" w:eastAsia="zh-CN"/>
              </w:rPr>
              <w:t>31</w:t>
            </w:r>
            <w:r>
              <w:rPr>
                <w:color w:val="auto"/>
                <w:sz w:val="24"/>
                <w:szCs w:val="24"/>
              </w:rPr>
              <w:t>日庆阳市生态环境局发布的《</w:t>
            </w:r>
            <w:r>
              <w:rPr>
                <w:rFonts w:hint="eastAsia"/>
                <w:color w:val="auto"/>
                <w:sz w:val="24"/>
                <w:szCs w:val="24"/>
                <w:lang w:val="en-US" w:eastAsia="zh-CN"/>
              </w:rPr>
              <w:t>庆阳市</w:t>
            </w:r>
            <w:r>
              <w:rPr>
                <w:color w:val="auto"/>
                <w:sz w:val="24"/>
                <w:szCs w:val="24"/>
              </w:rPr>
              <w:t>202</w:t>
            </w:r>
            <w:r>
              <w:rPr>
                <w:rFonts w:hint="eastAsia"/>
                <w:color w:val="auto"/>
                <w:sz w:val="24"/>
                <w:szCs w:val="24"/>
                <w:lang w:val="en-US" w:eastAsia="zh-CN"/>
              </w:rPr>
              <w:t>2</w:t>
            </w:r>
            <w:r>
              <w:rPr>
                <w:color w:val="auto"/>
                <w:sz w:val="24"/>
                <w:szCs w:val="24"/>
              </w:rPr>
              <w:t>年</w:t>
            </w:r>
            <w:r>
              <w:rPr>
                <w:rFonts w:hint="eastAsia"/>
                <w:color w:val="auto"/>
                <w:sz w:val="24"/>
                <w:szCs w:val="24"/>
                <w:lang w:val="en-US" w:eastAsia="zh-CN"/>
              </w:rPr>
              <w:t>1-</w:t>
            </w:r>
            <w:r>
              <w:rPr>
                <w:color w:val="auto"/>
                <w:sz w:val="24"/>
                <w:szCs w:val="24"/>
              </w:rPr>
              <w:t>12月份环境空气质量</w:t>
            </w:r>
            <w:r>
              <w:rPr>
                <w:rFonts w:hint="eastAsia"/>
                <w:color w:val="auto"/>
                <w:sz w:val="24"/>
                <w:szCs w:val="24"/>
                <w:lang w:val="en-US" w:eastAsia="zh-CN"/>
              </w:rPr>
              <w:t>状况</w:t>
            </w:r>
            <w:r>
              <w:rPr>
                <w:color w:val="auto"/>
                <w:sz w:val="24"/>
                <w:szCs w:val="24"/>
              </w:rPr>
              <w:t>》，内含</w:t>
            </w:r>
            <w:r>
              <w:rPr>
                <w:rFonts w:hint="eastAsia"/>
                <w:color w:val="auto"/>
                <w:sz w:val="24"/>
                <w:szCs w:val="24"/>
                <w:lang w:val="en-US" w:eastAsia="zh-CN"/>
              </w:rPr>
              <w:t>宁县</w:t>
            </w:r>
            <w:r>
              <w:rPr>
                <w:color w:val="auto"/>
                <w:sz w:val="24"/>
                <w:szCs w:val="24"/>
              </w:rPr>
              <w:t>202</w:t>
            </w:r>
            <w:r>
              <w:rPr>
                <w:rFonts w:hint="eastAsia"/>
                <w:color w:val="auto"/>
                <w:sz w:val="24"/>
                <w:szCs w:val="24"/>
                <w:lang w:val="en-US" w:eastAsia="zh-CN"/>
              </w:rPr>
              <w:t>2</w:t>
            </w:r>
            <w:r>
              <w:rPr>
                <w:color w:val="auto"/>
                <w:sz w:val="24"/>
                <w:szCs w:val="24"/>
              </w:rPr>
              <w:t>年1月至12月各基本污染物监测数据，具体详见下表。</w:t>
            </w:r>
          </w:p>
          <w:p>
            <w:pPr>
              <w:pStyle w:val="14"/>
              <w:keepNext/>
              <w:spacing w:line="240" w:lineRule="auto"/>
              <w:rPr>
                <w:rFonts w:hint="eastAsia" w:eastAsia="宋体" w:cs="Times New Roman"/>
                <w:color w:val="auto"/>
                <w:lang w:val="en-US" w:eastAsia="zh-CN"/>
              </w:rPr>
            </w:pPr>
            <w:r>
              <w:rPr>
                <w:rFonts w:eastAsia="宋体" w:cs="Times New Roman"/>
                <w:color w:val="auto"/>
              </w:rPr>
              <w:t>表</w:t>
            </w:r>
            <w:r>
              <w:rPr>
                <w:rFonts w:hint="eastAsia" w:eastAsia="宋体" w:cs="Times New Roman"/>
                <w:color w:val="auto"/>
                <w:lang w:val="en-US" w:eastAsia="zh-CN"/>
              </w:rPr>
              <w:t>3-1   宁</w:t>
            </w:r>
            <w:r>
              <w:rPr>
                <w:rFonts w:eastAsia="宋体" w:cs="Times New Roman"/>
                <w:color w:val="auto"/>
              </w:rPr>
              <w:t>县202</w:t>
            </w:r>
            <w:r>
              <w:rPr>
                <w:rFonts w:hint="eastAsia" w:eastAsia="宋体" w:cs="Times New Roman"/>
                <w:color w:val="auto"/>
                <w:lang w:val="en-US" w:eastAsia="zh-CN"/>
              </w:rPr>
              <w:t>2</w:t>
            </w:r>
            <w:r>
              <w:rPr>
                <w:rFonts w:eastAsia="宋体" w:cs="Times New Roman"/>
                <w:color w:val="auto"/>
              </w:rPr>
              <w:t>年环境空气质量</w:t>
            </w:r>
          </w:p>
          <w:tbl>
            <w:tblPr>
              <w:tblStyle w:val="28"/>
              <w:tblW w:w="81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88"/>
              <w:gridCol w:w="1970"/>
              <w:gridCol w:w="1673"/>
              <w:gridCol w:w="1215"/>
              <w:gridCol w:w="1130"/>
              <w:gridCol w:w="1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污染物</w:t>
                  </w:r>
                </w:p>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名称</w:t>
                  </w:r>
                </w:p>
              </w:tc>
              <w:tc>
                <w:tcPr>
                  <w:tcW w:w="1970"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年评价指标</w:t>
                  </w:r>
                </w:p>
              </w:tc>
              <w:tc>
                <w:tcPr>
                  <w:tcW w:w="1673"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评价标准（ug/</w:t>
                  </w:r>
                  <w:r>
                    <w:rPr>
                      <w:rFonts w:hint="eastAsia" w:ascii="Times New Roman" w:hAnsi="Times New Roman"/>
                      <w:color w:val="auto"/>
                      <w:sz w:val="21"/>
                      <w:szCs w:val="21"/>
                      <w:lang w:eastAsia="zh-CN"/>
                    </w:rPr>
                    <w:t>m</w:t>
                  </w:r>
                  <w:r>
                    <w:rPr>
                      <w:rFonts w:hint="eastAsia" w:ascii="Times New Roman" w:hAnsi="Times New Roman"/>
                      <w:color w:val="auto"/>
                      <w:sz w:val="21"/>
                      <w:szCs w:val="21"/>
                      <w:vertAlign w:val="superscript"/>
                      <w:lang w:eastAsia="zh-CN"/>
                    </w:rPr>
                    <w:t>3</w:t>
                  </w:r>
                  <w:r>
                    <w:rPr>
                      <w:rFonts w:ascii="Times New Roman" w:hAnsi="Times New Roman"/>
                      <w:color w:val="auto"/>
                      <w:sz w:val="21"/>
                      <w:szCs w:val="21"/>
                    </w:rPr>
                    <w:t>）</w:t>
                  </w:r>
                </w:p>
              </w:tc>
              <w:tc>
                <w:tcPr>
                  <w:tcW w:w="1215"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现状浓度（ug/</w:t>
                  </w:r>
                  <w:r>
                    <w:rPr>
                      <w:rFonts w:hint="eastAsia" w:ascii="Times New Roman" w:hAnsi="Times New Roman"/>
                      <w:color w:val="auto"/>
                      <w:sz w:val="21"/>
                      <w:szCs w:val="21"/>
                      <w:lang w:eastAsia="zh-CN"/>
                    </w:rPr>
                    <w:t>m</w:t>
                  </w:r>
                  <w:r>
                    <w:rPr>
                      <w:rFonts w:hint="eastAsia" w:ascii="Times New Roman" w:hAnsi="Times New Roman"/>
                      <w:color w:val="auto"/>
                      <w:sz w:val="21"/>
                      <w:szCs w:val="21"/>
                      <w:vertAlign w:val="superscript"/>
                      <w:lang w:eastAsia="zh-CN"/>
                    </w:rPr>
                    <w:t>3</w:t>
                  </w:r>
                  <w:r>
                    <w:rPr>
                      <w:rFonts w:ascii="Times New Roman" w:hAnsi="Times New Roman"/>
                      <w:color w:val="auto"/>
                      <w:sz w:val="21"/>
                      <w:szCs w:val="21"/>
                    </w:rPr>
                    <w:t>）</w:t>
                  </w:r>
                </w:p>
              </w:tc>
              <w:tc>
                <w:tcPr>
                  <w:tcW w:w="113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1"/>
                      <w:szCs w:val="21"/>
                      <w:lang w:val="en-US" w:eastAsia="zh-CN"/>
                    </w:rPr>
                  </w:pPr>
                  <w:r>
                    <w:rPr>
                      <w:rFonts w:hint="eastAsia"/>
                      <w:color w:val="auto"/>
                      <w:sz w:val="21"/>
                      <w:szCs w:val="21"/>
                      <w:lang w:val="en-US" w:eastAsia="zh-CN"/>
                    </w:rPr>
                    <w:t>占标率</w:t>
                  </w:r>
                </w:p>
              </w:tc>
              <w:tc>
                <w:tcPr>
                  <w:tcW w:w="1131"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 w:val="21"/>
                      <w:szCs w:val="21"/>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SO</w:t>
                  </w:r>
                  <w:r>
                    <w:rPr>
                      <w:rFonts w:ascii="Times New Roman" w:hAnsi="Times New Roman"/>
                      <w:color w:val="auto"/>
                      <w:sz w:val="21"/>
                      <w:szCs w:val="21"/>
                      <w:vertAlign w:val="subscript"/>
                    </w:rPr>
                    <w:t>2</w:t>
                  </w:r>
                </w:p>
              </w:tc>
              <w:tc>
                <w:tcPr>
                  <w:tcW w:w="1970"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年平均</w:t>
                  </w:r>
                </w:p>
              </w:tc>
              <w:tc>
                <w:tcPr>
                  <w:tcW w:w="1673"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60</w:t>
                  </w:r>
                </w:p>
              </w:tc>
              <w:tc>
                <w:tcPr>
                  <w:tcW w:w="1215" w:type="dxa"/>
                  <w:tcBorders>
                    <w:tl2br w:val="nil"/>
                    <w:tr2bl w:val="nil"/>
                  </w:tcBorders>
                  <w:noWrap w:val="0"/>
                  <w:vAlign w:val="center"/>
                </w:tcPr>
                <w:p>
                  <w:pPr>
                    <w:spacing w:line="240" w:lineRule="auto"/>
                    <w:ind w:firstLine="0" w:firstLineChars="0"/>
                    <w:jc w:val="center"/>
                    <w:rPr>
                      <w:rFonts w:hint="default" w:ascii="Times New Roman" w:hAnsi="Times New Roman"/>
                      <w:color w:val="auto"/>
                      <w:sz w:val="21"/>
                      <w:szCs w:val="21"/>
                      <w:lang w:val="en-US"/>
                    </w:rPr>
                  </w:pPr>
                  <w:r>
                    <w:rPr>
                      <w:rFonts w:hint="eastAsia"/>
                      <w:color w:val="auto"/>
                      <w:sz w:val="21"/>
                      <w:szCs w:val="21"/>
                      <w:lang w:val="en-US" w:eastAsia="zh-CN"/>
                    </w:rPr>
                    <w:t>9</w:t>
                  </w:r>
                </w:p>
              </w:tc>
              <w:tc>
                <w:tcPr>
                  <w:tcW w:w="113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15</w:t>
                  </w:r>
                </w:p>
              </w:tc>
              <w:tc>
                <w:tcPr>
                  <w:tcW w:w="1131"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NO</w:t>
                  </w:r>
                  <w:r>
                    <w:rPr>
                      <w:rFonts w:ascii="Times New Roman" w:hAnsi="Times New Roman"/>
                      <w:color w:val="auto"/>
                      <w:sz w:val="21"/>
                      <w:szCs w:val="21"/>
                      <w:vertAlign w:val="subscript"/>
                    </w:rPr>
                    <w:t>2</w:t>
                  </w:r>
                </w:p>
              </w:tc>
              <w:tc>
                <w:tcPr>
                  <w:tcW w:w="1970"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年平均</w:t>
                  </w:r>
                </w:p>
              </w:tc>
              <w:tc>
                <w:tcPr>
                  <w:tcW w:w="1673"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40</w:t>
                  </w:r>
                </w:p>
              </w:tc>
              <w:tc>
                <w:tcPr>
                  <w:tcW w:w="1215" w:type="dxa"/>
                  <w:tcBorders>
                    <w:tl2br w:val="nil"/>
                    <w:tr2bl w:val="nil"/>
                  </w:tcBorders>
                  <w:noWrap w:val="0"/>
                  <w:vAlign w:val="center"/>
                </w:tcPr>
                <w:p>
                  <w:pPr>
                    <w:spacing w:line="240" w:lineRule="auto"/>
                    <w:ind w:firstLine="0" w:firstLineChars="0"/>
                    <w:jc w:val="center"/>
                    <w:rPr>
                      <w:rFonts w:hint="default" w:ascii="Times New Roman" w:hAnsi="Times New Roman"/>
                      <w:color w:val="auto"/>
                      <w:sz w:val="21"/>
                      <w:szCs w:val="21"/>
                      <w:lang w:val="en-US"/>
                    </w:rPr>
                  </w:pPr>
                  <w:r>
                    <w:rPr>
                      <w:rFonts w:hint="eastAsia"/>
                      <w:color w:val="auto"/>
                      <w:sz w:val="21"/>
                      <w:szCs w:val="21"/>
                      <w:lang w:val="en-US" w:eastAsia="zh-CN"/>
                    </w:rPr>
                    <w:t>14</w:t>
                  </w:r>
                </w:p>
              </w:tc>
              <w:tc>
                <w:tcPr>
                  <w:tcW w:w="113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35</w:t>
                  </w:r>
                </w:p>
              </w:tc>
              <w:tc>
                <w:tcPr>
                  <w:tcW w:w="1131"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10</w:t>
                  </w:r>
                </w:p>
              </w:tc>
              <w:tc>
                <w:tcPr>
                  <w:tcW w:w="1970"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年平均</w:t>
                  </w:r>
                </w:p>
              </w:tc>
              <w:tc>
                <w:tcPr>
                  <w:tcW w:w="1673"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70</w:t>
                  </w:r>
                </w:p>
              </w:tc>
              <w:tc>
                <w:tcPr>
                  <w:tcW w:w="1215" w:type="dxa"/>
                  <w:tcBorders>
                    <w:tl2br w:val="nil"/>
                    <w:tr2bl w:val="nil"/>
                  </w:tcBorders>
                  <w:noWrap w:val="0"/>
                  <w:vAlign w:val="center"/>
                </w:tcPr>
                <w:p>
                  <w:pPr>
                    <w:spacing w:line="240" w:lineRule="auto"/>
                    <w:ind w:firstLine="0" w:firstLineChars="0"/>
                    <w:jc w:val="center"/>
                    <w:rPr>
                      <w:rFonts w:hint="default" w:ascii="Times New Roman" w:hAnsi="Times New Roman"/>
                      <w:color w:val="auto"/>
                      <w:sz w:val="21"/>
                      <w:szCs w:val="21"/>
                      <w:lang w:val="en-US"/>
                    </w:rPr>
                  </w:pPr>
                  <w:r>
                    <w:rPr>
                      <w:rFonts w:hint="eastAsia"/>
                      <w:color w:val="auto"/>
                      <w:sz w:val="21"/>
                      <w:szCs w:val="21"/>
                      <w:lang w:val="en-US" w:eastAsia="zh-CN"/>
                    </w:rPr>
                    <w:t>53</w:t>
                  </w:r>
                </w:p>
              </w:tc>
              <w:tc>
                <w:tcPr>
                  <w:tcW w:w="113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75.7</w:t>
                  </w:r>
                </w:p>
              </w:tc>
              <w:tc>
                <w:tcPr>
                  <w:tcW w:w="1131"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2.5</w:t>
                  </w:r>
                </w:p>
              </w:tc>
              <w:tc>
                <w:tcPr>
                  <w:tcW w:w="1970"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年平均</w:t>
                  </w:r>
                </w:p>
              </w:tc>
              <w:tc>
                <w:tcPr>
                  <w:tcW w:w="1673"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35</w:t>
                  </w:r>
                </w:p>
              </w:tc>
              <w:tc>
                <w:tcPr>
                  <w:tcW w:w="1215" w:type="dxa"/>
                  <w:tcBorders>
                    <w:tl2br w:val="nil"/>
                    <w:tr2bl w:val="nil"/>
                  </w:tcBorders>
                  <w:noWrap w:val="0"/>
                  <w:vAlign w:val="center"/>
                </w:tcPr>
                <w:p>
                  <w:pPr>
                    <w:spacing w:line="240" w:lineRule="auto"/>
                    <w:ind w:firstLine="0" w:firstLineChars="0"/>
                    <w:jc w:val="center"/>
                    <w:rPr>
                      <w:rFonts w:hint="default" w:ascii="Times New Roman" w:hAnsi="Times New Roman"/>
                      <w:color w:val="auto"/>
                      <w:sz w:val="21"/>
                      <w:szCs w:val="21"/>
                      <w:lang w:val="en-US"/>
                    </w:rPr>
                  </w:pPr>
                  <w:r>
                    <w:rPr>
                      <w:rFonts w:hint="eastAsia"/>
                      <w:color w:val="auto"/>
                      <w:sz w:val="21"/>
                      <w:szCs w:val="21"/>
                      <w:lang w:val="en-US" w:eastAsia="zh-CN"/>
                    </w:rPr>
                    <w:t>23</w:t>
                  </w:r>
                </w:p>
              </w:tc>
              <w:tc>
                <w:tcPr>
                  <w:tcW w:w="113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65.7</w:t>
                  </w:r>
                </w:p>
              </w:tc>
              <w:tc>
                <w:tcPr>
                  <w:tcW w:w="1131"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88"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CO</w:t>
                  </w:r>
                </w:p>
              </w:tc>
              <w:tc>
                <w:tcPr>
                  <w:tcW w:w="197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年平均</w:t>
                  </w:r>
                </w:p>
              </w:tc>
              <w:tc>
                <w:tcPr>
                  <w:tcW w:w="1673"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lang w:val="en-US" w:eastAsia="zh-CN"/>
                    </w:rPr>
                  </w:pPr>
                  <w:r>
                    <w:rPr>
                      <w:rFonts w:ascii="Times New Roman" w:hAnsi="Times New Roman"/>
                      <w:color w:val="auto"/>
                      <w:sz w:val="21"/>
                      <w:szCs w:val="21"/>
                    </w:rPr>
                    <w:t>4</w:t>
                  </w:r>
                  <w:r>
                    <w:rPr>
                      <w:rFonts w:hint="eastAsia"/>
                      <w:color w:val="auto"/>
                      <w:sz w:val="21"/>
                      <w:szCs w:val="21"/>
                      <w:lang w:val="en-US" w:eastAsia="zh-CN"/>
                    </w:rPr>
                    <w:t>mg/m</w:t>
                  </w:r>
                  <w:r>
                    <w:rPr>
                      <w:rFonts w:hint="eastAsia"/>
                      <w:color w:val="auto"/>
                      <w:sz w:val="21"/>
                      <w:szCs w:val="21"/>
                      <w:vertAlign w:val="superscript"/>
                      <w:lang w:val="en-US" w:eastAsia="zh-CN"/>
                    </w:rPr>
                    <w:t>3</w:t>
                  </w:r>
                </w:p>
              </w:tc>
              <w:tc>
                <w:tcPr>
                  <w:tcW w:w="1215" w:type="dxa"/>
                  <w:tcBorders>
                    <w:tl2br w:val="nil"/>
                    <w:tr2bl w:val="nil"/>
                  </w:tcBorders>
                  <w:noWrap w:val="0"/>
                  <w:vAlign w:val="center"/>
                </w:tcPr>
                <w:p>
                  <w:pPr>
                    <w:spacing w:line="240" w:lineRule="auto"/>
                    <w:ind w:firstLine="0" w:firstLineChars="0"/>
                    <w:jc w:val="center"/>
                    <w:rPr>
                      <w:rFonts w:hint="default" w:ascii="Times New Roman" w:hAnsi="Times New Roman"/>
                      <w:color w:val="auto"/>
                      <w:sz w:val="21"/>
                      <w:szCs w:val="21"/>
                      <w:lang w:val="en-US"/>
                    </w:rPr>
                  </w:pPr>
                  <w:r>
                    <w:rPr>
                      <w:rFonts w:hint="eastAsia" w:ascii="Times New Roman" w:hAnsi="Times New Roman"/>
                      <w:color w:val="auto"/>
                      <w:sz w:val="21"/>
                      <w:szCs w:val="21"/>
                      <w:lang w:val="en-US" w:eastAsia="zh-CN"/>
                    </w:rPr>
                    <w:t>0.</w:t>
                  </w:r>
                  <w:r>
                    <w:rPr>
                      <w:rFonts w:hint="eastAsia"/>
                      <w:color w:val="auto"/>
                      <w:sz w:val="21"/>
                      <w:szCs w:val="21"/>
                      <w:lang w:val="en-US" w:eastAsia="zh-CN"/>
                    </w:rPr>
                    <w:t>8mg/m</w:t>
                  </w:r>
                  <w:r>
                    <w:rPr>
                      <w:rFonts w:hint="eastAsia"/>
                      <w:color w:val="auto"/>
                      <w:sz w:val="21"/>
                      <w:szCs w:val="21"/>
                      <w:vertAlign w:val="superscript"/>
                      <w:lang w:val="en-US" w:eastAsia="zh-CN"/>
                    </w:rPr>
                    <w:t>3</w:t>
                  </w:r>
                </w:p>
              </w:tc>
              <w:tc>
                <w:tcPr>
                  <w:tcW w:w="113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20</w:t>
                  </w:r>
                </w:p>
              </w:tc>
              <w:tc>
                <w:tcPr>
                  <w:tcW w:w="1131"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O</w:t>
                  </w:r>
                  <w:r>
                    <w:rPr>
                      <w:rFonts w:ascii="Times New Roman" w:hAnsi="Times New Roman"/>
                      <w:color w:val="auto"/>
                      <w:sz w:val="21"/>
                      <w:szCs w:val="21"/>
                      <w:vertAlign w:val="subscript"/>
                    </w:rPr>
                    <w:t>3</w:t>
                  </w:r>
                </w:p>
              </w:tc>
              <w:tc>
                <w:tcPr>
                  <w:tcW w:w="1970"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日最大8h滑动平均值的第90百分位数</w:t>
                  </w:r>
                </w:p>
              </w:tc>
              <w:tc>
                <w:tcPr>
                  <w:tcW w:w="1673" w:type="dxa"/>
                  <w:tcBorders>
                    <w:tl2br w:val="nil"/>
                    <w:tr2bl w:val="nil"/>
                  </w:tcBorders>
                  <w:noWrap w:val="0"/>
                  <w:vAlign w:val="center"/>
                </w:tcPr>
                <w:p>
                  <w:pPr>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160</w:t>
                  </w:r>
                </w:p>
              </w:tc>
              <w:tc>
                <w:tcPr>
                  <w:tcW w:w="1215" w:type="dxa"/>
                  <w:tcBorders>
                    <w:tl2br w:val="nil"/>
                    <w:tr2bl w:val="nil"/>
                  </w:tcBorders>
                  <w:noWrap w:val="0"/>
                  <w:vAlign w:val="center"/>
                </w:tcPr>
                <w:p>
                  <w:pPr>
                    <w:spacing w:line="240" w:lineRule="auto"/>
                    <w:ind w:firstLine="0" w:firstLineChars="0"/>
                    <w:jc w:val="center"/>
                    <w:rPr>
                      <w:rFonts w:hint="default" w:ascii="Times New Roman" w:hAnsi="Times New Roman"/>
                      <w:color w:val="auto"/>
                      <w:sz w:val="21"/>
                      <w:szCs w:val="21"/>
                      <w:lang w:val="en-US"/>
                    </w:rPr>
                  </w:pPr>
                  <w:r>
                    <w:rPr>
                      <w:rFonts w:hint="eastAsia"/>
                      <w:color w:val="auto"/>
                      <w:sz w:val="21"/>
                      <w:szCs w:val="21"/>
                      <w:lang w:val="en-US" w:eastAsia="zh-CN"/>
                    </w:rPr>
                    <w:t>122</w:t>
                  </w:r>
                </w:p>
              </w:tc>
              <w:tc>
                <w:tcPr>
                  <w:tcW w:w="1130"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76.3</w:t>
                  </w:r>
                </w:p>
              </w:tc>
              <w:tc>
                <w:tcPr>
                  <w:tcW w:w="1131"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 w:val="21"/>
                      <w:szCs w:val="21"/>
                    </w:rPr>
                    <w:t>达标</w:t>
                  </w:r>
                </w:p>
              </w:tc>
            </w:tr>
          </w:tbl>
          <w:p>
            <w:pPr>
              <w:pStyle w:val="60"/>
              <w:ind w:firstLine="420"/>
              <w:rPr>
                <w:rFonts w:hint="eastAsia" w:eastAsia="宋体"/>
                <w:color w:val="auto"/>
                <w:sz w:val="24"/>
                <w:szCs w:val="24"/>
                <w:lang w:eastAsia="zh-CN"/>
              </w:rPr>
            </w:pPr>
            <w:r>
              <w:rPr>
                <w:color w:val="auto"/>
                <w:sz w:val="24"/>
                <w:szCs w:val="24"/>
              </w:rPr>
              <w:t>由上表，项目所在地环境质量各污染物浓度均满足《环境空气质量标准》二级限值要求，环境空气质量属于达标区</w:t>
            </w:r>
            <w:r>
              <w:rPr>
                <w:rFonts w:hint="eastAsia"/>
                <w:color w:val="auto"/>
                <w:sz w:val="24"/>
                <w:szCs w:val="24"/>
                <w:lang w:eastAsia="zh-CN"/>
              </w:rPr>
              <w:t>，</w:t>
            </w:r>
            <w:r>
              <w:rPr>
                <w:rFonts w:hint="eastAsia"/>
                <w:color w:val="auto"/>
                <w:sz w:val="24"/>
                <w:szCs w:val="24"/>
                <w:lang w:val="en-US" w:eastAsia="zh-CN"/>
              </w:rPr>
              <w:t>项目区环境空气质量达标</w:t>
            </w:r>
            <w:r>
              <w:rPr>
                <w:color w:val="auto"/>
                <w:sz w:val="24"/>
                <w:szCs w:val="24"/>
              </w:rPr>
              <w:t>。</w:t>
            </w:r>
          </w:p>
          <w:p>
            <w:pPr>
              <w:pStyle w:val="60"/>
              <w:ind w:firstLine="420"/>
              <w:rPr>
                <w:color w:val="auto"/>
                <w:sz w:val="24"/>
                <w:szCs w:val="24"/>
              </w:rPr>
            </w:pPr>
            <w:r>
              <w:rPr>
                <w:color w:val="auto"/>
                <w:sz w:val="24"/>
                <w:szCs w:val="24"/>
              </w:rPr>
              <w:t>（2）其他污染物环境质量现状</w:t>
            </w:r>
          </w:p>
          <w:p>
            <w:pPr>
              <w:pStyle w:val="60"/>
              <w:ind w:firstLine="420"/>
              <w:rPr>
                <w:color w:val="auto"/>
                <w:sz w:val="24"/>
                <w:szCs w:val="24"/>
              </w:rPr>
            </w:pPr>
            <w:r>
              <w:rPr>
                <w:color w:val="auto"/>
                <w:sz w:val="24"/>
                <w:szCs w:val="24"/>
              </w:rPr>
              <w:t>本次评价</w:t>
            </w:r>
            <w:r>
              <w:rPr>
                <w:rFonts w:hint="eastAsia"/>
                <w:color w:val="auto"/>
                <w:sz w:val="24"/>
                <w:szCs w:val="24"/>
                <w:lang w:val="en-US" w:eastAsia="zh-CN"/>
              </w:rPr>
              <w:t>委托甘肃馨宝利环境监测有限公司</w:t>
            </w:r>
            <w:r>
              <w:rPr>
                <w:color w:val="auto"/>
                <w:sz w:val="24"/>
                <w:szCs w:val="24"/>
              </w:rPr>
              <w:t>对项目所在地进行了其他污染物环境质量现状监测，监测时间为2022年</w:t>
            </w:r>
            <w:r>
              <w:rPr>
                <w:rFonts w:hint="eastAsia"/>
                <w:color w:val="auto"/>
                <w:sz w:val="24"/>
                <w:szCs w:val="24"/>
                <w:lang w:val="en-US" w:eastAsia="zh-CN"/>
              </w:rPr>
              <w:t>7</w:t>
            </w:r>
            <w:r>
              <w:rPr>
                <w:color w:val="auto"/>
                <w:sz w:val="24"/>
                <w:szCs w:val="24"/>
              </w:rPr>
              <w:t>月</w:t>
            </w:r>
            <w:r>
              <w:rPr>
                <w:rFonts w:hint="eastAsia"/>
                <w:color w:val="auto"/>
                <w:sz w:val="24"/>
                <w:szCs w:val="24"/>
                <w:lang w:val="en-US" w:eastAsia="zh-CN"/>
              </w:rPr>
              <w:t>30</w:t>
            </w:r>
            <w:r>
              <w:rPr>
                <w:color w:val="auto"/>
                <w:sz w:val="24"/>
                <w:szCs w:val="24"/>
              </w:rPr>
              <w:t>日至</w:t>
            </w:r>
            <w:r>
              <w:rPr>
                <w:rFonts w:hint="eastAsia"/>
                <w:color w:val="auto"/>
                <w:sz w:val="24"/>
                <w:szCs w:val="24"/>
                <w:lang w:val="en-US" w:eastAsia="zh-CN"/>
              </w:rPr>
              <w:t>8月1</w:t>
            </w:r>
            <w:r>
              <w:rPr>
                <w:color w:val="auto"/>
                <w:sz w:val="24"/>
                <w:szCs w:val="24"/>
              </w:rPr>
              <w:t>日，监测项目包括TSP、氟化物，监测结果见下表。</w:t>
            </w:r>
          </w:p>
          <w:p>
            <w:pPr>
              <w:pStyle w:val="14"/>
              <w:keepNext/>
              <w:spacing w:line="240" w:lineRule="auto"/>
              <w:rPr>
                <w:color w:val="auto"/>
              </w:rPr>
            </w:pPr>
            <w:r>
              <w:rPr>
                <w:rFonts w:hint="eastAsia" w:ascii="宋体" w:hAnsi="宋体" w:eastAsia="宋体" w:cs="宋体"/>
                <w:color w:val="auto"/>
              </w:rPr>
              <w:t>表</w:t>
            </w:r>
            <w:r>
              <w:rPr>
                <w:rFonts w:hint="eastAsia" w:eastAsia="宋体"/>
                <w:color w:val="auto"/>
                <w:lang w:val="en-US" w:eastAsia="zh-CN"/>
              </w:rPr>
              <w:t xml:space="preserve">3-2   </w:t>
            </w:r>
            <w:r>
              <w:rPr>
                <w:rFonts w:hint="eastAsia" w:ascii="宋体" w:hAnsi="宋体" w:eastAsia="宋体" w:cs="宋体"/>
                <w:color w:val="auto"/>
              </w:rPr>
              <w:t>其他污染物质量现状监测结果</w:t>
            </w:r>
          </w:p>
          <w:tbl>
            <w:tblPr>
              <w:tblStyle w:val="28"/>
              <w:tblW w:w="8011" w:type="dxa"/>
              <w:tblInd w:w="0" w:type="dxa"/>
              <w:tblLayout w:type="fixed"/>
              <w:tblCellMar>
                <w:top w:w="0" w:type="dxa"/>
                <w:left w:w="108" w:type="dxa"/>
                <w:bottom w:w="0" w:type="dxa"/>
                <w:right w:w="108" w:type="dxa"/>
              </w:tblCellMar>
            </w:tblPr>
            <w:tblGrid>
              <w:gridCol w:w="1207"/>
              <w:gridCol w:w="1134"/>
              <w:gridCol w:w="1286"/>
              <w:gridCol w:w="1261"/>
              <w:gridCol w:w="750"/>
              <w:gridCol w:w="1239"/>
              <w:gridCol w:w="1134"/>
            </w:tblGrid>
            <w:tr>
              <w:tblPrEx>
                <w:tblCellMar>
                  <w:top w:w="0" w:type="dxa"/>
                  <w:left w:w="108" w:type="dxa"/>
                  <w:bottom w:w="0" w:type="dxa"/>
                  <w:right w:w="108" w:type="dxa"/>
                </w:tblCellMar>
              </w:tblPrEx>
              <w:trPr>
                <w:trHeight w:val="397" w:hRule="atLeast"/>
              </w:trPr>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检测点位</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rPr>
                  </w:pPr>
                  <w:r>
                    <w:rPr>
                      <w:rFonts w:hint="eastAsia"/>
                      <w:color w:val="auto"/>
                    </w:rPr>
                    <w:t>监测项目</w:t>
                  </w:r>
                </w:p>
              </w:tc>
              <w:tc>
                <w:tcPr>
                  <w:tcW w:w="1286" w:type="dxa"/>
                  <w:tcBorders>
                    <w:top w:val="single" w:color="auto" w:sz="4" w:space="0"/>
                    <w:left w:val="nil"/>
                    <w:bottom w:val="single" w:color="auto" w:sz="4" w:space="0"/>
                    <w:right w:val="single" w:color="auto" w:sz="4" w:space="0"/>
                  </w:tcBorders>
                  <w:shd w:val="clear" w:color="auto" w:fill="auto"/>
                  <w:vAlign w:val="center"/>
                </w:tcPr>
                <w:p>
                  <w:pPr>
                    <w:jc w:val="center"/>
                    <w:rPr>
                      <w:color w:val="auto"/>
                    </w:rPr>
                  </w:pPr>
                  <w:r>
                    <w:rPr>
                      <w:rFonts w:hint="eastAsia"/>
                      <w:color w:val="auto"/>
                    </w:rPr>
                    <w:t>检测时间</w:t>
                  </w:r>
                </w:p>
              </w:tc>
              <w:tc>
                <w:tcPr>
                  <w:tcW w:w="2011" w:type="dxa"/>
                  <w:gridSpan w:val="2"/>
                  <w:tcBorders>
                    <w:top w:val="single" w:color="auto" w:sz="4" w:space="0"/>
                    <w:left w:val="nil"/>
                    <w:bottom w:val="single" w:color="auto" w:sz="4" w:space="0"/>
                    <w:right w:val="single" w:color="auto" w:sz="4" w:space="0"/>
                  </w:tcBorders>
                  <w:shd w:val="clear" w:color="auto" w:fill="auto"/>
                  <w:vAlign w:val="center"/>
                </w:tcPr>
                <w:p>
                  <w:pPr>
                    <w:jc w:val="center"/>
                    <w:rPr>
                      <w:color w:val="auto"/>
                    </w:rPr>
                  </w:pPr>
                  <w:r>
                    <w:rPr>
                      <w:rFonts w:hint="eastAsia"/>
                      <w:color w:val="auto"/>
                    </w:rPr>
                    <w:t>监测结果（mg/m</w:t>
                  </w:r>
                  <w:r>
                    <w:rPr>
                      <w:rFonts w:hint="eastAsia"/>
                      <w:color w:val="auto"/>
                      <w:vertAlign w:val="superscript"/>
                    </w:rPr>
                    <w:t>3</w:t>
                  </w:r>
                  <w:r>
                    <w:rPr>
                      <w:rFonts w:hint="eastAsia"/>
                      <w:color w:val="auto"/>
                    </w:rPr>
                    <w:t>）</w:t>
                  </w:r>
                </w:p>
              </w:tc>
              <w:tc>
                <w:tcPr>
                  <w:tcW w:w="1239" w:type="dxa"/>
                  <w:tcBorders>
                    <w:top w:val="single" w:color="auto" w:sz="4" w:space="0"/>
                    <w:left w:val="nil"/>
                    <w:bottom w:val="single" w:color="auto" w:sz="4" w:space="0"/>
                    <w:right w:val="single" w:color="auto" w:sz="4" w:space="0"/>
                  </w:tcBorders>
                  <w:shd w:val="clear" w:color="auto" w:fill="auto"/>
                  <w:vAlign w:val="center"/>
                </w:tcPr>
                <w:p>
                  <w:pPr>
                    <w:jc w:val="center"/>
                    <w:rPr>
                      <w:color w:val="auto"/>
                    </w:rPr>
                  </w:pPr>
                  <w:r>
                    <w:rPr>
                      <w:rFonts w:hint="eastAsia"/>
                      <w:color w:val="auto"/>
                    </w:rPr>
                    <w:t>标准值（mg/m</w:t>
                  </w:r>
                  <w:r>
                    <w:rPr>
                      <w:rFonts w:hint="eastAsia"/>
                      <w:color w:val="auto"/>
                      <w:vertAlign w:val="superscript"/>
                    </w:rPr>
                    <w:t>3</w:t>
                  </w:r>
                  <w:r>
                    <w:rPr>
                      <w:rFonts w:hint="eastAsia"/>
                      <w:color w:val="auto"/>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rPr>
                  </w:pPr>
                  <w:r>
                    <w:rPr>
                      <w:rFonts w:hint="eastAsia"/>
                      <w:color w:val="auto"/>
                    </w:rPr>
                    <w:t>达标情况</w:t>
                  </w:r>
                </w:p>
              </w:tc>
            </w:tr>
            <w:tr>
              <w:tblPrEx>
                <w:tblCellMar>
                  <w:top w:w="0" w:type="dxa"/>
                  <w:left w:w="108" w:type="dxa"/>
                  <w:bottom w:w="0" w:type="dxa"/>
                  <w:right w:w="108" w:type="dxa"/>
                </w:tblCellMar>
              </w:tblPrEx>
              <w:trPr>
                <w:trHeight w:val="397" w:hRule="atLeast"/>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lang w:val="en-US" w:eastAsia="zh-CN"/>
                    </w:rPr>
                    <w:t>项目地</w:t>
                  </w:r>
                  <w:r>
                    <w:rPr>
                      <w:rFonts w:hint="eastAsia"/>
                      <w:color w:val="auto"/>
                    </w:rPr>
                    <w:t>下风向</w:t>
                  </w:r>
                  <w:r>
                    <w:rPr>
                      <w:rFonts w:hint="eastAsia"/>
                      <w:color w:val="auto"/>
                      <w:lang w:val="en-US" w:eastAsia="zh-CN"/>
                    </w:rPr>
                    <w:t>5</w:t>
                  </w:r>
                  <w:r>
                    <w:rPr>
                      <w:color w:val="auto"/>
                    </w:rPr>
                    <w:t>0m</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氟化物</w:t>
                  </w: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color w:val="auto"/>
                    </w:rPr>
                    <w:t>2022/</w:t>
                  </w:r>
                  <w:r>
                    <w:rPr>
                      <w:rFonts w:hint="eastAsia"/>
                      <w:color w:val="auto"/>
                      <w:lang w:val="en-US" w:eastAsia="zh-CN"/>
                    </w:rPr>
                    <w:t>7</w:t>
                  </w:r>
                  <w:r>
                    <w:rPr>
                      <w:color w:val="auto"/>
                    </w:rPr>
                    <w:t>/</w:t>
                  </w:r>
                  <w:r>
                    <w:rPr>
                      <w:rFonts w:hint="eastAsia"/>
                      <w:color w:val="auto"/>
                      <w:lang w:val="en-US" w:eastAsia="zh-CN"/>
                    </w:rPr>
                    <w:t>30</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02</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color w:val="auto"/>
                    </w:rPr>
                    <w:t>0.3</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r>
                    <w:rPr>
                      <w:rFonts w:hint="eastAsia"/>
                      <w:color w:val="auto"/>
                    </w:rPr>
                    <w:t>达标</w:t>
                  </w:r>
                </w:p>
              </w:tc>
            </w:tr>
            <w:tr>
              <w:tblPrEx>
                <w:tblCellMar>
                  <w:top w:w="0" w:type="dxa"/>
                  <w:left w:w="108" w:type="dxa"/>
                  <w:bottom w:w="0" w:type="dxa"/>
                  <w:right w:w="108" w:type="dxa"/>
                </w:tblCellMar>
              </w:tblPrEx>
              <w:trPr>
                <w:trHeight w:val="397" w:hRule="atLeast"/>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08</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color w:val="auto"/>
                      <w:lang w:val="en-US" w:eastAsia="zh-CN"/>
                    </w:rPr>
                  </w:pPr>
                </w:p>
              </w:tc>
            </w:tr>
            <w:tr>
              <w:tblPrEx>
                <w:tblCellMar>
                  <w:top w:w="0" w:type="dxa"/>
                  <w:left w:w="108" w:type="dxa"/>
                  <w:bottom w:w="0" w:type="dxa"/>
                  <w:right w:w="108" w:type="dxa"/>
                </w:tblCellMar>
              </w:tblPrEx>
              <w:trPr>
                <w:trHeight w:val="397" w:hRule="atLeast"/>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14</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color w:val="auto"/>
                      <w:lang w:val="en-US" w:eastAsia="zh-CN"/>
                    </w:rPr>
                  </w:pPr>
                </w:p>
              </w:tc>
            </w:tr>
            <w:tr>
              <w:tblPrEx>
                <w:tblCellMar>
                  <w:top w:w="0" w:type="dxa"/>
                  <w:left w:w="108" w:type="dxa"/>
                  <w:bottom w:w="0" w:type="dxa"/>
                  <w:right w:w="108" w:type="dxa"/>
                </w:tblCellMar>
              </w:tblPrEx>
              <w:trPr>
                <w:trHeight w:val="397" w:hRule="atLeast"/>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20</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color w:val="auto"/>
                      <w:lang w:val="en-US" w:eastAsia="zh-CN"/>
                    </w:rPr>
                  </w:pPr>
                </w:p>
              </w:tc>
            </w:tr>
            <w:tr>
              <w:tblPrEx>
                <w:tblCellMar>
                  <w:top w:w="0" w:type="dxa"/>
                  <w:left w:w="108" w:type="dxa"/>
                  <w:bottom w:w="0" w:type="dxa"/>
                  <w:right w:w="108" w:type="dxa"/>
                </w:tblCellMar>
              </w:tblPrEx>
              <w:trPr>
                <w:trHeight w:val="397"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color w:val="auto"/>
                    </w:rPr>
                    <w:t>2022/</w:t>
                  </w:r>
                  <w:r>
                    <w:rPr>
                      <w:rFonts w:hint="eastAsia"/>
                      <w:color w:val="auto"/>
                      <w:lang w:val="en-US" w:eastAsia="zh-CN"/>
                    </w:rPr>
                    <w:t>7</w:t>
                  </w:r>
                  <w:r>
                    <w:rPr>
                      <w:color w:val="auto"/>
                    </w:rPr>
                    <w:t>/</w:t>
                  </w:r>
                  <w:r>
                    <w:rPr>
                      <w:rFonts w:hint="eastAsia"/>
                      <w:color w:val="auto"/>
                      <w:lang w:val="en-US" w:eastAsia="zh-CN"/>
                    </w:rPr>
                    <w:t>31</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02</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color w:val="auto"/>
                    </w:rPr>
                    <w:t>0.3</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r>
                    <w:rPr>
                      <w:rFonts w:hint="eastAsia"/>
                      <w:color w:val="auto"/>
                    </w:rPr>
                    <w:t>达标</w:t>
                  </w:r>
                </w:p>
              </w:tc>
            </w:tr>
            <w:tr>
              <w:tblPrEx>
                <w:tblCellMar>
                  <w:top w:w="0" w:type="dxa"/>
                  <w:left w:w="108" w:type="dxa"/>
                  <w:bottom w:w="0" w:type="dxa"/>
                  <w:right w:w="108" w:type="dxa"/>
                </w:tblCellMar>
              </w:tblPrEx>
              <w:trPr>
                <w:trHeight w:val="397"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08</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color w:val="auto"/>
                      <w:lang w:val="en-US" w:eastAsia="zh-CN"/>
                    </w:rPr>
                  </w:pPr>
                </w:p>
              </w:tc>
            </w:tr>
            <w:tr>
              <w:tblPrEx>
                <w:tblCellMar>
                  <w:top w:w="0" w:type="dxa"/>
                  <w:left w:w="108" w:type="dxa"/>
                  <w:bottom w:w="0" w:type="dxa"/>
                  <w:right w:w="108" w:type="dxa"/>
                </w:tblCellMar>
              </w:tblPrEx>
              <w:trPr>
                <w:trHeight w:val="397"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14</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color w:val="auto"/>
                      <w:lang w:val="en-US" w:eastAsia="zh-CN"/>
                    </w:rPr>
                  </w:pPr>
                </w:p>
              </w:tc>
            </w:tr>
            <w:tr>
              <w:tblPrEx>
                <w:tblCellMar>
                  <w:top w:w="0" w:type="dxa"/>
                  <w:left w:w="108" w:type="dxa"/>
                  <w:bottom w:w="0" w:type="dxa"/>
                  <w:right w:w="108" w:type="dxa"/>
                </w:tblCellMar>
              </w:tblPrEx>
              <w:trPr>
                <w:trHeight w:val="397"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color w:val="auto"/>
                      <w:lang w:val="en-US" w:eastAsia="zh-CN"/>
                    </w:rPr>
                  </w:pPr>
                </w:p>
              </w:tc>
            </w:tr>
            <w:tr>
              <w:tblPrEx>
                <w:tblCellMar>
                  <w:top w:w="0" w:type="dxa"/>
                  <w:left w:w="108" w:type="dxa"/>
                  <w:bottom w:w="0" w:type="dxa"/>
                  <w:right w:w="108" w:type="dxa"/>
                </w:tblCellMar>
              </w:tblPrEx>
              <w:trPr>
                <w:trHeight w:val="397"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lang w:val="en-US" w:eastAsia="zh-CN"/>
                    </w:rPr>
                  </w:pPr>
                  <w:r>
                    <w:rPr>
                      <w:color w:val="auto"/>
                    </w:rPr>
                    <w:t>2022/</w:t>
                  </w:r>
                  <w:r>
                    <w:rPr>
                      <w:rFonts w:hint="eastAsia"/>
                      <w:color w:val="auto"/>
                      <w:lang w:val="en-US" w:eastAsia="zh-CN"/>
                    </w:rPr>
                    <w:t>8</w:t>
                  </w:r>
                  <w:r>
                    <w:rPr>
                      <w:color w:val="auto"/>
                    </w:rPr>
                    <w:t>/</w:t>
                  </w:r>
                  <w:r>
                    <w:rPr>
                      <w:rFonts w:hint="eastAsia"/>
                      <w:color w:val="auto"/>
                      <w:lang w:val="en-US" w:eastAsia="zh-CN"/>
                    </w:rPr>
                    <w:t>1</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02</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color w:val="auto"/>
                    </w:rPr>
                    <w:t>0.3</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r>
                    <w:rPr>
                      <w:rFonts w:hint="eastAsia"/>
                      <w:color w:val="auto"/>
                    </w:rPr>
                    <w:t>达标</w:t>
                  </w:r>
                </w:p>
              </w:tc>
            </w:tr>
            <w:tr>
              <w:tblPrEx>
                <w:tblCellMar>
                  <w:top w:w="0" w:type="dxa"/>
                  <w:left w:w="108" w:type="dxa"/>
                  <w:bottom w:w="0" w:type="dxa"/>
                  <w:right w:w="108" w:type="dxa"/>
                </w:tblCellMar>
              </w:tblPrEx>
              <w:trPr>
                <w:trHeight w:val="397"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1286" w:type="dxa"/>
                  <w:vMerge w:val="continue"/>
                  <w:tcBorders>
                    <w:top w:val="single" w:color="auto" w:sz="4" w:space="0"/>
                    <w:left w:val="nil"/>
                    <w:right w:val="single" w:color="auto" w:sz="4" w:space="0"/>
                  </w:tcBorders>
                  <w:shd w:val="clear" w:color="auto" w:fill="auto"/>
                  <w:vAlign w:val="center"/>
                </w:tcPr>
                <w:p>
                  <w:pPr>
                    <w:jc w:val="center"/>
                    <w:rPr>
                      <w:color w:val="auto"/>
                    </w:rPr>
                  </w:pPr>
                </w:p>
              </w:tc>
              <w:tc>
                <w:tcPr>
                  <w:tcW w:w="126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08</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continue"/>
                  <w:tcBorders>
                    <w:top w:val="single" w:color="auto" w:sz="4" w:space="0"/>
                    <w:left w:val="nil"/>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top w:val="single" w:color="auto" w:sz="4" w:space="0"/>
                    <w:left w:val="nil"/>
                    <w:right w:val="single" w:color="auto" w:sz="4" w:space="0"/>
                  </w:tcBorders>
                  <w:shd w:val="clear" w:color="auto" w:fill="auto"/>
                  <w:noWrap/>
                  <w:vAlign w:val="center"/>
                </w:tcPr>
                <w:p>
                  <w:pPr>
                    <w:jc w:val="center"/>
                    <w:rPr>
                      <w:rFonts w:hint="default" w:eastAsia="宋体"/>
                      <w:color w:val="auto"/>
                      <w:lang w:val="en-US" w:eastAsia="zh-CN"/>
                    </w:rPr>
                  </w:pPr>
                </w:p>
              </w:tc>
            </w:tr>
            <w:tr>
              <w:tblPrEx>
                <w:tblCellMar>
                  <w:top w:w="0" w:type="dxa"/>
                  <w:left w:w="108" w:type="dxa"/>
                  <w:bottom w:w="0" w:type="dxa"/>
                  <w:right w:w="108" w:type="dxa"/>
                </w:tblCellMar>
              </w:tblPrEx>
              <w:trPr>
                <w:trHeight w:val="397" w:hRule="atLeast"/>
              </w:trPr>
              <w:tc>
                <w:tcPr>
                  <w:tcW w:w="1207" w:type="dxa"/>
                  <w:vMerge w:val="continue"/>
                  <w:tcBorders>
                    <w:top w:val="nil"/>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p>
              </w:tc>
              <w:tc>
                <w:tcPr>
                  <w:tcW w:w="1286" w:type="dxa"/>
                  <w:vMerge w:val="continue"/>
                  <w:tcBorders>
                    <w:left w:val="nil"/>
                    <w:right w:val="single" w:color="auto" w:sz="4" w:space="0"/>
                  </w:tcBorders>
                  <w:shd w:val="clear" w:color="auto" w:fill="auto"/>
                  <w:vAlign w:val="center"/>
                </w:tcPr>
                <w:p>
                  <w:pPr>
                    <w:jc w:val="center"/>
                    <w:rPr>
                      <w:rFonts w:hint="default" w:eastAsia="宋体"/>
                      <w:color w:val="auto"/>
                      <w:lang w:val="en-US" w:eastAsia="zh-CN"/>
                    </w:rPr>
                  </w:pPr>
                </w:p>
              </w:tc>
              <w:tc>
                <w:tcPr>
                  <w:tcW w:w="1261"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14</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continue"/>
                  <w:tcBorders>
                    <w:left w:val="nil"/>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left w:val="nil"/>
                    <w:right w:val="single" w:color="auto" w:sz="4" w:space="0"/>
                  </w:tcBorders>
                  <w:shd w:val="clear" w:color="auto" w:fill="auto"/>
                  <w:noWrap/>
                  <w:vAlign w:val="center"/>
                </w:tcPr>
                <w:p>
                  <w:pPr>
                    <w:jc w:val="center"/>
                    <w:rPr>
                      <w:rFonts w:hint="default" w:eastAsia="宋体"/>
                      <w:color w:val="auto"/>
                      <w:lang w:val="en-US" w:eastAsia="zh-CN"/>
                    </w:rPr>
                  </w:pPr>
                </w:p>
              </w:tc>
            </w:tr>
            <w:tr>
              <w:tblPrEx>
                <w:tblCellMar>
                  <w:top w:w="0" w:type="dxa"/>
                  <w:left w:w="108" w:type="dxa"/>
                  <w:bottom w:w="0" w:type="dxa"/>
                  <w:right w:w="108" w:type="dxa"/>
                </w:tblCellMar>
              </w:tblPrEx>
              <w:trPr>
                <w:trHeight w:val="397" w:hRule="atLeast"/>
              </w:trPr>
              <w:tc>
                <w:tcPr>
                  <w:tcW w:w="1207" w:type="dxa"/>
                  <w:vMerge w:val="continue"/>
                  <w:tcBorders>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p>
              </w:tc>
              <w:tc>
                <w:tcPr>
                  <w:tcW w:w="1286" w:type="dxa"/>
                  <w:vMerge w:val="continue"/>
                  <w:tcBorders>
                    <w:left w:val="nil"/>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261"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w:t>
                  </w:r>
                  <w:r>
                    <w:rPr>
                      <w:rFonts w:hint="default" w:ascii="Times New Roman" w:hAnsi="Times New Roman" w:cs="Times New Roman"/>
                      <w:color w:val="auto"/>
                      <w:lang w:val="en-US" w:eastAsia="zh-CN"/>
                    </w:rPr>
                    <w:t>:</w:t>
                  </w:r>
                  <w:r>
                    <w:rPr>
                      <w:rFonts w:hint="eastAsia"/>
                      <w:color w:val="auto"/>
                      <w:lang w:val="en-US" w:eastAsia="zh-CN"/>
                    </w:rPr>
                    <w:t>00</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0.9L</w:t>
                  </w:r>
                </w:p>
              </w:tc>
              <w:tc>
                <w:tcPr>
                  <w:tcW w:w="1239" w:type="dxa"/>
                  <w:vMerge w:val="continue"/>
                  <w:tcBorders>
                    <w:left w:val="nil"/>
                    <w:bottom w:val="single" w:color="auto" w:sz="4" w:space="0"/>
                    <w:right w:val="single" w:color="auto" w:sz="4" w:space="0"/>
                  </w:tcBorders>
                  <w:shd w:val="clear" w:color="auto" w:fill="auto"/>
                  <w:vAlign w:val="center"/>
                </w:tcPr>
                <w:p>
                  <w:pPr>
                    <w:jc w:val="center"/>
                    <w:rPr>
                      <w:rFonts w:hint="default" w:eastAsia="宋体"/>
                      <w:color w:val="auto"/>
                      <w:lang w:val="en-US" w:eastAsia="zh-CN"/>
                    </w:rPr>
                  </w:pPr>
                </w:p>
              </w:tc>
              <w:tc>
                <w:tcPr>
                  <w:tcW w:w="1134" w:type="dxa"/>
                  <w:vMerge w:val="continue"/>
                  <w:tcBorders>
                    <w:left w:val="nil"/>
                    <w:bottom w:val="single" w:color="auto" w:sz="4" w:space="0"/>
                    <w:right w:val="single" w:color="auto" w:sz="4" w:space="0"/>
                  </w:tcBorders>
                  <w:shd w:val="clear" w:color="auto" w:fill="auto"/>
                  <w:noWrap/>
                  <w:vAlign w:val="center"/>
                </w:tcPr>
                <w:p>
                  <w:pPr>
                    <w:jc w:val="center"/>
                    <w:rPr>
                      <w:rFonts w:hint="default" w:eastAsia="宋体"/>
                      <w:color w:val="auto"/>
                      <w:lang w:val="en-US" w:eastAsia="zh-CN"/>
                    </w:rPr>
                  </w:pPr>
                </w:p>
              </w:tc>
            </w:tr>
            <w:tr>
              <w:tblPrEx>
                <w:tblCellMar>
                  <w:top w:w="0" w:type="dxa"/>
                  <w:left w:w="108" w:type="dxa"/>
                  <w:bottom w:w="0" w:type="dxa"/>
                  <w:right w:w="108" w:type="dxa"/>
                </w:tblCellMar>
              </w:tblPrEx>
              <w:trPr>
                <w:trHeight w:val="397" w:hRule="atLeast"/>
              </w:trPr>
              <w:tc>
                <w:tcPr>
                  <w:tcW w:w="1207" w:type="dxa"/>
                  <w:vMerge w:val="continue"/>
                  <w:tcBorders>
                    <w:top w:val="nil"/>
                    <w:left w:val="single" w:color="auto" w:sz="4" w:space="0"/>
                    <w:bottom w:val="single" w:color="auto" w:sz="4" w:space="0"/>
                    <w:right w:val="single" w:color="auto" w:sz="4" w:space="0"/>
                  </w:tcBorders>
                  <w:vAlign w:val="center"/>
                </w:tcPr>
                <w:p>
                  <w:pPr>
                    <w:jc w:val="center"/>
                    <w:rPr>
                      <w:color w:val="auto"/>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auto"/>
                    </w:rPr>
                  </w:pPr>
                  <w:r>
                    <w:rPr>
                      <w:color w:val="auto"/>
                    </w:rPr>
                    <w:t>TSP</w:t>
                  </w:r>
                </w:p>
              </w:tc>
              <w:tc>
                <w:tcPr>
                  <w:tcW w:w="128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color w:val="auto"/>
                    </w:rPr>
                    <w:t>2022/</w:t>
                  </w:r>
                  <w:r>
                    <w:rPr>
                      <w:rFonts w:hint="eastAsia"/>
                      <w:color w:val="auto"/>
                      <w:lang w:val="en-US" w:eastAsia="zh-CN"/>
                    </w:rPr>
                    <w:t>7</w:t>
                  </w:r>
                  <w:r>
                    <w:rPr>
                      <w:color w:val="auto"/>
                    </w:rPr>
                    <w:t>/</w:t>
                  </w:r>
                  <w:r>
                    <w:rPr>
                      <w:rFonts w:hint="eastAsia"/>
                      <w:color w:val="auto"/>
                      <w:lang w:val="en-US" w:eastAsia="zh-CN"/>
                    </w:rPr>
                    <w:t>30</w:t>
                  </w:r>
                </w:p>
              </w:tc>
              <w:tc>
                <w:tcPr>
                  <w:tcW w:w="1261" w:type="dxa"/>
                  <w:tcBorders>
                    <w:top w:val="nil"/>
                    <w:left w:val="nil"/>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24h平均值</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189</w:t>
                  </w:r>
                </w:p>
              </w:tc>
              <w:tc>
                <w:tcPr>
                  <w:tcW w:w="1239" w:type="dxa"/>
                  <w:tcBorders>
                    <w:top w:val="nil"/>
                    <w:left w:val="nil"/>
                    <w:bottom w:val="single" w:color="auto" w:sz="4" w:space="0"/>
                    <w:right w:val="single" w:color="auto" w:sz="4" w:space="0"/>
                  </w:tcBorders>
                  <w:shd w:val="clear" w:color="auto" w:fill="auto"/>
                  <w:vAlign w:val="center"/>
                </w:tcPr>
                <w:p>
                  <w:pPr>
                    <w:jc w:val="center"/>
                    <w:rPr>
                      <w:color w:val="auto"/>
                    </w:rPr>
                  </w:pPr>
                  <w:r>
                    <w:rPr>
                      <w:color w:val="auto"/>
                    </w:rPr>
                    <w:t>0.02</w:t>
                  </w:r>
                </w:p>
              </w:tc>
              <w:tc>
                <w:tcPr>
                  <w:tcW w:w="1134" w:type="dxa"/>
                  <w:tcBorders>
                    <w:top w:val="nil"/>
                    <w:left w:val="nil"/>
                    <w:bottom w:val="single" w:color="auto" w:sz="4" w:space="0"/>
                    <w:right w:val="single" w:color="auto" w:sz="4" w:space="0"/>
                  </w:tcBorders>
                  <w:shd w:val="clear" w:color="auto" w:fill="auto"/>
                  <w:noWrap/>
                  <w:vAlign w:val="center"/>
                </w:tcPr>
                <w:p>
                  <w:pPr>
                    <w:jc w:val="center"/>
                    <w:rPr>
                      <w:color w:val="auto"/>
                    </w:rPr>
                  </w:pPr>
                  <w:r>
                    <w:rPr>
                      <w:rFonts w:hint="eastAsia"/>
                      <w:color w:val="auto"/>
                    </w:rPr>
                    <w:t>达标</w:t>
                  </w:r>
                </w:p>
              </w:tc>
            </w:tr>
            <w:tr>
              <w:tblPrEx>
                <w:tblCellMar>
                  <w:top w:w="0" w:type="dxa"/>
                  <w:left w:w="108" w:type="dxa"/>
                  <w:bottom w:w="0" w:type="dxa"/>
                  <w:right w:w="108" w:type="dxa"/>
                </w:tblCellMar>
              </w:tblPrEx>
              <w:trPr>
                <w:trHeight w:val="397" w:hRule="atLeast"/>
              </w:trPr>
              <w:tc>
                <w:tcPr>
                  <w:tcW w:w="1207" w:type="dxa"/>
                  <w:vMerge w:val="continue"/>
                  <w:tcBorders>
                    <w:top w:val="nil"/>
                    <w:left w:val="single" w:color="auto" w:sz="4" w:space="0"/>
                    <w:bottom w:val="single" w:color="auto" w:sz="4" w:space="0"/>
                    <w:right w:val="single" w:color="auto" w:sz="4" w:space="0"/>
                  </w:tcBorders>
                  <w:vAlign w:val="center"/>
                </w:tcPr>
                <w:p>
                  <w:pPr>
                    <w:jc w:val="center"/>
                    <w:rPr>
                      <w:color w:val="auto"/>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color w:val="auto"/>
                    </w:rPr>
                  </w:pPr>
                </w:p>
              </w:tc>
              <w:tc>
                <w:tcPr>
                  <w:tcW w:w="128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color w:val="auto"/>
                    </w:rPr>
                    <w:t>2022/</w:t>
                  </w:r>
                  <w:r>
                    <w:rPr>
                      <w:rFonts w:hint="eastAsia"/>
                      <w:color w:val="auto"/>
                      <w:lang w:val="en-US" w:eastAsia="zh-CN"/>
                    </w:rPr>
                    <w:t>7</w:t>
                  </w:r>
                  <w:r>
                    <w:rPr>
                      <w:color w:val="auto"/>
                    </w:rPr>
                    <w:t>/</w:t>
                  </w:r>
                  <w:r>
                    <w:rPr>
                      <w:rFonts w:hint="eastAsia"/>
                      <w:color w:val="auto"/>
                      <w:lang w:val="en-US" w:eastAsia="zh-CN"/>
                    </w:rPr>
                    <w:t>31</w:t>
                  </w:r>
                </w:p>
              </w:tc>
              <w:tc>
                <w:tcPr>
                  <w:tcW w:w="1261" w:type="dxa"/>
                  <w:tcBorders>
                    <w:top w:val="nil"/>
                    <w:left w:val="nil"/>
                    <w:bottom w:val="single" w:color="auto" w:sz="4" w:space="0"/>
                    <w:right w:val="single" w:color="auto" w:sz="4" w:space="0"/>
                  </w:tcBorders>
                  <w:shd w:val="clear" w:color="auto" w:fill="auto"/>
                  <w:vAlign w:val="center"/>
                </w:tcPr>
                <w:p>
                  <w:pPr>
                    <w:jc w:val="center"/>
                    <w:rPr>
                      <w:color w:val="auto"/>
                    </w:rPr>
                  </w:pPr>
                  <w:r>
                    <w:rPr>
                      <w:rFonts w:hint="eastAsia"/>
                      <w:color w:val="auto"/>
                      <w:lang w:val="en-US" w:eastAsia="zh-CN"/>
                    </w:rPr>
                    <w:t>24h平均值</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224</w:t>
                  </w:r>
                </w:p>
              </w:tc>
              <w:tc>
                <w:tcPr>
                  <w:tcW w:w="1239" w:type="dxa"/>
                  <w:tcBorders>
                    <w:top w:val="nil"/>
                    <w:left w:val="nil"/>
                    <w:bottom w:val="single" w:color="auto" w:sz="4" w:space="0"/>
                    <w:right w:val="single" w:color="auto" w:sz="4" w:space="0"/>
                  </w:tcBorders>
                  <w:shd w:val="clear" w:color="auto" w:fill="auto"/>
                  <w:vAlign w:val="center"/>
                </w:tcPr>
                <w:p>
                  <w:pPr>
                    <w:jc w:val="center"/>
                    <w:rPr>
                      <w:color w:val="auto"/>
                    </w:rPr>
                  </w:pPr>
                  <w:r>
                    <w:rPr>
                      <w:color w:val="auto"/>
                    </w:rPr>
                    <w:t>0.02</w:t>
                  </w:r>
                </w:p>
              </w:tc>
              <w:tc>
                <w:tcPr>
                  <w:tcW w:w="1134" w:type="dxa"/>
                  <w:tcBorders>
                    <w:top w:val="nil"/>
                    <w:left w:val="nil"/>
                    <w:bottom w:val="single" w:color="auto" w:sz="4" w:space="0"/>
                    <w:right w:val="single" w:color="auto" w:sz="4" w:space="0"/>
                  </w:tcBorders>
                  <w:shd w:val="clear" w:color="auto" w:fill="auto"/>
                  <w:noWrap/>
                  <w:vAlign w:val="center"/>
                </w:tcPr>
                <w:p>
                  <w:pPr>
                    <w:jc w:val="center"/>
                    <w:rPr>
                      <w:color w:val="auto"/>
                    </w:rPr>
                  </w:pPr>
                  <w:r>
                    <w:rPr>
                      <w:rFonts w:hint="eastAsia"/>
                      <w:color w:val="auto"/>
                    </w:rPr>
                    <w:t>达标</w:t>
                  </w:r>
                </w:p>
              </w:tc>
            </w:tr>
            <w:tr>
              <w:tblPrEx>
                <w:tblCellMar>
                  <w:top w:w="0" w:type="dxa"/>
                  <w:left w:w="108" w:type="dxa"/>
                  <w:bottom w:w="0" w:type="dxa"/>
                  <w:right w:w="108" w:type="dxa"/>
                </w:tblCellMar>
              </w:tblPrEx>
              <w:trPr>
                <w:trHeight w:val="397" w:hRule="atLeast"/>
              </w:trPr>
              <w:tc>
                <w:tcPr>
                  <w:tcW w:w="1207" w:type="dxa"/>
                  <w:vMerge w:val="continue"/>
                  <w:tcBorders>
                    <w:top w:val="nil"/>
                    <w:left w:val="single" w:color="auto" w:sz="4" w:space="0"/>
                    <w:bottom w:val="single" w:color="auto" w:sz="4" w:space="0"/>
                    <w:right w:val="single" w:color="auto" w:sz="4" w:space="0"/>
                  </w:tcBorders>
                  <w:vAlign w:val="center"/>
                </w:tcPr>
                <w:p>
                  <w:pPr>
                    <w:jc w:val="center"/>
                    <w:rPr>
                      <w:color w:val="auto"/>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color w:val="auto"/>
                    </w:rPr>
                  </w:pPr>
                </w:p>
              </w:tc>
              <w:tc>
                <w:tcPr>
                  <w:tcW w:w="128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2"/>
                      <w:sz w:val="21"/>
                      <w:szCs w:val="24"/>
                      <w:lang w:val="en-US" w:eastAsia="zh-CN" w:bidi="ar-SA"/>
                    </w:rPr>
                  </w:pPr>
                  <w:r>
                    <w:rPr>
                      <w:color w:val="auto"/>
                    </w:rPr>
                    <w:t>2022/</w:t>
                  </w:r>
                  <w:r>
                    <w:rPr>
                      <w:rFonts w:hint="eastAsia"/>
                      <w:color w:val="auto"/>
                      <w:lang w:val="en-US" w:eastAsia="zh-CN"/>
                    </w:rPr>
                    <w:t>8</w:t>
                  </w:r>
                  <w:r>
                    <w:rPr>
                      <w:color w:val="auto"/>
                    </w:rPr>
                    <w:t>/</w:t>
                  </w:r>
                  <w:r>
                    <w:rPr>
                      <w:rFonts w:hint="eastAsia"/>
                      <w:color w:val="auto"/>
                      <w:lang w:val="en-US" w:eastAsia="zh-CN"/>
                    </w:rPr>
                    <w:t>1</w:t>
                  </w:r>
                </w:p>
              </w:tc>
              <w:tc>
                <w:tcPr>
                  <w:tcW w:w="1261" w:type="dxa"/>
                  <w:tcBorders>
                    <w:top w:val="nil"/>
                    <w:left w:val="nil"/>
                    <w:bottom w:val="single" w:color="auto" w:sz="4" w:space="0"/>
                    <w:right w:val="single" w:color="auto" w:sz="4" w:space="0"/>
                  </w:tcBorders>
                  <w:shd w:val="clear" w:color="auto" w:fill="auto"/>
                  <w:vAlign w:val="center"/>
                </w:tcPr>
                <w:p>
                  <w:pPr>
                    <w:jc w:val="center"/>
                    <w:rPr>
                      <w:color w:val="auto"/>
                    </w:rPr>
                  </w:pPr>
                  <w:r>
                    <w:rPr>
                      <w:rFonts w:hint="eastAsia"/>
                      <w:color w:val="auto"/>
                      <w:lang w:val="en-US" w:eastAsia="zh-CN"/>
                    </w:rPr>
                    <w:t>24h平均值</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宋体"/>
                      <w:color w:val="auto"/>
                      <w:lang w:val="en-US" w:eastAsia="zh-CN"/>
                    </w:rPr>
                  </w:pPr>
                  <w:r>
                    <w:rPr>
                      <w:rFonts w:hint="eastAsia"/>
                      <w:color w:val="auto"/>
                      <w:lang w:val="en-US" w:eastAsia="zh-CN"/>
                    </w:rPr>
                    <w:t>193</w:t>
                  </w:r>
                </w:p>
              </w:tc>
              <w:tc>
                <w:tcPr>
                  <w:tcW w:w="1239" w:type="dxa"/>
                  <w:tcBorders>
                    <w:top w:val="nil"/>
                    <w:left w:val="nil"/>
                    <w:bottom w:val="single" w:color="auto" w:sz="4" w:space="0"/>
                    <w:right w:val="single" w:color="auto" w:sz="4" w:space="0"/>
                  </w:tcBorders>
                  <w:shd w:val="clear" w:color="auto" w:fill="auto"/>
                  <w:vAlign w:val="center"/>
                </w:tcPr>
                <w:p>
                  <w:pPr>
                    <w:jc w:val="center"/>
                    <w:rPr>
                      <w:color w:val="auto"/>
                    </w:rPr>
                  </w:pPr>
                  <w:r>
                    <w:rPr>
                      <w:color w:val="auto"/>
                    </w:rPr>
                    <w:t>0.02</w:t>
                  </w:r>
                </w:p>
              </w:tc>
              <w:tc>
                <w:tcPr>
                  <w:tcW w:w="1134" w:type="dxa"/>
                  <w:tcBorders>
                    <w:top w:val="nil"/>
                    <w:left w:val="nil"/>
                    <w:bottom w:val="single" w:color="auto" w:sz="4" w:space="0"/>
                    <w:right w:val="single" w:color="auto" w:sz="4" w:space="0"/>
                  </w:tcBorders>
                  <w:shd w:val="clear" w:color="auto" w:fill="auto"/>
                  <w:noWrap/>
                  <w:vAlign w:val="center"/>
                </w:tcPr>
                <w:p>
                  <w:pPr>
                    <w:jc w:val="center"/>
                    <w:rPr>
                      <w:color w:val="auto"/>
                    </w:rPr>
                  </w:pPr>
                  <w:r>
                    <w:rPr>
                      <w:rFonts w:hint="eastAsia"/>
                      <w:color w:val="auto"/>
                    </w:rPr>
                    <w:t>达标</w:t>
                  </w:r>
                </w:p>
              </w:tc>
            </w:tr>
          </w:tbl>
          <w:p>
            <w:pPr>
              <w:pStyle w:val="60"/>
              <w:ind w:firstLine="420"/>
              <w:rPr>
                <w:color w:val="auto"/>
                <w:sz w:val="24"/>
                <w:szCs w:val="24"/>
              </w:rPr>
            </w:pPr>
            <w:r>
              <w:rPr>
                <w:color w:val="auto"/>
                <w:sz w:val="24"/>
                <w:szCs w:val="24"/>
              </w:rPr>
              <w:t>由监测结果表明，项目所在地环境空气中</w:t>
            </w:r>
            <w:r>
              <w:rPr>
                <w:rFonts w:hint="eastAsia"/>
                <w:color w:val="auto"/>
                <w:sz w:val="24"/>
                <w:szCs w:val="24"/>
              </w:rPr>
              <w:t>T</w:t>
            </w:r>
            <w:r>
              <w:rPr>
                <w:color w:val="auto"/>
                <w:sz w:val="24"/>
                <w:szCs w:val="24"/>
              </w:rPr>
              <w:t>SP</w:t>
            </w:r>
            <w:r>
              <w:rPr>
                <w:rFonts w:hint="eastAsia"/>
                <w:color w:val="auto"/>
                <w:sz w:val="24"/>
                <w:szCs w:val="24"/>
              </w:rPr>
              <w:t>和氟化物</w:t>
            </w:r>
            <w:r>
              <w:rPr>
                <w:color w:val="auto"/>
                <w:sz w:val="24"/>
                <w:szCs w:val="24"/>
              </w:rPr>
              <w:t>质量现状满足《环境空气质量标准》二级标准</w:t>
            </w:r>
            <w:r>
              <w:rPr>
                <w:rFonts w:hint="eastAsia"/>
                <w:color w:val="auto"/>
                <w:sz w:val="24"/>
                <w:szCs w:val="24"/>
              </w:rPr>
              <w:t>要求</w:t>
            </w:r>
            <w:r>
              <w:rPr>
                <w:color w:val="auto"/>
                <w:sz w:val="24"/>
                <w:szCs w:val="24"/>
              </w:rPr>
              <w:t>。</w:t>
            </w:r>
          </w:p>
          <w:p>
            <w:pPr>
              <w:pStyle w:val="60"/>
              <w:ind w:left="0" w:leftChars="0" w:firstLine="0" w:firstLineChars="0"/>
              <w:rPr>
                <w:b/>
                <w:bCs/>
                <w:color w:val="auto"/>
                <w:sz w:val="24"/>
                <w:szCs w:val="24"/>
              </w:rPr>
            </w:pPr>
            <w:r>
              <w:rPr>
                <w:rFonts w:hint="eastAsia"/>
                <w:b/>
                <w:bCs/>
                <w:color w:val="auto"/>
                <w:sz w:val="24"/>
                <w:szCs w:val="24"/>
                <w:lang w:val="en-US" w:eastAsia="zh-CN"/>
              </w:rPr>
              <w:t>3.</w:t>
            </w:r>
            <w:r>
              <w:rPr>
                <w:b/>
                <w:bCs/>
                <w:color w:val="auto"/>
                <w:sz w:val="24"/>
                <w:szCs w:val="24"/>
              </w:rPr>
              <w:t>2声环境质量现状</w:t>
            </w:r>
          </w:p>
          <w:p>
            <w:pPr>
              <w:pStyle w:val="60"/>
              <w:ind w:firstLine="420"/>
              <w:rPr>
                <w:color w:val="auto"/>
                <w:sz w:val="24"/>
                <w:szCs w:val="24"/>
              </w:rPr>
            </w:pPr>
            <w:r>
              <w:rPr>
                <w:color w:val="auto"/>
                <w:sz w:val="24"/>
                <w:szCs w:val="24"/>
              </w:rPr>
              <w:t>本次评价委</w:t>
            </w:r>
            <w:r>
              <w:rPr>
                <w:rFonts w:ascii="Times New Roman" w:hAnsi="Times New Roman" w:eastAsia="宋体" w:cs="Times New Roman"/>
                <w:color w:val="auto"/>
                <w:sz w:val="24"/>
                <w:szCs w:val="24"/>
              </w:rPr>
              <w:t>托</w:t>
            </w:r>
            <w:r>
              <w:rPr>
                <w:rFonts w:hint="eastAsia"/>
                <w:color w:val="auto"/>
                <w:sz w:val="24"/>
                <w:szCs w:val="24"/>
                <w:lang w:val="en-US" w:eastAsia="zh-CN"/>
              </w:rPr>
              <w:t>甘肃馨宝利环境监测有限公司</w:t>
            </w:r>
            <w:r>
              <w:rPr>
                <w:color w:val="auto"/>
                <w:sz w:val="24"/>
                <w:szCs w:val="24"/>
              </w:rPr>
              <w:t>于2022年</w:t>
            </w:r>
            <w:r>
              <w:rPr>
                <w:rFonts w:hint="eastAsia"/>
                <w:color w:val="auto"/>
                <w:sz w:val="24"/>
                <w:szCs w:val="24"/>
                <w:lang w:val="en-US" w:eastAsia="zh-CN"/>
              </w:rPr>
              <w:t>8</w:t>
            </w:r>
            <w:r>
              <w:rPr>
                <w:color w:val="auto"/>
                <w:sz w:val="24"/>
                <w:szCs w:val="24"/>
              </w:rPr>
              <w:t>月</w:t>
            </w:r>
            <w:r>
              <w:rPr>
                <w:rFonts w:hint="eastAsia"/>
                <w:color w:val="auto"/>
                <w:sz w:val="24"/>
                <w:szCs w:val="24"/>
                <w:lang w:val="en-US" w:eastAsia="zh-CN"/>
              </w:rPr>
              <w:t>1</w:t>
            </w:r>
            <w:r>
              <w:rPr>
                <w:color w:val="auto"/>
                <w:sz w:val="24"/>
                <w:szCs w:val="24"/>
              </w:rPr>
              <w:t>日至</w:t>
            </w:r>
            <w:r>
              <w:rPr>
                <w:rFonts w:hint="eastAsia"/>
                <w:color w:val="auto"/>
                <w:sz w:val="24"/>
                <w:szCs w:val="24"/>
                <w:lang w:val="en-US" w:eastAsia="zh-CN"/>
              </w:rPr>
              <w:t>2</w:t>
            </w:r>
            <w:r>
              <w:rPr>
                <w:color w:val="auto"/>
                <w:sz w:val="24"/>
                <w:szCs w:val="24"/>
              </w:rPr>
              <w:t>日对项目厂界声环境质量进行现状监测，在</w:t>
            </w:r>
            <w:r>
              <w:rPr>
                <w:rFonts w:hint="eastAsia"/>
                <w:color w:val="auto"/>
                <w:sz w:val="24"/>
                <w:szCs w:val="24"/>
                <w:lang w:val="en-US" w:eastAsia="zh-CN"/>
              </w:rPr>
              <w:t>技改</w:t>
            </w:r>
            <w:r>
              <w:rPr>
                <w:color w:val="auto"/>
                <w:sz w:val="24"/>
                <w:szCs w:val="24"/>
              </w:rPr>
              <w:t>项目厂界四周共设</w:t>
            </w:r>
            <w:r>
              <w:rPr>
                <w:rFonts w:hint="eastAsia"/>
                <w:color w:val="auto"/>
                <w:sz w:val="24"/>
                <w:szCs w:val="24"/>
                <w:lang w:val="en-US" w:eastAsia="zh-CN"/>
              </w:rPr>
              <w:t>4</w:t>
            </w:r>
            <w:r>
              <w:rPr>
                <w:color w:val="auto"/>
                <w:sz w:val="24"/>
                <w:szCs w:val="24"/>
              </w:rPr>
              <w:t>个监测点位，监测等效连续A声级。具体监测点位见附。监测结果见下表。</w:t>
            </w:r>
          </w:p>
          <w:p>
            <w:pPr>
              <w:pStyle w:val="14"/>
              <w:keepNext/>
              <w:spacing w:line="240" w:lineRule="auto"/>
              <w:rPr>
                <w:color w:val="auto"/>
              </w:rPr>
            </w:pPr>
            <w:r>
              <w:rPr>
                <w:rFonts w:hint="eastAsia" w:ascii="宋体" w:hAnsi="宋体" w:eastAsia="宋体" w:cs="宋体"/>
                <w:color w:val="auto"/>
              </w:rPr>
              <w:t>表</w:t>
            </w:r>
            <w:r>
              <w:rPr>
                <w:rFonts w:hint="eastAsia" w:eastAsia="宋体"/>
                <w:color w:val="auto"/>
                <w:lang w:val="en-US" w:eastAsia="zh-CN"/>
              </w:rPr>
              <w:t xml:space="preserve">3-3   </w:t>
            </w:r>
            <w:r>
              <w:rPr>
                <w:rFonts w:hint="eastAsia" w:ascii="宋体" w:hAnsi="宋体" w:eastAsia="宋体" w:cs="宋体"/>
                <w:color w:val="auto"/>
              </w:rPr>
              <w:t>噪声监测结果一览表</w:t>
            </w:r>
          </w:p>
          <w:tbl>
            <w:tblPr>
              <w:tblStyle w:val="30"/>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565"/>
              <w:gridCol w:w="1565"/>
              <w:gridCol w:w="156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rPr>
                      <w:color w:val="auto"/>
                    </w:rPr>
                  </w:pPr>
                  <w:r>
                    <w:rPr>
                      <w:rFonts w:hint="eastAsia"/>
                      <w:color w:val="auto"/>
                    </w:rPr>
                    <w:t>监测时间</w:t>
                  </w:r>
                </w:p>
              </w:tc>
              <w:tc>
                <w:tcPr>
                  <w:tcW w:w="3130" w:type="dxa"/>
                  <w:gridSpan w:val="2"/>
                  <w:vAlign w:val="center"/>
                </w:tcPr>
                <w:p>
                  <w:pPr>
                    <w:pStyle w:val="57"/>
                    <w:rPr>
                      <w:rFonts w:hint="default" w:eastAsia="宋体"/>
                      <w:color w:val="auto"/>
                      <w:lang w:val="en-US" w:eastAsia="zh-CN"/>
                    </w:rPr>
                  </w:pPr>
                  <w:r>
                    <w:rPr>
                      <w:color w:val="auto"/>
                    </w:rPr>
                    <w:t>2022/</w:t>
                  </w:r>
                  <w:r>
                    <w:rPr>
                      <w:rFonts w:hint="eastAsia"/>
                      <w:color w:val="auto"/>
                      <w:lang w:val="en-US" w:eastAsia="zh-CN"/>
                    </w:rPr>
                    <w:t>8</w:t>
                  </w:r>
                  <w:r>
                    <w:rPr>
                      <w:color w:val="auto"/>
                    </w:rPr>
                    <w:t>/</w:t>
                  </w:r>
                  <w:r>
                    <w:rPr>
                      <w:rFonts w:hint="eastAsia"/>
                      <w:color w:val="auto"/>
                      <w:lang w:val="en-US" w:eastAsia="zh-CN"/>
                    </w:rPr>
                    <w:t>1</w:t>
                  </w:r>
                </w:p>
              </w:tc>
              <w:tc>
                <w:tcPr>
                  <w:tcW w:w="3129" w:type="dxa"/>
                  <w:gridSpan w:val="2"/>
                  <w:vAlign w:val="center"/>
                </w:tcPr>
                <w:p>
                  <w:pPr>
                    <w:pStyle w:val="57"/>
                    <w:rPr>
                      <w:rFonts w:hint="default" w:eastAsia="宋体"/>
                      <w:color w:val="auto"/>
                      <w:lang w:val="en-US" w:eastAsia="zh-CN"/>
                    </w:rPr>
                  </w:pPr>
                  <w:r>
                    <w:rPr>
                      <w:color w:val="auto"/>
                    </w:rPr>
                    <w:t>2022/</w:t>
                  </w:r>
                  <w:r>
                    <w:rPr>
                      <w:rFonts w:hint="eastAsia"/>
                      <w:color w:val="auto"/>
                      <w:lang w:val="en-US" w:eastAsia="zh-CN"/>
                    </w:rPr>
                    <w:t>8</w:t>
                  </w:r>
                  <w:r>
                    <w:rPr>
                      <w:color w:val="auto"/>
                    </w:rPr>
                    <w:t>/</w:t>
                  </w:r>
                  <w:r>
                    <w:rPr>
                      <w:rFonts w:hint="eastAsia"/>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52" w:type="dxa"/>
                  <w:vAlign w:val="center"/>
                </w:tcPr>
                <w:p>
                  <w:pPr>
                    <w:pStyle w:val="57"/>
                    <w:rPr>
                      <w:color w:val="auto"/>
                    </w:rPr>
                  </w:pPr>
                  <w:r>
                    <w:rPr>
                      <w:rFonts w:hint="eastAsia"/>
                      <w:color w:val="auto"/>
                    </w:rPr>
                    <w:t>检测点位</w:t>
                  </w:r>
                </w:p>
              </w:tc>
              <w:tc>
                <w:tcPr>
                  <w:tcW w:w="1565" w:type="dxa"/>
                  <w:vAlign w:val="center"/>
                </w:tcPr>
                <w:p>
                  <w:pPr>
                    <w:pStyle w:val="57"/>
                    <w:rPr>
                      <w:color w:val="auto"/>
                    </w:rPr>
                  </w:pPr>
                  <w:r>
                    <w:rPr>
                      <w:rFonts w:hint="eastAsia"/>
                      <w:color w:val="auto"/>
                    </w:rPr>
                    <w:t>昼间</w:t>
                  </w:r>
                  <w:r>
                    <w:rPr>
                      <w:color w:val="auto"/>
                    </w:rPr>
                    <w:t>dB(A)</w:t>
                  </w:r>
                </w:p>
              </w:tc>
              <w:tc>
                <w:tcPr>
                  <w:tcW w:w="1565" w:type="dxa"/>
                  <w:vAlign w:val="center"/>
                </w:tcPr>
                <w:p>
                  <w:pPr>
                    <w:pStyle w:val="57"/>
                    <w:rPr>
                      <w:color w:val="auto"/>
                    </w:rPr>
                  </w:pPr>
                  <w:r>
                    <w:rPr>
                      <w:rFonts w:hint="eastAsia"/>
                      <w:color w:val="auto"/>
                    </w:rPr>
                    <w:t>夜间</w:t>
                  </w:r>
                  <w:r>
                    <w:rPr>
                      <w:color w:val="auto"/>
                    </w:rPr>
                    <w:t>dB(A)</w:t>
                  </w:r>
                </w:p>
              </w:tc>
              <w:tc>
                <w:tcPr>
                  <w:tcW w:w="1565" w:type="dxa"/>
                  <w:vAlign w:val="center"/>
                </w:tcPr>
                <w:p>
                  <w:pPr>
                    <w:pStyle w:val="57"/>
                    <w:rPr>
                      <w:color w:val="auto"/>
                    </w:rPr>
                  </w:pPr>
                  <w:r>
                    <w:rPr>
                      <w:rFonts w:hint="eastAsia"/>
                      <w:color w:val="auto"/>
                    </w:rPr>
                    <w:t>昼间</w:t>
                  </w:r>
                  <w:r>
                    <w:rPr>
                      <w:color w:val="auto"/>
                    </w:rPr>
                    <w:t>dB(A)</w:t>
                  </w:r>
                </w:p>
              </w:tc>
              <w:tc>
                <w:tcPr>
                  <w:tcW w:w="1564" w:type="dxa"/>
                  <w:vAlign w:val="center"/>
                </w:tcPr>
                <w:p>
                  <w:pPr>
                    <w:pStyle w:val="57"/>
                    <w:rPr>
                      <w:color w:val="auto"/>
                    </w:rPr>
                  </w:pPr>
                  <w:r>
                    <w:rPr>
                      <w:rFonts w:hint="eastAsia"/>
                      <w:color w:val="auto"/>
                    </w:rPr>
                    <w:t>夜间</w:t>
                  </w:r>
                  <w:r>
                    <w:rPr>
                      <w:color w:val="auto"/>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rPr>
                      <w:color w:val="auto"/>
                    </w:rPr>
                  </w:pPr>
                  <w:r>
                    <w:rPr>
                      <w:color w:val="auto"/>
                    </w:rPr>
                    <w:t>1#</w:t>
                  </w:r>
                  <w:r>
                    <w:rPr>
                      <w:rFonts w:hint="eastAsia"/>
                      <w:color w:val="auto"/>
                    </w:rPr>
                    <w:t>厂界</w:t>
                  </w:r>
                  <w:r>
                    <w:rPr>
                      <w:rFonts w:hint="eastAsia"/>
                      <w:color w:val="auto"/>
                      <w:lang w:val="en-US" w:eastAsia="zh-CN"/>
                    </w:rPr>
                    <w:t>东</w:t>
                  </w:r>
                  <w:r>
                    <w:rPr>
                      <w:rFonts w:hint="eastAsia"/>
                      <w:color w:val="auto"/>
                    </w:rPr>
                    <w:t>侧</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51.8</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47.8</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51.3</w:t>
                  </w:r>
                </w:p>
              </w:tc>
              <w:tc>
                <w:tcPr>
                  <w:tcW w:w="1564"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rPr>
                      <w:color w:val="auto"/>
                    </w:rPr>
                  </w:pPr>
                  <w:r>
                    <w:rPr>
                      <w:color w:val="auto"/>
                    </w:rPr>
                    <w:t>2#</w:t>
                  </w:r>
                  <w:r>
                    <w:rPr>
                      <w:rFonts w:hint="eastAsia"/>
                      <w:color w:val="auto"/>
                    </w:rPr>
                    <w:t>厂界</w:t>
                  </w:r>
                  <w:r>
                    <w:rPr>
                      <w:rFonts w:hint="eastAsia"/>
                      <w:color w:val="auto"/>
                      <w:lang w:val="en-US" w:eastAsia="zh-CN"/>
                    </w:rPr>
                    <w:t>南</w:t>
                  </w:r>
                  <w:r>
                    <w:rPr>
                      <w:rFonts w:hint="eastAsia"/>
                      <w:color w:val="auto"/>
                    </w:rPr>
                    <w:t>侧</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52.5</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48.5</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53.4</w:t>
                  </w:r>
                </w:p>
              </w:tc>
              <w:tc>
                <w:tcPr>
                  <w:tcW w:w="1564"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rPr>
                      <w:color w:val="auto"/>
                    </w:rPr>
                  </w:pPr>
                  <w:r>
                    <w:rPr>
                      <w:color w:val="auto"/>
                    </w:rPr>
                    <w:t>3#</w:t>
                  </w:r>
                  <w:r>
                    <w:rPr>
                      <w:rFonts w:hint="eastAsia"/>
                      <w:color w:val="auto"/>
                    </w:rPr>
                    <w:t>厂界</w:t>
                  </w:r>
                  <w:r>
                    <w:rPr>
                      <w:rFonts w:hint="eastAsia"/>
                      <w:color w:val="auto"/>
                      <w:lang w:val="en-US" w:eastAsia="zh-CN"/>
                    </w:rPr>
                    <w:t>西</w:t>
                  </w:r>
                  <w:r>
                    <w:rPr>
                      <w:rFonts w:hint="eastAsia"/>
                      <w:color w:val="auto"/>
                    </w:rPr>
                    <w:t>侧</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49.5</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48.9</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49.5</w:t>
                  </w:r>
                </w:p>
              </w:tc>
              <w:tc>
                <w:tcPr>
                  <w:tcW w:w="1564"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rPr>
                      <w:rFonts w:hint="eastAsia" w:eastAsia="宋体"/>
                      <w:color w:val="auto"/>
                      <w:lang w:eastAsia="zh-CN"/>
                    </w:rPr>
                  </w:pPr>
                  <w:r>
                    <w:rPr>
                      <w:color w:val="auto"/>
                    </w:rPr>
                    <w:t>4#</w:t>
                  </w:r>
                  <w:r>
                    <w:rPr>
                      <w:rFonts w:hint="eastAsia"/>
                      <w:color w:val="auto"/>
                    </w:rPr>
                    <w:t>厂界</w:t>
                  </w:r>
                  <w:r>
                    <w:rPr>
                      <w:rFonts w:hint="eastAsia"/>
                      <w:color w:val="auto"/>
                      <w:lang w:val="en-US" w:eastAsia="zh-CN"/>
                    </w:rPr>
                    <w:t>北</w:t>
                  </w:r>
                  <w:r>
                    <w:rPr>
                      <w:rFonts w:hint="eastAsia"/>
                      <w:color w:val="auto"/>
                    </w:rPr>
                    <w:t>侧</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51.4</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47.3</w:t>
                  </w:r>
                </w:p>
              </w:tc>
              <w:tc>
                <w:tcPr>
                  <w:tcW w:w="1565"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51.3</w:t>
                  </w:r>
                </w:p>
              </w:tc>
              <w:tc>
                <w:tcPr>
                  <w:tcW w:w="1564"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rPr>
                      <w:color w:val="auto"/>
                    </w:rPr>
                  </w:pPr>
                  <w:r>
                    <w:rPr>
                      <w:rFonts w:hint="eastAsia"/>
                      <w:color w:val="auto"/>
                    </w:rPr>
                    <w:t>标准限值</w:t>
                  </w:r>
                </w:p>
              </w:tc>
              <w:tc>
                <w:tcPr>
                  <w:tcW w:w="1565" w:type="dxa"/>
                  <w:vAlign w:val="center"/>
                </w:tcPr>
                <w:p>
                  <w:pPr>
                    <w:pStyle w:val="57"/>
                    <w:rPr>
                      <w:rFonts w:hint="default" w:eastAsia="宋体"/>
                      <w:color w:val="auto"/>
                      <w:lang w:val="en-US" w:eastAsia="zh-CN"/>
                    </w:rPr>
                  </w:pPr>
                  <w:r>
                    <w:rPr>
                      <w:rFonts w:hint="eastAsia"/>
                      <w:color w:val="auto"/>
                      <w:lang w:val="en-US" w:eastAsia="zh-CN"/>
                    </w:rPr>
                    <w:t>60</w:t>
                  </w:r>
                </w:p>
              </w:tc>
              <w:tc>
                <w:tcPr>
                  <w:tcW w:w="1565" w:type="dxa"/>
                  <w:vAlign w:val="center"/>
                </w:tcPr>
                <w:p>
                  <w:pPr>
                    <w:pStyle w:val="57"/>
                    <w:rPr>
                      <w:rFonts w:hint="default" w:eastAsia="宋体"/>
                      <w:color w:val="auto"/>
                      <w:lang w:val="en-US" w:eastAsia="zh-CN"/>
                    </w:rPr>
                  </w:pPr>
                  <w:r>
                    <w:rPr>
                      <w:rFonts w:hint="eastAsia"/>
                      <w:color w:val="auto"/>
                      <w:lang w:val="en-US" w:eastAsia="zh-CN"/>
                    </w:rPr>
                    <w:t>50</w:t>
                  </w:r>
                </w:p>
              </w:tc>
              <w:tc>
                <w:tcPr>
                  <w:tcW w:w="1565" w:type="dxa"/>
                  <w:vAlign w:val="center"/>
                </w:tcPr>
                <w:p>
                  <w:pPr>
                    <w:pStyle w:val="57"/>
                    <w:jc w:val="center"/>
                    <w:rPr>
                      <w:rFonts w:hint="default" w:eastAsia="宋体"/>
                      <w:color w:val="auto"/>
                      <w:lang w:val="en-US" w:eastAsia="zh-CN"/>
                    </w:rPr>
                  </w:pPr>
                  <w:r>
                    <w:rPr>
                      <w:rFonts w:hint="eastAsia"/>
                      <w:color w:val="auto"/>
                      <w:lang w:val="en-US" w:eastAsia="zh-CN"/>
                    </w:rPr>
                    <w:t>60</w:t>
                  </w:r>
                </w:p>
              </w:tc>
              <w:tc>
                <w:tcPr>
                  <w:tcW w:w="1564" w:type="dxa"/>
                  <w:vAlign w:val="center"/>
                </w:tcPr>
                <w:p>
                  <w:pPr>
                    <w:pStyle w:val="57"/>
                    <w:rPr>
                      <w:rFonts w:hint="default" w:eastAsia="宋体"/>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rPr>
                      <w:color w:val="auto"/>
                    </w:rPr>
                  </w:pPr>
                  <w:r>
                    <w:rPr>
                      <w:rFonts w:hint="eastAsia"/>
                      <w:color w:val="auto"/>
                    </w:rPr>
                    <w:t>达标情况</w:t>
                  </w:r>
                </w:p>
              </w:tc>
              <w:tc>
                <w:tcPr>
                  <w:tcW w:w="1565" w:type="dxa"/>
                  <w:vAlign w:val="center"/>
                </w:tcPr>
                <w:p>
                  <w:pPr>
                    <w:pStyle w:val="57"/>
                    <w:rPr>
                      <w:color w:val="auto"/>
                    </w:rPr>
                  </w:pPr>
                  <w:r>
                    <w:rPr>
                      <w:rFonts w:hint="eastAsia"/>
                      <w:color w:val="auto"/>
                    </w:rPr>
                    <w:t>达标</w:t>
                  </w:r>
                </w:p>
              </w:tc>
              <w:tc>
                <w:tcPr>
                  <w:tcW w:w="1565" w:type="dxa"/>
                  <w:vAlign w:val="center"/>
                </w:tcPr>
                <w:p>
                  <w:pPr>
                    <w:pStyle w:val="57"/>
                    <w:rPr>
                      <w:color w:val="auto"/>
                    </w:rPr>
                  </w:pPr>
                  <w:r>
                    <w:rPr>
                      <w:rFonts w:hint="eastAsia"/>
                      <w:color w:val="auto"/>
                    </w:rPr>
                    <w:t>达标</w:t>
                  </w:r>
                </w:p>
              </w:tc>
              <w:tc>
                <w:tcPr>
                  <w:tcW w:w="1565" w:type="dxa"/>
                  <w:vAlign w:val="center"/>
                </w:tcPr>
                <w:p>
                  <w:pPr>
                    <w:pStyle w:val="57"/>
                    <w:rPr>
                      <w:color w:val="auto"/>
                    </w:rPr>
                  </w:pPr>
                  <w:r>
                    <w:rPr>
                      <w:rFonts w:hint="eastAsia"/>
                      <w:color w:val="auto"/>
                    </w:rPr>
                    <w:t>达标</w:t>
                  </w:r>
                </w:p>
              </w:tc>
              <w:tc>
                <w:tcPr>
                  <w:tcW w:w="1564" w:type="dxa"/>
                  <w:vAlign w:val="center"/>
                </w:tcPr>
                <w:p>
                  <w:pPr>
                    <w:pStyle w:val="57"/>
                    <w:rPr>
                      <w:color w:val="auto"/>
                    </w:rPr>
                  </w:pPr>
                  <w:r>
                    <w:rPr>
                      <w:rFonts w:hint="eastAsia"/>
                      <w:color w:val="auto"/>
                    </w:rPr>
                    <w:t>达标</w:t>
                  </w:r>
                </w:p>
              </w:tc>
            </w:tr>
          </w:tbl>
          <w:p>
            <w:pPr>
              <w:pStyle w:val="60"/>
              <w:ind w:firstLine="420"/>
              <w:rPr>
                <w:color w:val="auto"/>
                <w:sz w:val="24"/>
                <w:szCs w:val="24"/>
              </w:rPr>
            </w:pPr>
            <w:r>
              <w:rPr>
                <w:color w:val="auto"/>
                <w:sz w:val="24"/>
                <w:szCs w:val="24"/>
              </w:rPr>
              <w:t>由上表，项目厂界噪声监测值均满足《声环境质量标准》2类标准，声环境质量现状良好。</w:t>
            </w:r>
          </w:p>
          <w:p>
            <w:pPr>
              <w:pStyle w:val="60"/>
              <w:ind w:left="0" w:leftChars="0" w:firstLine="0" w:firstLineChars="0"/>
              <w:rPr>
                <w:b/>
                <w:bCs/>
                <w:color w:val="auto"/>
                <w:sz w:val="24"/>
                <w:szCs w:val="24"/>
              </w:rPr>
            </w:pPr>
            <w:r>
              <w:rPr>
                <w:rFonts w:hint="eastAsia"/>
                <w:b/>
                <w:bCs/>
                <w:color w:val="auto"/>
                <w:sz w:val="24"/>
                <w:szCs w:val="24"/>
                <w:lang w:val="en-US" w:eastAsia="zh-CN"/>
              </w:rPr>
              <w:t>3.</w:t>
            </w:r>
            <w:r>
              <w:rPr>
                <w:b/>
                <w:bCs/>
                <w:color w:val="auto"/>
                <w:sz w:val="24"/>
                <w:szCs w:val="24"/>
              </w:rPr>
              <w:t>3</w:t>
            </w:r>
            <w:r>
              <w:rPr>
                <w:rFonts w:hint="eastAsia"/>
                <w:b/>
                <w:bCs/>
                <w:color w:val="auto"/>
                <w:sz w:val="24"/>
                <w:szCs w:val="24"/>
              </w:rPr>
              <w:t>地表水环境质量现状</w:t>
            </w:r>
          </w:p>
          <w:p>
            <w:pPr>
              <w:adjustRightInd w:val="0"/>
              <w:snapToGrid w:val="0"/>
              <w:spacing w:line="360" w:lineRule="auto"/>
              <w:ind w:firstLine="482"/>
              <w:jc w:val="left"/>
              <w:rPr>
                <w:rFonts w:hint="default" w:ascii="Times New Roman" w:hAnsi="Times New Roman" w:eastAsia="宋体"/>
                <w:color w:val="auto"/>
                <w:sz w:val="24"/>
                <w:szCs w:val="24"/>
                <w:lang w:val="en-US" w:eastAsia="zh-CN"/>
              </w:rPr>
            </w:pPr>
            <w:r>
              <w:rPr>
                <w:rFonts w:ascii="Times New Roman" w:hAnsi="Times New Roman"/>
                <w:color w:val="auto"/>
                <w:sz w:val="24"/>
                <w:szCs w:val="24"/>
              </w:rPr>
              <w:t>评价</w:t>
            </w:r>
            <w:r>
              <w:rPr>
                <w:rFonts w:hint="eastAsia" w:ascii="Times New Roman" w:hAnsi="Times New Roman"/>
                <w:color w:val="auto"/>
                <w:sz w:val="24"/>
                <w:szCs w:val="24"/>
              </w:rPr>
              <w:t>项目选址</w:t>
            </w:r>
            <w:r>
              <w:rPr>
                <w:rFonts w:ascii="Times New Roman" w:hAnsi="Times New Roman"/>
                <w:color w:val="auto"/>
                <w:sz w:val="24"/>
                <w:szCs w:val="24"/>
              </w:rPr>
              <w:t>区域</w:t>
            </w:r>
            <w:r>
              <w:rPr>
                <w:rFonts w:hint="eastAsia" w:ascii="Times New Roman" w:hAnsi="Times New Roman"/>
                <w:color w:val="auto"/>
                <w:sz w:val="24"/>
                <w:szCs w:val="24"/>
                <w:lang w:eastAsia="zh-CN"/>
              </w:rPr>
              <w:t>地表水为</w:t>
            </w:r>
            <w:r>
              <w:rPr>
                <w:rFonts w:hint="eastAsia" w:ascii="Times New Roman" w:hAnsi="Times New Roman"/>
                <w:color w:val="auto"/>
                <w:sz w:val="24"/>
                <w:szCs w:val="24"/>
                <w:lang w:val="en-US" w:eastAsia="zh-CN"/>
              </w:rPr>
              <w:t>马莲河</w:t>
            </w:r>
            <w:r>
              <w:rPr>
                <w:rFonts w:hint="eastAsia" w:ascii="Times New Roman" w:hAnsi="Times New Roman"/>
                <w:color w:val="auto"/>
                <w:sz w:val="24"/>
                <w:szCs w:val="24"/>
              </w:rPr>
              <w:t>，</w:t>
            </w:r>
            <w:r>
              <w:rPr>
                <w:rFonts w:ascii="Times New Roman" w:hAnsi="Times New Roman"/>
                <w:color w:val="auto"/>
                <w:sz w:val="24"/>
                <w:szCs w:val="24"/>
              </w:rPr>
              <w:t>为了解项目地表水环境质量现状情况，本次环评地表水环境质量现状引用</w:t>
            </w:r>
            <w:r>
              <w:rPr>
                <w:rFonts w:hint="eastAsia" w:ascii="Times New Roman" w:hAnsi="Times New Roman"/>
                <w:color w:val="auto"/>
                <w:sz w:val="24"/>
                <w:szCs w:val="24"/>
                <w:lang w:eastAsia="zh-CN"/>
              </w:rPr>
              <w:t>庆阳市生态环境局</w:t>
            </w:r>
            <w:r>
              <w:rPr>
                <w:rFonts w:ascii="Times New Roman" w:hAnsi="Times New Roman"/>
                <w:color w:val="auto"/>
                <w:sz w:val="24"/>
                <w:szCs w:val="24"/>
              </w:rPr>
              <w:t>于20</w:t>
            </w:r>
            <w:r>
              <w:rPr>
                <w:rFonts w:hint="eastAsia" w:ascii="Times New Roman" w:hAnsi="Times New Roman"/>
                <w:color w:val="auto"/>
                <w:sz w:val="24"/>
                <w:szCs w:val="24"/>
                <w:lang w:val="en-US" w:eastAsia="zh-CN"/>
              </w:rPr>
              <w:t>22</w:t>
            </w:r>
            <w:r>
              <w:rPr>
                <w:rFonts w:ascii="Times New Roman" w:hAnsi="Times New Roman"/>
                <w:color w:val="auto"/>
                <w:sz w:val="24"/>
                <w:szCs w:val="24"/>
              </w:rPr>
              <w:t>年</w:t>
            </w:r>
            <w:r>
              <w:rPr>
                <w:rFonts w:hint="eastAsia" w:ascii="Times New Roman" w:hAnsi="Times New Roman"/>
                <w:color w:val="auto"/>
                <w:sz w:val="24"/>
                <w:szCs w:val="24"/>
                <w:lang w:val="en-US" w:eastAsia="zh-CN"/>
              </w:rPr>
              <w:t>1-12</w:t>
            </w:r>
            <w:r>
              <w:rPr>
                <w:rFonts w:ascii="Times New Roman" w:hAnsi="Times New Roman"/>
                <w:color w:val="auto"/>
                <w:sz w:val="24"/>
                <w:szCs w:val="24"/>
              </w:rPr>
              <w:t>月</w:t>
            </w:r>
            <w:r>
              <w:rPr>
                <w:rFonts w:hint="eastAsia" w:ascii="Times New Roman" w:hAnsi="Times New Roman"/>
                <w:color w:val="auto"/>
                <w:sz w:val="24"/>
                <w:szCs w:val="24"/>
                <w:lang w:eastAsia="zh-CN"/>
              </w:rPr>
              <w:t>份的庆阳市河流地表水环境质量公示。</w:t>
            </w:r>
            <w:r>
              <w:rPr>
                <w:rFonts w:hint="eastAsia" w:ascii="Times New Roman" w:hAnsi="Times New Roman" w:eastAsia="宋体" w:cs="Times New Roman"/>
                <w:color w:val="auto"/>
                <w:sz w:val="24"/>
                <w:szCs w:val="24"/>
                <w:lang w:eastAsia="zh-CN"/>
              </w:rPr>
              <w:t>详见下表。</w:t>
            </w:r>
          </w:p>
          <w:p>
            <w:pPr>
              <w:pStyle w:val="14"/>
              <w:adjustRightInd w:val="0"/>
              <w:snapToGrid w:val="0"/>
              <w:spacing w:line="240" w:lineRule="auto"/>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rPr>
              <w:t>表3-</w:t>
            </w:r>
            <w:r>
              <w:rPr>
                <w:rFonts w:hint="eastAsia" w:ascii="Times New Roman" w:hAnsi="Times New Roman" w:eastAsia="宋体" w:cs="Times New Roman"/>
                <w:b/>
                <w:color w:val="auto"/>
                <w:sz w:val="21"/>
                <w:szCs w:val="21"/>
                <w:lang w:val="en-US" w:eastAsia="zh-CN"/>
              </w:rPr>
              <w:t>3</w:t>
            </w:r>
            <w:r>
              <w:rPr>
                <w:rFonts w:hint="default" w:ascii="Times New Roman" w:hAnsi="Times New Roman" w:eastAsia="宋体" w:cs="Times New Roman"/>
                <w:b/>
                <w:color w:val="auto"/>
                <w:sz w:val="21"/>
                <w:szCs w:val="21"/>
              </w:rPr>
              <w:t xml:space="preserve">   </w:t>
            </w:r>
            <w:r>
              <w:rPr>
                <w:rFonts w:hint="eastAsia" w:ascii="Times New Roman" w:hAnsi="Times New Roman" w:eastAsia="宋体" w:cs="Times New Roman"/>
                <w:b/>
                <w:color w:val="auto"/>
                <w:sz w:val="21"/>
                <w:szCs w:val="21"/>
                <w:lang w:eastAsia="zh-CN"/>
              </w:rPr>
              <w:t>项目地表水</w:t>
            </w:r>
            <w:r>
              <w:rPr>
                <w:rFonts w:hint="eastAsia" w:ascii="Times New Roman" w:hAnsi="Times New Roman" w:eastAsia="宋体" w:cs="Times New Roman"/>
                <w:b/>
                <w:color w:val="auto"/>
                <w:sz w:val="21"/>
                <w:szCs w:val="21"/>
                <w:lang w:val="en-US" w:eastAsia="zh-CN"/>
              </w:rPr>
              <w:t>马莲河</w:t>
            </w:r>
            <w:r>
              <w:rPr>
                <w:rFonts w:hint="eastAsia" w:ascii="Times New Roman" w:hAnsi="Times New Roman" w:eastAsia="宋体" w:cs="Times New Roman"/>
                <w:b/>
                <w:color w:val="auto"/>
                <w:sz w:val="21"/>
                <w:szCs w:val="21"/>
                <w:lang w:eastAsia="zh-CN"/>
              </w:rPr>
              <w:t>流域水质监测一览表</w:t>
            </w:r>
          </w:p>
          <w:p>
            <w:pPr>
              <w:pStyle w:val="60"/>
              <w:ind w:left="0" w:leftChars="0" w:firstLine="0" w:firstLineChars="0"/>
              <w:jc w:val="center"/>
            </w:pPr>
            <w:r>
              <w:drawing>
                <wp:inline distT="0" distB="0" distL="114300" distR="114300">
                  <wp:extent cx="3710305" cy="733425"/>
                  <wp:effectExtent l="0" t="0" r="4445" b="9525"/>
                  <wp:docPr id="1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
                          <pic:cNvPicPr>
                            <a:picLocks noChangeAspect="1"/>
                          </pic:cNvPicPr>
                        </pic:nvPicPr>
                        <pic:blipFill>
                          <a:blip r:embed="rId18"/>
                          <a:stretch>
                            <a:fillRect/>
                          </a:stretch>
                        </pic:blipFill>
                        <pic:spPr>
                          <a:xfrm>
                            <a:off x="0" y="0"/>
                            <a:ext cx="3710305" cy="733425"/>
                          </a:xfrm>
                          <a:prstGeom prst="rect">
                            <a:avLst/>
                          </a:prstGeom>
                          <a:noFill/>
                          <a:ln>
                            <a:noFill/>
                          </a:ln>
                        </pic:spPr>
                      </pic:pic>
                    </a:graphicData>
                  </a:graphic>
                </wp:inline>
              </w:drawing>
            </w:r>
          </w:p>
          <w:p>
            <w:pPr>
              <w:pStyle w:val="60"/>
              <w:ind w:left="0" w:leftChars="0" w:firstLine="0" w:firstLineChars="0"/>
              <w:jc w:val="center"/>
              <w:rPr>
                <w:rFonts w:hint="eastAsia" w:ascii="Times New Roman" w:hAnsi="Times New Roman"/>
                <w:b w:val="0"/>
                <w:bCs/>
                <w:color w:val="auto"/>
                <w:sz w:val="24"/>
                <w:szCs w:val="24"/>
                <w:lang w:val="en-US" w:eastAsia="zh-CN"/>
              </w:rPr>
            </w:pPr>
            <w:r>
              <w:rPr>
                <w:rFonts w:hint="eastAsia" w:ascii="Times New Roman" w:hAnsi="Times New Roman"/>
                <w:b w:val="0"/>
                <w:bCs/>
                <w:color w:val="auto"/>
                <w:sz w:val="24"/>
                <w:szCs w:val="24"/>
                <w:lang w:eastAsia="zh-CN"/>
              </w:rPr>
              <w:t>根据上表地表水环境质量现状监测资料可知，项目区域地表</w:t>
            </w:r>
            <w:r>
              <w:rPr>
                <w:rFonts w:hint="eastAsia" w:ascii="Times New Roman" w:hAnsi="Times New Roman"/>
                <w:b w:val="0"/>
                <w:bCs/>
                <w:color w:val="auto"/>
                <w:sz w:val="24"/>
                <w:szCs w:val="24"/>
                <w:lang w:val="en-US" w:eastAsia="zh-CN"/>
              </w:rPr>
              <w:t>水质良好</w:t>
            </w:r>
          </w:p>
          <w:p>
            <w:pPr>
              <w:pStyle w:val="60"/>
              <w:ind w:left="0" w:leftChars="0" w:firstLine="0" w:firstLineChars="0"/>
              <w:rPr>
                <w:b/>
                <w:bCs/>
                <w:color w:val="auto"/>
                <w:sz w:val="24"/>
                <w:szCs w:val="24"/>
              </w:rPr>
            </w:pPr>
            <w:r>
              <w:rPr>
                <w:rFonts w:hint="eastAsia"/>
                <w:b/>
                <w:bCs/>
                <w:color w:val="auto"/>
                <w:sz w:val="24"/>
                <w:szCs w:val="24"/>
                <w:lang w:val="en-US" w:eastAsia="zh-CN"/>
              </w:rPr>
              <w:t>3.</w:t>
            </w:r>
            <w:r>
              <w:rPr>
                <w:b/>
                <w:bCs/>
                <w:color w:val="auto"/>
                <w:sz w:val="24"/>
                <w:szCs w:val="24"/>
              </w:rPr>
              <w:t>4土壤环境质量现状</w:t>
            </w:r>
          </w:p>
          <w:p>
            <w:pPr>
              <w:pStyle w:val="60"/>
              <w:ind w:firstLine="420"/>
              <w:rPr>
                <w:b/>
                <w:bCs/>
                <w:color w:val="auto"/>
                <w:sz w:val="24"/>
                <w:szCs w:val="24"/>
              </w:rPr>
            </w:pPr>
            <w:r>
              <w:rPr>
                <w:rFonts w:hint="eastAsia"/>
                <w:color w:val="auto"/>
                <w:sz w:val="24"/>
                <w:szCs w:val="24"/>
              </w:rPr>
              <w:t>本次评价委托</w:t>
            </w:r>
            <w:r>
              <w:rPr>
                <w:rFonts w:hint="eastAsia"/>
                <w:color w:val="auto"/>
                <w:sz w:val="24"/>
                <w:szCs w:val="24"/>
                <w:lang w:val="en-US" w:eastAsia="zh-CN"/>
              </w:rPr>
              <w:t>甘肃馨宝利环境监测有限公司</w:t>
            </w:r>
            <w:r>
              <w:rPr>
                <w:rFonts w:hint="eastAsia"/>
                <w:color w:val="auto"/>
                <w:sz w:val="24"/>
                <w:szCs w:val="24"/>
              </w:rPr>
              <w:t>于202</w:t>
            </w:r>
            <w:r>
              <w:rPr>
                <w:rFonts w:hint="eastAsia"/>
                <w:color w:val="auto"/>
                <w:sz w:val="24"/>
                <w:szCs w:val="24"/>
                <w:lang w:val="en-US" w:eastAsia="zh-CN"/>
              </w:rPr>
              <w:t>2</w:t>
            </w:r>
            <w:r>
              <w:rPr>
                <w:rFonts w:hint="eastAsia"/>
                <w:color w:val="auto"/>
                <w:sz w:val="24"/>
                <w:szCs w:val="24"/>
              </w:rPr>
              <w:t>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1</w:t>
            </w:r>
            <w:r>
              <w:rPr>
                <w:rFonts w:hint="eastAsia"/>
                <w:color w:val="auto"/>
                <w:sz w:val="24"/>
                <w:szCs w:val="24"/>
              </w:rPr>
              <w:t>日对项目所在地占地范围内土壤本底值</w:t>
            </w:r>
            <w:r>
              <w:rPr>
                <w:rFonts w:hint="eastAsia"/>
                <w:color w:val="auto"/>
                <w:sz w:val="24"/>
                <w:szCs w:val="24"/>
                <w:lang w:val="en-US" w:eastAsia="zh-CN"/>
              </w:rPr>
              <w:t>及东侧农田</w:t>
            </w:r>
            <w:r>
              <w:rPr>
                <w:rFonts w:hint="eastAsia"/>
                <w:color w:val="auto"/>
                <w:sz w:val="24"/>
                <w:szCs w:val="24"/>
              </w:rPr>
              <w:t>进行监测，共设监测点</w:t>
            </w:r>
            <w:r>
              <w:rPr>
                <w:rFonts w:hint="eastAsia"/>
                <w:color w:val="auto"/>
                <w:sz w:val="24"/>
                <w:szCs w:val="24"/>
                <w:lang w:val="en-US" w:eastAsia="zh-CN"/>
              </w:rPr>
              <w:t>3</w:t>
            </w:r>
            <w:r>
              <w:rPr>
                <w:rFonts w:hint="eastAsia"/>
                <w:color w:val="auto"/>
                <w:sz w:val="24"/>
                <w:szCs w:val="24"/>
              </w:rPr>
              <w:t>个，位置见附图，监测因子及结果见下表</w:t>
            </w:r>
          </w:p>
          <w:p>
            <w:pPr>
              <w:pStyle w:val="14"/>
              <w:keepNext/>
              <w:spacing w:line="240" w:lineRule="auto"/>
              <w:rPr>
                <w:rFonts w:hint="default" w:eastAsia="宋体"/>
                <w:color w:val="auto"/>
                <w:lang w:val="en-US" w:eastAsia="zh-CN"/>
              </w:rPr>
            </w:pPr>
            <w:r>
              <w:rPr>
                <w:rFonts w:hint="eastAsia" w:ascii="宋体" w:hAnsi="宋体" w:eastAsia="宋体" w:cs="宋体"/>
                <w:color w:val="auto"/>
              </w:rPr>
              <w:t>表</w:t>
            </w:r>
            <w:r>
              <w:rPr>
                <w:rFonts w:hint="eastAsia" w:eastAsia="宋体"/>
                <w:color w:val="auto"/>
                <w:lang w:val="en-US" w:eastAsia="zh-CN"/>
              </w:rPr>
              <w:t xml:space="preserve">3-5  </w:t>
            </w:r>
            <w:r>
              <w:rPr>
                <w:rFonts w:hint="eastAsia" w:ascii="宋体" w:hAnsi="宋体" w:eastAsia="宋体" w:cs="宋体"/>
                <w:color w:val="auto"/>
              </w:rPr>
              <w:t>占地范围内土壤监测结果</w:t>
            </w:r>
            <w:r>
              <w:rPr>
                <w:rFonts w:hint="eastAsia" w:ascii="宋体" w:hAnsi="宋体" w:eastAsia="宋体" w:cs="宋体"/>
                <w:color w:val="auto"/>
                <w:lang w:val="en-US" w:eastAsia="zh-CN"/>
              </w:rPr>
              <w:t>表1      mg/kg</w:t>
            </w:r>
          </w:p>
          <w:tbl>
            <w:tblPr>
              <w:tblStyle w:val="30"/>
              <w:tblW w:w="8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373"/>
              <w:gridCol w:w="1347"/>
              <w:gridCol w:w="2010"/>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705" w:type="pct"/>
                  <w:gridSpan w:val="2"/>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57"/>
                    <w:jc w:val="right"/>
                    <w:rPr>
                      <w:rFonts w:hint="eastAsia"/>
                      <w:color w:val="auto"/>
                    </w:rPr>
                  </w:pPr>
                </w:p>
                <w:p>
                  <w:pPr>
                    <w:pStyle w:val="57"/>
                    <w:rPr>
                      <w:rFonts w:hint="eastAsia"/>
                      <w:color w:val="auto"/>
                    </w:rPr>
                  </w:pPr>
                </w:p>
                <w:p>
                  <w:pPr>
                    <w:pStyle w:val="57"/>
                    <w:snapToGrid w:val="0"/>
                    <w:spacing w:line="240" w:lineRule="auto"/>
                    <w:jc w:val="both"/>
                    <mc:AlternateContent>
                      <mc:Choice Requires="wpsCustomData">
                        <wpsCustomData:diagonalParaType/>
                      </mc:Choice>
                    </mc:AlternateContent>
                    <w:rPr>
                      <w:rFonts w:hint="eastAsia" w:eastAsia="宋体"/>
                      <w:color w:val="auto"/>
                      <w:lang w:val="en-US" w:eastAsia="zh-CN"/>
                    </w:rPr>
                  </w:pPr>
                  <w:r>
                    <w:rPr>
                      <w:rFonts w:hint="eastAsia"/>
                      <w:color w:val="auto"/>
                      <w:lang w:val="en-US" w:eastAsia="zh-CN"/>
                    </w:rPr>
                    <w:t>项目</w:t>
                  </w:r>
                </w:p>
                <w:p>
                  <w:pPr>
                    <w:pStyle w:val="57"/>
                    <w:jc w:val="right"/>
                    <w:rPr>
                      <w:rFonts w:hint="eastAsia" w:eastAsia="宋体"/>
                      <w:color w:val="auto"/>
                      <w:lang w:val="en-US" w:eastAsia="zh-CN"/>
                    </w:rPr>
                  </w:pPr>
                  <w:r>
                    <w:rPr>
                      <w:rFonts w:hint="eastAsia"/>
                      <w:color w:val="auto"/>
                      <w:lang w:val="en-US" w:eastAsia="zh-CN"/>
                    </w:rPr>
                    <w:t>点位</w:t>
                  </w:r>
                </w:p>
              </w:tc>
              <w:tc>
                <w:tcPr>
                  <w:tcW w:w="836" w:type="pct"/>
                  <w:vAlign w:val="center"/>
                </w:tcPr>
                <w:p>
                  <w:pPr>
                    <w:pStyle w:val="57"/>
                    <w:rPr>
                      <w:rFonts w:hint="default" w:eastAsia="宋体"/>
                      <w:color w:val="auto"/>
                      <w:lang w:val="en-US" w:eastAsia="zh-CN"/>
                    </w:rPr>
                  </w:pPr>
                  <w:r>
                    <w:rPr>
                      <w:rFonts w:hint="eastAsia"/>
                      <w:color w:val="auto"/>
                      <w:lang w:val="en-US" w:eastAsia="zh-CN"/>
                    </w:rPr>
                    <w:t>生活区土壤</w:t>
                  </w:r>
                </w:p>
              </w:tc>
              <w:tc>
                <w:tcPr>
                  <w:tcW w:w="1248" w:type="pct"/>
                  <w:vAlign w:val="center"/>
                </w:tcPr>
                <w:p>
                  <w:pPr>
                    <w:pStyle w:val="57"/>
                    <w:rPr>
                      <w:rFonts w:hint="default" w:eastAsia="宋体"/>
                      <w:color w:val="auto"/>
                      <w:lang w:val="en-US" w:eastAsia="zh-CN"/>
                    </w:rPr>
                  </w:pPr>
                  <w:r>
                    <w:rPr>
                      <w:rFonts w:hint="eastAsia"/>
                      <w:color w:val="auto"/>
                      <w:lang w:val="en-US" w:eastAsia="zh-CN"/>
                    </w:rPr>
                    <w:t>砖窑拟建地土壤</w:t>
                  </w:r>
                </w:p>
              </w:tc>
              <w:tc>
                <w:tcPr>
                  <w:tcW w:w="1209" w:type="pct"/>
                  <w:vAlign w:val="center"/>
                </w:tcPr>
                <w:p>
                  <w:pPr>
                    <w:pStyle w:val="57"/>
                    <w:rPr>
                      <w:rFonts w:hint="default" w:eastAsia="宋体"/>
                      <w:color w:val="auto"/>
                      <w:lang w:val="en-US" w:eastAsia="zh-CN"/>
                    </w:rPr>
                  </w:pPr>
                  <w:r>
                    <w:rPr>
                      <w:rFonts w:hint="eastAsia"/>
                      <w:color w:val="auto"/>
                      <w:lang w:val="en-US" w:eastAsia="zh-CN"/>
                    </w:rPr>
                    <w:t>厂区东侧农田土壤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pct"/>
                  <w:vAlign w:val="center"/>
                </w:tcPr>
                <w:p>
                  <w:pPr>
                    <w:pStyle w:val="57"/>
                    <w:rPr>
                      <w:rFonts w:hint="eastAsia" w:eastAsia="宋体"/>
                      <w:color w:val="auto"/>
                      <w:lang w:val="en-US" w:eastAsia="zh-CN"/>
                    </w:rPr>
                  </w:pPr>
                  <w:r>
                    <w:rPr>
                      <w:rFonts w:hint="eastAsia"/>
                      <w:color w:val="auto"/>
                      <w:lang w:val="en-US" w:eastAsia="zh-CN"/>
                    </w:rPr>
                    <w:t>1</w:t>
                  </w:r>
                </w:p>
              </w:tc>
              <w:tc>
                <w:tcPr>
                  <w:tcW w:w="852" w:type="pct"/>
                  <w:vAlign w:val="center"/>
                </w:tcPr>
                <w:p>
                  <w:pPr>
                    <w:pStyle w:val="57"/>
                    <w:rPr>
                      <w:rFonts w:hint="eastAsia" w:eastAsia="宋体"/>
                      <w:color w:val="auto"/>
                      <w:lang w:val="en-US" w:eastAsia="zh-CN"/>
                    </w:rPr>
                  </w:pPr>
                  <w:r>
                    <w:rPr>
                      <w:rFonts w:hint="eastAsia"/>
                      <w:color w:val="auto"/>
                      <w:lang w:val="en-US" w:eastAsia="zh-CN"/>
                    </w:rPr>
                    <w:t>氟化物</w:t>
                  </w:r>
                </w:p>
              </w:tc>
              <w:tc>
                <w:tcPr>
                  <w:tcW w:w="836" w:type="pct"/>
                  <w:vAlign w:val="center"/>
                </w:tcPr>
                <w:p>
                  <w:pPr>
                    <w:pStyle w:val="57"/>
                    <w:rPr>
                      <w:rFonts w:hint="default" w:eastAsia="等线"/>
                      <w:color w:val="auto"/>
                      <w:lang w:val="en-US" w:eastAsia="zh-CN"/>
                    </w:rPr>
                  </w:pPr>
                  <w:r>
                    <w:rPr>
                      <w:rFonts w:hint="eastAsia" w:eastAsia="等线"/>
                      <w:color w:val="auto"/>
                      <w:lang w:val="en-US" w:eastAsia="zh-CN"/>
                    </w:rPr>
                    <w:t>ND</w:t>
                  </w:r>
                </w:p>
              </w:tc>
              <w:tc>
                <w:tcPr>
                  <w:tcW w:w="1248" w:type="pct"/>
                  <w:vAlign w:val="center"/>
                </w:tcPr>
                <w:p>
                  <w:pPr>
                    <w:jc w:val="center"/>
                    <w:rPr>
                      <w:rFonts w:hint="default" w:eastAsia="等线"/>
                      <w:color w:val="auto"/>
                      <w:lang w:val="en-US" w:eastAsia="zh-CN"/>
                    </w:rPr>
                  </w:pPr>
                  <w:r>
                    <w:rPr>
                      <w:rFonts w:hint="eastAsia" w:eastAsia="等线"/>
                      <w:color w:val="auto"/>
                      <w:lang w:val="en-US" w:eastAsia="zh-CN"/>
                    </w:rPr>
                    <w:t>ND</w:t>
                  </w:r>
                </w:p>
              </w:tc>
              <w:tc>
                <w:tcPr>
                  <w:tcW w:w="1209" w:type="pct"/>
                  <w:vAlign w:val="center"/>
                </w:tcPr>
                <w:p>
                  <w:pPr>
                    <w:jc w:val="center"/>
                    <w:rPr>
                      <w:rFonts w:eastAsia="等线"/>
                      <w:color w:val="auto"/>
                    </w:rPr>
                  </w:pPr>
                  <w:r>
                    <w:rPr>
                      <w:rFonts w:hint="eastAsia" w:eastAsia="等线"/>
                      <w:color w:val="auto"/>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5" w:type="pct"/>
                  <w:gridSpan w:val="2"/>
                  <w:vAlign w:val="center"/>
                </w:tcPr>
                <w:p>
                  <w:pPr>
                    <w:pStyle w:val="57"/>
                    <w:rPr>
                      <w:rFonts w:hint="eastAsia" w:eastAsia="宋体"/>
                      <w:color w:val="auto"/>
                      <w:lang w:val="en-US" w:eastAsia="zh-CN"/>
                    </w:rPr>
                  </w:pPr>
                  <w:r>
                    <w:rPr>
                      <w:rFonts w:hint="eastAsia"/>
                      <w:color w:val="auto"/>
                      <w:lang w:val="en-US" w:eastAsia="zh-CN"/>
                    </w:rPr>
                    <w:t>备注</w:t>
                  </w:r>
                </w:p>
              </w:tc>
              <w:tc>
                <w:tcPr>
                  <w:tcW w:w="3294" w:type="pct"/>
                  <w:gridSpan w:val="3"/>
                  <w:vAlign w:val="center"/>
                </w:tcPr>
                <w:p>
                  <w:pPr>
                    <w:pStyle w:val="57"/>
                    <w:rPr>
                      <w:rFonts w:hint="default" w:eastAsia="等线"/>
                      <w:color w:val="auto"/>
                      <w:lang w:val="en-US"/>
                    </w:rPr>
                  </w:pPr>
                  <w:r>
                    <w:rPr>
                      <w:rFonts w:hint="eastAsia" w:eastAsia="等线"/>
                      <w:color w:val="auto"/>
                      <w:lang w:val="en-US" w:eastAsia="zh-CN"/>
                    </w:rPr>
                    <w:t>“ND”表示未检出</w:t>
                  </w:r>
                </w:p>
              </w:tc>
            </w:tr>
          </w:tbl>
          <w:p>
            <w:pPr>
              <w:pStyle w:val="60"/>
              <w:ind w:firstLine="420"/>
              <w:rPr>
                <w:color w:val="auto"/>
              </w:rPr>
            </w:pPr>
            <w:r>
              <w:rPr>
                <w:rFonts w:hint="eastAsia"/>
                <w:color w:val="auto"/>
                <w:sz w:val="24"/>
                <w:szCs w:val="24"/>
              </w:rPr>
              <w:t>由上表，项目所在区域占地范围内土壤</w:t>
            </w:r>
            <w:r>
              <w:rPr>
                <w:rFonts w:hint="eastAsia"/>
                <w:color w:val="auto"/>
                <w:sz w:val="24"/>
                <w:szCs w:val="24"/>
                <w:lang w:val="en-US" w:eastAsia="zh-CN"/>
              </w:rPr>
              <w:t>未检测出氟化物</w:t>
            </w:r>
            <w:r>
              <w:rPr>
                <w:rFonts w:hint="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0" w:type="dxa"/>
            <w:vAlign w:val="center"/>
          </w:tcPr>
          <w:p>
            <w:pPr>
              <w:adjustRightInd w:val="0"/>
              <w:snapToGrid w:val="0"/>
              <w:jc w:val="center"/>
              <w:rPr>
                <w:color w:val="auto"/>
                <w:kern w:val="0"/>
                <w:szCs w:val="21"/>
              </w:rPr>
            </w:pPr>
            <w:r>
              <w:rPr>
                <w:bCs/>
                <w:color w:val="000000"/>
                <w:sz w:val="24"/>
              </w:rPr>
              <w:t>与项目有关的原有环境污染和生态破坏问题</w:t>
            </w:r>
          </w:p>
        </w:tc>
        <w:tc>
          <w:tcPr>
            <w:tcW w:w="8237" w:type="dxa"/>
          </w:tcPr>
          <w:p>
            <w:pPr>
              <w:pStyle w:val="60"/>
              <w:ind w:left="0" w:leftChars="0" w:firstLine="480" w:firstLineChars="200"/>
              <w:rPr>
                <w:color w:val="auto"/>
                <w:sz w:val="24"/>
                <w:szCs w:val="24"/>
              </w:rPr>
            </w:pPr>
            <w:r>
              <w:rPr>
                <w:rFonts w:hint="eastAsia"/>
                <w:color w:val="auto"/>
                <w:sz w:val="24"/>
                <w:szCs w:val="24"/>
                <w:lang w:val="en-US" w:eastAsia="zh-CN"/>
              </w:rPr>
              <w:t>宁县成盛建材有限责任公司</w:t>
            </w:r>
            <w:r>
              <w:rPr>
                <w:color w:val="auto"/>
                <w:sz w:val="24"/>
                <w:szCs w:val="24"/>
              </w:rPr>
              <w:t>201</w:t>
            </w:r>
            <w:r>
              <w:rPr>
                <w:rFonts w:hint="eastAsia"/>
                <w:color w:val="auto"/>
                <w:sz w:val="24"/>
                <w:szCs w:val="24"/>
                <w:lang w:val="en-US" w:eastAsia="zh-CN"/>
              </w:rPr>
              <w:t>5</w:t>
            </w:r>
            <w:r>
              <w:rPr>
                <w:color w:val="auto"/>
                <w:sz w:val="24"/>
                <w:szCs w:val="24"/>
              </w:rPr>
              <w:t>年</w:t>
            </w:r>
            <w:r>
              <w:rPr>
                <w:rFonts w:hint="eastAsia"/>
                <w:color w:val="auto"/>
                <w:sz w:val="24"/>
                <w:szCs w:val="24"/>
                <w:lang w:val="en-US" w:eastAsia="zh-CN"/>
              </w:rPr>
              <w:t>1</w:t>
            </w:r>
            <w:r>
              <w:rPr>
                <w:color w:val="auto"/>
                <w:sz w:val="24"/>
                <w:szCs w:val="24"/>
              </w:rPr>
              <w:t>月委托</w:t>
            </w:r>
            <w:r>
              <w:rPr>
                <w:rFonts w:hint="eastAsia"/>
                <w:color w:val="auto"/>
                <w:sz w:val="24"/>
                <w:szCs w:val="24"/>
                <w:lang w:val="en-US" w:eastAsia="zh-CN"/>
              </w:rPr>
              <w:t>河南源通环保工程有限公司</w:t>
            </w:r>
            <w:r>
              <w:rPr>
                <w:color w:val="auto"/>
                <w:sz w:val="24"/>
                <w:szCs w:val="24"/>
              </w:rPr>
              <w:t>编制完成了《</w:t>
            </w:r>
            <w:r>
              <w:rPr>
                <w:rFonts w:hint="eastAsia"/>
                <w:color w:val="auto"/>
                <w:sz w:val="24"/>
                <w:szCs w:val="24"/>
                <w:lang w:val="en-US" w:eastAsia="zh-CN"/>
              </w:rPr>
              <w:t>年产500万块空心新型砖生产线项目</w:t>
            </w:r>
            <w:r>
              <w:rPr>
                <w:color w:val="auto"/>
                <w:sz w:val="24"/>
                <w:szCs w:val="24"/>
              </w:rPr>
              <w:t>环境影响报告表》（以下简称“原有工程”），并于20</w:t>
            </w:r>
            <w:r>
              <w:rPr>
                <w:rFonts w:hint="eastAsia"/>
                <w:color w:val="auto"/>
                <w:sz w:val="24"/>
                <w:szCs w:val="24"/>
                <w:lang w:val="en-US" w:eastAsia="zh-CN"/>
              </w:rPr>
              <w:t>15</w:t>
            </w:r>
            <w:r>
              <w:rPr>
                <w:color w:val="auto"/>
                <w:sz w:val="24"/>
                <w:szCs w:val="24"/>
              </w:rPr>
              <w:t>年</w:t>
            </w:r>
            <w:r>
              <w:rPr>
                <w:rFonts w:hint="eastAsia"/>
                <w:color w:val="auto"/>
                <w:sz w:val="24"/>
                <w:szCs w:val="24"/>
                <w:lang w:val="en-US" w:eastAsia="zh-CN"/>
              </w:rPr>
              <w:t>2月5日</w:t>
            </w:r>
            <w:r>
              <w:rPr>
                <w:color w:val="auto"/>
                <w:sz w:val="24"/>
                <w:szCs w:val="24"/>
              </w:rPr>
              <w:t>月取得了</w:t>
            </w:r>
            <w:r>
              <w:rPr>
                <w:rFonts w:hint="eastAsia"/>
                <w:color w:val="auto"/>
                <w:sz w:val="24"/>
                <w:szCs w:val="24"/>
                <w:lang w:val="en-US" w:eastAsia="zh-CN"/>
              </w:rPr>
              <w:t>原宁县</w:t>
            </w:r>
            <w:r>
              <w:rPr>
                <w:color w:val="auto"/>
                <w:sz w:val="24"/>
                <w:szCs w:val="24"/>
              </w:rPr>
              <w:t>环境保护局关于该项目的环境影响批复（</w:t>
            </w:r>
            <w:r>
              <w:rPr>
                <w:rFonts w:hint="eastAsia"/>
                <w:color w:val="auto"/>
                <w:sz w:val="24"/>
                <w:szCs w:val="24"/>
                <w:lang w:val="en-US" w:eastAsia="zh-CN"/>
              </w:rPr>
              <w:t>宁环评表字</w:t>
            </w:r>
            <w:r>
              <w:rPr>
                <w:color w:val="auto"/>
                <w:sz w:val="24"/>
                <w:szCs w:val="24"/>
              </w:rPr>
              <w:t>[201</w:t>
            </w:r>
            <w:r>
              <w:rPr>
                <w:rFonts w:hint="eastAsia"/>
                <w:color w:val="auto"/>
                <w:sz w:val="24"/>
                <w:szCs w:val="24"/>
                <w:lang w:val="en-US" w:eastAsia="zh-CN"/>
              </w:rPr>
              <w:t>5</w:t>
            </w:r>
            <w:r>
              <w:rPr>
                <w:color w:val="auto"/>
                <w:sz w:val="24"/>
                <w:szCs w:val="24"/>
              </w:rPr>
              <w:t>]</w:t>
            </w:r>
            <w:r>
              <w:rPr>
                <w:rFonts w:hint="eastAsia"/>
                <w:color w:val="auto"/>
                <w:sz w:val="24"/>
                <w:szCs w:val="24"/>
                <w:lang w:val="en-US" w:eastAsia="zh-CN"/>
              </w:rPr>
              <w:t>20</w:t>
            </w:r>
            <w:r>
              <w:rPr>
                <w:color w:val="auto"/>
                <w:sz w:val="24"/>
                <w:szCs w:val="24"/>
              </w:rPr>
              <w:t>号，见附件）；201</w:t>
            </w:r>
            <w:r>
              <w:rPr>
                <w:rFonts w:hint="eastAsia"/>
                <w:color w:val="auto"/>
                <w:sz w:val="24"/>
                <w:szCs w:val="24"/>
                <w:lang w:val="en-US" w:eastAsia="zh-CN"/>
              </w:rPr>
              <w:t>7</w:t>
            </w:r>
            <w:r>
              <w:rPr>
                <w:color w:val="auto"/>
                <w:sz w:val="24"/>
                <w:szCs w:val="24"/>
              </w:rPr>
              <w:t>年</w:t>
            </w:r>
            <w:r>
              <w:rPr>
                <w:rFonts w:hint="eastAsia"/>
                <w:color w:val="auto"/>
                <w:sz w:val="24"/>
                <w:szCs w:val="24"/>
                <w:lang w:val="en-US" w:eastAsia="zh-CN"/>
              </w:rPr>
              <w:t>11</w:t>
            </w:r>
            <w:r>
              <w:rPr>
                <w:color w:val="auto"/>
                <w:sz w:val="24"/>
                <w:szCs w:val="24"/>
              </w:rPr>
              <w:t>月</w:t>
            </w:r>
            <w:r>
              <w:rPr>
                <w:rFonts w:hint="eastAsia"/>
                <w:color w:val="auto"/>
                <w:sz w:val="24"/>
                <w:szCs w:val="24"/>
                <w:lang w:val="en-US" w:eastAsia="zh-CN"/>
              </w:rPr>
              <w:t>宁县成盛建材有限责任公司</w:t>
            </w:r>
            <w:r>
              <w:rPr>
                <w:color w:val="auto"/>
                <w:sz w:val="24"/>
                <w:szCs w:val="24"/>
              </w:rPr>
              <w:t>委托</w:t>
            </w:r>
            <w:r>
              <w:rPr>
                <w:rFonts w:hint="eastAsia"/>
                <w:color w:val="auto"/>
                <w:sz w:val="24"/>
                <w:szCs w:val="24"/>
                <w:lang w:val="en-US" w:eastAsia="zh-CN"/>
              </w:rPr>
              <w:t>甘肃水木青华监测科技有限公司</w:t>
            </w:r>
            <w:r>
              <w:rPr>
                <w:color w:val="auto"/>
                <w:sz w:val="24"/>
                <w:szCs w:val="24"/>
              </w:rPr>
              <w:t>开展并完成了原有工程竣工环保验收自主验收工作，并取得了《</w:t>
            </w:r>
            <w:r>
              <w:rPr>
                <w:rFonts w:hint="eastAsia"/>
                <w:color w:val="auto"/>
                <w:sz w:val="24"/>
                <w:szCs w:val="24"/>
                <w:lang w:val="en-US" w:eastAsia="zh-CN"/>
              </w:rPr>
              <w:t>年产500</w:t>
            </w:r>
            <w:r>
              <w:rPr>
                <w:color w:val="auto"/>
                <w:sz w:val="24"/>
                <w:szCs w:val="24"/>
              </w:rPr>
              <w:t>万块</w:t>
            </w:r>
            <w:r>
              <w:rPr>
                <w:rFonts w:hint="eastAsia"/>
                <w:color w:val="auto"/>
                <w:sz w:val="24"/>
                <w:szCs w:val="24"/>
                <w:lang w:val="en-US" w:eastAsia="zh-CN"/>
              </w:rPr>
              <w:t>空心新型砖生产线项目</w:t>
            </w:r>
            <w:r>
              <w:rPr>
                <w:color w:val="auto"/>
                <w:sz w:val="24"/>
                <w:szCs w:val="24"/>
              </w:rPr>
              <w:t>竣工环境保护自主验收意见》（见附件）；原有项目于2020年</w:t>
            </w:r>
            <w:r>
              <w:rPr>
                <w:rFonts w:hint="eastAsia"/>
                <w:color w:val="auto"/>
                <w:sz w:val="24"/>
                <w:szCs w:val="24"/>
                <w:lang w:val="en-US" w:eastAsia="zh-CN"/>
              </w:rPr>
              <w:t>4</w:t>
            </w:r>
            <w:r>
              <w:rPr>
                <w:color w:val="auto"/>
                <w:sz w:val="24"/>
                <w:szCs w:val="24"/>
              </w:rPr>
              <w:t>月取得庆阳市生态环境局核发的《排污许可证》（证书编号：916210</w:t>
            </w:r>
            <w:r>
              <w:rPr>
                <w:rFonts w:hint="eastAsia"/>
                <w:color w:val="auto"/>
                <w:sz w:val="24"/>
                <w:szCs w:val="24"/>
                <w:lang w:val="en-US" w:eastAsia="zh-CN"/>
              </w:rPr>
              <w:t>26MA71KAHT24</w:t>
            </w:r>
            <w:r>
              <w:rPr>
                <w:color w:val="auto"/>
                <w:sz w:val="24"/>
                <w:szCs w:val="24"/>
              </w:rPr>
              <w:t>）。</w:t>
            </w:r>
            <w:r>
              <w:rPr>
                <w:rFonts w:hint="eastAsia"/>
                <w:color w:val="auto"/>
                <w:sz w:val="24"/>
                <w:lang w:val="en-US" w:eastAsia="zh-CN"/>
              </w:rPr>
              <w:t>原有工程在生产过程中未发生投诉事件</w:t>
            </w:r>
            <w:r>
              <w:rPr>
                <w:rFonts w:hint="eastAsia"/>
                <w:color w:val="auto"/>
                <w:sz w:val="24"/>
              </w:rPr>
              <w:t>。</w:t>
            </w:r>
          </w:p>
          <w:p>
            <w:pPr>
              <w:pStyle w:val="60"/>
              <w:ind w:firstLine="420"/>
              <w:rPr>
                <w:color w:val="auto"/>
                <w:sz w:val="24"/>
                <w:szCs w:val="24"/>
              </w:rPr>
            </w:pPr>
            <w:r>
              <w:rPr>
                <w:color w:val="auto"/>
                <w:sz w:val="24"/>
                <w:szCs w:val="24"/>
              </w:rPr>
              <w:t>原有工程主要工程内容包括粘土空心砖生产线一条，配套粘土矿开采，主要建设内容包括制砖生产车间、轮窑、粘土矿区、煤堆放仓、</w:t>
            </w:r>
            <w:r>
              <w:rPr>
                <w:rFonts w:hint="eastAsia"/>
                <w:color w:val="auto"/>
                <w:sz w:val="24"/>
                <w:szCs w:val="24"/>
                <w:lang w:val="en-US" w:eastAsia="zh-CN"/>
              </w:rPr>
              <w:t>煤矸石堆放区、</w:t>
            </w:r>
            <w:r>
              <w:rPr>
                <w:color w:val="auto"/>
                <w:sz w:val="24"/>
                <w:szCs w:val="24"/>
              </w:rPr>
              <w:t>晾晒场、辅助生活区等；原有工程生产规模为年产粘土空心砖</w:t>
            </w:r>
            <w:r>
              <w:rPr>
                <w:rFonts w:hint="eastAsia"/>
                <w:color w:val="auto"/>
                <w:sz w:val="24"/>
                <w:szCs w:val="24"/>
                <w:lang w:val="en-US" w:eastAsia="zh-CN"/>
              </w:rPr>
              <w:t>500</w:t>
            </w:r>
            <w:r>
              <w:rPr>
                <w:color w:val="auto"/>
                <w:sz w:val="24"/>
                <w:szCs w:val="24"/>
              </w:rPr>
              <w:t>万块，年生产2</w:t>
            </w:r>
            <w:r>
              <w:rPr>
                <w:rFonts w:hint="eastAsia"/>
                <w:color w:val="auto"/>
                <w:sz w:val="24"/>
                <w:szCs w:val="24"/>
                <w:lang w:val="en-US" w:eastAsia="zh-CN"/>
              </w:rPr>
              <w:t>1</w:t>
            </w:r>
            <w:r>
              <w:rPr>
                <w:color w:val="auto"/>
                <w:sz w:val="24"/>
                <w:szCs w:val="24"/>
              </w:rPr>
              <w:t>0天</w:t>
            </w:r>
            <w:r>
              <w:rPr>
                <w:rFonts w:hint="eastAsia"/>
                <w:color w:val="auto"/>
                <w:sz w:val="24"/>
                <w:szCs w:val="24"/>
              </w:rPr>
              <w:t>。</w:t>
            </w:r>
          </w:p>
          <w:p>
            <w:pPr>
              <w:spacing w:line="360" w:lineRule="auto"/>
              <w:ind w:firstLine="480" w:firstLineChars="200"/>
              <w:jc w:val="left"/>
              <w:rPr>
                <w:sz w:val="24"/>
              </w:rPr>
            </w:pPr>
            <w:r>
              <w:rPr>
                <w:sz w:val="24"/>
              </w:rPr>
              <w:t>本项目为</w:t>
            </w:r>
            <w:r>
              <w:rPr>
                <w:rFonts w:hint="eastAsia"/>
                <w:sz w:val="24"/>
              </w:rPr>
              <w:t>技术改造项目</w:t>
            </w:r>
            <w:r>
              <w:rPr>
                <w:sz w:val="24"/>
              </w:rPr>
              <w:t>，现将原有项目的情况介绍如下</w:t>
            </w:r>
          </w:p>
          <w:p>
            <w:pPr>
              <w:pStyle w:val="60"/>
              <w:ind w:left="0" w:leftChars="0" w:firstLine="0" w:firstLineChars="0"/>
              <w:rPr>
                <w:rFonts w:hint="default" w:eastAsia="宋体"/>
                <w:b w:val="0"/>
                <w:bCs w:val="0"/>
                <w:color w:val="auto"/>
                <w:sz w:val="24"/>
                <w:szCs w:val="24"/>
                <w:lang w:val="en-US" w:eastAsia="zh-CN"/>
              </w:rPr>
            </w:pPr>
            <w:r>
              <w:rPr>
                <w:b w:val="0"/>
                <w:bCs w:val="0"/>
                <w:color w:val="auto"/>
                <w:sz w:val="24"/>
                <w:szCs w:val="24"/>
              </w:rPr>
              <w:t>1</w:t>
            </w:r>
            <w:r>
              <w:rPr>
                <w:rFonts w:hint="eastAsia"/>
                <w:b w:val="0"/>
                <w:bCs w:val="0"/>
                <w:color w:val="auto"/>
                <w:sz w:val="24"/>
                <w:szCs w:val="24"/>
                <w:lang w:val="en-US" w:eastAsia="zh-CN"/>
              </w:rPr>
              <w:t>.</w:t>
            </w:r>
            <w:r>
              <w:rPr>
                <w:b w:val="0"/>
                <w:bCs w:val="0"/>
                <w:color w:val="auto"/>
                <w:sz w:val="24"/>
                <w:szCs w:val="24"/>
              </w:rPr>
              <w:t>原有</w:t>
            </w:r>
            <w:r>
              <w:rPr>
                <w:rFonts w:hint="eastAsia"/>
                <w:b w:val="0"/>
                <w:bCs w:val="0"/>
                <w:color w:val="auto"/>
                <w:sz w:val="24"/>
                <w:szCs w:val="24"/>
                <w:lang w:val="en-US" w:eastAsia="zh-CN"/>
              </w:rPr>
              <w:t>砖厂基本情况</w:t>
            </w:r>
          </w:p>
          <w:p>
            <w:pPr>
              <w:pStyle w:val="60"/>
              <w:ind w:left="0" w:leftChars="0" w:firstLine="480" w:firstLineChars="200"/>
              <w:rPr>
                <w:rFonts w:hint="default"/>
                <w:color w:val="auto"/>
                <w:sz w:val="24"/>
                <w:szCs w:val="24"/>
                <w:lang w:val="en-US" w:eastAsia="zh-CN"/>
              </w:rPr>
            </w:pPr>
            <w:r>
              <w:rPr>
                <w:rFonts w:hint="eastAsia"/>
                <w:color w:val="auto"/>
                <w:sz w:val="24"/>
                <w:szCs w:val="24"/>
                <w:lang w:val="en-US" w:eastAsia="zh-CN"/>
              </w:rPr>
              <w:t>（1）基本情况</w:t>
            </w:r>
          </w:p>
          <w:p>
            <w:pPr>
              <w:pStyle w:val="60"/>
              <w:ind w:left="0" w:leftChars="0" w:firstLine="480" w:firstLineChars="200"/>
              <w:rPr>
                <w:rFonts w:hint="default"/>
                <w:color w:val="auto"/>
                <w:sz w:val="24"/>
                <w:szCs w:val="24"/>
                <w:lang w:val="en-US" w:eastAsia="zh-CN"/>
              </w:rPr>
            </w:pPr>
            <w:r>
              <w:rPr>
                <w:rFonts w:hint="eastAsia"/>
                <w:color w:val="auto"/>
                <w:sz w:val="24"/>
                <w:szCs w:val="24"/>
                <w:lang w:val="en-US" w:eastAsia="zh-CN"/>
              </w:rPr>
              <w:t>项目名称：年产500万块空心新型砖生产线</w:t>
            </w:r>
          </w:p>
          <w:p>
            <w:pPr>
              <w:pStyle w:val="60"/>
              <w:ind w:left="0" w:leftChars="0" w:firstLine="480" w:firstLineChars="200"/>
              <w:rPr>
                <w:rFonts w:hint="default"/>
                <w:color w:val="auto"/>
                <w:sz w:val="24"/>
                <w:szCs w:val="24"/>
                <w:lang w:val="en-US" w:eastAsia="zh-CN"/>
              </w:rPr>
            </w:pPr>
            <w:r>
              <w:rPr>
                <w:rFonts w:hint="eastAsia"/>
                <w:color w:val="auto"/>
                <w:sz w:val="24"/>
                <w:szCs w:val="24"/>
                <w:lang w:val="en-US" w:eastAsia="zh-CN"/>
              </w:rPr>
              <w:t>建设单位：宁县中村秦店村咀李砖厂</w:t>
            </w:r>
          </w:p>
          <w:p>
            <w:pPr>
              <w:pStyle w:val="60"/>
              <w:ind w:left="0" w:leftChars="0" w:firstLine="480" w:firstLineChars="200"/>
              <w:rPr>
                <w:rFonts w:hint="eastAsia"/>
                <w:color w:val="auto"/>
                <w:sz w:val="24"/>
                <w:szCs w:val="24"/>
                <w:lang w:val="en-US" w:eastAsia="zh-CN"/>
              </w:rPr>
            </w:pPr>
            <w:r>
              <w:rPr>
                <w:rFonts w:hint="eastAsia"/>
                <w:color w:val="auto"/>
                <w:sz w:val="24"/>
                <w:szCs w:val="24"/>
                <w:lang w:val="en-US" w:eastAsia="zh-CN"/>
              </w:rPr>
              <w:t>原有项目建设24门轮窑1座，年产900万块粘土空心砖。现阶段因产业政策原因已停产。</w:t>
            </w:r>
          </w:p>
          <w:p>
            <w:pPr>
              <w:pStyle w:val="60"/>
              <w:ind w:left="0" w:leftChars="0" w:firstLine="480" w:firstLineChars="200"/>
              <w:rPr>
                <w:rFonts w:hint="eastAsia"/>
                <w:color w:val="auto"/>
                <w:sz w:val="24"/>
                <w:szCs w:val="24"/>
                <w:lang w:val="en-US" w:eastAsia="zh-CN"/>
              </w:rPr>
            </w:pPr>
            <w:r>
              <w:rPr>
                <w:rFonts w:hint="eastAsia"/>
                <w:color w:val="auto"/>
                <w:sz w:val="24"/>
                <w:szCs w:val="24"/>
                <w:lang w:val="en-US" w:eastAsia="zh-CN"/>
              </w:rPr>
              <w:t>（2）原有砖厂建设内容</w:t>
            </w:r>
          </w:p>
          <w:p>
            <w:pPr>
              <w:pStyle w:val="60"/>
              <w:ind w:left="0" w:leftChars="0" w:firstLine="480" w:firstLineChars="200"/>
              <w:rPr>
                <w:rFonts w:hint="default"/>
                <w:color w:val="auto"/>
                <w:sz w:val="24"/>
                <w:szCs w:val="24"/>
                <w:lang w:val="en-US" w:eastAsia="zh-CN"/>
              </w:rPr>
            </w:pPr>
            <w:r>
              <w:rPr>
                <w:rFonts w:hint="eastAsia"/>
                <w:color w:val="auto"/>
                <w:sz w:val="24"/>
                <w:szCs w:val="24"/>
                <w:lang w:val="en-US" w:eastAsia="zh-CN"/>
              </w:rPr>
              <w:t>原有砖厂建设24门轮窑一座，并配套相关设备、运输工具、办公室、厂房等，具体内容见表3-6</w:t>
            </w:r>
          </w:p>
          <w:p>
            <w:pPr>
              <w:pStyle w:val="60"/>
              <w:spacing w:line="240" w:lineRule="auto"/>
              <w:ind w:left="0" w:leftChars="0" w:firstLine="0" w:firstLineChars="0"/>
              <w:jc w:val="center"/>
              <w:rPr>
                <w:rFonts w:hint="default"/>
                <w:b/>
                <w:bCs/>
                <w:color w:val="auto"/>
                <w:lang w:val="en-US" w:eastAsia="zh-CN"/>
              </w:rPr>
            </w:pPr>
            <w:r>
              <w:rPr>
                <w:rFonts w:hint="eastAsia"/>
                <w:b/>
                <w:bCs/>
                <w:color w:val="auto"/>
                <w:lang w:val="en-US" w:eastAsia="zh-CN"/>
              </w:rPr>
              <w:t>表3-6   原有项目工程组成</w:t>
            </w:r>
          </w:p>
          <w:tbl>
            <w:tblPr>
              <w:tblStyle w:val="28"/>
              <w:tblW w:w="4955"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108" w:type="dxa"/>
                <w:bottom w:w="57" w:type="dxa"/>
                <w:right w:w="108" w:type="dxa"/>
              </w:tblCellMar>
            </w:tblPr>
            <w:tblGrid>
              <w:gridCol w:w="766"/>
              <w:gridCol w:w="1518"/>
              <w:gridCol w:w="564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82"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工程类别</w:t>
                  </w: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ascii="Times New Roman" w:hAnsi="Times New Roman" w:eastAsia="宋体"/>
                      <w:b/>
                      <w:bCs/>
                      <w:color w:val="000000" w:themeColor="text1"/>
                      <w:sz w:val="21"/>
                      <w:szCs w:val="21"/>
                      <w:lang w:val="en-US" w:eastAsia="zh-CN"/>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项目</w:t>
                  </w:r>
                  <w:r>
                    <w:rPr>
                      <w:rFonts w:hint="eastAsia" w:ascii="Times New Roman" w:hAnsi="Times New Roman" w:eastAsia="宋体"/>
                      <w:b/>
                      <w:bCs/>
                      <w:color w:val="000000" w:themeColor="text1"/>
                      <w:sz w:val="21"/>
                      <w:szCs w:val="21"/>
                      <w:lang w:val="en-US" w:eastAsia="zh-CN"/>
                      <w14:textFill>
                        <w14:solidFill>
                          <w14:schemeClr w14:val="tx1"/>
                        </w14:solidFill>
                      </w14:textFill>
                    </w:rPr>
                    <w:t>组成</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建设内容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restar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主体工程</w:t>
                  </w:r>
                </w:p>
              </w:tc>
              <w:tc>
                <w:tcPr>
                  <w:tcW w:w="956" w:type="pct"/>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轮窑</w:t>
                  </w:r>
                </w:p>
              </w:tc>
              <w:tc>
                <w:tcPr>
                  <w:tcW w:w="3560" w:type="pct"/>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24门，建筑面积66</w:t>
                  </w:r>
                  <w:r>
                    <w:rPr>
                      <w:rFonts w:hint="default" w:ascii="Arial" w:hAnsi="Arial" w:cs="Arial"/>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18m</w:t>
                  </w:r>
                  <w:r>
                    <w:rPr>
                      <w:rFonts w:hint="eastAsia"/>
                      <w:color w:val="000000" w:themeColor="text1"/>
                      <w:sz w:val="21"/>
                      <w:szCs w:val="21"/>
                      <w:vertAlign w:val="superscript"/>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，高2.8m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制坯生产车间</w:t>
                  </w:r>
                </w:p>
              </w:tc>
              <w:tc>
                <w:tcPr>
                  <w:tcW w:w="3560" w:type="pct"/>
                  <w:tcBorders>
                    <w:tl2br w:val="nil"/>
                    <w:tr2bl w:val="nil"/>
                  </w:tcBorders>
                  <w:noWrap w:val="0"/>
                  <w:tcMar>
                    <w:top w:w="57" w:type="dxa"/>
                    <w:left w:w="108" w:type="dxa"/>
                    <w:bottom w:w="57"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建筑面积为720m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，用于制作砖坯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晾坯场</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占地面积6000m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采土场</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占地面积1000m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粉煤场</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占地面积100m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成品堆场</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占地面积为4000m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restar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公用工程</w:t>
                  </w: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蓄水池</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容积70m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olor w:val="000000" w:themeColor="text1"/>
                      <w:sz w:val="21"/>
                      <w:szCs w:val="21"/>
                      <w:lang w:val="en-US" w:eastAsia="zh-CN"/>
                      <w14:textFill>
                        <w14:solidFill>
                          <w14:schemeClr w14:val="tx1"/>
                        </w14:solidFill>
                      </w14:textFill>
                    </w:rPr>
                    <w:t>，面积20m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配电室</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建筑面积10m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机修车间</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建筑面积10m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车棚</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建筑面积200m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绿化</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绿化面积500m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restar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环保工程</w:t>
                  </w:r>
                </w:p>
              </w:tc>
              <w:tc>
                <w:tcPr>
                  <w:tcW w:w="956" w:type="pct"/>
                  <w:vMerge w:val="restar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废气治理</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轮窑废气脱硫除尘装置一套（引风机+脱硫塔+15m高排气筒）</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956"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煤棚建筑面积100m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宋体"/>
                      <w:color w:val="000000" w:themeColor="text1"/>
                      <w:sz w:val="21"/>
                      <w:szCs w:val="21"/>
                      <w:lang w:val="en-US" w:eastAsia="zh-CN"/>
                      <w14:textFill>
                        <w14:solidFill>
                          <w14:schemeClr w14:val="tx1"/>
                        </w14:solidFill>
                      </w14:textFill>
                    </w:rPr>
                    <w:t>，设集气罩+布袋除尘器+15m排气筒</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噪声治理</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生产车间产噪设备设置基础、隔声罩、软连接等措施</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固废治理</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不合格砖坯和煤渣回用于生产工序，脱硫生成的石膏收集外售，生活垃圾设垃圾桶收集后交由环卫部门处理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restar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储运工程</w:t>
                  </w: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粘土堆放区</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占地面积为400m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宋体"/>
                      <w:color w:val="000000" w:themeColor="text1"/>
                      <w:sz w:val="21"/>
                      <w:szCs w:val="21"/>
                      <w:lang w:val="en-US" w:eastAsia="zh-CN"/>
                      <w14:textFill>
                        <w14:solidFill>
                          <w14:schemeClr w14:val="tx1"/>
                        </w14:solidFill>
                      </w14:textFill>
                    </w:rPr>
                    <w:t>，用于堆放粘土</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煤堆放区</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占地面积100m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宋体"/>
                      <w:color w:val="000000" w:themeColor="text1"/>
                      <w:sz w:val="21"/>
                      <w:szCs w:val="21"/>
                      <w:lang w:val="en-US" w:eastAsia="zh-CN"/>
                      <w14:textFill>
                        <w14:solidFill>
                          <w14:schemeClr w14:val="tx1"/>
                        </w14:solidFill>
                      </w14:textFill>
                    </w:rPr>
                    <w:t>，用于堆放燃煤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vMerge w:val="continue"/>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eastAsia="宋体"/>
                      <w:color w:val="000000" w:themeColor="text1"/>
                      <w:sz w:val="21"/>
                      <w:szCs w:val="21"/>
                      <w:lang w:eastAsia="zh-CN"/>
                      <w14:textFill>
                        <w14:solidFill>
                          <w14:schemeClr w14:val="tx1"/>
                        </w14:solidFill>
                      </w14:textFill>
                    </w:rPr>
                  </w:pP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窑渣堆场</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占地面积100m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宋体"/>
                      <w:color w:val="000000" w:themeColor="text1"/>
                      <w:sz w:val="21"/>
                      <w:szCs w:val="21"/>
                      <w:lang w:val="en-US" w:eastAsia="zh-CN"/>
                      <w14:textFill>
                        <w14:solidFill>
                          <w14:schemeClr w14:val="tx1"/>
                        </w14:solidFill>
                      </w14:textFill>
                    </w:rPr>
                    <w:t>，用于堆放煤矸石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482"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办公及服务设施</w:t>
                  </w:r>
                </w:p>
              </w:tc>
              <w:tc>
                <w:tcPr>
                  <w:tcW w:w="956"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办公室</w:t>
                  </w:r>
                </w:p>
              </w:tc>
              <w:tc>
                <w:tcPr>
                  <w:tcW w:w="3560" w:type="pct"/>
                  <w:tcBorders>
                    <w:tl2br w:val="nil"/>
                    <w:tr2bl w:val="nil"/>
                  </w:tcBorders>
                  <w:noWrap w:val="0"/>
                  <w:tcMar>
                    <w:top w:w="57" w:type="dxa"/>
                    <w:left w:w="108" w:type="dxa"/>
                    <w:bottom w:w="57" w:type="dxa"/>
                    <w:right w:w="108" w:type="dxa"/>
                  </w:tcMar>
                  <w:vAlign w:val="center"/>
                </w:tcPr>
                <w:p>
                  <w:pPr>
                    <w:pStyle w:val="7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建筑面积300m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2</w:t>
                  </w:r>
                </w:p>
              </w:tc>
            </w:tr>
          </w:tbl>
          <w:p>
            <w:pPr>
              <w:pStyle w:val="60"/>
              <w:ind w:left="0" w:leftChars="0" w:firstLine="480" w:firstLineChars="200"/>
              <w:rPr>
                <w:rFonts w:hint="eastAsia"/>
                <w:color w:val="auto"/>
                <w:sz w:val="24"/>
                <w:szCs w:val="24"/>
                <w:lang w:val="en-US" w:eastAsia="zh-CN"/>
              </w:rPr>
            </w:pPr>
            <w:r>
              <w:rPr>
                <w:rFonts w:hint="eastAsia"/>
                <w:color w:val="auto"/>
                <w:sz w:val="24"/>
                <w:szCs w:val="24"/>
                <w:lang w:val="en-US" w:eastAsia="zh-CN"/>
              </w:rPr>
              <w:t>（3）原有项目主要原辅材料、能源消耗及主要设备见下表</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表3-7   原有项目主要原辅材料</w:t>
            </w:r>
          </w:p>
          <w:tbl>
            <w:tblPr>
              <w:tblStyle w:val="28"/>
              <w:tblW w:w="80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585"/>
              <w:gridCol w:w="26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45"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b/>
                      <w:bCs/>
                      <w:color w:val="000000" w:themeColor="text1"/>
                      <w:sz w:val="21"/>
                      <w:szCs w:val="21"/>
                      <w:lang w:val="en-GB"/>
                      <w14:textFill>
                        <w14:solidFill>
                          <w14:schemeClr w14:val="tx1"/>
                        </w14:solidFill>
                      </w14:textFill>
                    </w:rPr>
                  </w:pPr>
                  <w:r>
                    <w:rPr>
                      <w:rFonts w:hint="default" w:ascii="Times New Roman" w:hAnsi="Times New Roman" w:eastAsia="宋体" w:cs="Times New Roman"/>
                      <w:b/>
                      <w:bCs/>
                      <w:color w:val="000000" w:themeColor="text1"/>
                      <w:sz w:val="21"/>
                      <w:szCs w:val="21"/>
                      <w:lang w:val="en-GB"/>
                      <w14:textFill>
                        <w14:solidFill>
                          <w14:schemeClr w14:val="tx1"/>
                        </w14:solidFill>
                      </w14:textFill>
                    </w:rPr>
                    <w:t>名称</w:t>
                  </w:r>
                </w:p>
              </w:tc>
              <w:tc>
                <w:tcPr>
                  <w:tcW w:w="1605"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b/>
                      <w:bCs/>
                      <w:color w:val="000000" w:themeColor="text1"/>
                      <w:sz w:val="21"/>
                      <w:szCs w:val="21"/>
                      <w:lang w:val="en-GB"/>
                      <w14:textFill>
                        <w14:solidFill>
                          <w14:schemeClr w14:val="tx1"/>
                        </w14:solidFill>
                      </w14:textFill>
                    </w:rPr>
                  </w:pPr>
                  <w:r>
                    <w:rPr>
                      <w:rFonts w:hint="default" w:ascii="Times New Roman" w:hAnsi="Times New Roman" w:eastAsia="宋体" w:cs="Times New Roman"/>
                      <w:b/>
                      <w:bCs/>
                      <w:color w:val="000000" w:themeColor="text1"/>
                      <w:sz w:val="21"/>
                      <w:szCs w:val="21"/>
                      <w:lang w:val="en-GB"/>
                      <w14:textFill>
                        <w14:solidFill>
                          <w14:schemeClr w14:val="tx1"/>
                        </w14:solidFill>
                      </w14:textFill>
                    </w:rPr>
                    <w:t>单位</w:t>
                  </w:r>
                </w:p>
              </w:tc>
              <w:tc>
                <w:tcPr>
                  <w:tcW w:w="1648"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b/>
                      <w:bCs/>
                      <w:color w:val="000000" w:themeColor="text1"/>
                      <w:sz w:val="21"/>
                      <w:szCs w:val="21"/>
                      <w:lang w:val="en-GB"/>
                      <w14:textFill>
                        <w14:solidFill>
                          <w14:schemeClr w14:val="tx1"/>
                        </w14:solidFill>
                      </w14:textFill>
                    </w:rPr>
                  </w:pPr>
                  <w:r>
                    <w:rPr>
                      <w:rFonts w:hint="default" w:ascii="Times New Roman" w:hAnsi="Times New Roman" w:eastAsia="宋体" w:cs="Times New Roman"/>
                      <w:b/>
                      <w:bCs/>
                      <w:color w:val="000000" w:themeColor="text1"/>
                      <w:sz w:val="21"/>
                      <w:szCs w:val="21"/>
                      <w:lang w:val="en-GB"/>
                      <w14:textFill>
                        <w14:solidFill>
                          <w14:schemeClr w14:val="tx1"/>
                        </w14:solidFill>
                      </w14:textFill>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煤粉</w:t>
                  </w:r>
                </w:p>
              </w:tc>
              <w:tc>
                <w:tcPr>
                  <w:tcW w:w="1605"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default" w:ascii="Times New Roman" w:hAnsi="Times New Roman" w:eastAsia="宋体" w:cs="Times New Roman"/>
                      <w:color w:val="000000" w:themeColor="text1"/>
                      <w:sz w:val="21"/>
                      <w:szCs w:val="21"/>
                      <w:lang w:val="en-GB"/>
                      <w14:textFill>
                        <w14:solidFill>
                          <w14:schemeClr w14:val="tx1"/>
                        </w14:solidFill>
                      </w14:textFill>
                    </w:rPr>
                    <w:t>t/a</w:t>
                  </w:r>
                </w:p>
              </w:tc>
              <w:tc>
                <w:tcPr>
                  <w:tcW w:w="1648"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粘土</w:t>
                  </w:r>
                </w:p>
              </w:tc>
              <w:tc>
                <w:tcPr>
                  <w:tcW w:w="1605"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default" w:ascii="Times New Roman" w:hAnsi="Times New Roman" w:eastAsia="宋体" w:cs="Times New Roman"/>
                      <w:color w:val="000000" w:themeColor="text1"/>
                      <w:sz w:val="21"/>
                      <w:szCs w:val="21"/>
                      <w:lang w:val="en-GB"/>
                      <w14:textFill>
                        <w14:solidFill>
                          <w14:schemeClr w14:val="tx1"/>
                        </w14:solidFill>
                      </w14:textFill>
                    </w:rPr>
                    <w:t>t/a</w:t>
                  </w:r>
                </w:p>
              </w:tc>
              <w:tc>
                <w:tcPr>
                  <w:tcW w:w="1648"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生产用水</w:t>
                  </w:r>
                </w:p>
              </w:tc>
              <w:tc>
                <w:tcPr>
                  <w:tcW w:w="1605"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default" w:ascii="Times New Roman" w:hAnsi="Times New Roman" w:eastAsia="宋体" w:cs="Times New Roman"/>
                      <w:color w:val="000000" w:themeColor="text1"/>
                      <w:sz w:val="21"/>
                      <w:szCs w:val="21"/>
                      <w:lang w:val="en-GB"/>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GB"/>
                      <w14:textFill>
                        <w14:solidFill>
                          <w14:schemeClr w14:val="tx1"/>
                        </w14:solidFill>
                      </w14:textFill>
                    </w:rPr>
                    <w:t>3</w:t>
                  </w:r>
                  <w:r>
                    <w:rPr>
                      <w:rFonts w:hint="default" w:ascii="Times New Roman" w:hAnsi="Times New Roman" w:eastAsia="宋体" w:cs="Times New Roman"/>
                      <w:color w:val="000000" w:themeColor="text1"/>
                      <w:sz w:val="21"/>
                      <w:szCs w:val="21"/>
                      <w:lang w:val="en-GB"/>
                      <w14:textFill>
                        <w14:solidFill>
                          <w14:schemeClr w14:val="tx1"/>
                        </w14:solidFill>
                      </w14:textFill>
                    </w:rPr>
                    <w:t>/a</w:t>
                  </w:r>
                </w:p>
              </w:tc>
              <w:tc>
                <w:tcPr>
                  <w:tcW w:w="1648"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2378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电</w:t>
                  </w:r>
                </w:p>
              </w:tc>
              <w:tc>
                <w:tcPr>
                  <w:tcW w:w="1605"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GB"/>
                      <w14:textFill>
                        <w14:solidFill>
                          <w14:schemeClr w14:val="tx1"/>
                        </w14:solidFill>
                      </w14:textFill>
                    </w:rPr>
                  </w:pPr>
                  <w:r>
                    <w:rPr>
                      <w:rFonts w:hint="default" w:ascii="Times New Roman" w:hAnsi="Times New Roman" w:eastAsia="宋体" w:cs="Times New Roman"/>
                      <w:color w:val="000000" w:themeColor="text1"/>
                      <w:sz w:val="21"/>
                      <w:szCs w:val="21"/>
                      <w:lang w:val="en-GB"/>
                      <w14:textFill>
                        <w14:solidFill>
                          <w14:schemeClr w14:val="tx1"/>
                        </w14:solidFill>
                      </w14:textFill>
                    </w:rPr>
                    <w:t>万度/a</w:t>
                  </w:r>
                </w:p>
              </w:tc>
              <w:tc>
                <w:tcPr>
                  <w:tcW w:w="1648"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煤</w:t>
                  </w:r>
                </w:p>
              </w:tc>
              <w:tc>
                <w:tcPr>
                  <w:tcW w:w="1605"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648" w:type="pc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spacing w:before="0" w:line="240" w:lineRule="auto"/>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2670</w:t>
                  </w:r>
                </w:p>
              </w:tc>
            </w:tr>
          </w:tbl>
          <w:p>
            <w:pPr>
              <w:pStyle w:val="60"/>
              <w:numPr>
                <w:ilvl w:val="0"/>
                <w:numId w:val="0"/>
              </w:numPr>
              <w:spacing w:line="240" w:lineRule="auto"/>
              <w:jc w:val="center"/>
              <w:rPr>
                <w:rFonts w:hint="default"/>
                <w:b/>
                <w:bCs/>
                <w:color w:val="auto"/>
                <w:sz w:val="21"/>
                <w:szCs w:val="21"/>
                <w:lang w:val="en-US" w:eastAsia="zh-CN"/>
              </w:rPr>
            </w:pPr>
            <w:r>
              <w:rPr>
                <w:rFonts w:hint="eastAsia"/>
                <w:b/>
                <w:bCs/>
                <w:color w:val="auto"/>
                <w:sz w:val="21"/>
                <w:szCs w:val="21"/>
                <w:lang w:val="en-US" w:eastAsia="zh-CN"/>
              </w:rPr>
              <w:t>表3-8   原有项目生产设备</w:t>
            </w:r>
          </w:p>
          <w:tbl>
            <w:tblPr>
              <w:tblStyle w:val="28"/>
              <w:tblW w:w="499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035"/>
              <w:gridCol w:w="2249"/>
              <w:gridCol w:w="2593"/>
              <w:gridCol w:w="212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编号</w:t>
                  </w:r>
                </w:p>
              </w:tc>
              <w:tc>
                <w:tcPr>
                  <w:tcW w:w="1405" w:type="pct"/>
                  <w:tcBorders>
                    <w:tl2br w:val="nil"/>
                    <w:tr2bl w:val="nil"/>
                  </w:tcBorders>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设备</w:t>
                  </w:r>
                </w:p>
              </w:tc>
              <w:tc>
                <w:tcPr>
                  <w:tcW w:w="1620" w:type="pct"/>
                  <w:tcBorders>
                    <w:tl2br w:val="nil"/>
                    <w:tr2bl w:val="nil"/>
                  </w:tcBorders>
                  <w:noWrap w:val="0"/>
                  <w:vAlign w:val="center"/>
                </w:tcPr>
                <w:p>
                  <w:pPr>
                    <w:adjustRightInd w:val="0"/>
                    <w:snapToGrid w:val="0"/>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单位</w:t>
                  </w:r>
                </w:p>
              </w:tc>
              <w:tc>
                <w:tcPr>
                  <w:tcW w:w="1326" w:type="pct"/>
                  <w:tcBorders>
                    <w:tl2br w:val="nil"/>
                    <w:tr2bl w:val="nil"/>
                  </w:tcBorders>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647" w:type="pct"/>
                  <w:tcBorders>
                    <w:tl2br w:val="nil"/>
                    <w:tr2bl w:val="nil"/>
                  </w:tcBorders>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405"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轮窑风机</w:t>
                  </w:r>
                </w:p>
              </w:tc>
              <w:tc>
                <w:tcPr>
                  <w:tcW w:w="1620"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台</w:t>
                  </w:r>
                </w:p>
              </w:tc>
              <w:tc>
                <w:tcPr>
                  <w:tcW w:w="1326" w:type="pct"/>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1405"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轮窑废气脱硫塔</w:t>
                  </w:r>
                </w:p>
              </w:tc>
              <w:tc>
                <w:tcPr>
                  <w:tcW w:w="1620"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座</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7" w:type="pct"/>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1405"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引风机</w:t>
                  </w:r>
                </w:p>
              </w:tc>
              <w:tc>
                <w:tcPr>
                  <w:tcW w:w="1620"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台</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1405"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布袋除尘器</w:t>
                  </w:r>
                </w:p>
              </w:tc>
              <w:tc>
                <w:tcPr>
                  <w:tcW w:w="1620"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台</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405"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粉碎机</w:t>
                  </w:r>
                </w:p>
              </w:tc>
              <w:tc>
                <w:tcPr>
                  <w:tcW w:w="1620"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台</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1405"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皮带式输送机</w:t>
                  </w:r>
                </w:p>
              </w:tc>
              <w:tc>
                <w:tcPr>
                  <w:tcW w:w="1620"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台</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647"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1405"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搅拌机</w:t>
                  </w:r>
                </w:p>
              </w:tc>
              <w:tc>
                <w:tcPr>
                  <w:tcW w:w="1620"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台</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1405"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真空砖机</w:t>
                  </w:r>
                </w:p>
              </w:tc>
              <w:tc>
                <w:tcPr>
                  <w:tcW w:w="1620"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套</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c>
                <w:tcPr>
                  <w:tcW w:w="1405"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粉土对辊机</w:t>
                  </w:r>
                </w:p>
              </w:tc>
              <w:tc>
                <w:tcPr>
                  <w:tcW w:w="1620"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套</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1405" w:type="pct"/>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轮窑</w:t>
                  </w:r>
                </w:p>
              </w:tc>
              <w:tc>
                <w:tcPr>
                  <w:tcW w:w="1620"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24门</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c>
                <w:tcPr>
                  <w:tcW w:w="1405"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捡石机</w:t>
                  </w:r>
                </w:p>
              </w:tc>
              <w:tc>
                <w:tcPr>
                  <w:tcW w:w="1620"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台</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p>
              </w:tc>
              <w:tc>
                <w:tcPr>
                  <w:tcW w:w="1405"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推土机</w:t>
                  </w:r>
                </w:p>
              </w:tc>
              <w:tc>
                <w:tcPr>
                  <w:tcW w:w="1620"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台</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13</w:t>
                  </w:r>
                </w:p>
              </w:tc>
              <w:tc>
                <w:tcPr>
                  <w:tcW w:w="1405"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运砖电车</w:t>
                  </w:r>
                </w:p>
              </w:tc>
              <w:tc>
                <w:tcPr>
                  <w:tcW w:w="1620" w:type="pct"/>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辆</w:t>
                  </w:r>
                </w:p>
              </w:tc>
              <w:tc>
                <w:tcPr>
                  <w:tcW w:w="1326" w:type="pct"/>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44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14</w:t>
                  </w:r>
                </w:p>
              </w:tc>
              <w:tc>
                <w:tcPr>
                  <w:tcW w:w="1405" w:type="pct"/>
                  <w:tcBorders>
                    <w:tl2br w:val="nil"/>
                    <w:tr2bl w:val="nil"/>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干粉灭火器</w:t>
                  </w:r>
                </w:p>
              </w:tc>
              <w:tc>
                <w:tcPr>
                  <w:tcW w:w="1620" w:type="pct"/>
                  <w:tcBorders>
                    <w:tl2br w:val="nil"/>
                    <w:tr2bl w:val="nil"/>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个</w:t>
                  </w:r>
                </w:p>
              </w:tc>
              <w:tc>
                <w:tcPr>
                  <w:tcW w:w="1326" w:type="pct"/>
                  <w:tcBorders>
                    <w:tl2br w:val="nil"/>
                    <w:tr2bl w:val="nil"/>
                  </w:tcBorders>
                  <w:noWrap w:val="0"/>
                  <w:vAlign w:val="center"/>
                </w:tcPr>
                <w:p>
                  <w:pPr>
                    <w:adjustRightInd w:val="0"/>
                    <w:snapToGrid w:val="0"/>
                    <w:jc w:val="center"/>
                    <w:rPr>
                      <w:rFonts w:hint="default" w:eastAsia="宋体"/>
                      <w:color w:val="auto"/>
                      <w:szCs w:val="21"/>
                      <w:lang w:val="en-US" w:eastAsia="zh-CN"/>
                    </w:rPr>
                  </w:pPr>
                  <w:r>
                    <w:rPr>
                      <w:rFonts w:hint="eastAsia" w:eastAsia="宋体"/>
                      <w:color w:val="auto"/>
                      <w:szCs w:val="21"/>
                      <w:lang w:val="en-US" w:eastAsia="zh-CN"/>
                    </w:rPr>
                    <w:t>2</w:t>
                  </w:r>
                </w:p>
              </w:tc>
            </w:tr>
          </w:tbl>
          <w:p>
            <w:pPr>
              <w:pStyle w:val="60"/>
              <w:ind w:left="0" w:leftChars="0" w:firstLine="480" w:firstLineChars="200"/>
              <w:rPr>
                <w:rFonts w:hint="default"/>
                <w:color w:val="auto"/>
                <w:sz w:val="24"/>
                <w:szCs w:val="24"/>
                <w:lang w:val="en-US" w:eastAsia="zh-CN"/>
              </w:rPr>
            </w:pPr>
            <w:r>
              <w:rPr>
                <w:rFonts w:hint="eastAsia"/>
                <w:color w:val="auto"/>
                <w:sz w:val="24"/>
                <w:szCs w:val="24"/>
                <w:lang w:val="en-US" w:eastAsia="zh-CN"/>
              </w:rPr>
              <w:t>（4）产品方案</w:t>
            </w:r>
          </w:p>
          <w:p>
            <w:pPr>
              <w:pStyle w:val="60"/>
              <w:numPr>
                <w:ilvl w:val="0"/>
                <w:numId w:val="0"/>
              </w:numPr>
              <w:ind w:left="422" w:leftChars="0"/>
              <w:rPr>
                <w:rFonts w:hint="default"/>
                <w:b w:val="0"/>
                <w:bCs w:val="0"/>
                <w:color w:val="auto"/>
                <w:sz w:val="24"/>
                <w:szCs w:val="24"/>
                <w:lang w:val="en-US" w:eastAsia="zh-CN"/>
              </w:rPr>
            </w:pPr>
            <w:r>
              <w:rPr>
                <w:rFonts w:hint="eastAsia"/>
                <w:b w:val="0"/>
                <w:bCs w:val="0"/>
                <w:color w:val="auto"/>
                <w:sz w:val="24"/>
                <w:szCs w:val="24"/>
                <w:lang w:val="en-US" w:eastAsia="zh-CN"/>
              </w:rPr>
              <w:t>原项目生产空心砖1300万块，具体型号见下表。</w:t>
            </w:r>
          </w:p>
          <w:p>
            <w:pPr>
              <w:pStyle w:val="60"/>
              <w:numPr>
                <w:ilvl w:val="0"/>
                <w:numId w:val="0"/>
              </w:numPr>
              <w:spacing w:line="240" w:lineRule="auto"/>
              <w:jc w:val="center"/>
              <w:rPr>
                <w:rFonts w:hint="default"/>
                <w:b/>
                <w:bCs/>
                <w:color w:val="auto"/>
                <w:sz w:val="21"/>
                <w:szCs w:val="21"/>
                <w:lang w:val="en-US" w:eastAsia="zh-CN"/>
              </w:rPr>
            </w:pPr>
            <w:r>
              <w:rPr>
                <w:rFonts w:hint="eastAsia"/>
                <w:b/>
                <w:bCs/>
                <w:color w:val="auto"/>
                <w:sz w:val="21"/>
                <w:szCs w:val="21"/>
                <w:lang w:val="en-US" w:eastAsia="zh-CN"/>
              </w:rPr>
              <w:t>表3-9   原项目产品规格及生产规模汇总</w:t>
            </w:r>
          </w:p>
          <w:tbl>
            <w:tblPr>
              <w:tblStyle w:val="29"/>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695"/>
              <w:gridCol w:w="1971"/>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7"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序号</w:t>
                  </w:r>
                </w:p>
              </w:tc>
              <w:tc>
                <w:tcPr>
                  <w:tcW w:w="2695"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规格（mm）</w:t>
                  </w:r>
                </w:p>
              </w:tc>
              <w:tc>
                <w:tcPr>
                  <w:tcW w:w="1971"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单位</w:t>
                  </w:r>
                </w:p>
              </w:tc>
              <w:tc>
                <w:tcPr>
                  <w:tcW w:w="1972"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47"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2695"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238</w:t>
                  </w:r>
                  <w:r>
                    <w:rPr>
                      <w:rFonts w:hint="default" w:ascii="Arial" w:hAnsi="Arial" w:cs="Arial"/>
                      <w:b w:val="0"/>
                      <w:bCs w:val="0"/>
                      <w:color w:val="auto"/>
                      <w:sz w:val="21"/>
                      <w:szCs w:val="21"/>
                      <w:vertAlign w:val="baseline"/>
                      <w:lang w:val="en-US" w:eastAsia="zh-CN"/>
                    </w:rPr>
                    <w:t>×</w:t>
                  </w:r>
                  <w:r>
                    <w:rPr>
                      <w:rFonts w:hint="eastAsia"/>
                      <w:b w:val="0"/>
                      <w:bCs w:val="0"/>
                      <w:color w:val="auto"/>
                      <w:sz w:val="21"/>
                      <w:szCs w:val="21"/>
                      <w:vertAlign w:val="baseline"/>
                      <w:lang w:val="en-US" w:eastAsia="zh-CN"/>
                    </w:rPr>
                    <w:t>115</w:t>
                  </w:r>
                  <w:r>
                    <w:rPr>
                      <w:rFonts w:hint="default" w:ascii="Arial" w:hAnsi="Arial" w:cs="Arial"/>
                      <w:b w:val="0"/>
                      <w:bCs w:val="0"/>
                      <w:color w:val="auto"/>
                      <w:sz w:val="21"/>
                      <w:szCs w:val="21"/>
                      <w:vertAlign w:val="baseline"/>
                      <w:lang w:val="en-US" w:eastAsia="zh-CN"/>
                    </w:rPr>
                    <w:t>×</w:t>
                  </w:r>
                  <w:r>
                    <w:rPr>
                      <w:rFonts w:hint="eastAsia" w:ascii="Arial" w:hAnsi="Arial" w:cs="Arial"/>
                      <w:b w:val="0"/>
                      <w:bCs w:val="0"/>
                      <w:color w:val="auto"/>
                      <w:sz w:val="21"/>
                      <w:szCs w:val="21"/>
                      <w:vertAlign w:val="baseline"/>
                      <w:lang w:val="en-US" w:eastAsia="zh-CN"/>
                    </w:rPr>
                    <w:t>90</w:t>
                  </w:r>
                </w:p>
              </w:tc>
              <w:tc>
                <w:tcPr>
                  <w:tcW w:w="1971"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万块/年</w:t>
                  </w:r>
                </w:p>
              </w:tc>
              <w:tc>
                <w:tcPr>
                  <w:tcW w:w="1972"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47"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2</w:t>
                  </w:r>
                </w:p>
              </w:tc>
              <w:tc>
                <w:tcPr>
                  <w:tcW w:w="2695" w:type="dxa"/>
                  <w:vAlign w:val="center"/>
                </w:tcPr>
                <w:p>
                  <w:pPr>
                    <w:pStyle w:val="60"/>
                    <w:numPr>
                      <w:ilvl w:val="0"/>
                      <w:numId w:val="0"/>
                    </w:numPr>
                    <w:spacing w:line="240" w:lineRule="auto"/>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290</w:t>
                  </w:r>
                  <w:r>
                    <w:rPr>
                      <w:rFonts w:hint="default" w:ascii="Arial" w:hAnsi="Arial" w:cs="Arial"/>
                      <w:b w:val="0"/>
                      <w:bCs w:val="0"/>
                      <w:color w:val="auto"/>
                      <w:sz w:val="21"/>
                      <w:szCs w:val="21"/>
                      <w:vertAlign w:val="baseline"/>
                      <w:lang w:val="en-US" w:eastAsia="zh-CN"/>
                    </w:rPr>
                    <w:t>×</w:t>
                  </w:r>
                  <w:r>
                    <w:rPr>
                      <w:rFonts w:hint="eastAsia"/>
                      <w:b w:val="0"/>
                      <w:bCs w:val="0"/>
                      <w:color w:val="auto"/>
                      <w:sz w:val="21"/>
                      <w:szCs w:val="21"/>
                      <w:vertAlign w:val="baseline"/>
                      <w:lang w:val="en-US" w:eastAsia="zh-CN"/>
                    </w:rPr>
                    <w:t>190</w:t>
                  </w:r>
                  <w:r>
                    <w:rPr>
                      <w:rFonts w:hint="default" w:ascii="Arial" w:hAnsi="Arial" w:cs="Arial"/>
                      <w:b w:val="0"/>
                      <w:bCs w:val="0"/>
                      <w:color w:val="auto"/>
                      <w:sz w:val="21"/>
                      <w:szCs w:val="21"/>
                      <w:vertAlign w:val="baseline"/>
                      <w:lang w:val="en-US" w:eastAsia="zh-CN"/>
                    </w:rPr>
                    <w:t>×</w:t>
                  </w:r>
                  <w:r>
                    <w:rPr>
                      <w:rFonts w:hint="eastAsia" w:ascii="Arial" w:hAnsi="Arial" w:cs="Arial"/>
                      <w:b w:val="0"/>
                      <w:bCs w:val="0"/>
                      <w:color w:val="auto"/>
                      <w:sz w:val="21"/>
                      <w:szCs w:val="21"/>
                      <w:vertAlign w:val="baseline"/>
                      <w:lang w:val="en-US" w:eastAsia="zh-CN"/>
                    </w:rPr>
                    <w:t>90</w:t>
                  </w:r>
                </w:p>
              </w:tc>
              <w:tc>
                <w:tcPr>
                  <w:tcW w:w="1971" w:type="dxa"/>
                  <w:vAlign w:val="center"/>
                </w:tcPr>
                <w:p>
                  <w:pPr>
                    <w:pStyle w:val="60"/>
                    <w:numPr>
                      <w:ilvl w:val="0"/>
                      <w:numId w:val="0"/>
                    </w:numPr>
                    <w:spacing w:line="240" w:lineRule="auto"/>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万块/年</w:t>
                  </w:r>
                </w:p>
              </w:tc>
              <w:tc>
                <w:tcPr>
                  <w:tcW w:w="1972"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47"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2695"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190</w:t>
                  </w:r>
                  <w:r>
                    <w:rPr>
                      <w:rFonts w:hint="default" w:ascii="Arial" w:hAnsi="Arial" w:cs="Arial"/>
                      <w:b w:val="0"/>
                      <w:bCs w:val="0"/>
                      <w:color w:val="auto"/>
                      <w:sz w:val="21"/>
                      <w:szCs w:val="21"/>
                      <w:vertAlign w:val="baseline"/>
                      <w:lang w:val="en-US" w:eastAsia="zh-CN"/>
                    </w:rPr>
                    <w:t>×</w:t>
                  </w:r>
                  <w:r>
                    <w:rPr>
                      <w:rFonts w:hint="eastAsia"/>
                      <w:b w:val="0"/>
                      <w:bCs w:val="0"/>
                      <w:color w:val="auto"/>
                      <w:sz w:val="21"/>
                      <w:szCs w:val="21"/>
                      <w:vertAlign w:val="baseline"/>
                      <w:lang w:val="en-US" w:eastAsia="zh-CN"/>
                    </w:rPr>
                    <w:t>190</w:t>
                  </w:r>
                  <w:r>
                    <w:rPr>
                      <w:rFonts w:hint="default" w:ascii="Arial" w:hAnsi="Arial" w:cs="Arial"/>
                      <w:b w:val="0"/>
                      <w:bCs w:val="0"/>
                      <w:color w:val="auto"/>
                      <w:sz w:val="21"/>
                      <w:szCs w:val="21"/>
                      <w:vertAlign w:val="baseline"/>
                      <w:lang w:val="en-US" w:eastAsia="zh-CN"/>
                    </w:rPr>
                    <w:t>×</w:t>
                  </w:r>
                  <w:r>
                    <w:rPr>
                      <w:rFonts w:hint="eastAsia" w:ascii="Arial" w:hAnsi="Arial" w:cs="Arial"/>
                      <w:b w:val="0"/>
                      <w:bCs w:val="0"/>
                      <w:color w:val="auto"/>
                      <w:sz w:val="21"/>
                      <w:szCs w:val="21"/>
                      <w:vertAlign w:val="baseline"/>
                      <w:lang w:val="en-US" w:eastAsia="zh-CN"/>
                    </w:rPr>
                    <w:t>190</w:t>
                  </w:r>
                </w:p>
              </w:tc>
              <w:tc>
                <w:tcPr>
                  <w:tcW w:w="1971" w:type="dxa"/>
                  <w:vAlign w:val="center"/>
                </w:tcPr>
                <w:p>
                  <w:pPr>
                    <w:pStyle w:val="60"/>
                    <w:numPr>
                      <w:ilvl w:val="0"/>
                      <w:numId w:val="0"/>
                    </w:numPr>
                    <w:spacing w:line="240" w:lineRule="auto"/>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万块/年</w:t>
                  </w:r>
                </w:p>
              </w:tc>
              <w:tc>
                <w:tcPr>
                  <w:tcW w:w="1972" w:type="dxa"/>
                  <w:vAlign w:val="center"/>
                </w:tcPr>
                <w:p>
                  <w:pPr>
                    <w:pStyle w:val="60"/>
                    <w:numPr>
                      <w:ilvl w:val="0"/>
                      <w:numId w:val="0"/>
                    </w:numPr>
                    <w:spacing w:line="240" w:lineRule="auto"/>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150</w:t>
                  </w:r>
                </w:p>
              </w:tc>
            </w:tr>
          </w:tbl>
          <w:p>
            <w:pPr>
              <w:pStyle w:val="60"/>
              <w:numPr>
                <w:ilvl w:val="0"/>
                <w:numId w:val="0"/>
              </w:numPr>
              <w:ind w:left="422" w:leftChars="0"/>
              <w:rPr>
                <w:rFonts w:hint="eastAsia"/>
                <w:b w:val="0"/>
                <w:bCs w:val="0"/>
                <w:color w:val="auto"/>
                <w:sz w:val="24"/>
                <w:szCs w:val="24"/>
                <w:lang w:val="en-US" w:eastAsia="zh-CN"/>
              </w:rPr>
            </w:pPr>
            <w:r>
              <w:rPr>
                <w:rFonts w:hint="eastAsia"/>
                <w:b w:val="0"/>
                <w:bCs w:val="0"/>
                <w:color w:val="auto"/>
                <w:sz w:val="24"/>
                <w:szCs w:val="24"/>
                <w:lang w:val="en-US" w:eastAsia="zh-CN"/>
              </w:rPr>
              <w:t>（5）项目改造后物料变换情况</w:t>
            </w:r>
          </w:p>
          <w:p>
            <w:pPr>
              <w:pStyle w:val="60"/>
              <w:ind w:firstLine="420"/>
              <w:rPr>
                <w:rFonts w:hint="default"/>
                <w:color w:val="auto"/>
                <w:sz w:val="24"/>
                <w:szCs w:val="24"/>
                <w:lang w:val="en-US" w:eastAsia="zh-CN"/>
              </w:rPr>
            </w:pPr>
            <w:r>
              <w:rPr>
                <w:rFonts w:hint="eastAsia"/>
                <w:color w:val="auto"/>
                <w:sz w:val="24"/>
                <w:szCs w:val="24"/>
                <w:lang w:val="en-US" w:eastAsia="zh-CN"/>
              </w:rPr>
              <w:t>改建前后物料变化情况见下表。</w:t>
            </w:r>
          </w:p>
          <w:p>
            <w:pPr>
              <w:pStyle w:val="23"/>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cs="Times New Roman"/>
                <w:b/>
                <w:bCs/>
                <w:color w:val="auto"/>
                <w:sz w:val="21"/>
                <w:szCs w:val="21"/>
                <w:lang w:val="en-US" w:eastAsia="zh-CN"/>
              </w:rPr>
              <w:t>3-10</w:t>
            </w:r>
            <w:r>
              <w:rPr>
                <w:rFonts w:hint="default" w:ascii="Times New Roman" w:hAnsi="Times New Roman" w:eastAsia="宋体" w:cs="Times New Roman"/>
                <w:b/>
                <w:bCs/>
                <w:color w:val="auto"/>
                <w:sz w:val="21"/>
                <w:szCs w:val="21"/>
                <w:lang w:val="en-US" w:eastAsia="zh-CN"/>
              </w:rPr>
              <w:t xml:space="preserve">   改建前后物料变化一览表  单位：</w:t>
            </w:r>
            <w:r>
              <w:rPr>
                <w:rFonts w:hint="default" w:ascii="Times New Roman" w:hAnsi="Times New Roman" w:eastAsia="宋体" w:cs="Times New Roman"/>
                <w:b/>
                <w:bCs/>
                <w:color w:val="auto"/>
                <w:sz w:val="21"/>
                <w:szCs w:val="21"/>
                <w:vertAlign w:val="baseline"/>
                <w:lang w:val="en-US" w:eastAsia="zh-CN"/>
              </w:rPr>
              <w:t>t/a</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123"/>
              <w:gridCol w:w="2282"/>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48" w:type="pct"/>
                  <w:tcBorders>
                    <w:tl2br w:val="nil"/>
                    <w:tr2bl w:val="nil"/>
                  </w:tcBorders>
                  <w:noWrap w:val="0"/>
                  <w:vAlign w:val="center"/>
                </w:tcPr>
                <w:p>
                  <w:pPr>
                    <w:jc w:val="center"/>
                    <w:rPr>
                      <w:rFonts w:hint="default"/>
                      <w:b/>
                      <w:bCs/>
                      <w:color w:val="auto"/>
                      <w:vertAlign w:val="baseline"/>
                      <w:lang w:val="en-US" w:eastAsia="zh-CN"/>
                    </w:rPr>
                  </w:pPr>
                  <w:r>
                    <w:rPr>
                      <w:rFonts w:hint="eastAsia"/>
                      <w:b/>
                      <w:bCs/>
                      <w:color w:val="auto"/>
                      <w:vertAlign w:val="baseline"/>
                      <w:lang w:val="en-US" w:eastAsia="zh-CN"/>
                    </w:rPr>
                    <w:t>物料名称</w:t>
                  </w:r>
                </w:p>
              </w:tc>
              <w:tc>
                <w:tcPr>
                  <w:tcW w:w="1325" w:type="pct"/>
                  <w:tcBorders>
                    <w:tl2br w:val="nil"/>
                    <w:tr2bl w:val="nil"/>
                  </w:tcBorders>
                  <w:noWrap w:val="0"/>
                  <w:vAlign w:val="center"/>
                </w:tcPr>
                <w:p>
                  <w:pPr>
                    <w:jc w:val="center"/>
                    <w:rPr>
                      <w:rFonts w:hint="default"/>
                      <w:b/>
                      <w:bCs/>
                      <w:color w:val="auto"/>
                      <w:vertAlign w:val="baseline"/>
                      <w:lang w:val="en-US" w:eastAsia="zh-CN"/>
                    </w:rPr>
                  </w:pPr>
                  <w:r>
                    <w:rPr>
                      <w:rFonts w:hint="eastAsia"/>
                      <w:b/>
                      <w:bCs/>
                      <w:color w:val="auto"/>
                      <w:vertAlign w:val="baseline"/>
                      <w:lang w:val="en-US" w:eastAsia="zh-CN"/>
                    </w:rPr>
                    <w:t>改建前用量</w:t>
                  </w:r>
                </w:p>
              </w:tc>
              <w:tc>
                <w:tcPr>
                  <w:tcW w:w="1424" w:type="pct"/>
                  <w:tcBorders>
                    <w:tl2br w:val="nil"/>
                    <w:tr2bl w:val="nil"/>
                  </w:tcBorders>
                  <w:noWrap w:val="0"/>
                  <w:vAlign w:val="center"/>
                </w:tcPr>
                <w:p>
                  <w:pPr>
                    <w:jc w:val="center"/>
                    <w:rPr>
                      <w:rFonts w:hint="eastAsia"/>
                      <w:b/>
                      <w:bCs/>
                      <w:color w:val="auto"/>
                      <w:vertAlign w:val="baseline"/>
                      <w:lang w:val="en-US" w:eastAsia="zh-CN"/>
                    </w:rPr>
                  </w:pPr>
                  <w:r>
                    <w:rPr>
                      <w:rFonts w:hint="eastAsia"/>
                      <w:b/>
                      <w:bCs/>
                      <w:color w:val="auto"/>
                      <w:vertAlign w:val="baseline"/>
                      <w:lang w:val="en-US" w:eastAsia="zh-CN"/>
                    </w:rPr>
                    <w:t>改建后用量</w:t>
                  </w:r>
                </w:p>
              </w:tc>
              <w:tc>
                <w:tcPr>
                  <w:tcW w:w="1001" w:type="pct"/>
                  <w:tcBorders>
                    <w:tl2br w:val="nil"/>
                    <w:tr2bl w:val="nil"/>
                  </w:tcBorders>
                  <w:noWrap w:val="0"/>
                  <w:vAlign w:val="center"/>
                </w:tcPr>
                <w:p>
                  <w:pPr>
                    <w:jc w:val="center"/>
                    <w:rPr>
                      <w:rFonts w:hint="default"/>
                      <w:b/>
                      <w:bCs/>
                      <w:color w:val="auto"/>
                      <w:vertAlign w:val="baseline"/>
                      <w:lang w:val="en-US" w:eastAsia="zh-CN"/>
                    </w:rPr>
                  </w:pPr>
                  <w:r>
                    <w:rPr>
                      <w:rFonts w:hint="eastAsia"/>
                      <w:b/>
                      <w:bCs/>
                      <w:color w:val="auto"/>
                      <w:vertAlign w:val="baseline"/>
                      <w:lang w:val="en-US" w:eastAsia="zh-CN"/>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产能（折标砖）</w:t>
                  </w:r>
                </w:p>
              </w:tc>
              <w:tc>
                <w:tcPr>
                  <w:tcW w:w="1325" w:type="pct"/>
                  <w:tcBorders>
                    <w:tl2br w:val="nil"/>
                    <w:tr2bl w:val="nil"/>
                  </w:tcBorders>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500万块</w:t>
                  </w:r>
                </w:p>
              </w:tc>
              <w:tc>
                <w:tcPr>
                  <w:tcW w:w="1424"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6000</w:t>
                  </w:r>
                  <w:r>
                    <w:rPr>
                      <w:rFonts w:hint="eastAsia"/>
                      <w:color w:val="auto"/>
                      <w:sz w:val="21"/>
                      <w:szCs w:val="21"/>
                      <w:vertAlign w:val="baseline"/>
                      <w:lang w:val="en-US" w:eastAsia="zh-CN"/>
                    </w:rPr>
                    <w:t>万块</w:t>
                  </w:r>
                </w:p>
              </w:tc>
              <w:tc>
                <w:tcPr>
                  <w:tcW w:w="1001"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+5500万块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煤矸石</w:t>
                  </w:r>
                </w:p>
              </w:tc>
              <w:tc>
                <w:tcPr>
                  <w:tcW w:w="1325"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0</w:t>
                  </w:r>
                </w:p>
              </w:tc>
              <w:tc>
                <w:tcPr>
                  <w:tcW w:w="1424" w:type="pct"/>
                  <w:tcBorders>
                    <w:tl2br w:val="nil"/>
                    <w:tr2bl w:val="nil"/>
                  </w:tcBorders>
                  <w:noWrap w:val="0"/>
                  <w:vAlign w:val="center"/>
                </w:tcPr>
                <w:p>
                  <w:pPr>
                    <w:pStyle w:val="57"/>
                    <w:rPr>
                      <w:rFonts w:hint="default" w:cs="Times New Roman"/>
                      <w:color w:val="auto"/>
                      <w:highlight w:val="none"/>
                      <w:lang w:val="en-US" w:eastAsia="zh-CN"/>
                    </w:rPr>
                  </w:pPr>
                  <w:r>
                    <w:rPr>
                      <w:rFonts w:hint="eastAsia" w:cs="Times New Roman"/>
                      <w:color w:val="auto"/>
                      <w:highlight w:val="none"/>
                      <w:lang w:val="en-US" w:eastAsia="zh-CN"/>
                    </w:rPr>
                    <w:t>30360t</w:t>
                  </w:r>
                </w:p>
              </w:tc>
              <w:tc>
                <w:tcPr>
                  <w:tcW w:w="1001" w:type="pct"/>
                  <w:tcBorders>
                    <w:tl2br w:val="nil"/>
                    <w:tr2bl w:val="nil"/>
                  </w:tcBorders>
                  <w:noWrap w:val="0"/>
                  <w:vAlign w:val="center"/>
                </w:tcPr>
                <w:p>
                  <w:pPr>
                    <w:jc w:val="center"/>
                    <w:rPr>
                      <w:rFonts w:hint="eastAsia"/>
                      <w:color w:val="auto"/>
                      <w:vertAlign w:val="baseline"/>
                      <w:lang w:val="en-US" w:eastAsia="zh-CN"/>
                    </w:rPr>
                  </w:pPr>
                  <w:r>
                    <w:rPr>
                      <w:rFonts w:hint="eastAsia"/>
                      <w:color w:val="auto"/>
                      <w:vertAlign w:val="baseline"/>
                      <w:lang w:val="en-US" w:eastAsia="zh-CN"/>
                    </w:rPr>
                    <w:t>+</w:t>
                  </w:r>
                  <w:r>
                    <w:rPr>
                      <w:rFonts w:hint="eastAsia" w:cs="Times New Roman"/>
                      <w:color w:val="auto"/>
                      <w:highlight w:val="none"/>
                      <w:lang w:val="en-US" w:eastAsia="zh-CN"/>
                    </w:rPr>
                    <w:t>30360t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煤粉</w:t>
                  </w:r>
                </w:p>
              </w:tc>
              <w:tc>
                <w:tcPr>
                  <w:tcW w:w="1325"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2050t</w:t>
                  </w:r>
                </w:p>
              </w:tc>
              <w:tc>
                <w:tcPr>
                  <w:tcW w:w="1424" w:type="pct"/>
                  <w:tcBorders>
                    <w:tl2br w:val="nil"/>
                    <w:tr2bl w:val="nil"/>
                  </w:tcBorders>
                  <w:noWrap w:val="0"/>
                  <w:vAlign w:val="center"/>
                </w:tcPr>
                <w:p>
                  <w:pPr>
                    <w:pStyle w:val="57"/>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32</w:t>
                  </w:r>
                  <w:r>
                    <w:rPr>
                      <w:rFonts w:hint="eastAsia" w:ascii="Times New Roman" w:hAnsi="Times New Roman" w:eastAsia="宋体" w:cs="Times New Roman"/>
                      <w:color w:val="auto"/>
                      <w:kern w:val="2"/>
                      <w:sz w:val="21"/>
                      <w:szCs w:val="24"/>
                      <w:lang w:val="en-US" w:eastAsia="zh-CN" w:bidi="ar-SA"/>
                    </w:rPr>
                    <w:t>t</w:t>
                  </w:r>
                </w:p>
              </w:tc>
              <w:tc>
                <w:tcPr>
                  <w:tcW w:w="1001"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-20187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pPr>
                    <w:jc w:val="center"/>
                    <w:rPr>
                      <w:rFonts w:hint="eastAsia"/>
                      <w:color w:val="auto"/>
                      <w:vertAlign w:val="baseline"/>
                      <w:lang w:val="en-US" w:eastAsia="zh-CN"/>
                    </w:rPr>
                  </w:pPr>
                  <w:r>
                    <w:rPr>
                      <w:rFonts w:hint="eastAsia"/>
                      <w:color w:val="auto"/>
                      <w:vertAlign w:val="baseline"/>
                      <w:lang w:val="en-US" w:eastAsia="zh-CN"/>
                    </w:rPr>
                    <w:t>粘土</w:t>
                  </w:r>
                </w:p>
              </w:tc>
              <w:tc>
                <w:tcPr>
                  <w:tcW w:w="1325"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36000t</w:t>
                  </w:r>
                </w:p>
              </w:tc>
              <w:tc>
                <w:tcPr>
                  <w:tcW w:w="1424" w:type="pct"/>
                  <w:tcBorders>
                    <w:tl2br w:val="nil"/>
                    <w:tr2bl w:val="nil"/>
                  </w:tcBorders>
                  <w:noWrap w:val="0"/>
                  <w:vAlign w:val="center"/>
                </w:tcPr>
                <w:p>
                  <w:pPr>
                    <w:pStyle w:val="57"/>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144417</w:t>
                  </w:r>
                  <w:r>
                    <w:rPr>
                      <w:rFonts w:hint="eastAsia" w:ascii="Times New Roman" w:hAnsi="Times New Roman" w:eastAsia="宋体" w:cs="Times New Roman"/>
                      <w:color w:val="auto"/>
                      <w:kern w:val="2"/>
                      <w:sz w:val="21"/>
                      <w:szCs w:val="24"/>
                      <w:lang w:val="en-US" w:eastAsia="zh-CN" w:bidi="ar-SA"/>
                    </w:rPr>
                    <w:t>t</w:t>
                  </w:r>
                </w:p>
              </w:tc>
              <w:tc>
                <w:tcPr>
                  <w:tcW w:w="1001"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+108417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生产用水</w:t>
                  </w:r>
                </w:p>
              </w:tc>
              <w:tc>
                <w:tcPr>
                  <w:tcW w:w="1325" w:type="pct"/>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2378t</w:t>
                  </w:r>
                </w:p>
              </w:tc>
              <w:tc>
                <w:tcPr>
                  <w:tcW w:w="2243" w:type="dxa"/>
                  <w:tcBorders>
                    <w:tl2br w:val="nil"/>
                    <w:tr2bl w:val="nil"/>
                  </w:tcBorders>
                  <w:noWrap w:val="0"/>
                  <w:vAlign w:val="center"/>
                </w:tcPr>
                <w:p>
                  <w:pPr>
                    <w:jc w:val="center"/>
                    <w:rPr>
                      <w:rFonts w:hint="default"/>
                      <w:color w:val="auto"/>
                      <w:vertAlign w:val="baseline"/>
                      <w:lang w:val="en-US" w:eastAsia="zh-CN"/>
                    </w:rPr>
                  </w:pPr>
                  <w:r>
                    <w:rPr>
                      <w:rFonts w:hint="eastAsia"/>
                      <w:color w:val="auto"/>
                      <w:szCs w:val="21"/>
                      <w:lang w:val="en-US" w:eastAsia="zh-CN"/>
                    </w:rPr>
                    <w:t>30660t</w:t>
                  </w:r>
                </w:p>
              </w:tc>
              <w:tc>
                <w:tcPr>
                  <w:tcW w:w="1576" w:type="dxa"/>
                  <w:tcBorders>
                    <w:tl2br w:val="nil"/>
                    <w:tr2bl w:val="nil"/>
                  </w:tcBorders>
                  <w:noWrap w:val="0"/>
                  <w:vAlign w:val="center"/>
                </w:tcPr>
                <w:p>
                  <w:pPr>
                    <w:jc w:val="center"/>
                    <w:rPr>
                      <w:rFonts w:hint="default"/>
                      <w:color w:val="auto"/>
                      <w:vertAlign w:val="baseline"/>
                      <w:lang w:val="en-US" w:eastAsia="zh-CN"/>
                    </w:rPr>
                  </w:pPr>
                  <w:r>
                    <w:rPr>
                      <w:rFonts w:hint="eastAsia"/>
                      <w:color w:val="auto"/>
                      <w:vertAlign w:val="baseline"/>
                      <w:lang w:val="en-US" w:eastAsia="zh-CN"/>
                    </w:rPr>
                    <w:t>+28282</w:t>
                  </w:r>
                </w:p>
              </w:tc>
            </w:tr>
          </w:tbl>
          <w:p>
            <w:pPr>
              <w:pStyle w:val="60"/>
              <w:ind w:left="0" w:leftChars="0" w:firstLine="0" w:firstLineChars="0"/>
              <w:rPr>
                <w:b/>
                <w:bCs/>
                <w:color w:val="auto"/>
                <w:sz w:val="24"/>
                <w:szCs w:val="24"/>
              </w:rPr>
            </w:pPr>
            <w:r>
              <w:rPr>
                <w:rFonts w:hint="eastAsia"/>
                <w:b/>
                <w:bCs/>
                <w:color w:val="auto"/>
                <w:sz w:val="24"/>
                <w:szCs w:val="24"/>
                <w:lang w:val="en-US" w:eastAsia="zh-CN"/>
              </w:rPr>
              <w:t>2.</w:t>
            </w:r>
            <w:r>
              <w:rPr>
                <w:b/>
                <w:bCs/>
                <w:color w:val="auto"/>
                <w:sz w:val="24"/>
                <w:szCs w:val="24"/>
              </w:rPr>
              <w:t>原有工程污染物排放情况</w:t>
            </w:r>
          </w:p>
          <w:p>
            <w:pPr>
              <w:pStyle w:val="60"/>
              <w:ind w:firstLine="420"/>
              <w:rPr>
                <w:color w:val="auto"/>
                <w:sz w:val="24"/>
                <w:szCs w:val="24"/>
              </w:rPr>
            </w:pPr>
            <w:r>
              <w:rPr>
                <w:color w:val="auto"/>
                <w:sz w:val="24"/>
                <w:szCs w:val="24"/>
              </w:rPr>
              <w:t>（1）废气</w:t>
            </w:r>
          </w:p>
          <w:p>
            <w:pPr>
              <w:pStyle w:val="60"/>
              <w:ind w:firstLine="420"/>
              <w:rPr>
                <w:color w:val="auto"/>
                <w:sz w:val="24"/>
                <w:szCs w:val="24"/>
              </w:rPr>
            </w:pPr>
            <w:r>
              <w:rPr>
                <w:color w:val="auto"/>
                <w:sz w:val="24"/>
                <w:szCs w:val="24"/>
              </w:rPr>
              <w:t>原有工程废气排放主要包括轮窑燃烧废气、粘土矿区无组织扬尘、煤堆场扬尘</w:t>
            </w:r>
            <w:r>
              <w:rPr>
                <w:rFonts w:hint="eastAsia"/>
                <w:color w:val="auto"/>
                <w:sz w:val="24"/>
                <w:szCs w:val="24"/>
                <w:lang w:val="en-US" w:eastAsia="zh-CN"/>
              </w:rPr>
              <w:t>及少许食堂油烟</w:t>
            </w:r>
            <w:r>
              <w:rPr>
                <w:color w:val="auto"/>
                <w:sz w:val="24"/>
                <w:szCs w:val="24"/>
              </w:rPr>
              <w:t>。</w:t>
            </w:r>
          </w:p>
          <w:p>
            <w:pPr>
              <w:pStyle w:val="60"/>
              <w:ind w:firstLine="420"/>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olor w:val="auto"/>
                <w:sz w:val="24"/>
                <w:szCs w:val="24"/>
              </w:rPr>
              <w:t>①</w:t>
            </w:r>
            <w:r>
              <w:rPr>
                <w:color w:val="auto"/>
                <w:sz w:val="24"/>
                <w:szCs w:val="24"/>
              </w:rPr>
              <w:fldChar w:fldCharType="end"/>
            </w:r>
            <w:r>
              <w:rPr>
                <w:color w:val="auto"/>
                <w:sz w:val="24"/>
                <w:szCs w:val="24"/>
              </w:rPr>
              <w:t>轮窑燃烧废气</w:t>
            </w:r>
          </w:p>
          <w:p>
            <w:pPr>
              <w:pStyle w:val="60"/>
              <w:ind w:firstLine="420"/>
              <w:rPr>
                <w:rFonts w:hint="eastAsia" w:eastAsia="宋体"/>
                <w:color w:val="auto"/>
                <w:sz w:val="24"/>
                <w:szCs w:val="24"/>
                <w:lang w:eastAsia="zh-CN"/>
              </w:rPr>
            </w:pPr>
            <w:r>
              <w:rPr>
                <w:color w:val="auto"/>
                <w:sz w:val="24"/>
                <w:szCs w:val="24"/>
              </w:rPr>
              <w:t>原有工程轮窑采用煤作为燃料，焙烧产生的废气主要污染物包括SO</w:t>
            </w:r>
            <w:r>
              <w:rPr>
                <w:color w:val="auto"/>
                <w:sz w:val="24"/>
                <w:szCs w:val="24"/>
                <w:vertAlign w:val="subscript"/>
              </w:rPr>
              <w:t>2</w:t>
            </w:r>
            <w:r>
              <w:rPr>
                <w:color w:val="auto"/>
                <w:sz w:val="24"/>
                <w:szCs w:val="24"/>
              </w:rPr>
              <w:t>、NO</w:t>
            </w:r>
            <w:r>
              <w:rPr>
                <w:i/>
                <w:iCs/>
                <w:color w:val="auto"/>
                <w:sz w:val="24"/>
                <w:szCs w:val="24"/>
              </w:rPr>
              <w:t>x</w:t>
            </w:r>
            <w:r>
              <w:rPr>
                <w:color w:val="auto"/>
                <w:sz w:val="24"/>
                <w:szCs w:val="24"/>
              </w:rPr>
              <w:t>、颗粒物，原有工程轮窑废气采用湿式脱硫塔对烟气进行处理，处理后的轮窑废气经15m高排气筒排放</w:t>
            </w:r>
            <w:r>
              <w:rPr>
                <w:rFonts w:hint="eastAsia"/>
                <w:color w:val="auto"/>
                <w:sz w:val="24"/>
                <w:szCs w:val="24"/>
                <w:lang w:eastAsia="zh-CN"/>
              </w:rPr>
              <w:t>。</w:t>
            </w:r>
          </w:p>
          <w:p>
            <w:pPr>
              <w:pStyle w:val="60"/>
              <w:ind w:firstLine="420"/>
              <w:rPr>
                <w:color w:val="auto"/>
              </w:rPr>
            </w:pPr>
            <w:r>
              <w:rPr>
                <w:color w:val="auto"/>
                <w:sz w:val="24"/>
                <w:szCs w:val="24"/>
              </w:rPr>
              <w:t>根据竣工环境保护验收监测报告，原有工程轮窑废气主要污染物排放情况见下表</w:t>
            </w:r>
          </w:p>
          <w:p>
            <w:pPr>
              <w:pStyle w:val="14"/>
              <w:keepNext/>
              <w:spacing w:line="240" w:lineRule="auto"/>
              <w:rPr>
                <w:rFonts w:cs="Times New Roman"/>
                <w:color w:val="auto"/>
              </w:rPr>
            </w:pPr>
            <w:r>
              <w:rPr>
                <w:rFonts w:eastAsia="宋体" w:cs="Times New Roman"/>
                <w:color w:val="auto"/>
              </w:rPr>
              <w:t>表</w:t>
            </w:r>
            <w:r>
              <w:rPr>
                <w:rFonts w:hint="eastAsia" w:eastAsia="宋体" w:cs="Times New Roman"/>
                <w:color w:val="auto"/>
                <w:lang w:val="en-US" w:eastAsia="zh-CN"/>
              </w:rPr>
              <w:t xml:space="preserve">3-11   </w:t>
            </w:r>
            <w:r>
              <w:rPr>
                <w:rFonts w:eastAsia="宋体" w:cs="Times New Roman"/>
                <w:color w:val="auto"/>
              </w:rPr>
              <w:t>原有工程轮窑废气污染物排放情况一览表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543"/>
              <w:gridCol w:w="2128"/>
              <w:gridCol w:w="191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6" w:type="pct"/>
                  <w:noWrap/>
                  <w:vAlign w:val="center"/>
                </w:tcPr>
                <w:p>
                  <w:pPr>
                    <w:pStyle w:val="57"/>
                    <w:rPr>
                      <w:color w:val="auto"/>
                      <w:sz w:val="21"/>
                      <w:szCs w:val="21"/>
                    </w:rPr>
                  </w:pPr>
                  <w:r>
                    <w:rPr>
                      <w:color w:val="auto"/>
                      <w:sz w:val="21"/>
                      <w:szCs w:val="21"/>
                    </w:rPr>
                    <w:t>污染物名称</w:t>
                  </w:r>
                </w:p>
              </w:tc>
              <w:tc>
                <w:tcPr>
                  <w:tcW w:w="963" w:type="pct"/>
                  <w:noWrap/>
                  <w:vAlign w:val="center"/>
                </w:tcPr>
                <w:p>
                  <w:pPr>
                    <w:pStyle w:val="57"/>
                    <w:rPr>
                      <w:color w:val="auto"/>
                      <w:sz w:val="21"/>
                      <w:szCs w:val="21"/>
                    </w:rPr>
                  </w:pPr>
                  <w:r>
                    <w:rPr>
                      <w:color w:val="auto"/>
                      <w:sz w:val="21"/>
                      <w:szCs w:val="21"/>
                    </w:rPr>
                    <w:t>排放量（t/a）</w:t>
                  </w:r>
                </w:p>
              </w:tc>
              <w:tc>
                <w:tcPr>
                  <w:tcW w:w="1328" w:type="pct"/>
                  <w:noWrap/>
                  <w:vAlign w:val="center"/>
                </w:tcPr>
                <w:p>
                  <w:pPr>
                    <w:pStyle w:val="57"/>
                    <w:rPr>
                      <w:color w:val="auto"/>
                      <w:sz w:val="21"/>
                      <w:szCs w:val="21"/>
                    </w:rPr>
                  </w:pPr>
                  <w:r>
                    <w:rPr>
                      <w:color w:val="auto"/>
                      <w:sz w:val="21"/>
                      <w:szCs w:val="21"/>
                    </w:rPr>
                    <w:t>排放浓度（mg/m</w:t>
                  </w:r>
                  <w:r>
                    <w:rPr>
                      <w:color w:val="auto"/>
                      <w:sz w:val="21"/>
                      <w:szCs w:val="21"/>
                      <w:vertAlign w:val="superscript"/>
                    </w:rPr>
                    <w:t>3</w:t>
                  </w:r>
                  <w:r>
                    <w:rPr>
                      <w:color w:val="auto"/>
                      <w:sz w:val="21"/>
                      <w:szCs w:val="21"/>
                    </w:rPr>
                    <w:t>）</w:t>
                  </w:r>
                </w:p>
              </w:tc>
              <w:tc>
                <w:tcPr>
                  <w:tcW w:w="1192" w:type="pct"/>
                  <w:noWrap/>
                  <w:vAlign w:val="center"/>
                </w:tcPr>
                <w:p>
                  <w:pPr>
                    <w:pStyle w:val="57"/>
                    <w:rPr>
                      <w:color w:val="auto"/>
                      <w:sz w:val="21"/>
                      <w:szCs w:val="21"/>
                    </w:rPr>
                  </w:pPr>
                  <w:r>
                    <w:rPr>
                      <w:color w:val="auto"/>
                      <w:sz w:val="21"/>
                      <w:szCs w:val="21"/>
                    </w:rPr>
                    <w:t>标准值（mg/m</w:t>
                  </w:r>
                  <w:r>
                    <w:rPr>
                      <w:color w:val="auto"/>
                      <w:sz w:val="21"/>
                      <w:szCs w:val="21"/>
                      <w:vertAlign w:val="superscript"/>
                    </w:rPr>
                    <w:t>3</w:t>
                  </w:r>
                  <w:r>
                    <w:rPr>
                      <w:color w:val="auto"/>
                      <w:sz w:val="21"/>
                      <w:szCs w:val="21"/>
                    </w:rPr>
                    <w:t>）</w:t>
                  </w:r>
                </w:p>
              </w:tc>
              <w:tc>
                <w:tcPr>
                  <w:tcW w:w="688" w:type="pct"/>
                  <w:vAlign w:val="center"/>
                </w:tcPr>
                <w:p>
                  <w:pPr>
                    <w:pStyle w:val="57"/>
                    <w:rPr>
                      <w:color w:val="auto"/>
                      <w:sz w:val="21"/>
                      <w:szCs w:val="21"/>
                    </w:rPr>
                  </w:pPr>
                  <w:r>
                    <w:rPr>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6" w:type="pct"/>
                  <w:noWrap/>
                  <w:vAlign w:val="center"/>
                </w:tcPr>
                <w:p>
                  <w:pPr>
                    <w:pStyle w:val="57"/>
                    <w:rPr>
                      <w:color w:val="auto"/>
                      <w:sz w:val="21"/>
                      <w:szCs w:val="21"/>
                    </w:rPr>
                  </w:pPr>
                  <w:r>
                    <w:rPr>
                      <w:color w:val="auto"/>
                      <w:sz w:val="21"/>
                      <w:szCs w:val="21"/>
                    </w:rPr>
                    <w:t>颗粒物</w:t>
                  </w:r>
                </w:p>
              </w:tc>
              <w:tc>
                <w:tcPr>
                  <w:tcW w:w="963" w:type="pct"/>
                  <w:noWrap/>
                  <w:vAlign w:val="center"/>
                </w:tcPr>
                <w:p>
                  <w:pPr>
                    <w:pStyle w:val="57"/>
                    <w:rPr>
                      <w:rFonts w:hint="default" w:eastAsia="宋体"/>
                      <w:color w:val="auto"/>
                      <w:sz w:val="21"/>
                      <w:szCs w:val="21"/>
                      <w:lang w:val="en-US" w:eastAsia="zh-CN"/>
                    </w:rPr>
                  </w:pPr>
                  <w:r>
                    <w:rPr>
                      <w:rFonts w:hint="eastAsia"/>
                      <w:color w:val="auto"/>
                      <w:sz w:val="21"/>
                      <w:szCs w:val="21"/>
                      <w:lang w:val="en-US" w:eastAsia="zh-CN"/>
                    </w:rPr>
                    <w:t>0.35</w:t>
                  </w:r>
                </w:p>
              </w:tc>
              <w:tc>
                <w:tcPr>
                  <w:tcW w:w="1328" w:type="pct"/>
                  <w:noWrap/>
                  <w:vAlign w:val="center"/>
                </w:tcPr>
                <w:p>
                  <w:pPr>
                    <w:pStyle w:val="57"/>
                    <w:rPr>
                      <w:rFonts w:hint="default" w:eastAsia="宋体"/>
                      <w:color w:val="auto"/>
                      <w:sz w:val="21"/>
                      <w:szCs w:val="21"/>
                      <w:lang w:val="en-US" w:eastAsia="zh-CN"/>
                    </w:rPr>
                  </w:pPr>
                  <w:r>
                    <w:rPr>
                      <w:rFonts w:hint="eastAsia"/>
                      <w:color w:val="auto"/>
                      <w:sz w:val="21"/>
                      <w:szCs w:val="21"/>
                      <w:lang w:val="en-US" w:eastAsia="zh-CN"/>
                    </w:rPr>
                    <w:t>17.5</w:t>
                  </w:r>
                </w:p>
              </w:tc>
              <w:tc>
                <w:tcPr>
                  <w:tcW w:w="1192" w:type="pct"/>
                  <w:noWrap/>
                  <w:vAlign w:val="center"/>
                </w:tcPr>
                <w:p>
                  <w:pPr>
                    <w:pStyle w:val="57"/>
                    <w:rPr>
                      <w:color w:val="auto"/>
                      <w:sz w:val="21"/>
                      <w:szCs w:val="21"/>
                    </w:rPr>
                  </w:pPr>
                  <w:r>
                    <w:rPr>
                      <w:color w:val="auto"/>
                      <w:sz w:val="21"/>
                      <w:szCs w:val="21"/>
                    </w:rPr>
                    <w:t>30</w:t>
                  </w:r>
                </w:p>
              </w:tc>
              <w:tc>
                <w:tcPr>
                  <w:tcW w:w="688" w:type="pct"/>
                  <w:vAlign w:val="center"/>
                </w:tcPr>
                <w:p>
                  <w:pPr>
                    <w:pStyle w:val="57"/>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826" w:type="pct"/>
                  <w:noWrap/>
                  <w:vAlign w:val="center"/>
                </w:tcPr>
                <w:p>
                  <w:pPr>
                    <w:pStyle w:val="57"/>
                    <w:rPr>
                      <w:color w:val="auto"/>
                      <w:sz w:val="21"/>
                      <w:szCs w:val="21"/>
                    </w:rPr>
                  </w:pPr>
                  <w:r>
                    <w:rPr>
                      <w:color w:val="auto"/>
                      <w:sz w:val="21"/>
                      <w:szCs w:val="21"/>
                    </w:rPr>
                    <w:t>SO</w:t>
                  </w:r>
                  <w:r>
                    <w:rPr>
                      <w:color w:val="auto"/>
                      <w:sz w:val="21"/>
                      <w:szCs w:val="21"/>
                      <w:vertAlign w:val="subscript"/>
                    </w:rPr>
                    <w:t>2</w:t>
                  </w:r>
                </w:p>
              </w:tc>
              <w:tc>
                <w:tcPr>
                  <w:tcW w:w="963" w:type="pct"/>
                  <w:noWrap/>
                  <w:vAlign w:val="center"/>
                </w:tcPr>
                <w:p>
                  <w:pPr>
                    <w:pStyle w:val="57"/>
                    <w:rPr>
                      <w:rFonts w:hint="default" w:eastAsia="宋体"/>
                      <w:color w:val="auto"/>
                      <w:sz w:val="21"/>
                      <w:szCs w:val="21"/>
                      <w:lang w:val="en-US" w:eastAsia="zh-CN"/>
                    </w:rPr>
                  </w:pPr>
                  <w:r>
                    <w:rPr>
                      <w:rFonts w:hint="eastAsia"/>
                      <w:color w:val="auto"/>
                      <w:sz w:val="21"/>
                      <w:szCs w:val="21"/>
                      <w:lang w:val="en-US" w:eastAsia="zh-CN"/>
                    </w:rPr>
                    <w:t>2.303</w:t>
                  </w:r>
                </w:p>
              </w:tc>
              <w:tc>
                <w:tcPr>
                  <w:tcW w:w="1328" w:type="pct"/>
                  <w:noWrap/>
                  <w:vAlign w:val="center"/>
                </w:tcPr>
                <w:p>
                  <w:pPr>
                    <w:pStyle w:val="57"/>
                    <w:rPr>
                      <w:rFonts w:hint="default" w:eastAsia="宋体"/>
                      <w:color w:val="auto"/>
                      <w:sz w:val="21"/>
                      <w:szCs w:val="21"/>
                      <w:lang w:val="en-US" w:eastAsia="zh-CN"/>
                    </w:rPr>
                  </w:pPr>
                  <w:r>
                    <w:rPr>
                      <w:rFonts w:hint="eastAsia"/>
                      <w:color w:val="auto"/>
                      <w:sz w:val="21"/>
                      <w:szCs w:val="21"/>
                      <w:lang w:val="en-US" w:eastAsia="zh-CN"/>
                    </w:rPr>
                    <w:t>115.1</w:t>
                  </w:r>
                </w:p>
              </w:tc>
              <w:tc>
                <w:tcPr>
                  <w:tcW w:w="1192" w:type="pct"/>
                  <w:noWrap/>
                  <w:vAlign w:val="center"/>
                </w:tcPr>
                <w:p>
                  <w:pPr>
                    <w:pStyle w:val="57"/>
                    <w:rPr>
                      <w:color w:val="auto"/>
                      <w:sz w:val="21"/>
                      <w:szCs w:val="21"/>
                    </w:rPr>
                  </w:pPr>
                  <w:r>
                    <w:rPr>
                      <w:color w:val="auto"/>
                      <w:sz w:val="21"/>
                      <w:szCs w:val="21"/>
                    </w:rPr>
                    <w:t>300</w:t>
                  </w:r>
                </w:p>
              </w:tc>
              <w:tc>
                <w:tcPr>
                  <w:tcW w:w="688" w:type="pct"/>
                  <w:vAlign w:val="center"/>
                </w:tcPr>
                <w:p>
                  <w:pPr>
                    <w:pStyle w:val="57"/>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6" w:type="pct"/>
                  <w:noWrap/>
                  <w:vAlign w:val="center"/>
                </w:tcPr>
                <w:p>
                  <w:pPr>
                    <w:pStyle w:val="57"/>
                    <w:rPr>
                      <w:color w:val="auto"/>
                      <w:sz w:val="21"/>
                      <w:szCs w:val="21"/>
                    </w:rPr>
                  </w:pPr>
                  <w:r>
                    <w:rPr>
                      <w:color w:val="auto"/>
                      <w:sz w:val="21"/>
                      <w:szCs w:val="21"/>
                    </w:rPr>
                    <w:t>NO</w:t>
                  </w:r>
                  <w:r>
                    <w:rPr>
                      <w:i/>
                      <w:iCs/>
                      <w:color w:val="auto"/>
                      <w:sz w:val="21"/>
                      <w:szCs w:val="21"/>
                    </w:rPr>
                    <w:t>x</w:t>
                  </w:r>
                </w:p>
              </w:tc>
              <w:tc>
                <w:tcPr>
                  <w:tcW w:w="963" w:type="pct"/>
                  <w:noWrap/>
                  <w:vAlign w:val="center"/>
                </w:tcPr>
                <w:p>
                  <w:pPr>
                    <w:pStyle w:val="57"/>
                    <w:rPr>
                      <w:rFonts w:hint="default" w:eastAsia="宋体"/>
                      <w:color w:val="auto"/>
                      <w:sz w:val="21"/>
                      <w:szCs w:val="21"/>
                      <w:lang w:val="en-US" w:eastAsia="zh-CN"/>
                    </w:rPr>
                  </w:pPr>
                  <w:r>
                    <w:rPr>
                      <w:rFonts w:hint="eastAsia"/>
                      <w:color w:val="auto"/>
                      <w:sz w:val="21"/>
                      <w:szCs w:val="21"/>
                      <w:lang w:val="en-US" w:eastAsia="zh-CN"/>
                    </w:rPr>
                    <w:t>0.132</w:t>
                  </w:r>
                </w:p>
              </w:tc>
              <w:tc>
                <w:tcPr>
                  <w:tcW w:w="1328" w:type="pct"/>
                  <w:noWrap/>
                  <w:vAlign w:val="center"/>
                </w:tcPr>
                <w:p>
                  <w:pPr>
                    <w:pStyle w:val="57"/>
                    <w:rPr>
                      <w:rFonts w:hint="default" w:eastAsia="宋体"/>
                      <w:color w:val="auto"/>
                      <w:sz w:val="21"/>
                      <w:szCs w:val="21"/>
                      <w:lang w:val="en-US" w:eastAsia="zh-CN"/>
                    </w:rPr>
                  </w:pPr>
                  <w:r>
                    <w:rPr>
                      <w:rFonts w:hint="eastAsia"/>
                      <w:color w:val="auto"/>
                      <w:sz w:val="21"/>
                      <w:szCs w:val="21"/>
                      <w:lang w:val="en-US" w:eastAsia="zh-CN"/>
                    </w:rPr>
                    <w:t>6.6</w:t>
                  </w:r>
                </w:p>
              </w:tc>
              <w:tc>
                <w:tcPr>
                  <w:tcW w:w="1192" w:type="pct"/>
                  <w:noWrap/>
                  <w:vAlign w:val="center"/>
                </w:tcPr>
                <w:p>
                  <w:pPr>
                    <w:pStyle w:val="57"/>
                    <w:rPr>
                      <w:color w:val="auto"/>
                      <w:sz w:val="21"/>
                      <w:szCs w:val="21"/>
                    </w:rPr>
                  </w:pPr>
                  <w:r>
                    <w:rPr>
                      <w:color w:val="auto"/>
                      <w:sz w:val="21"/>
                      <w:szCs w:val="21"/>
                    </w:rPr>
                    <w:t>200</w:t>
                  </w:r>
                </w:p>
              </w:tc>
              <w:tc>
                <w:tcPr>
                  <w:tcW w:w="688" w:type="pct"/>
                  <w:vAlign w:val="center"/>
                </w:tcPr>
                <w:p>
                  <w:pPr>
                    <w:pStyle w:val="57"/>
                    <w:rPr>
                      <w:rFonts w:hint="default" w:eastAsia="宋体"/>
                      <w:color w:val="auto"/>
                      <w:sz w:val="21"/>
                      <w:szCs w:val="21"/>
                      <w:lang w:val="en-US" w:eastAsia="zh-CN"/>
                    </w:rPr>
                  </w:pPr>
                  <w:r>
                    <w:rPr>
                      <w:rFonts w:hint="eastAsia"/>
                      <w:color w:val="auto"/>
                      <w:sz w:val="21"/>
                      <w:szCs w:val="21"/>
                      <w:lang w:val="en-US" w:eastAsia="zh-CN"/>
                    </w:rPr>
                    <w:t>达标</w:t>
                  </w:r>
                </w:p>
              </w:tc>
            </w:tr>
          </w:tbl>
          <w:p>
            <w:pPr>
              <w:pStyle w:val="60"/>
              <w:ind w:firstLine="420"/>
              <w:rPr>
                <w:color w:val="auto"/>
                <w:sz w:val="24"/>
                <w:szCs w:val="24"/>
              </w:rPr>
            </w:pPr>
            <w:r>
              <w:rPr>
                <w:color w:val="auto"/>
                <w:sz w:val="24"/>
                <w:szCs w:val="24"/>
              </w:rPr>
              <w:t>由上表，原有工程轮窑废气污染物</w:t>
            </w:r>
            <w:r>
              <w:rPr>
                <w:rFonts w:hint="eastAsia"/>
                <w:color w:val="auto"/>
                <w:sz w:val="24"/>
                <w:szCs w:val="24"/>
                <w:lang w:val="en-US" w:eastAsia="zh-CN"/>
              </w:rPr>
              <w:t>NO</w:t>
            </w:r>
            <w:r>
              <w:rPr>
                <w:rFonts w:hint="eastAsia"/>
                <w:i/>
                <w:iCs/>
                <w:color w:val="auto"/>
                <w:sz w:val="24"/>
                <w:szCs w:val="24"/>
                <w:lang w:val="en-US" w:eastAsia="zh-CN"/>
              </w:rPr>
              <w:t>x</w:t>
            </w:r>
            <w:r>
              <w:rPr>
                <w:rFonts w:hint="eastAsia"/>
                <w:color w:val="auto"/>
                <w:sz w:val="24"/>
                <w:szCs w:val="24"/>
                <w:lang w:val="en-US" w:eastAsia="zh-CN"/>
              </w:rPr>
              <w:t>超标，其余污染物</w:t>
            </w:r>
            <w:r>
              <w:rPr>
                <w:color w:val="auto"/>
                <w:sz w:val="24"/>
                <w:szCs w:val="24"/>
              </w:rPr>
              <w:t>排放满足《砖瓦工业大气污染物排放标准》（GB29620-2013）表2标准限值要求。</w:t>
            </w:r>
          </w:p>
          <w:p>
            <w:pPr>
              <w:pStyle w:val="60"/>
              <w:ind w:firstLine="420"/>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hint="eastAsia"/>
                <w:color w:val="auto"/>
                <w:sz w:val="24"/>
                <w:szCs w:val="24"/>
              </w:rPr>
              <w:t>②</w:t>
            </w:r>
            <w:r>
              <w:rPr>
                <w:color w:val="auto"/>
                <w:sz w:val="24"/>
                <w:szCs w:val="24"/>
              </w:rPr>
              <w:fldChar w:fldCharType="end"/>
            </w:r>
            <w:r>
              <w:rPr>
                <w:color w:val="auto"/>
                <w:sz w:val="24"/>
                <w:szCs w:val="24"/>
              </w:rPr>
              <w:t>无组织粉尘</w:t>
            </w:r>
          </w:p>
          <w:p>
            <w:pPr>
              <w:pStyle w:val="60"/>
              <w:ind w:firstLine="420"/>
              <w:rPr>
                <w:color w:val="auto"/>
                <w:sz w:val="24"/>
                <w:szCs w:val="24"/>
              </w:rPr>
            </w:pPr>
            <w:r>
              <w:rPr>
                <w:color w:val="auto"/>
                <w:sz w:val="24"/>
                <w:szCs w:val="24"/>
              </w:rPr>
              <w:t>原有工程粘土开采运输过程产生扬尘，煤堆场产生扬尘，根据环评</w:t>
            </w:r>
            <w:r>
              <w:rPr>
                <w:rFonts w:hint="eastAsia"/>
                <w:color w:val="auto"/>
                <w:sz w:val="24"/>
                <w:szCs w:val="24"/>
                <w:lang w:val="en-US" w:eastAsia="zh-CN"/>
              </w:rPr>
              <w:t>及验收</w:t>
            </w:r>
            <w:r>
              <w:rPr>
                <w:color w:val="auto"/>
                <w:sz w:val="24"/>
                <w:szCs w:val="24"/>
              </w:rPr>
              <w:t>报告，粘土矿开采和运输过程扬尘采取洒水抑尘等措施后，可有效降低80%扬尘排放量，采取封闭措施后降低90%扬尘排放。根据竣工环境保护验收监测报告，项目厂区无组织粉尘排放排放满足《砖瓦工业大气污染物排放标准》（GB29620-2013）表3标准限值要求。</w:t>
            </w:r>
          </w:p>
          <w:p>
            <w:pPr>
              <w:pStyle w:val="60"/>
              <w:ind w:firstLine="420"/>
              <w:rPr>
                <w:color w:val="auto"/>
                <w:sz w:val="24"/>
                <w:szCs w:val="24"/>
              </w:rPr>
            </w:pPr>
            <w:r>
              <w:rPr>
                <w:color w:val="auto"/>
                <w:sz w:val="24"/>
                <w:szCs w:val="24"/>
              </w:rPr>
              <w:t>（2）废水</w:t>
            </w:r>
          </w:p>
          <w:p>
            <w:pPr>
              <w:pStyle w:val="60"/>
              <w:ind w:firstLine="420"/>
              <w:rPr>
                <w:color w:val="auto"/>
                <w:sz w:val="24"/>
                <w:szCs w:val="24"/>
              </w:rPr>
            </w:pPr>
            <w:r>
              <w:rPr>
                <w:color w:val="auto"/>
                <w:sz w:val="24"/>
                <w:szCs w:val="24"/>
              </w:rPr>
              <w:t>原有工程废水排放主要为生活</w:t>
            </w:r>
            <w:r>
              <w:rPr>
                <w:rFonts w:hint="eastAsia"/>
                <w:color w:val="auto"/>
                <w:sz w:val="24"/>
                <w:szCs w:val="24"/>
                <w:lang w:val="en-US" w:eastAsia="zh-CN"/>
              </w:rPr>
              <w:t>污水，其中盥洗废水用于厂区抑尘；生活污物排入旱厕堆肥，由附近村民拉运</w:t>
            </w:r>
            <w:r>
              <w:rPr>
                <w:color w:val="auto"/>
                <w:sz w:val="24"/>
                <w:szCs w:val="24"/>
              </w:rPr>
              <w:t>。</w:t>
            </w:r>
          </w:p>
          <w:p>
            <w:pPr>
              <w:pStyle w:val="60"/>
              <w:ind w:firstLine="420"/>
              <w:rPr>
                <w:color w:val="auto"/>
                <w:sz w:val="24"/>
                <w:szCs w:val="24"/>
              </w:rPr>
            </w:pPr>
            <w:r>
              <w:rPr>
                <w:color w:val="auto"/>
                <w:sz w:val="24"/>
                <w:szCs w:val="24"/>
              </w:rPr>
              <w:t>（3）噪声</w:t>
            </w:r>
          </w:p>
          <w:p>
            <w:pPr>
              <w:pStyle w:val="60"/>
              <w:ind w:firstLine="420"/>
              <w:rPr>
                <w:color w:val="auto"/>
                <w:sz w:val="24"/>
                <w:szCs w:val="24"/>
              </w:rPr>
            </w:pPr>
            <w:r>
              <w:rPr>
                <w:color w:val="auto"/>
                <w:sz w:val="24"/>
                <w:szCs w:val="24"/>
              </w:rPr>
              <w:t>原有工程噪声主要来源于制砖机、搅拌机等生产设备产生的噪声，噪声源强80~100dB（A）之间，原有工程设备噪声采取基础减振+车间隔声等措施后排放。根据验收监测报告，原有工程厂界噪声排放满足《工业企业厂界环境噪声排放标准》2类标准限值。</w:t>
            </w:r>
          </w:p>
          <w:p>
            <w:pPr>
              <w:pStyle w:val="60"/>
              <w:ind w:firstLine="420"/>
              <w:rPr>
                <w:color w:val="auto"/>
                <w:sz w:val="24"/>
                <w:szCs w:val="24"/>
              </w:rPr>
            </w:pPr>
            <w:r>
              <w:rPr>
                <w:color w:val="auto"/>
                <w:sz w:val="24"/>
                <w:szCs w:val="24"/>
              </w:rPr>
              <w:t>（4）固体废物</w:t>
            </w:r>
          </w:p>
          <w:p>
            <w:pPr>
              <w:pStyle w:val="60"/>
              <w:ind w:firstLine="422"/>
              <w:rPr>
                <w:rFonts w:hint="default"/>
                <w:color w:val="auto"/>
                <w:sz w:val="24"/>
                <w:szCs w:val="24"/>
                <w:lang w:val="en-US" w:eastAsia="zh-CN"/>
              </w:rPr>
            </w:pPr>
            <w:r>
              <w:rPr>
                <w:rFonts w:hint="eastAsia"/>
                <w:color w:val="auto"/>
                <w:sz w:val="24"/>
                <w:szCs w:val="24"/>
                <w:lang w:val="en-US" w:eastAsia="zh-CN"/>
              </w:rPr>
              <w:t>原项目区内设置有垃圾箱，集中收集生活垃圾，后运送至环保部门指定的垃圾集中转收集点，废砖回用于生产，设置了危废暂存间，危险废物暂存后定期交由具有有资质的单位进行处理。</w:t>
            </w:r>
          </w:p>
          <w:p>
            <w:pPr>
              <w:pStyle w:val="60"/>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3.工程改建前后污染物排放“三本账”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工程改建前后污染物排放“三本账”汇总表见下表。</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表3-12   工程改建前后污染物排放“三本账”汇总表    单位：t/a</w:t>
            </w:r>
          </w:p>
          <w:tbl>
            <w:tblPr>
              <w:tblStyle w:val="29"/>
              <w:tblW w:w="4998" w:type="pct"/>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56"/>
              <w:gridCol w:w="1256"/>
              <w:gridCol w:w="1513"/>
              <w:gridCol w:w="1589"/>
              <w:gridCol w:w="13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15" w:type="pct"/>
                  <w:tcBorders>
                    <w:tl2br w:val="nil"/>
                    <w:tr2bl w:val="nil"/>
                  </w:tcBorders>
                  <w:noWrap w:val="0"/>
                  <w:vAlign w:val="center"/>
                </w:tcPr>
                <w:p>
                  <w:pPr>
                    <w:pStyle w:val="57"/>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类别</w:t>
                  </w:r>
                </w:p>
              </w:tc>
              <w:tc>
                <w:tcPr>
                  <w:tcW w:w="910" w:type="pct"/>
                  <w:tcBorders>
                    <w:tl2br w:val="nil"/>
                    <w:tr2bl w:val="nil"/>
                  </w:tcBorders>
                  <w:noWrap w:val="0"/>
                  <w:vAlign w:val="center"/>
                </w:tcPr>
                <w:p>
                  <w:pPr>
                    <w:pStyle w:val="57"/>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w:t>
                  </w:r>
                </w:p>
              </w:tc>
              <w:tc>
                <w:tcPr>
                  <w:tcW w:w="78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改建前排放量</w:t>
                  </w:r>
                </w:p>
              </w:tc>
              <w:tc>
                <w:tcPr>
                  <w:tcW w:w="94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以新带老消减量</w:t>
                  </w:r>
                </w:p>
              </w:tc>
              <w:tc>
                <w:tcPr>
                  <w:tcW w:w="993"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改建后预测排放总量</w:t>
                  </w:r>
                </w:p>
              </w:tc>
              <w:tc>
                <w:tcPr>
                  <w:tcW w:w="850"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改建前后增减量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15" w:type="pct"/>
                  <w:vMerge w:val="restart"/>
                  <w:tcBorders>
                    <w:tl2br w:val="nil"/>
                    <w:tr2bl w:val="nil"/>
                  </w:tcBorders>
                  <w:noWrap w:val="0"/>
                  <w:vAlign w:val="center"/>
                </w:tcPr>
                <w:p>
                  <w:pPr>
                    <w:pStyle w:val="57"/>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废气</w:t>
                  </w:r>
                </w:p>
              </w:tc>
              <w:tc>
                <w:tcPr>
                  <w:tcW w:w="910" w:type="pct"/>
                  <w:tcBorders>
                    <w:tl2br w:val="nil"/>
                    <w:tr2bl w:val="nil"/>
                  </w:tcBorders>
                  <w:noWrap w:val="0"/>
                  <w:vAlign w:val="center"/>
                </w:tcPr>
                <w:p>
                  <w:pPr>
                    <w:pStyle w:val="57"/>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78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0.35</w:t>
                  </w:r>
                </w:p>
              </w:tc>
              <w:tc>
                <w:tcPr>
                  <w:tcW w:w="94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1.7089</w:t>
                  </w:r>
                </w:p>
              </w:tc>
              <w:tc>
                <w:tcPr>
                  <w:tcW w:w="993"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color w:val="auto"/>
                      <w:szCs w:val="21"/>
                      <w:lang w:val="en-US" w:eastAsia="zh-CN"/>
                    </w:rPr>
                    <w:t>2.0589</w:t>
                  </w:r>
                </w:p>
              </w:tc>
              <w:tc>
                <w:tcPr>
                  <w:tcW w:w="850"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1.7089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noWrap w:val="0"/>
                  <w:vAlign w:val="center"/>
                </w:tcPr>
                <w:p>
                  <w:pPr>
                    <w:pStyle w:val="57"/>
                    <w:rPr>
                      <w:rFonts w:hint="eastAsia" w:ascii="Times New Roman" w:hAnsi="Times New Roman" w:eastAsia="宋体" w:cs="Times New Roman"/>
                      <w:color w:val="auto"/>
                      <w:sz w:val="21"/>
                      <w:szCs w:val="21"/>
                    </w:rPr>
                  </w:pPr>
                </w:p>
              </w:tc>
              <w:tc>
                <w:tcPr>
                  <w:tcW w:w="910"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SO</w:t>
                  </w:r>
                  <w:r>
                    <w:rPr>
                      <w:rFonts w:hint="eastAsia" w:ascii="Times New Roman" w:hAnsi="Times New Roman" w:eastAsia="宋体" w:cs="Times New Roman"/>
                      <w:color w:val="auto"/>
                      <w:sz w:val="21"/>
                      <w:szCs w:val="21"/>
                      <w:vertAlign w:val="subscript"/>
                      <w:lang w:val="en-US" w:eastAsia="zh-CN"/>
                    </w:rPr>
                    <w:t>2</w:t>
                  </w:r>
                </w:p>
              </w:tc>
              <w:tc>
                <w:tcPr>
                  <w:tcW w:w="78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2.303</w:t>
                  </w:r>
                </w:p>
              </w:tc>
              <w:tc>
                <w:tcPr>
                  <w:tcW w:w="94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2.1808</w:t>
                  </w:r>
                </w:p>
              </w:tc>
              <w:tc>
                <w:tcPr>
                  <w:tcW w:w="993"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color w:val="auto"/>
                      <w:lang w:val="en-US" w:eastAsia="zh-CN"/>
                    </w:rPr>
                    <w:t>4.4838</w:t>
                  </w:r>
                </w:p>
              </w:tc>
              <w:tc>
                <w:tcPr>
                  <w:tcW w:w="850"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2.1808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noWrap w:val="0"/>
                  <w:vAlign w:val="center"/>
                </w:tcPr>
                <w:p>
                  <w:pPr>
                    <w:pStyle w:val="57"/>
                    <w:rPr>
                      <w:rFonts w:hint="eastAsia" w:ascii="Times New Roman" w:hAnsi="Times New Roman" w:eastAsia="宋体" w:cs="Times New Roman"/>
                      <w:color w:val="auto"/>
                      <w:sz w:val="21"/>
                      <w:szCs w:val="21"/>
                    </w:rPr>
                  </w:pPr>
                </w:p>
              </w:tc>
              <w:tc>
                <w:tcPr>
                  <w:tcW w:w="910"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NOx</w:t>
                  </w:r>
                </w:p>
              </w:tc>
              <w:tc>
                <w:tcPr>
                  <w:tcW w:w="78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0.132</w:t>
                  </w:r>
                </w:p>
              </w:tc>
              <w:tc>
                <w:tcPr>
                  <w:tcW w:w="94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3.7807</w:t>
                  </w:r>
                </w:p>
              </w:tc>
              <w:tc>
                <w:tcPr>
                  <w:tcW w:w="993"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color w:val="auto"/>
                      <w:lang w:val="en-US" w:eastAsia="zh-CN"/>
                    </w:rPr>
                    <w:t>3.9127</w:t>
                  </w:r>
                </w:p>
              </w:tc>
              <w:tc>
                <w:tcPr>
                  <w:tcW w:w="850"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3.7807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15" w:type="pct"/>
                  <w:vMerge w:val="continue"/>
                  <w:tcBorders>
                    <w:tl2br w:val="nil"/>
                    <w:tr2bl w:val="nil"/>
                  </w:tcBorders>
                  <w:noWrap w:val="0"/>
                  <w:vAlign w:val="center"/>
                </w:tcPr>
                <w:p>
                  <w:pPr>
                    <w:pStyle w:val="57"/>
                    <w:rPr>
                      <w:rFonts w:hint="eastAsia" w:ascii="Times New Roman" w:hAnsi="Times New Roman" w:eastAsia="宋体" w:cs="Times New Roman"/>
                      <w:color w:val="auto"/>
                      <w:sz w:val="21"/>
                      <w:szCs w:val="21"/>
                    </w:rPr>
                  </w:pPr>
                </w:p>
              </w:tc>
              <w:tc>
                <w:tcPr>
                  <w:tcW w:w="910"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氟化物</w:t>
                  </w:r>
                </w:p>
              </w:tc>
              <w:tc>
                <w:tcPr>
                  <w:tcW w:w="78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945"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w:t>
                  </w:r>
                  <w:r>
                    <w:rPr>
                      <w:rFonts w:hint="eastAsia" w:cs="Times New Roman"/>
                      <w:color w:val="auto"/>
                      <w:sz w:val="21"/>
                      <w:szCs w:val="21"/>
                      <w:lang w:val="en-US" w:eastAsia="zh-CN"/>
                    </w:rPr>
                    <w:t>19</w:t>
                  </w:r>
                </w:p>
              </w:tc>
              <w:tc>
                <w:tcPr>
                  <w:tcW w:w="993"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color w:val="auto"/>
                      <w:highlight w:val="none"/>
                      <w:lang w:val="en-US" w:eastAsia="zh-CN"/>
                    </w:rPr>
                    <w:t>0.219</w:t>
                  </w:r>
                </w:p>
              </w:tc>
              <w:tc>
                <w:tcPr>
                  <w:tcW w:w="850" w:type="pct"/>
                  <w:tcBorders>
                    <w:tl2br w:val="nil"/>
                    <w:tr2bl w:val="nil"/>
                  </w:tcBorders>
                  <w:noWrap w:val="0"/>
                  <w:vAlign w:val="center"/>
                </w:tcPr>
                <w:p>
                  <w:pPr>
                    <w:pStyle w:val="57"/>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w:t>
                  </w:r>
                  <w:r>
                    <w:rPr>
                      <w:rFonts w:hint="eastAsia" w:cs="Times New Roman"/>
                      <w:color w:val="auto"/>
                      <w:sz w:val="21"/>
                      <w:szCs w:val="21"/>
                      <w:lang w:val="en-US" w:eastAsia="zh-CN"/>
                    </w:rPr>
                    <w:t>19</w:t>
                  </w:r>
                </w:p>
              </w:tc>
            </w:tr>
          </w:tbl>
          <w:p>
            <w:pPr>
              <w:pStyle w:val="60"/>
              <w:ind w:left="0" w:leftChars="0" w:firstLine="0" w:firstLineChars="0"/>
              <w:rPr>
                <w:b/>
                <w:bCs/>
                <w:color w:val="auto"/>
                <w:sz w:val="24"/>
                <w:szCs w:val="24"/>
              </w:rPr>
            </w:pPr>
            <w:r>
              <w:rPr>
                <w:rFonts w:hint="eastAsia"/>
                <w:b/>
                <w:bCs/>
                <w:color w:val="auto"/>
                <w:sz w:val="24"/>
                <w:szCs w:val="24"/>
                <w:lang w:val="en-US" w:eastAsia="zh-CN"/>
              </w:rPr>
              <w:t>4.</w:t>
            </w:r>
            <w:r>
              <w:rPr>
                <w:b/>
                <w:bCs/>
                <w:color w:val="auto"/>
                <w:sz w:val="24"/>
                <w:szCs w:val="24"/>
              </w:rPr>
              <w:t>原有工程存在的环保问题</w:t>
            </w:r>
          </w:p>
          <w:p>
            <w:pPr>
              <w:pStyle w:val="60"/>
              <w:ind w:firstLine="422"/>
              <w:rPr>
                <w:rFonts w:hint="eastAsia"/>
                <w:color w:val="auto"/>
                <w:sz w:val="24"/>
                <w:szCs w:val="24"/>
                <w:lang w:val="en-US" w:eastAsia="zh-CN"/>
              </w:rPr>
            </w:pPr>
            <w:r>
              <w:rPr>
                <w:rFonts w:hint="eastAsia"/>
                <w:color w:val="auto"/>
                <w:sz w:val="24"/>
                <w:szCs w:val="24"/>
                <w:lang w:val="en-US" w:eastAsia="zh-CN"/>
              </w:rPr>
              <w:t>根据现场调查发现，现有工程存在以下环保问题：</w:t>
            </w:r>
          </w:p>
          <w:p>
            <w:pPr>
              <w:pStyle w:val="60"/>
              <w:ind w:firstLine="422"/>
              <w:rPr>
                <w:rFonts w:hint="eastAsia"/>
                <w:color w:val="auto"/>
                <w:sz w:val="24"/>
                <w:szCs w:val="24"/>
                <w:lang w:val="en-US" w:eastAsia="zh-CN"/>
              </w:rPr>
            </w:pPr>
            <w:r>
              <w:rPr>
                <w:rFonts w:hint="eastAsia"/>
                <w:color w:val="auto"/>
                <w:sz w:val="24"/>
                <w:szCs w:val="24"/>
                <w:lang w:val="en-US" w:eastAsia="zh-CN"/>
              </w:rPr>
              <w:t>（1）原有工程生产规模为500万块标砖/年，焙烧工艺采用轮窑，属于《产业结构调整指导目录（2019年本）》中限制类和淘汰类产能及工艺，不符合国家产业政策要求。</w:t>
            </w:r>
          </w:p>
          <w:p>
            <w:pPr>
              <w:pStyle w:val="60"/>
              <w:ind w:firstLine="422"/>
              <w:rPr>
                <w:rFonts w:hint="eastAsia"/>
                <w:color w:val="auto"/>
                <w:sz w:val="24"/>
                <w:szCs w:val="24"/>
                <w:lang w:val="en-US" w:eastAsia="zh-CN"/>
              </w:rPr>
            </w:pPr>
            <w:r>
              <w:rPr>
                <w:rFonts w:hint="eastAsia"/>
                <w:color w:val="auto"/>
                <w:sz w:val="24"/>
                <w:szCs w:val="24"/>
                <w:lang w:val="en-US" w:eastAsia="zh-CN"/>
              </w:rPr>
              <w:t>（2）</w:t>
            </w:r>
            <w:r>
              <w:rPr>
                <w:rFonts w:hint="eastAsia"/>
                <w:color w:val="auto"/>
                <w:sz w:val="24"/>
              </w:rPr>
              <w:t>原取土场未进行生态恢复措施，边坡较陡，</w:t>
            </w:r>
            <w:r>
              <w:rPr>
                <w:rFonts w:hint="eastAsia"/>
                <w:color w:val="auto"/>
                <w:sz w:val="24"/>
                <w:lang w:val="en-US" w:eastAsia="zh-CN"/>
              </w:rPr>
              <w:t>厂界邻沟壑处未建设围墙，</w:t>
            </w:r>
            <w:r>
              <w:rPr>
                <w:rFonts w:hint="eastAsia"/>
                <w:color w:val="auto"/>
                <w:sz w:val="24"/>
              </w:rPr>
              <w:t>存在山体坍塌</w:t>
            </w:r>
            <w:r>
              <w:rPr>
                <w:rFonts w:hint="eastAsia"/>
                <w:color w:val="auto"/>
                <w:sz w:val="24"/>
                <w:lang w:val="en-US" w:eastAsia="zh-CN"/>
              </w:rPr>
              <w:t>及水土流失</w:t>
            </w:r>
            <w:r>
              <w:rPr>
                <w:rFonts w:hint="eastAsia"/>
                <w:color w:val="auto"/>
                <w:sz w:val="24"/>
              </w:rPr>
              <w:t>等安全隐患</w:t>
            </w:r>
            <w:r>
              <w:rPr>
                <w:rFonts w:hint="eastAsia"/>
                <w:color w:val="auto"/>
                <w:sz w:val="24"/>
                <w:szCs w:val="24"/>
                <w:lang w:val="en-US" w:eastAsia="zh-CN"/>
              </w:rPr>
              <w:t>；</w:t>
            </w:r>
          </w:p>
          <w:p>
            <w:pPr>
              <w:pStyle w:val="60"/>
              <w:ind w:firstLine="422"/>
              <w:rPr>
                <w:rFonts w:hint="eastAsia"/>
                <w:color w:val="auto"/>
                <w:sz w:val="24"/>
                <w:szCs w:val="24"/>
                <w:lang w:val="en-US" w:eastAsia="zh-CN"/>
              </w:rPr>
            </w:pPr>
            <w:r>
              <w:rPr>
                <w:rFonts w:hint="eastAsia"/>
                <w:color w:val="auto"/>
                <w:sz w:val="24"/>
                <w:szCs w:val="24"/>
                <w:lang w:val="en-US" w:eastAsia="zh-CN"/>
              </w:rPr>
              <w:t>（3）成品堆场、煤矸石等原料堆场及运输道路等未进行场地硬化和防渗，干燥天气产生大量无组织粉尘，且无雨水收集池。</w:t>
            </w:r>
          </w:p>
          <w:p>
            <w:pPr>
              <w:pStyle w:val="60"/>
              <w:ind w:left="0" w:leftChars="0" w:firstLine="0" w:firstLineChars="0"/>
              <w:rPr>
                <w:b/>
                <w:bCs/>
                <w:color w:val="auto"/>
                <w:sz w:val="24"/>
                <w:szCs w:val="24"/>
              </w:rPr>
            </w:pPr>
            <w:bookmarkStart w:id="2" w:name="_Hlk93354752"/>
            <w:r>
              <w:rPr>
                <w:rFonts w:hint="eastAsia"/>
                <w:b/>
                <w:bCs/>
                <w:color w:val="auto"/>
                <w:sz w:val="24"/>
                <w:szCs w:val="24"/>
                <w:lang w:val="en-US" w:eastAsia="zh-CN"/>
              </w:rPr>
              <w:t>5.</w:t>
            </w:r>
            <w:r>
              <w:rPr>
                <w:b/>
                <w:bCs/>
                <w:color w:val="auto"/>
                <w:sz w:val="24"/>
                <w:szCs w:val="24"/>
              </w:rPr>
              <w:t>“以新带老”整改措施</w:t>
            </w:r>
          </w:p>
          <w:p>
            <w:pPr>
              <w:pStyle w:val="60"/>
              <w:ind w:firstLine="420"/>
              <w:rPr>
                <w:color w:val="auto"/>
                <w:sz w:val="24"/>
                <w:szCs w:val="24"/>
              </w:rPr>
            </w:pPr>
            <w:r>
              <w:rPr>
                <w:color w:val="auto"/>
                <w:sz w:val="24"/>
                <w:szCs w:val="24"/>
              </w:rPr>
              <w:t>针对原有工程产能及焙烧工艺不符合《产业结构调整指导目录（2019年本）》要求的问题，本项目采取拆除原有轮窑，</w:t>
            </w:r>
            <w:r>
              <w:rPr>
                <w:rFonts w:hint="eastAsia"/>
                <w:color w:val="auto"/>
                <w:sz w:val="24"/>
                <w:szCs w:val="24"/>
              </w:rPr>
              <w:t>升级改造为</w:t>
            </w:r>
            <w:r>
              <w:rPr>
                <w:color w:val="auto"/>
                <w:sz w:val="24"/>
                <w:szCs w:val="24"/>
              </w:rPr>
              <w:t>隧道窑工艺，生产规模提高至</w:t>
            </w:r>
            <w:r>
              <w:rPr>
                <w:rFonts w:hint="eastAsia"/>
                <w:color w:val="auto"/>
                <w:sz w:val="24"/>
                <w:szCs w:val="24"/>
                <w:lang w:val="en-US" w:eastAsia="zh-CN"/>
              </w:rPr>
              <w:t>单条生产线</w:t>
            </w:r>
            <w:r>
              <w:rPr>
                <w:color w:val="auto"/>
                <w:sz w:val="24"/>
                <w:szCs w:val="24"/>
              </w:rPr>
              <w:t>年产</w:t>
            </w:r>
            <w:r>
              <w:rPr>
                <w:rFonts w:hint="eastAsia"/>
                <w:color w:val="auto"/>
                <w:sz w:val="24"/>
                <w:szCs w:val="24"/>
                <w:lang w:val="en-US" w:eastAsia="zh-CN"/>
              </w:rPr>
              <w:t>45</w:t>
            </w:r>
            <w:r>
              <w:rPr>
                <w:color w:val="auto"/>
                <w:sz w:val="24"/>
                <w:szCs w:val="24"/>
              </w:rPr>
              <w:t>00万块标砖，</w:t>
            </w:r>
            <w:r>
              <w:rPr>
                <w:rFonts w:hint="eastAsia"/>
                <w:color w:val="auto"/>
                <w:sz w:val="24"/>
                <w:szCs w:val="24"/>
              </w:rPr>
              <w:t>改造</w:t>
            </w:r>
            <w:r>
              <w:rPr>
                <w:color w:val="auto"/>
                <w:sz w:val="24"/>
                <w:szCs w:val="24"/>
              </w:rPr>
              <w:t>完成后</w:t>
            </w:r>
            <w:r>
              <w:rPr>
                <w:rFonts w:hint="eastAsia"/>
                <w:color w:val="auto"/>
                <w:sz w:val="24"/>
                <w:szCs w:val="24"/>
                <w:lang w:val="en-US" w:eastAsia="zh-CN"/>
              </w:rPr>
              <w:t>为两条生产线年产9000万块标砖</w:t>
            </w:r>
            <w:r>
              <w:rPr>
                <w:color w:val="auto"/>
                <w:sz w:val="24"/>
                <w:szCs w:val="24"/>
              </w:rPr>
              <w:t>，项目符合《产业结构调整指导目录（2019年本）》要求。</w:t>
            </w:r>
          </w:p>
          <w:bookmarkEnd w:id="2"/>
          <w:p>
            <w:pPr>
              <w:numPr>
                <w:ilvl w:val="0"/>
                <w:numId w:val="0"/>
              </w:num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（1）本次环评特向企业提出如下整改措施：</w:t>
            </w:r>
          </w:p>
          <w:p>
            <w:pPr>
              <w:numPr>
                <w:ilvl w:val="0"/>
                <w:numId w:val="0"/>
              </w:num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fldChar w:fldCharType="begin"/>
            </w:r>
            <w:r>
              <w:rPr>
                <w:rFonts w:hint="eastAsia"/>
                <w:color w:val="auto"/>
                <w:sz w:val="24"/>
                <w:szCs w:val="24"/>
                <w:lang w:val="en-US" w:eastAsia="zh-CN"/>
              </w:rPr>
              <w:instrText xml:space="preserve"> = 1 \* GB3 \* MERGEFORMAT </w:instrText>
            </w:r>
            <w:r>
              <w:rPr>
                <w:rFonts w:hint="eastAsia"/>
                <w:color w:val="auto"/>
                <w:sz w:val="24"/>
                <w:szCs w:val="24"/>
                <w:lang w:val="en-US" w:eastAsia="zh-CN"/>
              </w:rPr>
              <w:fldChar w:fldCharType="separate"/>
            </w:r>
            <w:r>
              <w:rPr>
                <w:color w:val="auto"/>
                <w:sz w:val="24"/>
                <w:szCs w:val="24"/>
              </w:rPr>
              <w:t>①</w:t>
            </w:r>
            <w:r>
              <w:rPr>
                <w:rFonts w:hint="eastAsia"/>
                <w:color w:val="auto"/>
                <w:sz w:val="24"/>
                <w:szCs w:val="24"/>
                <w:lang w:val="en-US" w:eastAsia="zh-CN"/>
              </w:rPr>
              <w:fldChar w:fldCharType="end"/>
            </w:r>
            <w:r>
              <w:rPr>
                <w:rFonts w:hint="eastAsia"/>
                <w:color w:val="auto"/>
                <w:sz w:val="24"/>
                <w:szCs w:val="24"/>
                <w:lang w:val="en-US" w:eastAsia="zh-CN"/>
              </w:rPr>
              <w:t>按照自然资源局相关矿山开发利用方案的要求进行生态恢复，具体措施如下：</w:t>
            </w:r>
          </w:p>
          <w:p>
            <w:pPr>
              <w:pStyle w:val="39"/>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 xml:space="preserve">    </w:t>
            </w:r>
            <w:r>
              <w:rPr>
                <w:rFonts w:hint="eastAsia"/>
                <w:color w:val="auto"/>
                <w:sz w:val="24"/>
                <w:szCs w:val="24"/>
                <w:lang w:val="en-US" w:eastAsia="zh-CN"/>
              </w:rPr>
              <w:fldChar w:fldCharType="begin"/>
            </w:r>
            <w:r>
              <w:rPr>
                <w:rFonts w:hint="eastAsia"/>
                <w:color w:val="auto"/>
                <w:sz w:val="24"/>
                <w:szCs w:val="24"/>
                <w:lang w:val="en-US" w:eastAsia="zh-CN"/>
              </w:rPr>
              <w:instrText xml:space="preserve"> = 1 \* roman \* MERGEFORMAT </w:instrText>
            </w:r>
            <w:r>
              <w:rPr>
                <w:rFonts w:hint="eastAsia"/>
                <w:color w:val="auto"/>
                <w:sz w:val="24"/>
                <w:szCs w:val="24"/>
                <w:lang w:val="en-US" w:eastAsia="zh-CN"/>
              </w:rPr>
              <w:fldChar w:fldCharType="separate"/>
            </w:r>
            <w:r>
              <w:rPr>
                <w:color w:val="auto"/>
                <w:sz w:val="24"/>
                <w:szCs w:val="24"/>
              </w:rPr>
              <w:t>i</w:t>
            </w:r>
            <w:r>
              <w:rPr>
                <w:rFonts w:hint="eastAsia"/>
                <w:color w:val="auto"/>
                <w:sz w:val="24"/>
                <w:szCs w:val="24"/>
                <w:lang w:val="en-US" w:eastAsia="zh-CN"/>
              </w:rPr>
              <w:fldChar w:fldCharType="end"/>
            </w:r>
            <w:r>
              <w:rPr>
                <w:rFonts w:hint="eastAsia"/>
                <w:color w:val="auto"/>
                <w:sz w:val="24"/>
                <w:szCs w:val="24"/>
                <w:lang w:val="en-US" w:eastAsia="zh-CN"/>
              </w:rPr>
              <w:t>边坡治理措施</w:t>
            </w:r>
          </w:p>
          <w:p>
            <w:pPr>
              <w:spacing w:line="360" w:lineRule="auto"/>
              <w:rPr>
                <w:rFonts w:hint="default"/>
                <w:color w:val="auto"/>
                <w:sz w:val="24"/>
                <w:szCs w:val="24"/>
                <w:lang w:val="en-US" w:eastAsia="zh-CN"/>
              </w:rPr>
            </w:pPr>
            <w:r>
              <w:rPr>
                <w:rFonts w:hint="eastAsia"/>
                <w:color w:val="auto"/>
                <w:sz w:val="24"/>
                <w:szCs w:val="24"/>
                <w:lang w:val="en-US" w:eastAsia="zh-CN"/>
              </w:rPr>
              <w:t xml:space="preserve">    稳定边坡，降坡削坡，将未形成台阶的陡坡尽量构成水平台阶，把边坡坡度降到安全角度一下，参考《非煤露天矿边坡工程技术规范》（GB51016-2014），边坡角度应不大于40°，消除可能塌方的边坡，对形成的平台进行复绿，平台间边坡设置防护网；对坍塌风险较大坡面，采用大截面矩形方桩和预应力锚拉桩，防止其崩塌，并设置警示标示；</w:t>
            </w:r>
          </w:p>
          <w:p>
            <w:pPr>
              <w:pStyle w:val="39"/>
              <w:keepNext w:val="0"/>
              <w:keepLines w:val="0"/>
              <w:pageBreakBefore w:val="0"/>
              <w:widowControl w:val="0"/>
              <w:kinsoku/>
              <w:wordWrap/>
              <w:overflowPunct/>
              <w:topLinePunct w:val="0"/>
              <w:autoSpaceDE/>
              <w:autoSpaceDN/>
              <w:bidi w:val="0"/>
              <w:adjustRightInd/>
              <w:snapToGrid/>
              <w:spacing w:before="0"/>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fldChar w:fldCharType="begin"/>
            </w:r>
            <w:r>
              <w:rPr>
                <w:rFonts w:hint="eastAsia"/>
                <w:color w:val="auto"/>
                <w:sz w:val="24"/>
                <w:szCs w:val="24"/>
                <w:lang w:val="en-US" w:eastAsia="zh-CN"/>
              </w:rPr>
              <w:instrText xml:space="preserve"> = 2 \* roman \* MERGEFORMAT </w:instrText>
            </w:r>
            <w:r>
              <w:rPr>
                <w:rFonts w:hint="eastAsia"/>
                <w:color w:val="auto"/>
                <w:sz w:val="24"/>
                <w:szCs w:val="24"/>
                <w:lang w:val="en-US" w:eastAsia="zh-CN"/>
              </w:rPr>
              <w:fldChar w:fldCharType="separate"/>
            </w:r>
            <w:r>
              <w:rPr>
                <w:color w:val="auto"/>
                <w:sz w:val="24"/>
                <w:szCs w:val="24"/>
              </w:rPr>
              <w:t>ii</w:t>
            </w:r>
            <w:r>
              <w:rPr>
                <w:rFonts w:hint="eastAsia"/>
                <w:color w:val="auto"/>
                <w:sz w:val="24"/>
                <w:szCs w:val="24"/>
                <w:lang w:val="en-US" w:eastAsia="zh-CN"/>
              </w:rPr>
              <w:fldChar w:fldCharType="end"/>
            </w:r>
            <w:r>
              <w:rPr>
                <w:rFonts w:hint="eastAsia"/>
                <w:color w:val="auto"/>
                <w:sz w:val="24"/>
                <w:szCs w:val="24"/>
                <w:lang w:val="en-US" w:eastAsia="zh-CN"/>
              </w:rPr>
              <w:t>土壤基层改良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 xml:space="preserve">    矿山开采造成的生态破坏关键是土地退化，因此要对尾矿的表层土壤进行检测，对不达标的区域进行表层剥离作为辅料回用于生产，在表层覆盖至少0.3m的土质较好的土壤，便于复绿。</w:t>
            </w:r>
          </w:p>
          <w:p>
            <w:pPr>
              <w:pStyle w:val="39"/>
              <w:keepNext w:val="0"/>
              <w:keepLines w:val="0"/>
              <w:pageBreakBefore w:val="0"/>
              <w:widowControl w:val="0"/>
              <w:kinsoku/>
              <w:wordWrap/>
              <w:overflowPunct/>
              <w:topLinePunct w:val="0"/>
              <w:autoSpaceDE/>
              <w:autoSpaceDN/>
              <w:bidi w:val="0"/>
              <w:adjustRightInd/>
              <w:snapToGrid/>
              <w:spacing w:before="0"/>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fldChar w:fldCharType="begin"/>
            </w:r>
            <w:r>
              <w:rPr>
                <w:rFonts w:hint="eastAsia"/>
                <w:color w:val="auto"/>
                <w:sz w:val="24"/>
                <w:szCs w:val="24"/>
                <w:lang w:val="en-US" w:eastAsia="zh-CN"/>
              </w:rPr>
              <w:instrText xml:space="preserve"> = 3 \* roman \* MERGEFORMAT </w:instrText>
            </w:r>
            <w:r>
              <w:rPr>
                <w:rFonts w:hint="eastAsia"/>
                <w:color w:val="auto"/>
                <w:sz w:val="24"/>
                <w:szCs w:val="24"/>
                <w:lang w:val="en-US" w:eastAsia="zh-CN"/>
              </w:rPr>
              <w:fldChar w:fldCharType="separate"/>
            </w:r>
            <w:r>
              <w:rPr>
                <w:color w:val="auto"/>
                <w:sz w:val="24"/>
                <w:szCs w:val="24"/>
              </w:rPr>
              <w:t>iii</w:t>
            </w:r>
            <w:r>
              <w:rPr>
                <w:rFonts w:hint="eastAsia"/>
                <w:color w:val="auto"/>
                <w:sz w:val="24"/>
                <w:szCs w:val="24"/>
                <w:lang w:val="en-US" w:eastAsia="zh-CN"/>
              </w:rPr>
              <w:fldChar w:fldCharType="end"/>
            </w:r>
            <w:r>
              <w:rPr>
                <w:rFonts w:hint="eastAsia"/>
                <w:color w:val="auto"/>
                <w:sz w:val="24"/>
                <w:szCs w:val="24"/>
                <w:lang w:val="en-US" w:eastAsia="zh-CN"/>
              </w:rPr>
              <w:t>复绿措施</w:t>
            </w:r>
          </w:p>
          <w:p>
            <w:pPr>
              <w:spacing w:line="360" w:lineRule="auto"/>
              <w:ind w:firstLine="480" w:firstLineChars="200"/>
              <w:rPr>
                <w:rFonts w:hint="default"/>
                <w:color w:val="auto"/>
                <w:sz w:val="24"/>
                <w:szCs w:val="24"/>
                <w:lang w:val="en-US" w:eastAsia="zh-CN"/>
              </w:rPr>
            </w:pPr>
            <w:r>
              <w:rPr>
                <w:rFonts w:hint="eastAsia"/>
                <w:color w:val="auto"/>
                <w:sz w:val="24"/>
                <w:szCs w:val="24"/>
                <w:lang w:val="en-US" w:eastAsia="zh-CN"/>
              </w:rPr>
              <w:t>在边坡或台阶种植耐旱、耐寒的树木或草种，如种植在台阶种植沙地柏、杜松等，在树的间隙或边坡种植水蜡等。</w:t>
            </w:r>
          </w:p>
          <w:p>
            <w:pPr>
              <w:spacing w:line="360" w:lineRule="auto"/>
              <w:ind w:firstLine="480" w:firstLineChars="200"/>
              <w:rPr>
                <w:rFonts w:hint="default"/>
                <w:color w:val="auto"/>
                <w:sz w:val="24"/>
                <w:szCs w:val="24"/>
                <w:vertAlign w:val="baseline"/>
                <w:lang w:val="en-US" w:eastAsia="zh-CN"/>
              </w:rPr>
            </w:pPr>
            <w:r>
              <w:rPr>
                <w:rFonts w:hint="eastAsia"/>
                <w:color w:val="auto"/>
                <w:sz w:val="24"/>
                <w:szCs w:val="24"/>
                <w:lang w:val="en-US" w:eastAsia="zh-CN"/>
              </w:rPr>
              <w:fldChar w:fldCharType="begin"/>
            </w:r>
            <w:r>
              <w:rPr>
                <w:rFonts w:hint="eastAsia"/>
                <w:color w:val="auto"/>
                <w:sz w:val="24"/>
                <w:szCs w:val="24"/>
                <w:lang w:val="en-US" w:eastAsia="zh-CN"/>
              </w:rPr>
              <w:instrText xml:space="preserve"> = 2 \* GB3 \* MERGEFORMAT </w:instrText>
            </w:r>
            <w:r>
              <w:rPr>
                <w:rFonts w:hint="eastAsia"/>
                <w:color w:val="auto"/>
                <w:sz w:val="24"/>
                <w:szCs w:val="24"/>
                <w:lang w:val="en-US" w:eastAsia="zh-CN"/>
              </w:rPr>
              <w:fldChar w:fldCharType="separate"/>
            </w:r>
            <w:r>
              <w:rPr>
                <w:color w:val="auto"/>
                <w:sz w:val="24"/>
                <w:szCs w:val="24"/>
              </w:rPr>
              <w:t>②</w:t>
            </w:r>
            <w:r>
              <w:rPr>
                <w:rFonts w:hint="eastAsia"/>
                <w:color w:val="auto"/>
                <w:sz w:val="24"/>
                <w:szCs w:val="24"/>
                <w:lang w:val="en-US" w:eastAsia="zh-CN"/>
              </w:rPr>
              <w:fldChar w:fldCharType="end"/>
            </w:r>
            <w:r>
              <w:rPr>
                <w:rFonts w:hint="eastAsia"/>
                <w:color w:val="auto"/>
                <w:sz w:val="24"/>
                <w:szCs w:val="24"/>
                <w:lang w:val="en-US" w:eastAsia="zh-CN"/>
              </w:rPr>
              <w:t>对成品堆场、运输道路等进行硬化处理，建议使用混凝土硬化；煤矸石堆场采取全封闭措施，且底部做防渗处理</w:t>
            </w:r>
            <w:r>
              <w:rPr>
                <w:rFonts w:hint="eastAsia"/>
                <w:color w:val="auto"/>
                <w:sz w:val="24"/>
                <w:szCs w:val="24"/>
                <w:vertAlign w:val="baseline"/>
                <w:lang w:val="en-US" w:eastAsia="zh-CN"/>
              </w:rPr>
              <w:t>；</w:t>
            </w:r>
          </w:p>
          <w:p>
            <w:pPr>
              <w:pStyle w:val="60"/>
              <w:ind w:firstLine="480" w:firstLineChars="200"/>
              <w:rPr>
                <w:color w:val="auto"/>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 3 \* GB3 \* MERGEFORMAT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③</w:t>
            </w:r>
            <w:r>
              <w:rPr>
                <w:rFonts w:hint="eastAsia" w:ascii="Times New Roman" w:hAnsi="Times New Roman" w:eastAsia="宋体" w:cs="Times New Roman"/>
                <w:color w:val="auto"/>
                <w:sz w:val="24"/>
                <w:szCs w:val="24"/>
                <w:lang w:val="en-US" w:eastAsia="zh-CN"/>
              </w:rPr>
              <w:fldChar w:fldCharType="end"/>
            </w:r>
            <w:r>
              <w:rPr>
                <w:rFonts w:hint="eastAsia"/>
                <w:color w:val="auto"/>
                <w:sz w:val="24"/>
                <w:szCs w:val="24"/>
                <w:lang w:val="en-US" w:eastAsia="zh-CN"/>
              </w:rPr>
              <w:t>采购并安装处理效率高、工艺先进的一体式脱硫除尘设施二氧化硫、氮氧化物、烟尘等生产废气均能达标排放</w:t>
            </w:r>
            <w:r>
              <w:rPr>
                <w:rFonts w:hint="eastAsia" w:ascii="Times New Roman" w:hAnsi="Times New Roman" w:eastAsia="宋体" w:cs="Times New Roman"/>
                <w:b w:val="0"/>
                <w:bCs w:val="0"/>
                <w:color w:val="auto"/>
                <w:kern w:val="2"/>
                <w:sz w:val="24"/>
                <w:szCs w:val="24"/>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800" w:type="dxa"/>
            <w:vAlign w:val="center"/>
          </w:tcPr>
          <w:p>
            <w:pPr>
              <w:adjustRightInd w:val="0"/>
              <w:snapToGrid w:val="0"/>
              <w:jc w:val="center"/>
              <w:rPr>
                <w:color w:val="auto"/>
                <w:kern w:val="0"/>
                <w:szCs w:val="21"/>
              </w:rPr>
            </w:pPr>
            <w:r>
              <w:rPr>
                <w:color w:val="000000"/>
                <w:kern w:val="0"/>
                <w:sz w:val="24"/>
              </w:rPr>
              <w:t>生态环境保护目标</w:t>
            </w:r>
          </w:p>
        </w:tc>
        <w:tc>
          <w:tcPr>
            <w:tcW w:w="8237" w:type="dxa"/>
          </w:tcPr>
          <w:p>
            <w:pPr>
              <w:pStyle w:val="60"/>
              <w:ind w:left="0" w:leftChars="0" w:firstLine="0" w:firstLineChars="0"/>
              <w:rPr>
                <w:rFonts w:hint="default" w:ascii="Times New Roman" w:hAnsi="Times New Roman" w:eastAsia="宋体" w:cs="Times New Roman"/>
                <w:b/>
                <w:bCs/>
                <w:color w:val="auto"/>
                <w:kern w:val="0"/>
                <w:sz w:val="24"/>
                <w:lang w:val="en-US" w:eastAsia="zh-CN"/>
              </w:rPr>
            </w:pPr>
            <w:r>
              <w:rPr>
                <w:rFonts w:hint="default" w:ascii="Times New Roman" w:hAnsi="Times New Roman" w:cs="Times New Roman"/>
                <w:b/>
                <w:bCs/>
                <w:color w:val="auto"/>
                <w:kern w:val="0"/>
                <w:sz w:val="24"/>
                <w:lang w:val="en-US" w:eastAsia="zh-CN"/>
              </w:rPr>
              <w:t>1.</w:t>
            </w:r>
            <w:r>
              <w:rPr>
                <w:rFonts w:hint="default" w:ascii="Times New Roman" w:hAnsi="Times New Roman" w:cs="Times New Roman"/>
                <w:b/>
                <w:bCs/>
                <w:color w:val="000000"/>
                <w:sz w:val="24"/>
              </w:rPr>
              <w:t>环境保护目标</w:t>
            </w:r>
          </w:p>
          <w:p>
            <w:pPr>
              <w:pStyle w:val="60"/>
              <w:ind w:left="0" w:leftChars="0" w:firstLine="480" w:firstLineChars="200"/>
              <w:rPr>
                <w:rFonts w:hint="eastAsia" w:eastAsia="宋体"/>
                <w:color w:val="auto"/>
                <w:sz w:val="24"/>
                <w:szCs w:val="24"/>
                <w:lang w:eastAsia="zh-CN"/>
              </w:rPr>
            </w:pPr>
            <w:r>
              <w:rPr>
                <w:color w:val="auto"/>
                <w:kern w:val="0"/>
                <w:sz w:val="24"/>
              </w:rPr>
              <w:t>本项目运营期对环境影响较小，调查范围参照建设项目环境影响报告表编制技术指南（污染影响类）确定。确定大气调查范围为500m，声环境调查范围为50m。根据现场勘查，本项目厂界外500m范围内无自然保护区、风景名胜区，周边环境敏感点主要为周边的</w:t>
            </w:r>
            <w:r>
              <w:rPr>
                <w:rFonts w:hint="eastAsia"/>
                <w:color w:val="auto"/>
                <w:kern w:val="0"/>
                <w:sz w:val="24"/>
                <w:lang w:val="en-US" w:eastAsia="zh-CN"/>
              </w:rPr>
              <w:t>居民点</w:t>
            </w:r>
            <w:r>
              <w:rPr>
                <w:color w:val="auto"/>
                <w:kern w:val="0"/>
                <w:sz w:val="24"/>
              </w:rPr>
              <w:t>，本项目环境敏感点详</w:t>
            </w:r>
            <w:r>
              <w:rPr>
                <w:color w:val="auto"/>
                <w:sz w:val="24"/>
              </w:rPr>
              <w:t>见</w:t>
            </w:r>
            <w:r>
              <w:rPr>
                <w:color w:val="auto"/>
                <w:sz w:val="24"/>
                <w:szCs w:val="24"/>
              </w:rPr>
              <w:t>下表</w:t>
            </w:r>
            <w:r>
              <w:rPr>
                <w:rFonts w:hint="eastAsia"/>
                <w:color w:val="auto"/>
                <w:sz w:val="24"/>
                <w:szCs w:val="24"/>
                <w:lang w:eastAsia="zh-CN"/>
              </w:rPr>
              <w:t>。</w:t>
            </w:r>
          </w:p>
          <w:p>
            <w:pPr>
              <w:pStyle w:val="14"/>
              <w:keepNext/>
              <w:spacing w:line="240" w:lineRule="auto"/>
              <w:rPr>
                <w:rFonts w:cs="Times New Roman"/>
                <w:color w:val="auto"/>
              </w:rPr>
            </w:pPr>
            <w:r>
              <w:rPr>
                <w:rFonts w:eastAsia="宋体" w:cs="Times New Roman"/>
                <w:color w:val="auto"/>
              </w:rPr>
              <w:t>表</w:t>
            </w:r>
            <w:r>
              <w:rPr>
                <w:rFonts w:hint="eastAsia" w:eastAsia="宋体" w:cs="Times New Roman"/>
                <w:color w:val="auto"/>
                <w:lang w:val="en-US" w:eastAsia="zh-CN"/>
              </w:rPr>
              <w:t xml:space="preserve">3-13   </w:t>
            </w:r>
            <w:r>
              <w:rPr>
                <w:rFonts w:eastAsia="宋体" w:cs="Times New Roman"/>
                <w:color w:val="auto"/>
              </w:rPr>
              <w:t>环境保护目标表</w:t>
            </w:r>
          </w:p>
          <w:tbl>
            <w:tblPr>
              <w:tblStyle w:val="30"/>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6"/>
              <w:gridCol w:w="1364"/>
              <w:gridCol w:w="1166"/>
              <w:gridCol w:w="1274"/>
              <w:gridCol w:w="1010"/>
              <w:gridCol w:w="613"/>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dxa"/>
                  <w:vMerge w:val="restart"/>
                  <w:noWrap/>
                  <w:vAlign w:val="center"/>
                </w:tcPr>
                <w:p>
                  <w:pPr>
                    <w:pStyle w:val="57"/>
                    <w:rPr>
                      <w:color w:val="auto"/>
                    </w:rPr>
                  </w:pPr>
                  <w:r>
                    <w:rPr>
                      <w:color w:val="auto"/>
                    </w:rPr>
                    <w:t>环境要素</w:t>
                  </w:r>
                </w:p>
              </w:tc>
              <w:tc>
                <w:tcPr>
                  <w:tcW w:w="886" w:type="dxa"/>
                  <w:vMerge w:val="restart"/>
                  <w:vAlign w:val="center"/>
                </w:tcPr>
                <w:p>
                  <w:pPr>
                    <w:pStyle w:val="57"/>
                    <w:rPr>
                      <w:color w:val="auto"/>
                    </w:rPr>
                  </w:pPr>
                  <w:r>
                    <w:rPr>
                      <w:color w:val="auto"/>
                    </w:rPr>
                    <w:t>保护目标名称</w:t>
                  </w:r>
                </w:p>
              </w:tc>
              <w:tc>
                <w:tcPr>
                  <w:tcW w:w="2530" w:type="dxa"/>
                  <w:gridSpan w:val="2"/>
                  <w:vAlign w:val="center"/>
                </w:tcPr>
                <w:p>
                  <w:pPr>
                    <w:pStyle w:val="57"/>
                    <w:rPr>
                      <w:color w:val="auto"/>
                    </w:rPr>
                  </w:pPr>
                  <w:r>
                    <w:rPr>
                      <w:color w:val="auto"/>
                    </w:rPr>
                    <w:t>坐标/m</w:t>
                  </w:r>
                </w:p>
              </w:tc>
              <w:tc>
                <w:tcPr>
                  <w:tcW w:w="1274" w:type="dxa"/>
                  <w:vMerge w:val="restart"/>
                  <w:vAlign w:val="center"/>
                </w:tcPr>
                <w:p>
                  <w:pPr>
                    <w:pStyle w:val="57"/>
                    <w:rPr>
                      <w:color w:val="auto"/>
                    </w:rPr>
                  </w:pPr>
                  <w:r>
                    <w:rPr>
                      <w:color w:val="auto"/>
                    </w:rPr>
                    <w:t>保护内容</w:t>
                  </w:r>
                </w:p>
              </w:tc>
              <w:tc>
                <w:tcPr>
                  <w:tcW w:w="1010" w:type="dxa"/>
                  <w:vMerge w:val="restart"/>
                  <w:vAlign w:val="center"/>
                </w:tcPr>
                <w:p>
                  <w:pPr>
                    <w:pStyle w:val="57"/>
                    <w:rPr>
                      <w:color w:val="auto"/>
                    </w:rPr>
                  </w:pPr>
                  <w:r>
                    <w:rPr>
                      <w:color w:val="auto"/>
                    </w:rPr>
                    <w:t>环境功能区</w:t>
                  </w:r>
                </w:p>
              </w:tc>
              <w:tc>
                <w:tcPr>
                  <w:tcW w:w="613" w:type="dxa"/>
                  <w:vMerge w:val="restart"/>
                  <w:vAlign w:val="center"/>
                </w:tcPr>
                <w:p>
                  <w:pPr>
                    <w:pStyle w:val="57"/>
                    <w:rPr>
                      <w:color w:val="auto"/>
                    </w:rPr>
                  </w:pPr>
                  <w:r>
                    <w:rPr>
                      <w:color w:val="auto"/>
                    </w:rPr>
                    <w:t>方位</w:t>
                  </w:r>
                </w:p>
              </w:tc>
              <w:tc>
                <w:tcPr>
                  <w:tcW w:w="955" w:type="dxa"/>
                  <w:vMerge w:val="restart"/>
                  <w:vAlign w:val="center"/>
                </w:tcPr>
                <w:p>
                  <w:pPr>
                    <w:pStyle w:val="57"/>
                    <w:rPr>
                      <w:color w:val="auto"/>
                    </w:rPr>
                  </w:pPr>
                  <w:r>
                    <w:rPr>
                      <w:color w:val="auto"/>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dxa"/>
                  <w:vMerge w:val="continue"/>
                  <w:vAlign w:val="center"/>
                </w:tcPr>
                <w:p>
                  <w:pPr>
                    <w:pStyle w:val="57"/>
                    <w:rPr>
                      <w:color w:val="auto"/>
                    </w:rPr>
                  </w:pPr>
                </w:p>
              </w:tc>
              <w:tc>
                <w:tcPr>
                  <w:tcW w:w="886" w:type="dxa"/>
                  <w:vMerge w:val="continue"/>
                  <w:vAlign w:val="center"/>
                </w:tcPr>
                <w:p>
                  <w:pPr>
                    <w:pStyle w:val="57"/>
                    <w:rPr>
                      <w:color w:val="auto"/>
                    </w:rPr>
                  </w:pPr>
                </w:p>
              </w:tc>
              <w:tc>
                <w:tcPr>
                  <w:tcW w:w="1364" w:type="dxa"/>
                  <w:vAlign w:val="center"/>
                </w:tcPr>
                <w:p>
                  <w:pPr>
                    <w:pStyle w:val="57"/>
                    <w:rPr>
                      <w:rFonts w:hint="eastAsia" w:eastAsia="宋体"/>
                      <w:color w:val="auto"/>
                      <w:lang w:val="en-US" w:eastAsia="zh-CN"/>
                    </w:rPr>
                  </w:pPr>
                  <w:r>
                    <w:rPr>
                      <w:rFonts w:hint="eastAsia"/>
                      <w:color w:val="auto"/>
                      <w:lang w:val="en-US" w:eastAsia="zh-CN"/>
                    </w:rPr>
                    <w:t>东经</w:t>
                  </w:r>
                </w:p>
              </w:tc>
              <w:tc>
                <w:tcPr>
                  <w:tcW w:w="1166" w:type="dxa"/>
                  <w:vAlign w:val="center"/>
                </w:tcPr>
                <w:p>
                  <w:pPr>
                    <w:pStyle w:val="57"/>
                    <w:rPr>
                      <w:rFonts w:hint="default" w:eastAsia="宋体"/>
                      <w:color w:val="auto"/>
                      <w:lang w:val="en-US" w:eastAsia="zh-CN"/>
                    </w:rPr>
                  </w:pPr>
                  <w:r>
                    <w:rPr>
                      <w:rFonts w:hint="eastAsia"/>
                      <w:color w:val="auto"/>
                      <w:lang w:val="en-US" w:eastAsia="zh-CN"/>
                    </w:rPr>
                    <w:t>北纬</w:t>
                  </w:r>
                </w:p>
              </w:tc>
              <w:tc>
                <w:tcPr>
                  <w:tcW w:w="1274" w:type="dxa"/>
                  <w:vMerge w:val="continue"/>
                  <w:vAlign w:val="center"/>
                </w:tcPr>
                <w:p>
                  <w:pPr>
                    <w:pStyle w:val="57"/>
                    <w:rPr>
                      <w:color w:val="auto"/>
                    </w:rPr>
                  </w:pPr>
                </w:p>
              </w:tc>
              <w:tc>
                <w:tcPr>
                  <w:tcW w:w="1010" w:type="dxa"/>
                  <w:vMerge w:val="continue"/>
                  <w:vAlign w:val="center"/>
                </w:tcPr>
                <w:p>
                  <w:pPr>
                    <w:pStyle w:val="57"/>
                    <w:rPr>
                      <w:color w:val="auto"/>
                    </w:rPr>
                  </w:pPr>
                </w:p>
              </w:tc>
              <w:tc>
                <w:tcPr>
                  <w:tcW w:w="613" w:type="dxa"/>
                  <w:vMerge w:val="continue"/>
                  <w:vAlign w:val="center"/>
                </w:tcPr>
                <w:p>
                  <w:pPr>
                    <w:pStyle w:val="57"/>
                    <w:rPr>
                      <w:color w:val="auto"/>
                    </w:rPr>
                  </w:pPr>
                </w:p>
              </w:tc>
              <w:tc>
                <w:tcPr>
                  <w:tcW w:w="955" w:type="dxa"/>
                  <w:vMerge w:val="continue"/>
                  <w:vAlign w:val="center"/>
                </w:tcPr>
                <w:p>
                  <w:pPr>
                    <w:pStyle w:val="57"/>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dxa"/>
                  <w:vMerge w:val="restart"/>
                  <w:noWrap/>
                  <w:vAlign w:val="center"/>
                </w:tcPr>
                <w:p>
                  <w:pPr>
                    <w:pStyle w:val="57"/>
                    <w:rPr>
                      <w:color w:val="auto"/>
                    </w:rPr>
                  </w:pPr>
                  <w:r>
                    <w:rPr>
                      <w:color w:val="auto"/>
                    </w:rPr>
                    <w:t>环境空气</w:t>
                  </w:r>
                </w:p>
              </w:tc>
              <w:tc>
                <w:tcPr>
                  <w:tcW w:w="886" w:type="dxa"/>
                  <w:vMerge w:val="restart"/>
                  <w:noWrap/>
                  <w:vAlign w:val="center"/>
                </w:tcPr>
                <w:p>
                  <w:pPr>
                    <w:pStyle w:val="57"/>
                    <w:rPr>
                      <w:rFonts w:hint="default" w:eastAsia="宋体"/>
                      <w:color w:val="auto"/>
                      <w:lang w:val="en-US" w:eastAsia="zh-CN"/>
                    </w:rPr>
                  </w:pPr>
                  <w:r>
                    <w:rPr>
                      <w:rFonts w:hint="eastAsia"/>
                      <w:color w:val="auto"/>
                      <w:lang w:val="en-US" w:eastAsia="zh-CN"/>
                    </w:rPr>
                    <w:t>居民</w:t>
                  </w:r>
                </w:p>
              </w:tc>
              <w:tc>
                <w:tcPr>
                  <w:tcW w:w="1364" w:type="dxa"/>
                  <w:noWrap/>
                  <w:vAlign w:val="center"/>
                </w:tcPr>
                <w:p>
                  <w:pPr>
                    <w:pStyle w:val="57"/>
                    <w:rPr>
                      <w:rFonts w:hint="default" w:eastAsia="宋体"/>
                      <w:color w:val="auto"/>
                      <w:lang w:val="en-US" w:eastAsia="zh-CN"/>
                    </w:rPr>
                  </w:pPr>
                  <w:r>
                    <w:rPr>
                      <w:rFonts w:hint="eastAsia"/>
                      <w:color w:val="auto"/>
                      <w:lang w:val="en-US" w:eastAsia="zh-CN"/>
                    </w:rPr>
                    <w:t>108.004264</w:t>
                  </w:r>
                </w:p>
              </w:tc>
              <w:tc>
                <w:tcPr>
                  <w:tcW w:w="1166" w:type="dxa"/>
                  <w:noWrap/>
                  <w:vAlign w:val="center"/>
                </w:tcPr>
                <w:p>
                  <w:pPr>
                    <w:pStyle w:val="57"/>
                    <w:rPr>
                      <w:rFonts w:hint="default" w:eastAsia="宋体"/>
                      <w:color w:val="auto"/>
                      <w:lang w:val="en-US" w:eastAsia="zh-CN"/>
                    </w:rPr>
                  </w:pPr>
                  <w:r>
                    <w:rPr>
                      <w:rFonts w:hint="eastAsia"/>
                      <w:color w:val="auto"/>
                      <w:lang w:val="en-US" w:eastAsia="zh-CN"/>
                    </w:rPr>
                    <w:t>35.204209</w:t>
                  </w:r>
                </w:p>
              </w:tc>
              <w:tc>
                <w:tcPr>
                  <w:tcW w:w="1274" w:type="dxa"/>
                  <w:vAlign w:val="center"/>
                </w:tcPr>
                <w:p>
                  <w:pPr>
                    <w:pStyle w:val="57"/>
                    <w:rPr>
                      <w:rFonts w:hint="default" w:eastAsia="宋体"/>
                      <w:color w:val="auto"/>
                      <w:lang w:val="en-US" w:eastAsia="zh-CN"/>
                    </w:rPr>
                  </w:pPr>
                  <w:r>
                    <w:rPr>
                      <w:rFonts w:hint="eastAsia"/>
                      <w:color w:val="auto"/>
                      <w:lang w:val="en-US" w:eastAsia="zh-CN"/>
                    </w:rPr>
                    <w:t>7户21人</w:t>
                  </w:r>
                </w:p>
              </w:tc>
              <w:tc>
                <w:tcPr>
                  <w:tcW w:w="1010" w:type="dxa"/>
                  <w:vAlign w:val="center"/>
                </w:tcPr>
                <w:p>
                  <w:pPr>
                    <w:pStyle w:val="57"/>
                    <w:rPr>
                      <w:color w:val="auto"/>
                    </w:rPr>
                  </w:pPr>
                  <w:r>
                    <w:rPr>
                      <w:color w:val="auto"/>
                    </w:rPr>
                    <w:t>二类</w:t>
                  </w:r>
                </w:p>
              </w:tc>
              <w:tc>
                <w:tcPr>
                  <w:tcW w:w="613" w:type="dxa"/>
                  <w:vAlign w:val="center"/>
                </w:tcPr>
                <w:p>
                  <w:pPr>
                    <w:pStyle w:val="57"/>
                    <w:rPr>
                      <w:rFonts w:hint="default" w:eastAsia="宋体"/>
                      <w:color w:val="auto"/>
                      <w:lang w:val="en-US" w:eastAsia="zh-CN"/>
                    </w:rPr>
                  </w:pPr>
                  <w:r>
                    <w:rPr>
                      <w:rFonts w:hint="eastAsia"/>
                      <w:color w:val="auto"/>
                      <w:lang w:val="en-US" w:eastAsia="zh-CN"/>
                    </w:rPr>
                    <w:t>EN</w:t>
                  </w:r>
                </w:p>
              </w:tc>
              <w:tc>
                <w:tcPr>
                  <w:tcW w:w="955" w:type="dxa"/>
                  <w:vAlign w:val="center"/>
                </w:tcPr>
                <w:p>
                  <w:pPr>
                    <w:pStyle w:val="57"/>
                    <w:rPr>
                      <w:rFonts w:hint="default" w:eastAsia="宋体"/>
                      <w:color w:val="auto"/>
                      <w:lang w:val="en-US" w:eastAsia="zh-CN"/>
                    </w:rPr>
                  </w:pPr>
                  <w:r>
                    <w:rPr>
                      <w:rFonts w:hint="eastAsia"/>
                      <w:color w:val="auto"/>
                      <w:lang w:val="en-US" w:eastAsia="zh-CN"/>
                    </w:rPr>
                    <w:t>258-500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dxa"/>
                  <w:vMerge w:val="continue"/>
                  <w:vAlign w:val="center"/>
                </w:tcPr>
                <w:p>
                  <w:pPr>
                    <w:pStyle w:val="57"/>
                    <w:rPr>
                      <w:color w:val="auto"/>
                    </w:rPr>
                  </w:pPr>
                </w:p>
              </w:tc>
              <w:tc>
                <w:tcPr>
                  <w:tcW w:w="886" w:type="dxa"/>
                  <w:vMerge w:val="continue"/>
                  <w:noWrap/>
                  <w:vAlign w:val="center"/>
                </w:tcPr>
                <w:p>
                  <w:pPr>
                    <w:pStyle w:val="57"/>
                    <w:rPr>
                      <w:color w:val="auto"/>
                    </w:rPr>
                  </w:pPr>
                </w:p>
              </w:tc>
              <w:tc>
                <w:tcPr>
                  <w:tcW w:w="1364" w:type="dxa"/>
                  <w:noWrap/>
                  <w:vAlign w:val="center"/>
                </w:tcPr>
                <w:p>
                  <w:pPr>
                    <w:pStyle w:val="57"/>
                    <w:rPr>
                      <w:rFonts w:hint="default" w:eastAsia="宋体"/>
                      <w:color w:val="auto"/>
                      <w:lang w:val="en-US" w:eastAsia="zh-CN"/>
                    </w:rPr>
                  </w:pPr>
                  <w:r>
                    <w:rPr>
                      <w:rFonts w:hint="eastAsia"/>
                      <w:color w:val="auto"/>
                      <w:lang w:val="en-US" w:eastAsia="zh-CN"/>
                    </w:rPr>
                    <w:t>108.003820</w:t>
                  </w:r>
                </w:p>
              </w:tc>
              <w:tc>
                <w:tcPr>
                  <w:tcW w:w="1166" w:type="dxa"/>
                  <w:noWrap/>
                  <w:vAlign w:val="center"/>
                </w:tcPr>
                <w:p>
                  <w:pPr>
                    <w:pStyle w:val="57"/>
                    <w:rPr>
                      <w:rFonts w:hint="default" w:eastAsia="宋体"/>
                      <w:color w:val="auto"/>
                      <w:lang w:val="en-US" w:eastAsia="zh-CN"/>
                    </w:rPr>
                  </w:pPr>
                  <w:r>
                    <w:rPr>
                      <w:rFonts w:hint="eastAsia"/>
                      <w:color w:val="auto"/>
                      <w:lang w:val="en-US" w:eastAsia="zh-CN"/>
                    </w:rPr>
                    <w:t>35.204885</w:t>
                  </w:r>
                </w:p>
              </w:tc>
              <w:tc>
                <w:tcPr>
                  <w:tcW w:w="1274" w:type="dxa"/>
                  <w:noWrap/>
                  <w:vAlign w:val="center"/>
                </w:tcPr>
                <w:p>
                  <w:pPr>
                    <w:pStyle w:val="57"/>
                    <w:rPr>
                      <w:rFonts w:hint="default" w:eastAsia="宋体"/>
                      <w:color w:val="auto"/>
                      <w:lang w:val="en-US" w:eastAsia="zh-CN"/>
                    </w:rPr>
                  </w:pPr>
                  <w:r>
                    <w:rPr>
                      <w:rFonts w:hint="eastAsia"/>
                      <w:color w:val="auto"/>
                      <w:lang w:val="en-US" w:eastAsia="zh-CN"/>
                    </w:rPr>
                    <w:t>5户15人</w:t>
                  </w:r>
                </w:p>
              </w:tc>
              <w:tc>
                <w:tcPr>
                  <w:tcW w:w="1010" w:type="dxa"/>
                  <w:vAlign w:val="center"/>
                </w:tcPr>
                <w:p>
                  <w:pPr>
                    <w:pStyle w:val="57"/>
                    <w:rPr>
                      <w:color w:val="auto"/>
                    </w:rPr>
                  </w:pPr>
                  <w:r>
                    <w:rPr>
                      <w:color w:val="auto"/>
                    </w:rPr>
                    <w:t>二类</w:t>
                  </w:r>
                </w:p>
              </w:tc>
              <w:tc>
                <w:tcPr>
                  <w:tcW w:w="613" w:type="dxa"/>
                  <w:noWrap/>
                  <w:vAlign w:val="center"/>
                </w:tcPr>
                <w:p>
                  <w:pPr>
                    <w:pStyle w:val="57"/>
                    <w:rPr>
                      <w:rFonts w:hint="eastAsia" w:eastAsia="宋体"/>
                      <w:color w:val="auto"/>
                      <w:lang w:val="en-US" w:eastAsia="zh-CN"/>
                    </w:rPr>
                  </w:pPr>
                  <w:r>
                    <w:rPr>
                      <w:rFonts w:hint="eastAsia"/>
                      <w:color w:val="auto"/>
                      <w:lang w:val="en-US" w:eastAsia="zh-CN"/>
                    </w:rPr>
                    <w:t>N</w:t>
                  </w:r>
                </w:p>
              </w:tc>
              <w:tc>
                <w:tcPr>
                  <w:tcW w:w="955" w:type="dxa"/>
                  <w:noWrap/>
                  <w:vAlign w:val="center"/>
                </w:tcPr>
                <w:p>
                  <w:pPr>
                    <w:pStyle w:val="57"/>
                    <w:rPr>
                      <w:rFonts w:hint="default" w:eastAsia="宋体"/>
                      <w:color w:val="auto"/>
                      <w:lang w:val="en-US" w:eastAsia="zh-CN"/>
                    </w:rPr>
                  </w:pPr>
                  <w:r>
                    <w:rPr>
                      <w:rFonts w:hint="eastAsia"/>
                      <w:color w:val="auto"/>
                      <w:lang w:val="en-US" w:eastAsia="zh-CN"/>
                    </w:rPr>
                    <w:t>370-500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dxa"/>
                  <w:vAlign w:val="center"/>
                </w:tcPr>
                <w:p>
                  <w:pPr>
                    <w:pStyle w:val="57"/>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地下水</w:t>
                  </w:r>
                </w:p>
              </w:tc>
              <w:tc>
                <w:tcPr>
                  <w:tcW w:w="7268" w:type="dxa"/>
                  <w:gridSpan w:val="7"/>
                  <w:noWrap/>
                  <w:vAlign w:val="center"/>
                </w:tcPr>
                <w:p>
                  <w:pPr>
                    <w:pStyle w:val="57"/>
                    <w:rPr>
                      <w:rFonts w:hint="eastAsia"/>
                      <w:color w:val="auto"/>
                      <w:lang w:val="en-US" w:eastAsia="zh-CN"/>
                    </w:rPr>
                  </w:pPr>
                  <w:r>
                    <w:rPr>
                      <w:rFonts w:hint="default"/>
                      <w:color w:val="auto"/>
                      <w:highlight w:val="none"/>
                      <w:lang w:eastAsia="zh-CN"/>
                    </w:rPr>
                    <w:t>厂界外500米范围内的无地下水集中式饮用水水源和热水、矿泉水、温泉等特殊地下水资源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dxa"/>
                  <w:vAlign w:val="center"/>
                </w:tcPr>
                <w:p>
                  <w:pPr>
                    <w:pStyle w:val="57"/>
                    <w:rPr>
                      <w:rFonts w:hint="default"/>
                      <w:color w:val="auto"/>
                      <w:lang w:val="en-US" w:eastAsia="zh-CN"/>
                    </w:rPr>
                  </w:pPr>
                  <w:r>
                    <w:rPr>
                      <w:rFonts w:hint="eastAsia"/>
                      <w:color w:val="auto"/>
                      <w:lang w:val="en-US" w:eastAsia="zh-CN"/>
                    </w:rPr>
                    <w:t>土壤</w:t>
                  </w:r>
                </w:p>
              </w:tc>
              <w:tc>
                <w:tcPr>
                  <w:tcW w:w="7268" w:type="dxa"/>
                  <w:gridSpan w:val="7"/>
                  <w:noWrap/>
                  <w:vAlign w:val="center"/>
                </w:tcPr>
                <w:p>
                  <w:pPr>
                    <w:pStyle w:val="57"/>
                    <w:rPr>
                      <w:rFonts w:hint="default"/>
                      <w:color w:val="auto"/>
                      <w:highlight w:val="none"/>
                      <w:lang w:val="en-US" w:eastAsia="zh-CN"/>
                    </w:rPr>
                  </w:pPr>
                  <w:r>
                    <w:rPr>
                      <w:rFonts w:hint="eastAsia"/>
                      <w:color w:val="auto"/>
                      <w:highlight w:val="none"/>
                      <w:lang w:val="en-US" w:eastAsia="zh-CN"/>
                    </w:rPr>
                    <w:t>厂界外50米范围内土壤环境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5" w:type="dxa"/>
                  <w:vAlign w:val="center"/>
                </w:tcPr>
                <w:p>
                  <w:pPr>
                    <w:pStyle w:val="57"/>
                    <w:spacing w:line="240" w:lineRule="auto"/>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生态</w:t>
                  </w:r>
                </w:p>
              </w:tc>
              <w:tc>
                <w:tcPr>
                  <w:tcW w:w="7268" w:type="dxa"/>
                  <w:gridSpan w:val="7"/>
                  <w:noWrap/>
                  <w:vAlign w:val="center"/>
                </w:tcPr>
                <w:p>
                  <w:pPr>
                    <w:pStyle w:val="57"/>
                    <w:spacing w:line="240" w:lineRule="auto"/>
                    <w:rPr>
                      <w:rFonts w:hint="eastAsia"/>
                      <w:color w:val="auto"/>
                      <w:lang w:val="en-US" w:eastAsia="zh-CN"/>
                    </w:rPr>
                  </w:pPr>
                  <w:r>
                    <w:rPr>
                      <w:rFonts w:hint="eastAsia"/>
                      <w:color w:val="auto"/>
                    </w:rPr>
                    <w:t>厂界外200m范围内野生植被；麻雀、野兔、蛇等爬行类动物</w:t>
                  </w:r>
                </w:p>
              </w:tc>
            </w:tr>
          </w:tbl>
          <w:p>
            <w:pPr>
              <w:pStyle w:val="60"/>
              <w:ind w:firstLine="0" w:firstLineChars="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00" w:type="dxa"/>
            <w:vMerge w:val="restart"/>
            <w:tcMar>
              <w:left w:w="28" w:type="dxa"/>
              <w:right w:w="28" w:type="dxa"/>
            </w:tcMar>
            <w:vAlign w:val="center"/>
          </w:tcPr>
          <w:p>
            <w:pPr>
              <w:adjustRightInd w:val="0"/>
              <w:snapToGrid w:val="0"/>
              <w:jc w:val="center"/>
              <w:rPr>
                <w:color w:val="000000"/>
                <w:kern w:val="0"/>
                <w:sz w:val="24"/>
              </w:rPr>
            </w:pPr>
            <w:r>
              <w:rPr>
                <w:color w:val="000000"/>
                <w:kern w:val="0"/>
                <w:sz w:val="24"/>
              </w:rPr>
              <w:t>评</w:t>
            </w:r>
          </w:p>
          <w:p>
            <w:pPr>
              <w:adjustRightInd w:val="0"/>
              <w:snapToGrid w:val="0"/>
              <w:jc w:val="center"/>
              <w:rPr>
                <w:color w:val="000000"/>
                <w:kern w:val="0"/>
                <w:sz w:val="24"/>
              </w:rPr>
            </w:pPr>
            <w:r>
              <w:rPr>
                <w:color w:val="000000"/>
                <w:kern w:val="0"/>
                <w:sz w:val="24"/>
              </w:rPr>
              <w:t>价</w:t>
            </w:r>
          </w:p>
          <w:p>
            <w:pPr>
              <w:adjustRightInd w:val="0"/>
              <w:snapToGrid w:val="0"/>
              <w:jc w:val="center"/>
              <w:rPr>
                <w:color w:val="000000"/>
                <w:kern w:val="0"/>
                <w:sz w:val="24"/>
              </w:rPr>
            </w:pPr>
            <w:r>
              <w:rPr>
                <w:color w:val="000000"/>
                <w:kern w:val="0"/>
                <w:sz w:val="24"/>
              </w:rPr>
              <w:t>标</w:t>
            </w:r>
          </w:p>
          <w:p>
            <w:pPr>
              <w:adjustRightInd w:val="0"/>
              <w:snapToGrid w:val="0"/>
              <w:jc w:val="center"/>
              <w:rPr>
                <w:color w:val="auto"/>
                <w:kern w:val="0"/>
                <w:szCs w:val="21"/>
              </w:rPr>
            </w:pPr>
            <w:r>
              <w:rPr>
                <w:color w:val="000000"/>
                <w:kern w:val="0"/>
                <w:sz w:val="24"/>
              </w:rPr>
              <w:t>准</w:t>
            </w:r>
          </w:p>
        </w:tc>
        <w:tc>
          <w:tcPr>
            <w:tcW w:w="8237" w:type="dxa"/>
          </w:tcPr>
          <w:p>
            <w:pPr>
              <w:spacing w:line="360" w:lineRule="auto"/>
              <w:rPr>
                <w:b/>
                <w:bCs/>
                <w:color w:val="000000"/>
                <w:kern w:val="0"/>
                <w:sz w:val="24"/>
              </w:rPr>
            </w:pPr>
            <w:r>
              <w:rPr>
                <w:rFonts w:hint="eastAsia"/>
                <w:b/>
                <w:bCs/>
                <w:color w:val="000000"/>
                <w:kern w:val="0"/>
                <w:sz w:val="24"/>
                <w:lang w:val="en-US" w:eastAsia="zh-CN"/>
              </w:rPr>
              <w:t>2.</w:t>
            </w:r>
            <w:r>
              <w:rPr>
                <w:b/>
                <w:bCs/>
                <w:color w:val="000000"/>
                <w:kern w:val="0"/>
                <w:sz w:val="24"/>
              </w:rPr>
              <w:t>质量标准</w:t>
            </w:r>
          </w:p>
          <w:p>
            <w:pPr>
              <w:spacing w:line="360" w:lineRule="auto"/>
              <w:ind w:firstLine="480" w:firstLineChars="200"/>
              <w:rPr>
                <w:color w:val="000000"/>
                <w:kern w:val="0"/>
                <w:sz w:val="24"/>
              </w:rPr>
            </w:pPr>
            <w:r>
              <w:rPr>
                <w:color w:val="000000"/>
                <w:kern w:val="0"/>
                <w:sz w:val="24"/>
              </w:rPr>
              <w:t>（1）环境空气质量标准</w:t>
            </w:r>
          </w:p>
          <w:p>
            <w:pPr>
              <w:spacing w:line="360" w:lineRule="auto"/>
              <w:ind w:firstLine="480" w:firstLineChars="200"/>
              <w:rPr>
                <w:color w:val="000000"/>
                <w:kern w:val="0"/>
                <w:sz w:val="24"/>
              </w:rPr>
            </w:pPr>
            <w:r>
              <w:rPr>
                <w:color w:val="000000"/>
                <w:kern w:val="0"/>
                <w:sz w:val="24"/>
              </w:rPr>
              <w:t>环境空气质量现状执行《环境空气质量标准》（GB3095-2012）中的二级标准；各项污染物浓度限值见</w:t>
            </w:r>
            <w:r>
              <w:rPr>
                <w:rFonts w:hint="eastAsia"/>
                <w:color w:val="000000"/>
                <w:kern w:val="0"/>
                <w:sz w:val="24"/>
                <w:lang w:val="en-US" w:eastAsia="zh-CN"/>
              </w:rPr>
              <w:t>下</w:t>
            </w:r>
            <w:r>
              <w:rPr>
                <w:color w:val="000000"/>
                <w:kern w:val="0"/>
                <w:sz w:val="24"/>
              </w:rPr>
              <w:t>表。</w:t>
            </w:r>
          </w:p>
          <w:p>
            <w:pPr>
              <w:adjustRightInd w:val="0"/>
              <w:snapToGrid w:val="0"/>
              <w:jc w:val="center"/>
              <w:rPr>
                <w:b/>
                <w:color w:val="000000"/>
                <w:szCs w:val="21"/>
              </w:rPr>
            </w:pPr>
            <w:r>
              <w:rPr>
                <w:b/>
                <w:color w:val="000000"/>
                <w:szCs w:val="21"/>
              </w:rPr>
              <w:t>表3-1</w:t>
            </w:r>
            <w:r>
              <w:rPr>
                <w:rFonts w:hint="eastAsia"/>
                <w:b/>
                <w:color w:val="000000"/>
                <w:szCs w:val="21"/>
                <w:lang w:val="en-US" w:eastAsia="zh-CN"/>
              </w:rPr>
              <w:t>4</w:t>
            </w:r>
            <w:r>
              <w:rPr>
                <w:b/>
                <w:color w:val="000000"/>
                <w:szCs w:val="21"/>
              </w:rPr>
              <w:t xml:space="preserve">   环境空气二级标准污染物浓度限值</w:t>
            </w:r>
          </w:p>
          <w:tbl>
            <w:tblPr>
              <w:tblStyle w:val="2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354"/>
              <w:gridCol w:w="2109"/>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noWrap w:val="0"/>
                  <w:vAlign w:val="center"/>
                </w:tcPr>
                <w:p>
                  <w:pPr>
                    <w:jc w:val="center"/>
                    <w:rPr>
                      <w:color w:val="auto"/>
                      <w:szCs w:val="21"/>
                    </w:rPr>
                  </w:pPr>
                  <w:r>
                    <w:rPr>
                      <w:color w:val="auto"/>
                      <w:szCs w:val="21"/>
                    </w:rPr>
                    <w:t>污染物</w:t>
                  </w:r>
                </w:p>
              </w:tc>
              <w:tc>
                <w:tcPr>
                  <w:tcW w:w="1462" w:type="pct"/>
                  <w:noWrap w:val="0"/>
                  <w:vAlign w:val="center"/>
                </w:tcPr>
                <w:p>
                  <w:pPr>
                    <w:jc w:val="center"/>
                    <w:rPr>
                      <w:color w:val="auto"/>
                      <w:szCs w:val="21"/>
                    </w:rPr>
                  </w:pPr>
                  <w:r>
                    <w:rPr>
                      <w:color w:val="auto"/>
                      <w:szCs w:val="21"/>
                    </w:rPr>
                    <w:t>取值时间</w:t>
                  </w:r>
                </w:p>
              </w:tc>
              <w:tc>
                <w:tcPr>
                  <w:tcW w:w="1310" w:type="pct"/>
                  <w:noWrap w:val="0"/>
                  <w:vAlign w:val="center"/>
                </w:tcPr>
                <w:p>
                  <w:pPr>
                    <w:jc w:val="center"/>
                    <w:rPr>
                      <w:color w:val="auto"/>
                      <w:szCs w:val="21"/>
                    </w:rPr>
                  </w:pPr>
                  <w:r>
                    <w:rPr>
                      <w:color w:val="auto"/>
                      <w:szCs w:val="21"/>
                    </w:rPr>
                    <w:t>浓度限值</w:t>
                  </w:r>
                </w:p>
              </w:tc>
              <w:tc>
                <w:tcPr>
                  <w:tcW w:w="924" w:type="pct"/>
                  <w:noWrap w:val="0"/>
                  <w:vAlign w:val="center"/>
                </w:tcPr>
                <w:p>
                  <w:pPr>
                    <w:jc w:val="center"/>
                    <w:rPr>
                      <w:color w:val="auto"/>
                      <w:szCs w:val="21"/>
                    </w:rPr>
                  </w:pPr>
                  <w:r>
                    <w:rPr>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noWrap w:val="0"/>
                  <w:vAlign w:val="center"/>
                </w:tcPr>
                <w:p>
                  <w:pPr>
                    <w:jc w:val="center"/>
                    <w:rPr>
                      <w:color w:val="auto"/>
                      <w:szCs w:val="21"/>
                    </w:rPr>
                  </w:pPr>
                  <w:r>
                    <w:rPr>
                      <w:color w:val="auto"/>
                      <w:szCs w:val="21"/>
                    </w:rPr>
                    <w:t>SO</w:t>
                  </w:r>
                  <w:r>
                    <w:rPr>
                      <w:color w:val="auto"/>
                      <w:szCs w:val="21"/>
                      <w:vertAlign w:val="subscript"/>
                    </w:rPr>
                    <w:t>2</w:t>
                  </w:r>
                </w:p>
              </w:tc>
              <w:tc>
                <w:tcPr>
                  <w:tcW w:w="1462" w:type="pct"/>
                  <w:noWrap w:val="0"/>
                  <w:vAlign w:val="center"/>
                </w:tcPr>
                <w:p>
                  <w:pPr>
                    <w:jc w:val="center"/>
                    <w:rPr>
                      <w:color w:val="auto"/>
                      <w:szCs w:val="21"/>
                    </w:rPr>
                  </w:pPr>
                  <w:r>
                    <w:rPr>
                      <w:color w:val="auto"/>
                      <w:szCs w:val="21"/>
                    </w:rPr>
                    <w:t>年平均</w:t>
                  </w:r>
                </w:p>
              </w:tc>
              <w:tc>
                <w:tcPr>
                  <w:tcW w:w="1310" w:type="pct"/>
                  <w:noWrap w:val="0"/>
                  <w:vAlign w:val="center"/>
                </w:tcPr>
                <w:p>
                  <w:pPr>
                    <w:jc w:val="center"/>
                    <w:rPr>
                      <w:color w:val="auto"/>
                      <w:szCs w:val="21"/>
                    </w:rPr>
                  </w:pPr>
                  <w:r>
                    <w:rPr>
                      <w:color w:val="auto"/>
                      <w:szCs w:val="21"/>
                    </w:rPr>
                    <w:t>60</w:t>
                  </w:r>
                </w:p>
              </w:tc>
              <w:tc>
                <w:tcPr>
                  <w:tcW w:w="924" w:type="pct"/>
                  <w:vMerge w:val="restart"/>
                  <w:noWrap w:val="0"/>
                  <w:vAlign w:val="center"/>
                </w:tcPr>
                <w:p>
                  <w:pPr>
                    <w:jc w:val="center"/>
                    <w:rPr>
                      <w:color w:val="auto"/>
                      <w:szCs w:val="21"/>
                    </w:rPr>
                  </w:pPr>
                  <w:r>
                    <w:rPr>
                      <w:color w:val="auto"/>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noWrap w:val="0"/>
                  <w:vAlign w:val="center"/>
                </w:tcPr>
                <w:p>
                  <w:pPr>
                    <w:jc w:val="center"/>
                    <w:rPr>
                      <w:color w:val="auto"/>
                      <w:szCs w:val="21"/>
                    </w:rPr>
                  </w:pPr>
                </w:p>
              </w:tc>
              <w:tc>
                <w:tcPr>
                  <w:tcW w:w="1462" w:type="pct"/>
                  <w:noWrap w:val="0"/>
                  <w:vAlign w:val="center"/>
                </w:tcPr>
                <w:p>
                  <w:pPr>
                    <w:jc w:val="center"/>
                    <w:rPr>
                      <w:color w:val="auto"/>
                      <w:szCs w:val="21"/>
                    </w:rPr>
                  </w:pPr>
                  <w:r>
                    <w:rPr>
                      <w:color w:val="auto"/>
                      <w:szCs w:val="21"/>
                    </w:rPr>
                    <w:t>24小时平均</w:t>
                  </w:r>
                </w:p>
              </w:tc>
              <w:tc>
                <w:tcPr>
                  <w:tcW w:w="1310" w:type="pct"/>
                  <w:noWrap w:val="0"/>
                  <w:vAlign w:val="center"/>
                </w:tcPr>
                <w:p>
                  <w:pPr>
                    <w:jc w:val="center"/>
                    <w:rPr>
                      <w:color w:val="auto"/>
                      <w:szCs w:val="21"/>
                    </w:rPr>
                  </w:pPr>
                  <w:r>
                    <w:rPr>
                      <w:color w:val="auto"/>
                      <w:szCs w:val="21"/>
                    </w:rPr>
                    <w:t>150</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noWrap w:val="0"/>
                  <w:vAlign w:val="center"/>
                </w:tcPr>
                <w:p>
                  <w:pPr>
                    <w:jc w:val="center"/>
                    <w:rPr>
                      <w:color w:val="auto"/>
                      <w:szCs w:val="21"/>
                    </w:rPr>
                  </w:pPr>
                </w:p>
              </w:tc>
              <w:tc>
                <w:tcPr>
                  <w:tcW w:w="1462" w:type="pct"/>
                  <w:noWrap w:val="0"/>
                  <w:vAlign w:val="center"/>
                </w:tcPr>
                <w:p>
                  <w:pPr>
                    <w:jc w:val="center"/>
                    <w:rPr>
                      <w:color w:val="auto"/>
                      <w:szCs w:val="21"/>
                    </w:rPr>
                  </w:pPr>
                  <w:r>
                    <w:rPr>
                      <w:color w:val="auto"/>
                      <w:szCs w:val="21"/>
                    </w:rPr>
                    <w:t>1小时平均</w:t>
                  </w:r>
                </w:p>
              </w:tc>
              <w:tc>
                <w:tcPr>
                  <w:tcW w:w="1310" w:type="pct"/>
                  <w:noWrap w:val="0"/>
                  <w:vAlign w:val="center"/>
                </w:tcPr>
                <w:p>
                  <w:pPr>
                    <w:jc w:val="center"/>
                    <w:rPr>
                      <w:color w:val="auto"/>
                      <w:szCs w:val="21"/>
                    </w:rPr>
                  </w:pPr>
                  <w:r>
                    <w:rPr>
                      <w:color w:val="auto"/>
                      <w:szCs w:val="21"/>
                    </w:rPr>
                    <w:t>500</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noWrap w:val="0"/>
                  <w:vAlign w:val="center"/>
                </w:tcPr>
                <w:p>
                  <w:pPr>
                    <w:jc w:val="center"/>
                    <w:rPr>
                      <w:color w:val="auto"/>
                      <w:szCs w:val="21"/>
                    </w:rPr>
                  </w:pPr>
                  <w:r>
                    <w:rPr>
                      <w:color w:val="auto"/>
                      <w:szCs w:val="21"/>
                    </w:rPr>
                    <w:t>PM</w:t>
                  </w:r>
                  <w:r>
                    <w:rPr>
                      <w:color w:val="auto"/>
                      <w:szCs w:val="21"/>
                      <w:vertAlign w:val="subscript"/>
                    </w:rPr>
                    <w:t>10</w:t>
                  </w:r>
                </w:p>
              </w:tc>
              <w:tc>
                <w:tcPr>
                  <w:tcW w:w="1462" w:type="pct"/>
                  <w:noWrap w:val="0"/>
                  <w:vAlign w:val="center"/>
                </w:tcPr>
                <w:p>
                  <w:pPr>
                    <w:jc w:val="center"/>
                    <w:rPr>
                      <w:color w:val="auto"/>
                      <w:szCs w:val="21"/>
                    </w:rPr>
                  </w:pPr>
                  <w:r>
                    <w:rPr>
                      <w:color w:val="auto"/>
                      <w:szCs w:val="21"/>
                    </w:rPr>
                    <w:t>年平均</w:t>
                  </w:r>
                </w:p>
              </w:tc>
              <w:tc>
                <w:tcPr>
                  <w:tcW w:w="1310" w:type="pct"/>
                  <w:noWrap w:val="0"/>
                  <w:vAlign w:val="center"/>
                </w:tcPr>
                <w:p>
                  <w:pPr>
                    <w:jc w:val="center"/>
                    <w:rPr>
                      <w:color w:val="auto"/>
                      <w:szCs w:val="21"/>
                    </w:rPr>
                  </w:pPr>
                  <w:r>
                    <w:rPr>
                      <w:color w:val="auto"/>
                      <w:szCs w:val="21"/>
                    </w:rPr>
                    <w:t>70</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noWrap w:val="0"/>
                  <w:vAlign w:val="center"/>
                </w:tcPr>
                <w:p>
                  <w:pPr>
                    <w:jc w:val="center"/>
                    <w:rPr>
                      <w:color w:val="auto"/>
                      <w:szCs w:val="21"/>
                    </w:rPr>
                  </w:pPr>
                  <w:r>
                    <w:rPr>
                      <w:color w:val="auto"/>
                      <w:szCs w:val="21"/>
                    </w:rPr>
                    <w:t xml:space="preserve">  </w:t>
                  </w:r>
                </w:p>
              </w:tc>
              <w:tc>
                <w:tcPr>
                  <w:tcW w:w="1462" w:type="pct"/>
                  <w:noWrap w:val="0"/>
                  <w:vAlign w:val="center"/>
                </w:tcPr>
                <w:p>
                  <w:pPr>
                    <w:jc w:val="center"/>
                    <w:rPr>
                      <w:color w:val="auto"/>
                      <w:szCs w:val="21"/>
                    </w:rPr>
                  </w:pPr>
                  <w:r>
                    <w:rPr>
                      <w:color w:val="auto"/>
                      <w:szCs w:val="21"/>
                    </w:rPr>
                    <w:t>24小时平均</w:t>
                  </w:r>
                </w:p>
              </w:tc>
              <w:tc>
                <w:tcPr>
                  <w:tcW w:w="1310" w:type="pct"/>
                  <w:noWrap w:val="0"/>
                  <w:vAlign w:val="center"/>
                </w:tcPr>
                <w:p>
                  <w:pPr>
                    <w:jc w:val="center"/>
                    <w:rPr>
                      <w:color w:val="auto"/>
                      <w:szCs w:val="21"/>
                    </w:rPr>
                  </w:pPr>
                  <w:r>
                    <w:rPr>
                      <w:color w:val="auto"/>
                      <w:szCs w:val="21"/>
                    </w:rPr>
                    <w:t>150</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noWrap w:val="0"/>
                  <w:vAlign w:val="center"/>
                </w:tcPr>
                <w:p>
                  <w:pPr>
                    <w:jc w:val="center"/>
                    <w:rPr>
                      <w:color w:val="auto"/>
                      <w:szCs w:val="21"/>
                    </w:rPr>
                  </w:pPr>
                  <w:r>
                    <w:rPr>
                      <w:color w:val="auto"/>
                      <w:szCs w:val="21"/>
                    </w:rPr>
                    <w:t>PM</w:t>
                  </w:r>
                  <w:r>
                    <w:rPr>
                      <w:color w:val="auto"/>
                      <w:szCs w:val="21"/>
                      <w:vertAlign w:val="subscript"/>
                    </w:rPr>
                    <w:t>2.5</w:t>
                  </w:r>
                </w:p>
              </w:tc>
              <w:tc>
                <w:tcPr>
                  <w:tcW w:w="1462" w:type="pct"/>
                  <w:noWrap w:val="0"/>
                  <w:vAlign w:val="center"/>
                </w:tcPr>
                <w:p>
                  <w:pPr>
                    <w:jc w:val="center"/>
                    <w:rPr>
                      <w:color w:val="auto"/>
                      <w:szCs w:val="21"/>
                    </w:rPr>
                  </w:pPr>
                  <w:r>
                    <w:rPr>
                      <w:color w:val="auto"/>
                      <w:szCs w:val="21"/>
                    </w:rPr>
                    <w:t>年平均</w:t>
                  </w:r>
                </w:p>
              </w:tc>
              <w:tc>
                <w:tcPr>
                  <w:tcW w:w="1310" w:type="pct"/>
                  <w:noWrap w:val="0"/>
                  <w:vAlign w:val="center"/>
                </w:tcPr>
                <w:p>
                  <w:pPr>
                    <w:jc w:val="center"/>
                    <w:rPr>
                      <w:color w:val="auto"/>
                      <w:szCs w:val="21"/>
                    </w:rPr>
                  </w:pPr>
                  <w:r>
                    <w:rPr>
                      <w:color w:val="auto"/>
                      <w:szCs w:val="21"/>
                    </w:rPr>
                    <w:t>35</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noWrap w:val="0"/>
                  <w:vAlign w:val="center"/>
                </w:tcPr>
                <w:p>
                  <w:pPr>
                    <w:jc w:val="center"/>
                    <w:rPr>
                      <w:color w:val="auto"/>
                      <w:szCs w:val="21"/>
                    </w:rPr>
                  </w:pPr>
                </w:p>
              </w:tc>
              <w:tc>
                <w:tcPr>
                  <w:tcW w:w="1462" w:type="pct"/>
                  <w:noWrap w:val="0"/>
                  <w:vAlign w:val="center"/>
                </w:tcPr>
                <w:p>
                  <w:pPr>
                    <w:jc w:val="center"/>
                    <w:rPr>
                      <w:color w:val="auto"/>
                      <w:szCs w:val="21"/>
                    </w:rPr>
                  </w:pPr>
                  <w:r>
                    <w:rPr>
                      <w:color w:val="auto"/>
                      <w:szCs w:val="21"/>
                    </w:rPr>
                    <w:t>24小时平均</w:t>
                  </w:r>
                </w:p>
              </w:tc>
              <w:tc>
                <w:tcPr>
                  <w:tcW w:w="1310" w:type="pct"/>
                  <w:noWrap w:val="0"/>
                  <w:vAlign w:val="center"/>
                </w:tcPr>
                <w:p>
                  <w:pPr>
                    <w:jc w:val="center"/>
                    <w:rPr>
                      <w:color w:val="auto"/>
                      <w:szCs w:val="21"/>
                    </w:rPr>
                  </w:pPr>
                  <w:r>
                    <w:rPr>
                      <w:color w:val="auto"/>
                      <w:szCs w:val="21"/>
                    </w:rPr>
                    <w:t>75</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noWrap w:val="0"/>
                  <w:vAlign w:val="center"/>
                </w:tcPr>
                <w:p>
                  <w:pPr>
                    <w:jc w:val="center"/>
                    <w:rPr>
                      <w:color w:val="auto"/>
                      <w:szCs w:val="21"/>
                    </w:rPr>
                  </w:pPr>
                  <w:r>
                    <w:rPr>
                      <w:color w:val="auto"/>
                      <w:szCs w:val="21"/>
                    </w:rPr>
                    <w:t>NO</w:t>
                  </w:r>
                  <w:r>
                    <w:rPr>
                      <w:color w:val="auto"/>
                      <w:szCs w:val="21"/>
                      <w:vertAlign w:val="subscript"/>
                    </w:rPr>
                    <w:t>2</w:t>
                  </w:r>
                </w:p>
              </w:tc>
              <w:tc>
                <w:tcPr>
                  <w:tcW w:w="1462" w:type="pct"/>
                  <w:noWrap w:val="0"/>
                  <w:vAlign w:val="center"/>
                </w:tcPr>
                <w:p>
                  <w:pPr>
                    <w:jc w:val="center"/>
                    <w:rPr>
                      <w:color w:val="auto"/>
                      <w:szCs w:val="21"/>
                    </w:rPr>
                  </w:pPr>
                  <w:r>
                    <w:rPr>
                      <w:color w:val="auto"/>
                      <w:szCs w:val="21"/>
                    </w:rPr>
                    <w:t>年平均</w:t>
                  </w:r>
                </w:p>
              </w:tc>
              <w:tc>
                <w:tcPr>
                  <w:tcW w:w="1310" w:type="pct"/>
                  <w:noWrap w:val="0"/>
                  <w:vAlign w:val="center"/>
                </w:tcPr>
                <w:p>
                  <w:pPr>
                    <w:jc w:val="center"/>
                    <w:rPr>
                      <w:color w:val="auto"/>
                      <w:szCs w:val="21"/>
                    </w:rPr>
                  </w:pPr>
                  <w:r>
                    <w:rPr>
                      <w:color w:val="auto"/>
                      <w:szCs w:val="21"/>
                    </w:rPr>
                    <w:t>40</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noWrap w:val="0"/>
                  <w:vAlign w:val="center"/>
                </w:tcPr>
                <w:p>
                  <w:pPr>
                    <w:jc w:val="center"/>
                    <w:rPr>
                      <w:color w:val="auto"/>
                      <w:szCs w:val="21"/>
                    </w:rPr>
                  </w:pPr>
                </w:p>
              </w:tc>
              <w:tc>
                <w:tcPr>
                  <w:tcW w:w="1462" w:type="pct"/>
                  <w:noWrap w:val="0"/>
                  <w:vAlign w:val="center"/>
                </w:tcPr>
                <w:p>
                  <w:pPr>
                    <w:jc w:val="center"/>
                    <w:rPr>
                      <w:color w:val="auto"/>
                      <w:szCs w:val="21"/>
                    </w:rPr>
                  </w:pPr>
                  <w:r>
                    <w:rPr>
                      <w:color w:val="auto"/>
                      <w:szCs w:val="21"/>
                    </w:rPr>
                    <w:t>24小时平均</w:t>
                  </w:r>
                </w:p>
              </w:tc>
              <w:tc>
                <w:tcPr>
                  <w:tcW w:w="1310" w:type="pct"/>
                  <w:noWrap w:val="0"/>
                  <w:vAlign w:val="center"/>
                </w:tcPr>
                <w:p>
                  <w:pPr>
                    <w:jc w:val="center"/>
                    <w:rPr>
                      <w:color w:val="auto"/>
                      <w:szCs w:val="21"/>
                    </w:rPr>
                  </w:pPr>
                  <w:r>
                    <w:rPr>
                      <w:color w:val="auto"/>
                      <w:szCs w:val="21"/>
                    </w:rPr>
                    <w:t>80</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jc w:val="center"/>
              </w:trPr>
              <w:tc>
                <w:tcPr>
                  <w:tcW w:w="1304" w:type="pct"/>
                  <w:vMerge w:val="continue"/>
                  <w:noWrap w:val="0"/>
                  <w:vAlign w:val="center"/>
                </w:tcPr>
                <w:p>
                  <w:pPr>
                    <w:jc w:val="center"/>
                    <w:rPr>
                      <w:color w:val="auto"/>
                      <w:szCs w:val="21"/>
                    </w:rPr>
                  </w:pPr>
                </w:p>
              </w:tc>
              <w:tc>
                <w:tcPr>
                  <w:tcW w:w="1462" w:type="pct"/>
                  <w:noWrap w:val="0"/>
                  <w:vAlign w:val="center"/>
                </w:tcPr>
                <w:p>
                  <w:pPr>
                    <w:jc w:val="center"/>
                    <w:rPr>
                      <w:color w:val="auto"/>
                      <w:szCs w:val="21"/>
                    </w:rPr>
                  </w:pPr>
                  <w:r>
                    <w:rPr>
                      <w:color w:val="auto"/>
                      <w:szCs w:val="21"/>
                    </w:rPr>
                    <w:t>1小时平均</w:t>
                  </w:r>
                </w:p>
              </w:tc>
              <w:tc>
                <w:tcPr>
                  <w:tcW w:w="1310" w:type="pct"/>
                  <w:noWrap w:val="0"/>
                  <w:vAlign w:val="center"/>
                </w:tcPr>
                <w:p>
                  <w:pPr>
                    <w:jc w:val="center"/>
                    <w:rPr>
                      <w:color w:val="auto"/>
                      <w:szCs w:val="21"/>
                    </w:rPr>
                  </w:pPr>
                  <w:r>
                    <w:rPr>
                      <w:color w:val="auto"/>
                      <w:szCs w:val="21"/>
                    </w:rPr>
                    <w:t>200</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noWrap w:val="0"/>
                  <w:vAlign w:val="center"/>
                </w:tcPr>
                <w:p>
                  <w:pPr>
                    <w:jc w:val="center"/>
                    <w:rPr>
                      <w:color w:val="auto"/>
                      <w:szCs w:val="21"/>
                    </w:rPr>
                  </w:pPr>
                  <w:r>
                    <w:rPr>
                      <w:color w:val="auto"/>
                      <w:szCs w:val="21"/>
                    </w:rPr>
                    <w:t>O</w:t>
                  </w:r>
                  <w:r>
                    <w:rPr>
                      <w:color w:val="auto"/>
                      <w:szCs w:val="21"/>
                      <w:vertAlign w:val="subscript"/>
                    </w:rPr>
                    <w:t>3</w:t>
                  </w:r>
                </w:p>
              </w:tc>
              <w:tc>
                <w:tcPr>
                  <w:tcW w:w="1462" w:type="pct"/>
                  <w:noWrap w:val="0"/>
                  <w:vAlign w:val="center"/>
                </w:tcPr>
                <w:p>
                  <w:pPr>
                    <w:jc w:val="center"/>
                    <w:rPr>
                      <w:color w:val="auto"/>
                      <w:szCs w:val="21"/>
                    </w:rPr>
                  </w:pPr>
                  <w:r>
                    <w:rPr>
                      <w:color w:val="auto"/>
                      <w:szCs w:val="21"/>
                    </w:rPr>
                    <w:t>1小时平均</w:t>
                  </w:r>
                </w:p>
              </w:tc>
              <w:tc>
                <w:tcPr>
                  <w:tcW w:w="1310" w:type="pct"/>
                  <w:noWrap w:val="0"/>
                  <w:vAlign w:val="center"/>
                </w:tcPr>
                <w:p>
                  <w:pPr>
                    <w:jc w:val="center"/>
                    <w:rPr>
                      <w:color w:val="auto"/>
                      <w:szCs w:val="21"/>
                    </w:rPr>
                  </w:pPr>
                  <w:r>
                    <w:rPr>
                      <w:color w:val="auto"/>
                      <w:szCs w:val="21"/>
                    </w:rPr>
                    <w:t>200</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jc w:val="center"/>
              </w:trPr>
              <w:tc>
                <w:tcPr>
                  <w:tcW w:w="1304" w:type="pct"/>
                  <w:vMerge w:val="continue"/>
                  <w:noWrap w:val="0"/>
                  <w:vAlign w:val="center"/>
                </w:tcPr>
                <w:p>
                  <w:pPr>
                    <w:jc w:val="center"/>
                    <w:rPr>
                      <w:color w:val="auto"/>
                      <w:szCs w:val="21"/>
                    </w:rPr>
                  </w:pPr>
                </w:p>
              </w:tc>
              <w:tc>
                <w:tcPr>
                  <w:tcW w:w="1462" w:type="pct"/>
                  <w:noWrap w:val="0"/>
                  <w:vAlign w:val="center"/>
                </w:tcPr>
                <w:p>
                  <w:pPr>
                    <w:jc w:val="center"/>
                    <w:rPr>
                      <w:color w:val="auto"/>
                      <w:szCs w:val="21"/>
                    </w:rPr>
                  </w:pPr>
                  <w:r>
                    <w:rPr>
                      <w:color w:val="auto"/>
                      <w:szCs w:val="21"/>
                    </w:rPr>
                    <w:t>24小时平均</w:t>
                  </w:r>
                </w:p>
              </w:tc>
              <w:tc>
                <w:tcPr>
                  <w:tcW w:w="1310" w:type="pct"/>
                  <w:noWrap w:val="0"/>
                  <w:vAlign w:val="center"/>
                </w:tcPr>
                <w:p>
                  <w:pPr>
                    <w:jc w:val="center"/>
                    <w:rPr>
                      <w:color w:val="auto"/>
                      <w:szCs w:val="21"/>
                    </w:rPr>
                  </w:pPr>
                  <w:r>
                    <w:rPr>
                      <w:color w:val="auto"/>
                      <w:szCs w:val="21"/>
                    </w:rPr>
                    <w:t>160（8h）</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noWrap w:val="0"/>
                  <w:vAlign w:val="center"/>
                </w:tcPr>
                <w:p>
                  <w:pPr>
                    <w:jc w:val="center"/>
                    <w:rPr>
                      <w:color w:val="auto"/>
                      <w:szCs w:val="21"/>
                    </w:rPr>
                  </w:pPr>
                  <w:r>
                    <w:rPr>
                      <w:color w:val="auto"/>
                      <w:szCs w:val="21"/>
                    </w:rPr>
                    <w:t>CO</w:t>
                  </w:r>
                </w:p>
              </w:tc>
              <w:tc>
                <w:tcPr>
                  <w:tcW w:w="1462" w:type="pct"/>
                  <w:noWrap w:val="0"/>
                  <w:vAlign w:val="center"/>
                </w:tcPr>
                <w:p>
                  <w:pPr>
                    <w:jc w:val="center"/>
                    <w:rPr>
                      <w:color w:val="auto"/>
                      <w:szCs w:val="21"/>
                    </w:rPr>
                  </w:pPr>
                  <w:r>
                    <w:rPr>
                      <w:color w:val="auto"/>
                      <w:szCs w:val="21"/>
                    </w:rPr>
                    <w:t>1小时平均</w:t>
                  </w:r>
                </w:p>
              </w:tc>
              <w:tc>
                <w:tcPr>
                  <w:tcW w:w="1310" w:type="pct"/>
                  <w:noWrap w:val="0"/>
                  <w:vAlign w:val="center"/>
                </w:tcPr>
                <w:p>
                  <w:pPr>
                    <w:jc w:val="center"/>
                    <w:rPr>
                      <w:color w:val="auto"/>
                      <w:szCs w:val="21"/>
                    </w:rPr>
                  </w:pPr>
                  <w:r>
                    <w:rPr>
                      <w:color w:val="auto"/>
                      <w:szCs w:val="21"/>
                    </w:rPr>
                    <w:t>10</w:t>
                  </w:r>
                </w:p>
              </w:tc>
              <w:tc>
                <w:tcPr>
                  <w:tcW w:w="924" w:type="pct"/>
                  <w:vMerge w:val="restart"/>
                  <w:noWrap w:val="0"/>
                  <w:vAlign w:val="center"/>
                </w:tcPr>
                <w:p>
                  <w:pPr>
                    <w:jc w:val="center"/>
                    <w:rPr>
                      <w:color w:val="auto"/>
                      <w:szCs w:val="21"/>
                    </w:rPr>
                  </w:pPr>
                  <w:r>
                    <w:rPr>
                      <w:color w:val="auto"/>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304" w:type="pct"/>
                  <w:vMerge w:val="continue"/>
                  <w:noWrap w:val="0"/>
                  <w:vAlign w:val="center"/>
                </w:tcPr>
                <w:p>
                  <w:pPr>
                    <w:jc w:val="center"/>
                    <w:rPr>
                      <w:color w:val="auto"/>
                      <w:szCs w:val="21"/>
                    </w:rPr>
                  </w:pPr>
                </w:p>
              </w:tc>
              <w:tc>
                <w:tcPr>
                  <w:tcW w:w="1462" w:type="pct"/>
                  <w:noWrap w:val="0"/>
                  <w:vAlign w:val="center"/>
                </w:tcPr>
                <w:p>
                  <w:pPr>
                    <w:jc w:val="center"/>
                    <w:rPr>
                      <w:color w:val="auto"/>
                      <w:szCs w:val="21"/>
                    </w:rPr>
                  </w:pPr>
                  <w:r>
                    <w:rPr>
                      <w:color w:val="auto"/>
                      <w:szCs w:val="21"/>
                    </w:rPr>
                    <w:t>24小时平均</w:t>
                  </w:r>
                </w:p>
              </w:tc>
              <w:tc>
                <w:tcPr>
                  <w:tcW w:w="1310" w:type="pct"/>
                  <w:noWrap w:val="0"/>
                  <w:vAlign w:val="center"/>
                </w:tcPr>
                <w:p>
                  <w:pPr>
                    <w:jc w:val="center"/>
                    <w:rPr>
                      <w:color w:val="auto"/>
                      <w:szCs w:val="21"/>
                    </w:rPr>
                  </w:pPr>
                  <w:r>
                    <w:rPr>
                      <w:color w:val="auto"/>
                      <w:szCs w:val="21"/>
                    </w:rPr>
                    <w:t>4</w:t>
                  </w:r>
                </w:p>
              </w:tc>
              <w:tc>
                <w:tcPr>
                  <w:tcW w:w="924"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304" w:type="pct"/>
                  <w:vMerge w:val="restart"/>
                  <w:noWrap w:val="0"/>
                  <w:vAlign w:val="center"/>
                </w:tcPr>
                <w:p>
                  <w:pPr>
                    <w:jc w:val="center"/>
                    <w:rPr>
                      <w:color w:val="auto"/>
                      <w:szCs w:val="21"/>
                    </w:rPr>
                  </w:pPr>
                  <w:r>
                    <w:rPr>
                      <w:color w:val="auto"/>
                      <w:szCs w:val="21"/>
                    </w:rPr>
                    <w:t>氟化物</w:t>
                  </w:r>
                </w:p>
              </w:tc>
              <w:tc>
                <w:tcPr>
                  <w:tcW w:w="1462" w:type="pct"/>
                  <w:noWrap w:val="0"/>
                  <w:vAlign w:val="center"/>
                </w:tcPr>
                <w:p>
                  <w:pPr>
                    <w:jc w:val="center"/>
                    <w:rPr>
                      <w:color w:val="auto"/>
                      <w:szCs w:val="21"/>
                    </w:rPr>
                  </w:pPr>
                  <w:r>
                    <w:rPr>
                      <w:color w:val="auto"/>
                      <w:szCs w:val="21"/>
                    </w:rPr>
                    <w:t>月均值</w:t>
                  </w:r>
                </w:p>
              </w:tc>
              <w:tc>
                <w:tcPr>
                  <w:tcW w:w="1310" w:type="pct"/>
                  <w:noWrap w:val="0"/>
                  <w:vAlign w:val="center"/>
                </w:tcPr>
                <w:p>
                  <w:pPr>
                    <w:jc w:val="center"/>
                    <w:rPr>
                      <w:color w:val="auto"/>
                      <w:szCs w:val="21"/>
                    </w:rPr>
                  </w:pPr>
                  <w:r>
                    <w:rPr>
                      <w:color w:val="auto"/>
                      <w:szCs w:val="21"/>
                    </w:rPr>
                    <w:t>3.0</w:t>
                  </w:r>
                </w:p>
              </w:tc>
              <w:tc>
                <w:tcPr>
                  <w:tcW w:w="924" w:type="pct"/>
                  <w:vMerge w:val="restart"/>
                  <w:noWrap w:val="0"/>
                  <w:vAlign w:val="center"/>
                </w:tcPr>
                <w:p>
                  <w:pPr>
                    <w:jc w:val="center"/>
                    <w:rPr>
                      <w:color w:val="auto"/>
                      <w:szCs w:val="21"/>
                    </w:rPr>
                  </w:pPr>
                  <w:r>
                    <w:rPr>
                      <w:color w:val="auto"/>
                      <w:szCs w:val="21"/>
                    </w:rPr>
                    <w:t>ug/（dm</w:t>
                  </w:r>
                  <w:r>
                    <w:rPr>
                      <w:color w:val="auto"/>
                      <w:szCs w:val="21"/>
                      <w:vertAlign w:val="superscript"/>
                    </w:rPr>
                    <w:t>2</w:t>
                  </w:r>
                  <w:r>
                    <w:rPr>
                      <w:color w:val="auto"/>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304" w:type="pct"/>
                  <w:vMerge w:val="continue"/>
                  <w:noWrap w:val="0"/>
                  <w:vAlign w:val="center"/>
                </w:tcPr>
                <w:p>
                  <w:pPr>
                    <w:jc w:val="center"/>
                    <w:rPr>
                      <w:color w:val="auto"/>
                      <w:szCs w:val="21"/>
                    </w:rPr>
                  </w:pPr>
                </w:p>
              </w:tc>
              <w:tc>
                <w:tcPr>
                  <w:tcW w:w="1462" w:type="pct"/>
                  <w:noWrap w:val="0"/>
                  <w:vAlign w:val="center"/>
                </w:tcPr>
                <w:p>
                  <w:pPr>
                    <w:jc w:val="center"/>
                    <w:rPr>
                      <w:color w:val="auto"/>
                      <w:szCs w:val="21"/>
                    </w:rPr>
                  </w:pPr>
                  <w:r>
                    <w:rPr>
                      <w:color w:val="auto"/>
                      <w:szCs w:val="21"/>
                    </w:rPr>
                    <w:t>植物生长季平均</w:t>
                  </w:r>
                </w:p>
              </w:tc>
              <w:tc>
                <w:tcPr>
                  <w:tcW w:w="1310" w:type="pct"/>
                  <w:noWrap w:val="0"/>
                  <w:vAlign w:val="center"/>
                </w:tcPr>
                <w:p>
                  <w:pPr>
                    <w:jc w:val="center"/>
                    <w:rPr>
                      <w:color w:val="auto"/>
                      <w:szCs w:val="21"/>
                    </w:rPr>
                  </w:pPr>
                  <w:r>
                    <w:rPr>
                      <w:color w:val="auto"/>
                      <w:szCs w:val="21"/>
                    </w:rPr>
                    <w:t>2.0</w:t>
                  </w:r>
                </w:p>
              </w:tc>
              <w:tc>
                <w:tcPr>
                  <w:tcW w:w="924" w:type="pct"/>
                  <w:vMerge w:val="continue"/>
                  <w:noWrap w:val="0"/>
                  <w:vAlign w:val="center"/>
                </w:tcPr>
                <w:p>
                  <w:pPr>
                    <w:jc w:val="center"/>
                    <w:rPr>
                      <w:color w:val="auto"/>
                      <w:szCs w:val="21"/>
                    </w:rPr>
                  </w:pPr>
                </w:p>
              </w:tc>
            </w:tr>
          </w:tbl>
          <w:p>
            <w:pPr>
              <w:spacing w:line="360" w:lineRule="auto"/>
              <w:ind w:firstLine="480" w:firstLineChars="200"/>
              <w:rPr>
                <w:color w:val="000000"/>
                <w:kern w:val="0"/>
                <w:sz w:val="24"/>
              </w:rPr>
            </w:pPr>
            <w:r>
              <w:rPr>
                <w:color w:val="000000"/>
                <w:kern w:val="0"/>
                <w:sz w:val="24"/>
              </w:rPr>
              <w:t>（2）水质评价标准</w:t>
            </w:r>
          </w:p>
          <w:p>
            <w:pPr>
              <w:spacing w:line="360" w:lineRule="auto"/>
              <w:ind w:firstLine="480" w:firstLineChars="200"/>
              <w:rPr>
                <w:color w:val="000000"/>
                <w:kern w:val="0"/>
                <w:sz w:val="24"/>
              </w:rPr>
            </w:pPr>
            <w:r>
              <w:rPr>
                <w:color w:val="000000"/>
                <w:kern w:val="0"/>
                <w:sz w:val="24"/>
              </w:rPr>
              <w:t>1）拟建地项目地表水环境质量评价执行《地表水环境质量标准》（GB3838-2002）</w:t>
            </w:r>
            <w:r>
              <w:rPr>
                <w:color w:val="000000"/>
                <w:sz w:val="24"/>
              </w:rPr>
              <w:fldChar w:fldCharType="begin"/>
            </w:r>
            <w:r>
              <w:rPr>
                <w:color w:val="000000"/>
                <w:sz w:val="24"/>
              </w:rPr>
              <w:instrText xml:space="preserve"> = 4 \* ROMAN \* MERGEFORMAT </w:instrText>
            </w:r>
            <w:r>
              <w:rPr>
                <w:color w:val="000000"/>
                <w:sz w:val="24"/>
              </w:rPr>
              <w:fldChar w:fldCharType="separate"/>
            </w:r>
            <w:r>
              <w:rPr>
                <w:color w:val="000000"/>
              </w:rPr>
              <w:t>IV</w:t>
            </w:r>
            <w:r>
              <w:rPr>
                <w:color w:val="000000"/>
                <w:sz w:val="24"/>
              </w:rPr>
              <w:fldChar w:fldCharType="end"/>
            </w:r>
            <w:r>
              <w:rPr>
                <w:color w:val="000000"/>
                <w:kern w:val="0"/>
                <w:sz w:val="24"/>
              </w:rPr>
              <w:t>类，具体标准限值见下表。</w:t>
            </w:r>
          </w:p>
          <w:p>
            <w:pPr>
              <w:adjustRightInd w:val="0"/>
              <w:snapToGrid w:val="0"/>
              <w:jc w:val="center"/>
              <w:rPr>
                <w:b/>
                <w:color w:val="000000"/>
                <w:szCs w:val="21"/>
              </w:rPr>
            </w:pPr>
            <w:r>
              <w:rPr>
                <w:b/>
                <w:color w:val="000000"/>
                <w:szCs w:val="21"/>
              </w:rPr>
              <w:t xml:space="preserve">  表3-1</w:t>
            </w:r>
            <w:r>
              <w:rPr>
                <w:rFonts w:hint="eastAsia"/>
                <w:b/>
                <w:color w:val="000000"/>
                <w:szCs w:val="21"/>
                <w:lang w:val="en-US" w:eastAsia="zh-CN"/>
              </w:rPr>
              <w:t>5</w:t>
            </w:r>
            <w:r>
              <w:rPr>
                <w:b/>
                <w:color w:val="000000"/>
                <w:szCs w:val="21"/>
              </w:rPr>
              <w:t xml:space="preserve">      地表水环境质量标准    单位：mg/L（pH除外）</w:t>
            </w:r>
          </w:p>
          <w:tbl>
            <w:tblPr>
              <w:tblStyle w:val="28"/>
              <w:tblW w:w="8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1866"/>
              <w:gridCol w:w="1514"/>
              <w:gridCol w:w="636"/>
              <w:gridCol w:w="1976"/>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31"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position w:val="-2"/>
                      <w:szCs w:val="21"/>
                    </w:rPr>
                    <w:t>序号</w:t>
                  </w:r>
                </w:p>
              </w:tc>
              <w:tc>
                <w:tcPr>
                  <w:tcW w:w="1858"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position w:val="-2"/>
                      <w:szCs w:val="21"/>
                    </w:rPr>
                    <w:t>项目</w:t>
                  </w:r>
                </w:p>
              </w:tc>
              <w:tc>
                <w:tcPr>
                  <w:tcW w:w="1507" w:type="dxa"/>
                  <w:tcBorders>
                    <w:tl2br w:val="nil"/>
                    <w:tr2bl w:val="nil"/>
                  </w:tcBorders>
                  <w:noWrap w:val="0"/>
                  <w:vAlign w:val="center"/>
                </w:tcPr>
                <w:p>
                  <w:pPr>
                    <w:autoSpaceDE w:val="0"/>
                    <w:autoSpaceDN w:val="0"/>
                    <w:adjustRightInd w:val="0"/>
                    <w:jc w:val="center"/>
                    <w:rPr>
                      <w:color w:val="000000"/>
                      <w:kern w:val="0"/>
                      <w:szCs w:val="21"/>
                    </w:rPr>
                  </w:pPr>
                  <w:r>
                    <w:rPr>
                      <w:color w:val="000000"/>
                      <w:spacing w:val="-2"/>
                      <w:kern w:val="0"/>
                      <w:position w:val="-2"/>
                      <w:szCs w:val="21"/>
                    </w:rPr>
                    <w:t>标</w:t>
                  </w:r>
                  <w:r>
                    <w:rPr>
                      <w:color w:val="000000"/>
                      <w:kern w:val="0"/>
                      <w:position w:val="-2"/>
                      <w:szCs w:val="21"/>
                    </w:rPr>
                    <w:t>准</w:t>
                  </w:r>
                </w:p>
              </w:tc>
              <w:tc>
                <w:tcPr>
                  <w:tcW w:w="633"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szCs w:val="21"/>
                    </w:rPr>
                    <w:t>序号</w:t>
                  </w:r>
                </w:p>
              </w:tc>
              <w:tc>
                <w:tcPr>
                  <w:tcW w:w="1967"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szCs w:val="21"/>
                    </w:rPr>
                    <w:t>项目</w:t>
                  </w:r>
                </w:p>
              </w:tc>
              <w:tc>
                <w:tcPr>
                  <w:tcW w:w="1419"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szCs w:val="21"/>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noWrap w:val="0"/>
                  <w:vAlign w:val="center"/>
                </w:tcPr>
                <w:p>
                  <w:pPr>
                    <w:autoSpaceDE w:val="0"/>
                    <w:autoSpaceDN w:val="0"/>
                    <w:adjustRightInd w:val="0"/>
                    <w:jc w:val="center"/>
                    <w:rPr>
                      <w:color w:val="000000"/>
                      <w:kern w:val="0"/>
                      <w:position w:val="-2"/>
                      <w:szCs w:val="21"/>
                    </w:rPr>
                  </w:pPr>
                  <w:r>
                    <w:rPr>
                      <w:color w:val="000000"/>
                      <w:kern w:val="0"/>
                      <w:position w:val="-2"/>
                      <w:szCs w:val="21"/>
                    </w:rPr>
                    <w:t>1</w:t>
                  </w:r>
                </w:p>
              </w:tc>
              <w:tc>
                <w:tcPr>
                  <w:tcW w:w="1858" w:type="dxa"/>
                  <w:tcBorders>
                    <w:tl2br w:val="nil"/>
                    <w:tr2bl w:val="nil"/>
                  </w:tcBorders>
                  <w:noWrap w:val="0"/>
                  <w:vAlign w:val="center"/>
                </w:tcPr>
                <w:p>
                  <w:pPr>
                    <w:adjustRightInd w:val="0"/>
                    <w:snapToGrid w:val="0"/>
                    <w:jc w:val="center"/>
                    <w:rPr>
                      <w:color w:val="000000"/>
                      <w:szCs w:val="21"/>
                    </w:rPr>
                  </w:pPr>
                  <w:r>
                    <w:rPr>
                      <w:color w:val="000000"/>
                      <w:szCs w:val="21"/>
                    </w:rPr>
                    <w:t>pH</w:t>
                  </w:r>
                </w:p>
              </w:tc>
              <w:tc>
                <w:tcPr>
                  <w:tcW w:w="1507" w:type="dxa"/>
                  <w:tcBorders>
                    <w:tl2br w:val="nil"/>
                    <w:tr2bl w:val="nil"/>
                  </w:tcBorders>
                  <w:noWrap w:val="0"/>
                  <w:vAlign w:val="center"/>
                </w:tcPr>
                <w:p>
                  <w:pPr>
                    <w:adjustRightInd w:val="0"/>
                    <w:snapToGrid w:val="0"/>
                    <w:jc w:val="center"/>
                    <w:rPr>
                      <w:color w:val="000000"/>
                      <w:szCs w:val="21"/>
                    </w:rPr>
                  </w:pPr>
                  <w:r>
                    <w:rPr>
                      <w:color w:val="000000"/>
                      <w:szCs w:val="21"/>
                    </w:rPr>
                    <w:t>6~9（无量纲）</w:t>
                  </w:r>
                </w:p>
              </w:tc>
              <w:tc>
                <w:tcPr>
                  <w:tcW w:w="633"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szCs w:val="21"/>
                    </w:rPr>
                    <w:t>8</w:t>
                  </w:r>
                </w:p>
              </w:tc>
              <w:tc>
                <w:tcPr>
                  <w:tcW w:w="1967" w:type="dxa"/>
                  <w:tcBorders>
                    <w:tl2br w:val="nil"/>
                    <w:tr2bl w:val="nil"/>
                  </w:tcBorders>
                  <w:noWrap w:val="0"/>
                  <w:vAlign w:val="center"/>
                </w:tcPr>
                <w:p>
                  <w:pPr>
                    <w:adjustRightInd w:val="0"/>
                    <w:snapToGrid w:val="0"/>
                    <w:jc w:val="center"/>
                    <w:rPr>
                      <w:color w:val="000000"/>
                      <w:szCs w:val="21"/>
                    </w:rPr>
                  </w:pPr>
                  <w:r>
                    <w:rPr>
                      <w:color w:val="000000"/>
                      <w:szCs w:val="21"/>
                    </w:rPr>
                    <w:t>硫化物</w:t>
                  </w:r>
                </w:p>
              </w:tc>
              <w:tc>
                <w:tcPr>
                  <w:tcW w:w="1419" w:type="dxa"/>
                  <w:tcBorders>
                    <w:tl2br w:val="nil"/>
                    <w:tr2bl w:val="nil"/>
                  </w:tcBorders>
                  <w:noWrap w:val="0"/>
                  <w:vAlign w:val="center"/>
                </w:tcPr>
                <w:p>
                  <w:pPr>
                    <w:adjustRightInd w:val="0"/>
                    <w:snapToGrid w:val="0"/>
                    <w:jc w:val="center"/>
                    <w:rPr>
                      <w:color w:val="000000"/>
                      <w:szCs w:val="21"/>
                    </w:rPr>
                  </w:pPr>
                  <w:r>
                    <w:rPr>
                      <w:color w:val="00000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noWrap w:val="0"/>
                  <w:vAlign w:val="center"/>
                </w:tcPr>
                <w:p>
                  <w:pPr>
                    <w:autoSpaceDE w:val="0"/>
                    <w:autoSpaceDN w:val="0"/>
                    <w:adjustRightInd w:val="0"/>
                    <w:jc w:val="center"/>
                    <w:rPr>
                      <w:color w:val="000000"/>
                      <w:kern w:val="0"/>
                      <w:position w:val="-2"/>
                      <w:szCs w:val="21"/>
                    </w:rPr>
                  </w:pPr>
                  <w:r>
                    <w:rPr>
                      <w:color w:val="000000"/>
                      <w:kern w:val="0"/>
                      <w:position w:val="-2"/>
                      <w:szCs w:val="21"/>
                    </w:rPr>
                    <w:t>2</w:t>
                  </w:r>
                </w:p>
              </w:tc>
              <w:tc>
                <w:tcPr>
                  <w:tcW w:w="1858" w:type="dxa"/>
                  <w:tcBorders>
                    <w:tl2br w:val="nil"/>
                    <w:tr2bl w:val="nil"/>
                  </w:tcBorders>
                  <w:noWrap w:val="0"/>
                  <w:vAlign w:val="center"/>
                </w:tcPr>
                <w:p>
                  <w:pPr>
                    <w:adjustRightInd w:val="0"/>
                    <w:snapToGrid w:val="0"/>
                    <w:jc w:val="center"/>
                    <w:rPr>
                      <w:color w:val="000000"/>
                      <w:szCs w:val="21"/>
                    </w:rPr>
                  </w:pPr>
                  <w:r>
                    <w:rPr>
                      <w:color w:val="000000"/>
                      <w:szCs w:val="21"/>
                    </w:rPr>
                    <w:t>溶解氧</w:t>
                  </w:r>
                </w:p>
              </w:tc>
              <w:tc>
                <w:tcPr>
                  <w:tcW w:w="1507" w:type="dxa"/>
                  <w:tcBorders>
                    <w:tl2br w:val="nil"/>
                    <w:tr2bl w:val="nil"/>
                  </w:tcBorders>
                  <w:noWrap w:val="0"/>
                  <w:vAlign w:val="center"/>
                </w:tcPr>
                <w:p>
                  <w:pPr>
                    <w:adjustRightInd w:val="0"/>
                    <w:snapToGrid w:val="0"/>
                    <w:jc w:val="center"/>
                    <w:rPr>
                      <w:color w:val="000000"/>
                      <w:szCs w:val="21"/>
                    </w:rPr>
                  </w:pPr>
                  <w:r>
                    <w:rPr>
                      <w:color w:val="000000"/>
                      <w:szCs w:val="21"/>
                    </w:rPr>
                    <w:t>≥3</w:t>
                  </w:r>
                </w:p>
              </w:tc>
              <w:tc>
                <w:tcPr>
                  <w:tcW w:w="633"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szCs w:val="21"/>
                    </w:rPr>
                    <w:t>9</w:t>
                  </w:r>
                </w:p>
              </w:tc>
              <w:tc>
                <w:tcPr>
                  <w:tcW w:w="1967" w:type="dxa"/>
                  <w:tcBorders>
                    <w:tl2br w:val="nil"/>
                    <w:tr2bl w:val="nil"/>
                  </w:tcBorders>
                  <w:noWrap w:val="0"/>
                  <w:vAlign w:val="center"/>
                </w:tcPr>
                <w:p>
                  <w:pPr>
                    <w:adjustRightInd w:val="0"/>
                    <w:snapToGrid w:val="0"/>
                    <w:jc w:val="center"/>
                    <w:rPr>
                      <w:color w:val="000000"/>
                      <w:szCs w:val="21"/>
                    </w:rPr>
                  </w:pPr>
                  <w:r>
                    <w:rPr>
                      <w:color w:val="000000"/>
                      <w:szCs w:val="21"/>
                    </w:rPr>
                    <w:t>石油类</w:t>
                  </w:r>
                </w:p>
              </w:tc>
              <w:tc>
                <w:tcPr>
                  <w:tcW w:w="1419" w:type="dxa"/>
                  <w:tcBorders>
                    <w:tl2br w:val="nil"/>
                    <w:tr2bl w:val="nil"/>
                  </w:tcBorders>
                  <w:noWrap w:val="0"/>
                  <w:vAlign w:val="center"/>
                </w:tcPr>
                <w:p>
                  <w:pPr>
                    <w:adjustRightInd w:val="0"/>
                    <w:snapToGrid w:val="0"/>
                    <w:jc w:val="center"/>
                    <w:rPr>
                      <w:color w:val="000000"/>
                      <w:szCs w:val="21"/>
                    </w:rPr>
                  </w:pPr>
                  <w:r>
                    <w:rPr>
                      <w:color w:val="00000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noWrap w:val="0"/>
                  <w:vAlign w:val="center"/>
                </w:tcPr>
                <w:p>
                  <w:pPr>
                    <w:autoSpaceDE w:val="0"/>
                    <w:autoSpaceDN w:val="0"/>
                    <w:adjustRightInd w:val="0"/>
                    <w:jc w:val="center"/>
                    <w:rPr>
                      <w:color w:val="000000"/>
                      <w:kern w:val="0"/>
                      <w:position w:val="-2"/>
                      <w:szCs w:val="21"/>
                    </w:rPr>
                  </w:pPr>
                  <w:r>
                    <w:rPr>
                      <w:color w:val="000000"/>
                      <w:kern w:val="0"/>
                      <w:position w:val="-2"/>
                      <w:szCs w:val="21"/>
                    </w:rPr>
                    <w:t>3</w:t>
                  </w:r>
                </w:p>
              </w:tc>
              <w:tc>
                <w:tcPr>
                  <w:tcW w:w="1858" w:type="dxa"/>
                  <w:tcBorders>
                    <w:tl2br w:val="nil"/>
                    <w:tr2bl w:val="nil"/>
                  </w:tcBorders>
                  <w:noWrap w:val="0"/>
                  <w:vAlign w:val="center"/>
                </w:tcPr>
                <w:p>
                  <w:pPr>
                    <w:adjustRightInd w:val="0"/>
                    <w:snapToGrid w:val="0"/>
                    <w:jc w:val="center"/>
                    <w:rPr>
                      <w:color w:val="000000"/>
                      <w:szCs w:val="21"/>
                    </w:rPr>
                  </w:pPr>
                  <w:r>
                    <w:rPr>
                      <w:color w:val="000000"/>
                      <w:szCs w:val="21"/>
                    </w:rPr>
                    <w:t>高锰酸钾指数</w:t>
                  </w:r>
                </w:p>
              </w:tc>
              <w:tc>
                <w:tcPr>
                  <w:tcW w:w="1507" w:type="dxa"/>
                  <w:tcBorders>
                    <w:tl2br w:val="nil"/>
                    <w:tr2bl w:val="nil"/>
                  </w:tcBorders>
                  <w:noWrap w:val="0"/>
                  <w:vAlign w:val="center"/>
                </w:tcPr>
                <w:p>
                  <w:pPr>
                    <w:adjustRightInd w:val="0"/>
                    <w:snapToGrid w:val="0"/>
                    <w:jc w:val="center"/>
                    <w:rPr>
                      <w:color w:val="000000"/>
                      <w:szCs w:val="21"/>
                    </w:rPr>
                  </w:pPr>
                  <w:r>
                    <w:rPr>
                      <w:color w:val="000000"/>
                      <w:szCs w:val="21"/>
                    </w:rPr>
                    <w:t>≤10</w:t>
                  </w:r>
                </w:p>
              </w:tc>
              <w:tc>
                <w:tcPr>
                  <w:tcW w:w="633"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szCs w:val="21"/>
                    </w:rPr>
                    <w:t>10</w:t>
                  </w:r>
                </w:p>
              </w:tc>
              <w:tc>
                <w:tcPr>
                  <w:tcW w:w="1967" w:type="dxa"/>
                  <w:tcBorders>
                    <w:tl2br w:val="nil"/>
                    <w:tr2bl w:val="nil"/>
                  </w:tcBorders>
                  <w:noWrap w:val="0"/>
                  <w:vAlign w:val="center"/>
                </w:tcPr>
                <w:p>
                  <w:pPr>
                    <w:adjustRightInd w:val="0"/>
                    <w:snapToGrid w:val="0"/>
                    <w:jc w:val="center"/>
                    <w:rPr>
                      <w:color w:val="000000"/>
                      <w:szCs w:val="21"/>
                    </w:rPr>
                  </w:pPr>
                  <w:r>
                    <w:rPr>
                      <w:color w:val="000000"/>
                      <w:szCs w:val="21"/>
                    </w:rPr>
                    <w:t>氰化物</w:t>
                  </w:r>
                </w:p>
              </w:tc>
              <w:tc>
                <w:tcPr>
                  <w:tcW w:w="1419" w:type="dxa"/>
                  <w:tcBorders>
                    <w:tl2br w:val="nil"/>
                    <w:tr2bl w:val="nil"/>
                  </w:tcBorders>
                  <w:noWrap w:val="0"/>
                  <w:vAlign w:val="center"/>
                </w:tcPr>
                <w:p>
                  <w:pPr>
                    <w:adjustRightInd w:val="0"/>
                    <w:snapToGrid w:val="0"/>
                    <w:jc w:val="center"/>
                    <w:rPr>
                      <w:color w:val="000000"/>
                      <w:szCs w:val="21"/>
                    </w:rPr>
                  </w:pPr>
                  <w:r>
                    <w:rPr>
                      <w:color w:val="000000"/>
                      <w:szCs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noWrap w:val="0"/>
                  <w:vAlign w:val="center"/>
                </w:tcPr>
                <w:p>
                  <w:pPr>
                    <w:autoSpaceDE w:val="0"/>
                    <w:autoSpaceDN w:val="0"/>
                    <w:adjustRightInd w:val="0"/>
                    <w:jc w:val="center"/>
                    <w:rPr>
                      <w:color w:val="000000"/>
                      <w:kern w:val="0"/>
                      <w:position w:val="-2"/>
                      <w:szCs w:val="21"/>
                    </w:rPr>
                  </w:pPr>
                  <w:r>
                    <w:rPr>
                      <w:color w:val="000000"/>
                      <w:kern w:val="0"/>
                      <w:position w:val="-2"/>
                      <w:szCs w:val="21"/>
                    </w:rPr>
                    <w:t>4</w:t>
                  </w:r>
                </w:p>
              </w:tc>
              <w:tc>
                <w:tcPr>
                  <w:tcW w:w="1858" w:type="dxa"/>
                  <w:tcBorders>
                    <w:tl2br w:val="nil"/>
                    <w:tr2bl w:val="nil"/>
                  </w:tcBorders>
                  <w:noWrap w:val="0"/>
                  <w:vAlign w:val="center"/>
                </w:tcPr>
                <w:p>
                  <w:pPr>
                    <w:adjustRightInd w:val="0"/>
                    <w:snapToGrid w:val="0"/>
                    <w:jc w:val="center"/>
                    <w:rPr>
                      <w:color w:val="000000"/>
                      <w:szCs w:val="21"/>
                    </w:rPr>
                  </w:pPr>
                  <w:r>
                    <w:rPr>
                      <w:color w:val="000000"/>
                      <w:szCs w:val="21"/>
                    </w:rPr>
                    <w:t>COD</w:t>
                  </w:r>
                </w:p>
              </w:tc>
              <w:tc>
                <w:tcPr>
                  <w:tcW w:w="1507" w:type="dxa"/>
                  <w:tcBorders>
                    <w:tl2br w:val="nil"/>
                    <w:tr2bl w:val="nil"/>
                  </w:tcBorders>
                  <w:noWrap w:val="0"/>
                  <w:vAlign w:val="center"/>
                </w:tcPr>
                <w:p>
                  <w:pPr>
                    <w:adjustRightInd w:val="0"/>
                    <w:snapToGrid w:val="0"/>
                    <w:jc w:val="center"/>
                    <w:rPr>
                      <w:color w:val="000000"/>
                      <w:szCs w:val="21"/>
                    </w:rPr>
                  </w:pPr>
                  <w:r>
                    <w:rPr>
                      <w:color w:val="000000"/>
                      <w:szCs w:val="21"/>
                    </w:rPr>
                    <w:t>≤30</w:t>
                  </w:r>
                </w:p>
              </w:tc>
              <w:tc>
                <w:tcPr>
                  <w:tcW w:w="633"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szCs w:val="21"/>
                    </w:rPr>
                    <w:t>11</w:t>
                  </w:r>
                </w:p>
              </w:tc>
              <w:tc>
                <w:tcPr>
                  <w:tcW w:w="1967" w:type="dxa"/>
                  <w:tcBorders>
                    <w:tl2br w:val="nil"/>
                    <w:tr2bl w:val="nil"/>
                  </w:tcBorders>
                  <w:noWrap w:val="0"/>
                  <w:vAlign w:val="center"/>
                </w:tcPr>
                <w:p>
                  <w:pPr>
                    <w:adjustRightInd w:val="0"/>
                    <w:snapToGrid w:val="0"/>
                    <w:jc w:val="center"/>
                    <w:rPr>
                      <w:color w:val="000000"/>
                      <w:szCs w:val="21"/>
                    </w:rPr>
                  </w:pPr>
                  <w:r>
                    <w:rPr>
                      <w:color w:val="000000"/>
                      <w:szCs w:val="21"/>
                    </w:rPr>
                    <w:t>挥发酚</w:t>
                  </w:r>
                </w:p>
              </w:tc>
              <w:tc>
                <w:tcPr>
                  <w:tcW w:w="1419" w:type="dxa"/>
                  <w:tcBorders>
                    <w:tl2br w:val="nil"/>
                    <w:tr2bl w:val="nil"/>
                  </w:tcBorders>
                  <w:noWrap w:val="0"/>
                  <w:vAlign w:val="center"/>
                </w:tcPr>
                <w:p>
                  <w:pPr>
                    <w:adjustRightInd w:val="0"/>
                    <w:snapToGrid w:val="0"/>
                    <w:jc w:val="center"/>
                    <w:rPr>
                      <w:color w:val="000000"/>
                      <w:szCs w:val="21"/>
                    </w:rPr>
                  </w:pPr>
                  <w:r>
                    <w:rPr>
                      <w:color w:val="000000"/>
                      <w:szCs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noWrap w:val="0"/>
                  <w:vAlign w:val="center"/>
                </w:tcPr>
                <w:p>
                  <w:pPr>
                    <w:autoSpaceDE w:val="0"/>
                    <w:autoSpaceDN w:val="0"/>
                    <w:adjustRightInd w:val="0"/>
                    <w:jc w:val="center"/>
                    <w:rPr>
                      <w:color w:val="000000"/>
                      <w:kern w:val="0"/>
                      <w:position w:val="-2"/>
                      <w:szCs w:val="21"/>
                    </w:rPr>
                  </w:pPr>
                  <w:r>
                    <w:rPr>
                      <w:color w:val="000000"/>
                      <w:kern w:val="0"/>
                      <w:position w:val="-2"/>
                      <w:szCs w:val="21"/>
                    </w:rPr>
                    <w:t>5</w:t>
                  </w:r>
                </w:p>
              </w:tc>
              <w:tc>
                <w:tcPr>
                  <w:tcW w:w="1858" w:type="dxa"/>
                  <w:tcBorders>
                    <w:tl2br w:val="nil"/>
                    <w:tr2bl w:val="nil"/>
                  </w:tcBorders>
                  <w:noWrap w:val="0"/>
                  <w:vAlign w:val="center"/>
                </w:tcPr>
                <w:p>
                  <w:pPr>
                    <w:adjustRightInd w:val="0"/>
                    <w:snapToGrid w:val="0"/>
                    <w:jc w:val="center"/>
                    <w:rPr>
                      <w:color w:val="000000"/>
                      <w:szCs w:val="21"/>
                    </w:rPr>
                  </w:pPr>
                  <w:r>
                    <w:rPr>
                      <w:color w:val="000000"/>
                      <w:szCs w:val="21"/>
                    </w:rPr>
                    <w:t>BOD</w:t>
                  </w:r>
                  <w:r>
                    <w:rPr>
                      <w:color w:val="000000"/>
                      <w:szCs w:val="21"/>
                      <w:vertAlign w:val="subscript"/>
                    </w:rPr>
                    <w:t>5</w:t>
                  </w:r>
                </w:p>
              </w:tc>
              <w:tc>
                <w:tcPr>
                  <w:tcW w:w="1507" w:type="dxa"/>
                  <w:tcBorders>
                    <w:tl2br w:val="nil"/>
                    <w:tr2bl w:val="nil"/>
                  </w:tcBorders>
                  <w:noWrap w:val="0"/>
                  <w:vAlign w:val="center"/>
                </w:tcPr>
                <w:p>
                  <w:pPr>
                    <w:adjustRightInd w:val="0"/>
                    <w:snapToGrid w:val="0"/>
                    <w:jc w:val="center"/>
                    <w:rPr>
                      <w:color w:val="000000"/>
                      <w:szCs w:val="21"/>
                    </w:rPr>
                  </w:pPr>
                  <w:r>
                    <w:rPr>
                      <w:color w:val="000000"/>
                      <w:szCs w:val="21"/>
                    </w:rPr>
                    <w:t>≤6</w:t>
                  </w:r>
                </w:p>
              </w:tc>
              <w:tc>
                <w:tcPr>
                  <w:tcW w:w="633"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szCs w:val="21"/>
                    </w:rPr>
                    <w:t>12</w:t>
                  </w:r>
                </w:p>
              </w:tc>
              <w:tc>
                <w:tcPr>
                  <w:tcW w:w="1967" w:type="dxa"/>
                  <w:tcBorders>
                    <w:tl2br w:val="nil"/>
                    <w:tr2bl w:val="nil"/>
                  </w:tcBorders>
                  <w:noWrap w:val="0"/>
                  <w:vAlign w:val="center"/>
                </w:tcPr>
                <w:p>
                  <w:pPr>
                    <w:adjustRightInd w:val="0"/>
                    <w:snapToGrid w:val="0"/>
                    <w:jc w:val="center"/>
                    <w:rPr>
                      <w:color w:val="000000"/>
                      <w:szCs w:val="21"/>
                    </w:rPr>
                  </w:pPr>
                  <w:r>
                    <w:rPr>
                      <w:color w:val="000000"/>
                      <w:szCs w:val="21"/>
                    </w:rPr>
                    <w:t>阴离子表面活性剂</w:t>
                  </w:r>
                </w:p>
              </w:tc>
              <w:tc>
                <w:tcPr>
                  <w:tcW w:w="1419" w:type="dxa"/>
                  <w:tcBorders>
                    <w:tl2br w:val="nil"/>
                    <w:tr2bl w:val="nil"/>
                  </w:tcBorders>
                  <w:noWrap w:val="0"/>
                  <w:vAlign w:val="center"/>
                </w:tcPr>
                <w:p>
                  <w:pPr>
                    <w:adjustRightInd w:val="0"/>
                    <w:snapToGrid w:val="0"/>
                    <w:jc w:val="center"/>
                    <w:rPr>
                      <w:color w:val="000000"/>
                      <w:szCs w:val="21"/>
                    </w:rPr>
                  </w:pPr>
                  <w:r>
                    <w:rPr>
                      <w:color w:val="000000"/>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noWrap w:val="0"/>
                  <w:vAlign w:val="center"/>
                </w:tcPr>
                <w:p>
                  <w:pPr>
                    <w:autoSpaceDE w:val="0"/>
                    <w:autoSpaceDN w:val="0"/>
                    <w:adjustRightInd w:val="0"/>
                    <w:jc w:val="center"/>
                    <w:rPr>
                      <w:color w:val="000000"/>
                      <w:kern w:val="0"/>
                      <w:position w:val="-2"/>
                      <w:szCs w:val="21"/>
                    </w:rPr>
                  </w:pPr>
                  <w:r>
                    <w:rPr>
                      <w:color w:val="000000"/>
                      <w:kern w:val="0"/>
                      <w:position w:val="-2"/>
                      <w:szCs w:val="21"/>
                    </w:rPr>
                    <w:t>6</w:t>
                  </w:r>
                </w:p>
              </w:tc>
              <w:tc>
                <w:tcPr>
                  <w:tcW w:w="1858" w:type="dxa"/>
                  <w:tcBorders>
                    <w:tl2br w:val="nil"/>
                    <w:tr2bl w:val="nil"/>
                  </w:tcBorders>
                  <w:noWrap w:val="0"/>
                  <w:vAlign w:val="center"/>
                </w:tcPr>
                <w:p>
                  <w:pPr>
                    <w:adjustRightInd w:val="0"/>
                    <w:snapToGrid w:val="0"/>
                    <w:jc w:val="center"/>
                    <w:rPr>
                      <w:color w:val="000000"/>
                      <w:szCs w:val="21"/>
                    </w:rPr>
                  </w:pPr>
                  <w:r>
                    <w:rPr>
                      <w:color w:val="000000"/>
                      <w:szCs w:val="21"/>
                    </w:rPr>
                    <w:t>氨氮</w:t>
                  </w:r>
                </w:p>
              </w:tc>
              <w:tc>
                <w:tcPr>
                  <w:tcW w:w="1507" w:type="dxa"/>
                  <w:tcBorders>
                    <w:tl2br w:val="nil"/>
                    <w:tr2bl w:val="nil"/>
                  </w:tcBorders>
                  <w:noWrap w:val="0"/>
                  <w:vAlign w:val="center"/>
                </w:tcPr>
                <w:p>
                  <w:pPr>
                    <w:adjustRightInd w:val="0"/>
                    <w:snapToGrid w:val="0"/>
                    <w:jc w:val="center"/>
                    <w:rPr>
                      <w:color w:val="000000"/>
                      <w:szCs w:val="21"/>
                    </w:rPr>
                  </w:pPr>
                  <w:r>
                    <w:rPr>
                      <w:color w:val="000000"/>
                      <w:szCs w:val="21"/>
                    </w:rPr>
                    <w:t>≤1.5</w:t>
                  </w:r>
                </w:p>
              </w:tc>
              <w:tc>
                <w:tcPr>
                  <w:tcW w:w="633" w:type="dxa"/>
                  <w:tcBorders>
                    <w:tl2br w:val="nil"/>
                    <w:tr2bl w:val="nil"/>
                  </w:tcBorders>
                  <w:noWrap w:val="0"/>
                  <w:vAlign w:val="center"/>
                </w:tcPr>
                <w:p>
                  <w:pPr>
                    <w:autoSpaceDE w:val="0"/>
                    <w:autoSpaceDN w:val="0"/>
                    <w:adjustRightInd w:val="0"/>
                    <w:jc w:val="center"/>
                    <w:rPr>
                      <w:color w:val="000000"/>
                      <w:kern w:val="0"/>
                      <w:szCs w:val="21"/>
                    </w:rPr>
                  </w:pPr>
                  <w:r>
                    <w:rPr>
                      <w:color w:val="000000"/>
                      <w:kern w:val="0"/>
                      <w:szCs w:val="21"/>
                    </w:rPr>
                    <w:t>13</w:t>
                  </w:r>
                </w:p>
              </w:tc>
              <w:tc>
                <w:tcPr>
                  <w:tcW w:w="1967" w:type="dxa"/>
                  <w:tcBorders>
                    <w:tl2br w:val="nil"/>
                    <w:tr2bl w:val="nil"/>
                  </w:tcBorders>
                  <w:noWrap w:val="0"/>
                  <w:vAlign w:val="center"/>
                </w:tcPr>
                <w:p>
                  <w:pPr>
                    <w:adjustRightInd w:val="0"/>
                    <w:snapToGrid w:val="0"/>
                    <w:jc w:val="center"/>
                    <w:rPr>
                      <w:color w:val="000000"/>
                      <w:szCs w:val="21"/>
                    </w:rPr>
                  </w:pPr>
                  <w:r>
                    <w:rPr>
                      <w:color w:val="000000"/>
                      <w:szCs w:val="21"/>
                    </w:rPr>
                    <w:t>粪大肠菌群（个/L）</w:t>
                  </w:r>
                </w:p>
              </w:tc>
              <w:tc>
                <w:tcPr>
                  <w:tcW w:w="1419" w:type="dxa"/>
                  <w:tcBorders>
                    <w:tl2br w:val="nil"/>
                    <w:tr2bl w:val="nil"/>
                  </w:tcBorders>
                  <w:noWrap w:val="0"/>
                  <w:vAlign w:val="center"/>
                </w:tcPr>
                <w:p>
                  <w:pPr>
                    <w:adjustRightInd w:val="0"/>
                    <w:snapToGrid w:val="0"/>
                    <w:jc w:val="center"/>
                    <w:rPr>
                      <w:color w:val="000000"/>
                      <w:szCs w:val="21"/>
                    </w:rPr>
                  </w:pPr>
                  <w:r>
                    <w:rPr>
                      <w:color w:val="000000"/>
                      <w:szCs w:val="21"/>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631" w:type="dxa"/>
                  <w:tcBorders>
                    <w:tl2br w:val="nil"/>
                    <w:tr2bl w:val="nil"/>
                  </w:tcBorders>
                  <w:noWrap w:val="0"/>
                  <w:vAlign w:val="center"/>
                </w:tcPr>
                <w:p>
                  <w:pPr>
                    <w:autoSpaceDE w:val="0"/>
                    <w:autoSpaceDN w:val="0"/>
                    <w:adjustRightInd w:val="0"/>
                    <w:jc w:val="center"/>
                    <w:rPr>
                      <w:color w:val="000000"/>
                      <w:kern w:val="0"/>
                      <w:position w:val="-2"/>
                      <w:szCs w:val="21"/>
                    </w:rPr>
                  </w:pPr>
                  <w:r>
                    <w:rPr>
                      <w:color w:val="000000"/>
                      <w:kern w:val="0"/>
                      <w:position w:val="-2"/>
                      <w:szCs w:val="21"/>
                    </w:rPr>
                    <w:t>7</w:t>
                  </w:r>
                </w:p>
              </w:tc>
              <w:tc>
                <w:tcPr>
                  <w:tcW w:w="1858" w:type="dxa"/>
                  <w:tcBorders>
                    <w:tl2br w:val="nil"/>
                    <w:tr2bl w:val="nil"/>
                  </w:tcBorders>
                  <w:noWrap w:val="0"/>
                  <w:vAlign w:val="center"/>
                </w:tcPr>
                <w:p>
                  <w:pPr>
                    <w:adjustRightInd w:val="0"/>
                    <w:snapToGrid w:val="0"/>
                    <w:jc w:val="center"/>
                    <w:rPr>
                      <w:color w:val="000000"/>
                      <w:szCs w:val="21"/>
                    </w:rPr>
                  </w:pPr>
                  <w:r>
                    <w:rPr>
                      <w:color w:val="000000"/>
                      <w:szCs w:val="21"/>
                    </w:rPr>
                    <w:t>总磷</w:t>
                  </w:r>
                </w:p>
              </w:tc>
              <w:tc>
                <w:tcPr>
                  <w:tcW w:w="1507" w:type="dxa"/>
                  <w:tcBorders>
                    <w:tl2br w:val="nil"/>
                    <w:tr2bl w:val="nil"/>
                  </w:tcBorders>
                  <w:noWrap w:val="0"/>
                  <w:vAlign w:val="center"/>
                </w:tcPr>
                <w:p>
                  <w:pPr>
                    <w:adjustRightInd w:val="0"/>
                    <w:snapToGrid w:val="0"/>
                    <w:jc w:val="center"/>
                    <w:rPr>
                      <w:color w:val="000000"/>
                      <w:szCs w:val="21"/>
                    </w:rPr>
                  </w:pPr>
                  <w:r>
                    <w:rPr>
                      <w:color w:val="000000"/>
                      <w:szCs w:val="21"/>
                    </w:rPr>
                    <w:t>≤0.3</w:t>
                  </w:r>
                </w:p>
              </w:tc>
              <w:tc>
                <w:tcPr>
                  <w:tcW w:w="633" w:type="dxa"/>
                  <w:tcBorders>
                    <w:tl2br w:val="nil"/>
                    <w:tr2bl w:val="nil"/>
                  </w:tcBorders>
                  <w:noWrap w:val="0"/>
                  <w:vAlign w:val="center"/>
                </w:tcPr>
                <w:p>
                  <w:pPr>
                    <w:autoSpaceDE w:val="0"/>
                    <w:autoSpaceDN w:val="0"/>
                    <w:adjustRightInd w:val="0"/>
                    <w:jc w:val="center"/>
                    <w:rPr>
                      <w:color w:val="000000"/>
                      <w:kern w:val="0"/>
                      <w:szCs w:val="21"/>
                    </w:rPr>
                  </w:pPr>
                </w:p>
              </w:tc>
              <w:tc>
                <w:tcPr>
                  <w:tcW w:w="1967" w:type="dxa"/>
                  <w:tcBorders>
                    <w:tl2br w:val="nil"/>
                    <w:tr2bl w:val="nil"/>
                  </w:tcBorders>
                  <w:noWrap w:val="0"/>
                  <w:vAlign w:val="center"/>
                </w:tcPr>
                <w:p>
                  <w:pPr>
                    <w:adjustRightInd w:val="0"/>
                    <w:snapToGrid w:val="0"/>
                    <w:jc w:val="center"/>
                    <w:rPr>
                      <w:color w:val="000000"/>
                      <w:szCs w:val="21"/>
                    </w:rPr>
                  </w:pPr>
                </w:p>
              </w:tc>
              <w:tc>
                <w:tcPr>
                  <w:tcW w:w="1419" w:type="dxa"/>
                  <w:tcBorders>
                    <w:tl2br w:val="nil"/>
                    <w:tr2bl w:val="nil"/>
                  </w:tcBorders>
                  <w:noWrap w:val="0"/>
                  <w:vAlign w:val="center"/>
                </w:tcPr>
                <w:p>
                  <w:pPr>
                    <w:adjustRightInd w:val="0"/>
                    <w:snapToGrid w:val="0"/>
                    <w:jc w:val="center"/>
                    <w:rPr>
                      <w:color w:val="000000"/>
                      <w:szCs w:val="21"/>
                    </w:rPr>
                  </w:pPr>
                </w:p>
              </w:tc>
            </w:tr>
          </w:tbl>
          <w:p>
            <w:pPr>
              <w:spacing w:line="360" w:lineRule="auto"/>
              <w:ind w:firstLine="480" w:firstLineChars="200"/>
              <w:rPr>
                <w:color w:val="000000"/>
                <w:kern w:val="0"/>
                <w:sz w:val="24"/>
              </w:rPr>
            </w:pPr>
            <w:r>
              <w:rPr>
                <w:color w:val="000000"/>
                <w:kern w:val="0"/>
                <w:sz w:val="24"/>
              </w:rPr>
              <w:t>2）拟建地项目地下水环境质量执行《地下水质量标准》（GB/T14848-2017）Ⅲ类，具体标准限值见下表。</w:t>
            </w:r>
          </w:p>
          <w:p>
            <w:pPr>
              <w:adjustRightInd w:val="0"/>
              <w:snapToGrid w:val="0"/>
              <w:jc w:val="center"/>
              <w:rPr>
                <w:b/>
                <w:color w:val="000000"/>
                <w:szCs w:val="21"/>
              </w:rPr>
            </w:pPr>
            <w:r>
              <w:rPr>
                <w:b/>
                <w:color w:val="000000"/>
                <w:szCs w:val="21"/>
              </w:rPr>
              <w:t>表3-</w:t>
            </w:r>
            <w:r>
              <w:rPr>
                <w:rFonts w:hint="eastAsia"/>
                <w:b/>
                <w:color w:val="000000"/>
                <w:szCs w:val="21"/>
                <w:lang w:val="en-US" w:eastAsia="zh-CN"/>
              </w:rPr>
              <w:t xml:space="preserve">16 </w:t>
            </w:r>
            <w:r>
              <w:rPr>
                <w:b/>
                <w:color w:val="000000"/>
                <w:szCs w:val="21"/>
              </w:rPr>
              <w:t xml:space="preserve">  （GB/T14848—2017）Ⅲ类标准限值单位：mg/l</w:t>
            </w:r>
          </w:p>
          <w:tbl>
            <w:tblPr>
              <w:tblStyle w:val="28"/>
              <w:tblW w:w="8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62"/>
              <w:gridCol w:w="849"/>
              <w:gridCol w:w="808"/>
              <w:gridCol w:w="808"/>
              <w:gridCol w:w="849"/>
              <w:gridCol w:w="849"/>
              <w:gridCol w:w="89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8" w:type="pct"/>
                  <w:noWrap w:val="0"/>
                  <w:vAlign w:val="center"/>
                </w:tcPr>
                <w:p>
                  <w:pPr>
                    <w:jc w:val="center"/>
                    <w:rPr>
                      <w:color w:val="000000"/>
                      <w:szCs w:val="21"/>
                    </w:rPr>
                  </w:pPr>
                  <w:r>
                    <w:rPr>
                      <w:color w:val="000000"/>
                      <w:szCs w:val="21"/>
                    </w:rPr>
                    <w:t>项目标准</w:t>
                  </w:r>
                </w:p>
              </w:tc>
              <w:tc>
                <w:tcPr>
                  <w:tcW w:w="845" w:type="pct"/>
                  <w:noWrap w:val="0"/>
                  <w:vAlign w:val="center"/>
                </w:tcPr>
                <w:p>
                  <w:pPr>
                    <w:jc w:val="center"/>
                    <w:rPr>
                      <w:color w:val="000000"/>
                      <w:szCs w:val="21"/>
                    </w:rPr>
                  </w:pPr>
                  <w:r>
                    <w:rPr>
                      <w:color w:val="000000"/>
                      <w:szCs w:val="21"/>
                    </w:rPr>
                    <w:t>pH</w:t>
                  </w:r>
                </w:p>
              </w:tc>
              <w:tc>
                <w:tcPr>
                  <w:tcW w:w="527" w:type="pct"/>
                  <w:noWrap w:val="0"/>
                  <w:vAlign w:val="center"/>
                </w:tcPr>
                <w:p>
                  <w:pPr>
                    <w:jc w:val="center"/>
                    <w:rPr>
                      <w:color w:val="000000"/>
                      <w:szCs w:val="21"/>
                    </w:rPr>
                  </w:pPr>
                  <w:r>
                    <w:rPr>
                      <w:color w:val="000000"/>
                      <w:szCs w:val="21"/>
                    </w:rPr>
                    <w:t>硝酸盐</w:t>
                  </w:r>
                </w:p>
              </w:tc>
              <w:tc>
                <w:tcPr>
                  <w:tcW w:w="501" w:type="pct"/>
                  <w:noWrap w:val="0"/>
                  <w:vAlign w:val="center"/>
                </w:tcPr>
                <w:p>
                  <w:pPr>
                    <w:jc w:val="center"/>
                    <w:rPr>
                      <w:color w:val="000000"/>
                      <w:szCs w:val="21"/>
                    </w:rPr>
                  </w:pPr>
                  <w:r>
                    <w:rPr>
                      <w:color w:val="000000"/>
                      <w:szCs w:val="21"/>
                    </w:rPr>
                    <w:t>氨氮</w:t>
                  </w:r>
                </w:p>
              </w:tc>
              <w:tc>
                <w:tcPr>
                  <w:tcW w:w="501" w:type="pct"/>
                  <w:noWrap w:val="0"/>
                  <w:vAlign w:val="center"/>
                </w:tcPr>
                <w:p>
                  <w:pPr>
                    <w:jc w:val="center"/>
                    <w:rPr>
                      <w:color w:val="000000"/>
                      <w:szCs w:val="21"/>
                    </w:rPr>
                  </w:pPr>
                  <w:r>
                    <w:rPr>
                      <w:color w:val="000000"/>
                      <w:szCs w:val="21"/>
                    </w:rPr>
                    <w:t>亚硝酸盐</w:t>
                  </w:r>
                </w:p>
              </w:tc>
              <w:tc>
                <w:tcPr>
                  <w:tcW w:w="527" w:type="pct"/>
                  <w:noWrap w:val="0"/>
                  <w:vAlign w:val="center"/>
                </w:tcPr>
                <w:p>
                  <w:pPr>
                    <w:jc w:val="center"/>
                    <w:rPr>
                      <w:color w:val="000000"/>
                      <w:szCs w:val="21"/>
                    </w:rPr>
                  </w:pPr>
                  <w:r>
                    <w:rPr>
                      <w:color w:val="000000"/>
                      <w:szCs w:val="21"/>
                    </w:rPr>
                    <w:t>氟化物</w:t>
                  </w:r>
                </w:p>
              </w:tc>
              <w:tc>
                <w:tcPr>
                  <w:tcW w:w="527" w:type="pct"/>
                  <w:noWrap w:val="0"/>
                  <w:vAlign w:val="center"/>
                </w:tcPr>
                <w:p>
                  <w:pPr>
                    <w:jc w:val="center"/>
                    <w:rPr>
                      <w:color w:val="000000"/>
                      <w:szCs w:val="21"/>
                    </w:rPr>
                  </w:pPr>
                  <w:r>
                    <w:rPr>
                      <w:color w:val="000000"/>
                      <w:szCs w:val="21"/>
                    </w:rPr>
                    <w:t>总硬度</w:t>
                  </w:r>
                </w:p>
              </w:tc>
              <w:tc>
                <w:tcPr>
                  <w:tcW w:w="555" w:type="pct"/>
                  <w:noWrap w:val="0"/>
                  <w:vAlign w:val="center"/>
                </w:tcPr>
                <w:p>
                  <w:pPr>
                    <w:jc w:val="center"/>
                    <w:rPr>
                      <w:color w:val="000000"/>
                      <w:szCs w:val="21"/>
                    </w:rPr>
                  </w:pPr>
                  <w:r>
                    <w:rPr>
                      <w:color w:val="000000"/>
                      <w:szCs w:val="21"/>
                    </w:rPr>
                    <w:t>六价铬</w:t>
                  </w:r>
                </w:p>
              </w:tc>
              <w:tc>
                <w:tcPr>
                  <w:tcW w:w="555" w:type="pct"/>
                  <w:noWrap w:val="0"/>
                  <w:vAlign w:val="center"/>
                </w:tcPr>
                <w:p>
                  <w:pPr>
                    <w:jc w:val="center"/>
                    <w:rPr>
                      <w:color w:val="000000"/>
                      <w:szCs w:val="21"/>
                    </w:rPr>
                  </w:pPr>
                  <w:r>
                    <w:rPr>
                      <w:color w:val="000000"/>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8" w:type="pct"/>
                  <w:vMerge w:val="restart"/>
                  <w:noWrap w:val="0"/>
                  <w:vAlign w:val="center"/>
                </w:tcPr>
                <w:p>
                  <w:pPr>
                    <w:jc w:val="center"/>
                    <w:rPr>
                      <w:color w:val="000000"/>
                      <w:szCs w:val="21"/>
                    </w:rPr>
                  </w:pPr>
                  <w:r>
                    <w:rPr>
                      <w:color w:val="000000"/>
                      <w:szCs w:val="21"/>
                    </w:rPr>
                    <w:t>Ⅲ类</w:t>
                  </w:r>
                </w:p>
              </w:tc>
              <w:tc>
                <w:tcPr>
                  <w:tcW w:w="845" w:type="pct"/>
                  <w:noWrap w:val="0"/>
                  <w:vAlign w:val="center"/>
                </w:tcPr>
                <w:p>
                  <w:pPr>
                    <w:jc w:val="center"/>
                    <w:rPr>
                      <w:color w:val="000000"/>
                      <w:szCs w:val="21"/>
                    </w:rPr>
                  </w:pPr>
                  <w:r>
                    <w:rPr>
                      <w:color w:val="000000"/>
                      <w:szCs w:val="21"/>
                    </w:rPr>
                    <w:t>6.5≤pH≤8.5</w:t>
                  </w:r>
                </w:p>
              </w:tc>
              <w:tc>
                <w:tcPr>
                  <w:tcW w:w="527" w:type="pct"/>
                  <w:noWrap w:val="0"/>
                  <w:vAlign w:val="center"/>
                </w:tcPr>
                <w:p>
                  <w:pPr>
                    <w:jc w:val="center"/>
                    <w:rPr>
                      <w:color w:val="000000"/>
                      <w:szCs w:val="21"/>
                    </w:rPr>
                  </w:pPr>
                  <w:r>
                    <w:rPr>
                      <w:color w:val="000000"/>
                      <w:kern w:val="0"/>
                      <w:szCs w:val="21"/>
                    </w:rPr>
                    <w:t>≤20</w:t>
                  </w:r>
                </w:p>
              </w:tc>
              <w:tc>
                <w:tcPr>
                  <w:tcW w:w="501" w:type="pct"/>
                  <w:noWrap w:val="0"/>
                  <w:vAlign w:val="center"/>
                </w:tcPr>
                <w:p>
                  <w:pPr>
                    <w:jc w:val="center"/>
                    <w:rPr>
                      <w:color w:val="000000"/>
                      <w:szCs w:val="21"/>
                    </w:rPr>
                  </w:pPr>
                  <w:r>
                    <w:rPr>
                      <w:color w:val="000000"/>
                      <w:kern w:val="0"/>
                      <w:szCs w:val="21"/>
                    </w:rPr>
                    <w:t>≤0.5</w:t>
                  </w:r>
                </w:p>
              </w:tc>
              <w:tc>
                <w:tcPr>
                  <w:tcW w:w="501" w:type="pct"/>
                  <w:noWrap w:val="0"/>
                  <w:vAlign w:val="center"/>
                </w:tcPr>
                <w:p>
                  <w:pPr>
                    <w:jc w:val="center"/>
                    <w:rPr>
                      <w:color w:val="000000"/>
                      <w:szCs w:val="21"/>
                    </w:rPr>
                  </w:pPr>
                  <w:r>
                    <w:rPr>
                      <w:color w:val="000000"/>
                      <w:kern w:val="0"/>
                      <w:szCs w:val="21"/>
                    </w:rPr>
                    <w:t>≤1.0</w:t>
                  </w:r>
                </w:p>
              </w:tc>
              <w:tc>
                <w:tcPr>
                  <w:tcW w:w="527" w:type="pct"/>
                  <w:noWrap w:val="0"/>
                  <w:vAlign w:val="center"/>
                </w:tcPr>
                <w:p>
                  <w:pPr>
                    <w:jc w:val="center"/>
                    <w:rPr>
                      <w:color w:val="000000"/>
                      <w:szCs w:val="21"/>
                    </w:rPr>
                  </w:pPr>
                  <w:r>
                    <w:rPr>
                      <w:color w:val="000000"/>
                      <w:szCs w:val="21"/>
                    </w:rPr>
                    <w:t>≤1.0</w:t>
                  </w:r>
                </w:p>
              </w:tc>
              <w:tc>
                <w:tcPr>
                  <w:tcW w:w="527" w:type="pct"/>
                  <w:noWrap w:val="0"/>
                  <w:vAlign w:val="center"/>
                </w:tcPr>
                <w:p>
                  <w:pPr>
                    <w:jc w:val="center"/>
                    <w:rPr>
                      <w:color w:val="000000"/>
                      <w:szCs w:val="21"/>
                    </w:rPr>
                  </w:pPr>
                  <w:r>
                    <w:rPr>
                      <w:color w:val="000000"/>
                      <w:szCs w:val="21"/>
                    </w:rPr>
                    <w:t>≤450</w:t>
                  </w:r>
                </w:p>
              </w:tc>
              <w:tc>
                <w:tcPr>
                  <w:tcW w:w="555" w:type="pct"/>
                  <w:noWrap w:val="0"/>
                  <w:vAlign w:val="center"/>
                </w:tcPr>
                <w:p>
                  <w:pPr>
                    <w:jc w:val="center"/>
                    <w:rPr>
                      <w:color w:val="000000"/>
                      <w:szCs w:val="21"/>
                    </w:rPr>
                  </w:pPr>
                  <w:r>
                    <w:rPr>
                      <w:color w:val="000000"/>
                      <w:szCs w:val="21"/>
                    </w:rPr>
                    <w:t>≤0.05</w:t>
                  </w:r>
                </w:p>
              </w:tc>
              <w:tc>
                <w:tcPr>
                  <w:tcW w:w="555" w:type="pct"/>
                  <w:noWrap w:val="0"/>
                  <w:vAlign w:val="center"/>
                </w:tcPr>
                <w:p>
                  <w:pPr>
                    <w:jc w:val="center"/>
                    <w:rPr>
                      <w:color w:val="000000"/>
                      <w:szCs w:val="21"/>
                    </w:rPr>
                  </w:pPr>
                  <w:r>
                    <w:rPr>
                      <w:color w:val="000000"/>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8" w:type="pct"/>
                  <w:vMerge w:val="continue"/>
                  <w:noWrap w:val="0"/>
                  <w:vAlign w:val="center"/>
                </w:tcPr>
                <w:p>
                  <w:pPr>
                    <w:jc w:val="center"/>
                    <w:rPr>
                      <w:color w:val="000000"/>
                      <w:szCs w:val="21"/>
                    </w:rPr>
                  </w:pPr>
                </w:p>
              </w:tc>
              <w:tc>
                <w:tcPr>
                  <w:tcW w:w="845" w:type="pct"/>
                  <w:noWrap w:val="0"/>
                  <w:vAlign w:val="center"/>
                </w:tcPr>
                <w:p>
                  <w:pPr>
                    <w:jc w:val="center"/>
                    <w:rPr>
                      <w:color w:val="000000"/>
                      <w:szCs w:val="21"/>
                    </w:rPr>
                  </w:pPr>
                  <w:r>
                    <w:rPr>
                      <w:color w:val="000000"/>
                      <w:szCs w:val="21"/>
                    </w:rPr>
                    <w:t>石油类</w:t>
                  </w:r>
                </w:p>
              </w:tc>
              <w:tc>
                <w:tcPr>
                  <w:tcW w:w="527" w:type="pct"/>
                  <w:noWrap w:val="0"/>
                  <w:vAlign w:val="center"/>
                </w:tcPr>
                <w:p>
                  <w:pPr>
                    <w:jc w:val="center"/>
                    <w:rPr>
                      <w:color w:val="000000"/>
                      <w:szCs w:val="21"/>
                    </w:rPr>
                  </w:pPr>
                  <w:r>
                    <w:rPr>
                      <w:color w:val="000000"/>
                      <w:szCs w:val="21"/>
                    </w:rPr>
                    <w:t>氰化物</w:t>
                  </w:r>
                </w:p>
              </w:tc>
              <w:tc>
                <w:tcPr>
                  <w:tcW w:w="501" w:type="pct"/>
                  <w:noWrap w:val="0"/>
                  <w:vAlign w:val="center"/>
                </w:tcPr>
                <w:p>
                  <w:pPr>
                    <w:jc w:val="center"/>
                    <w:rPr>
                      <w:color w:val="000000"/>
                      <w:szCs w:val="21"/>
                    </w:rPr>
                  </w:pPr>
                  <w:r>
                    <w:rPr>
                      <w:color w:val="000000"/>
                      <w:szCs w:val="21"/>
                    </w:rPr>
                    <w:t>铁</w:t>
                  </w:r>
                </w:p>
              </w:tc>
              <w:tc>
                <w:tcPr>
                  <w:tcW w:w="501" w:type="pct"/>
                  <w:noWrap w:val="0"/>
                  <w:vAlign w:val="center"/>
                </w:tcPr>
                <w:p>
                  <w:pPr>
                    <w:jc w:val="center"/>
                    <w:rPr>
                      <w:color w:val="000000"/>
                      <w:szCs w:val="21"/>
                    </w:rPr>
                  </w:pPr>
                  <w:r>
                    <w:rPr>
                      <w:color w:val="000000"/>
                      <w:szCs w:val="21"/>
                    </w:rPr>
                    <w:t>锰</w:t>
                  </w:r>
                </w:p>
              </w:tc>
              <w:tc>
                <w:tcPr>
                  <w:tcW w:w="527" w:type="pct"/>
                  <w:noWrap w:val="0"/>
                  <w:vAlign w:val="center"/>
                </w:tcPr>
                <w:p>
                  <w:pPr>
                    <w:jc w:val="center"/>
                    <w:rPr>
                      <w:color w:val="000000"/>
                      <w:szCs w:val="21"/>
                    </w:rPr>
                  </w:pPr>
                  <w:r>
                    <w:rPr>
                      <w:color w:val="000000"/>
                      <w:szCs w:val="21"/>
                    </w:rPr>
                    <w:t>铅</w:t>
                  </w:r>
                </w:p>
              </w:tc>
              <w:tc>
                <w:tcPr>
                  <w:tcW w:w="527" w:type="pct"/>
                  <w:noWrap w:val="0"/>
                  <w:vAlign w:val="center"/>
                </w:tcPr>
                <w:p>
                  <w:pPr>
                    <w:jc w:val="center"/>
                    <w:rPr>
                      <w:color w:val="000000"/>
                      <w:szCs w:val="21"/>
                    </w:rPr>
                  </w:pPr>
                  <w:r>
                    <w:rPr>
                      <w:color w:val="000000"/>
                      <w:szCs w:val="21"/>
                    </w:rPr>
                    <w:t>砷</w:t>
                  </w:r>
                </w:p>
              </w:tc>
              <w:tc>
                <w:tcPr>
                  <w:tcW w:w="555" w:type="pct"/>
                  <w:noWrap w:val="0"/>
                  <w:vAlign w:val="center"/>
                </w:tcPr>
                <w:p>
                  <w:pPr>
                    <w:jc w:val="center"/>
                    <w:rPr>
                      <w:color w:val="000000"/>
                      <w:szCs w:val="21"/>
                    </w:rPr>
                  </w:pPr>
                  <w:r>
                    <w:rPr>
                      <w:color w:val="000000"/>
                      <w:szCs w:val="21"/>
                    </w:rPr>
                    <w:t>汞</w:t>
                  </w:r>
                </w:p>
              </w:tc>
              <w:tc>
                <w:tcPr>
                  <w:tcW w:w="555" w:type="pct"/>
                  <w:noWrap w:val="0"/>
                  <w:vAlign w:val="center"/>
                </w:tcPr>
                <w:p>
                  <w:pPr>
                    <w:jc w:val="center"/>
                    <w:rPr>
                      <w:color w:val="000000"/>
                      <w:szCs w:val="21"/>
                    </w:rPr>
                  </w:pPr>
                  <w:r>
                    <w:rPr>
                      <w:color w:val="000000"/>
                      <w:szCs w:val="21"/>
                    </w:rPr>
                    <w:t>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58" w:type="pct"/>
                  <w:vMerge w:val="continue"/>
                  <w:noWrap w:val="0"/>
                  <w:vAlign w:val="center"/>
                </w:tcPr>
                <w:p>
                  <w:pPr>
                    <w:jc w:val="center"/>
                    <w:rPr>
                      <w:color w:val="000000"/>
                      <w:szCs w:val="21"/>
                    </w:rPr>
                  </w:pPr>
                </w:p>
              </w:tc>
              <w:tc>
                <w:tcPr>
                  <w:tcW w:w="845" w:type="pct"/>
                  <w:noWrap w:val="0"/>
                  <w:vAlign w:val="center"/>
                </w:tcPr>
                <w:p>
                  <w:pPr>
                    <w:jc w:val="center"/>
                    <w:rPr>
                      <w:color w:val="000000"/>
                      <w:szCs w:val="21"/>
                    </w:rPr>
                  </w:pPr>
                  <w:r>
                    <w:rPr>
                      <w:color w:val="000000"/>
                      <w:kern w:val="0"/>
                      <w:szCs w:val="21"/>
                    </w:rPr>
                    <w:t>≤0.05</w:t>
                  </w:r>
                </w:p>
              </w:tc>
              <w:tc>
                <w:tcPr>
                  <w:tcW w:w="527" w:type="pct"/>
                  <w:noWrap w:val="0"/>
                  <w:vAlign w:val="center"/>
                </w:tcPr>
                <w:p>
                  <w:pPr>
                    <w:jc w:val="center"/>
                    <w:rPr>
                      <w:color w:val="000000"/>
                      <w:szCs w:val="21"/>
                    </w:rPr>
                  </w:pPr>
                  <w:r>
                    <w:rPr>
                      <w:color w:val="000000"/>
                      <w:kern w:val="0"/>
                      <w:szCs w:val="21"/>
                    </w:rPr>
                    <w:t>≤0.05</w:t>
                  </w:r>
                </w:p>
              </w:tc>
              <w:tc>
                <w:tcPr>
                  <w:tcW w:w="501" w:type="pct"/>
                  <w:noWrap w:val="0"/>
                  <w:vAlign w:val="center"/>
                </w:tcPr>
                <w:p>
                  <w:pPr>
                    <w:jc w:val="center"/>
                    <w:rPr>
                      <w:color w:val="000000"/>
                      <w:szCs w:val="21"/>
                    </w:rPr>
                  </w:pPr>
                  <w:r>
                    <w:rPr>
                      <w:color w:val="000000"/>
                      <w:kern w:val="0"/>
                      <w:szCs w:val="21"/>
                    </w:rPr>
                    <w:t>≤0.3</w:t>
                  </w:r>
                </w:p>
              </w:tc>
              <w:tc>
                <w:tcPr>
                  <w:tcW w:w="501" w:type="pct"/>
                  <w:noWrap w:val="0"/>
                  <w:vAlign w:val="center"/>
                </w:tcPr>
                <w:p>
                  <w:pPr>
                    <w:jc w:val="center"/>
                    <w:rPr>
                      <w:color w:val="000000"/>
                      <w:szCs w:val="21"/>
                    </w:rPr>
                  </w:pPr>
                  <w:r>
                    <w:rPr>
                      <w:color w:val="000000"/>
                      <w:kern w:val="0"/>
                      <w:szCs w:val="21"/>
                    </w:rPr>
                    <w:t>≤0.1</w:t>
                  </w:r>
                </w:p>
              </w:tc>
              <w:tc>
                <w:tcPr>
                  <w:tcW w:w="527" w:type="pct"/>
                  <w:noWrap w:val="0"/>
                  <w:vAlign w:val="center"/>
                </w:tcPr>
                <w:p>
                  <w:pPr>
                    <w:jc w:val="center"/>
                    <w:rPr>
                      <w:color w:val="000000"/>
                      <w:szCs w:val="21"/>
                    </w:rPr>
                  </w:pPr>
                  <w:r>
                    <w:rPr>
                      <w:color w:val="000000"/>
                      <w:kern w:val="0"/>
                      <w:szCs w:val="21"/>
                    </w:rPr>
                    <w:t>≤0.01</w:t>
                  </w:r>
                </w:p>
              </w:tc>
              <w:tc>
                <w:tcPr>
                  <w:tcW w:w="527" w:type="pct"/>
                  <w:noWrap w:val="0"/>
                  <w:vAlign w:val="center"/>
                </w:tcPr>
                <w:p>
                  <w:pPr>
                    <w:jc w:val="center"/>
                    <w:rPr>
                      <w:color w:val="000000"/>
                      <w:szCs w:val="21"/>
                    </w:rPr>
                  </w:pPr>
                  <w:r>
                    <w:rPr>
                      <w:color w:val="000000"/>
                      <w:kern w:val="0"/>
                      <w:szCs w:val="21"/>
                    </w:rPr>
                    <w:t>≤0.01</w:t>
                  </w:r>
                </w:p>
              </w:tc>
              <w:tc>
                <w:tcPr>
                  <w:tcW w:w="555" w:type="pct"/>
                  <w:noWrap w:val="0"/>
                  <w:vAlign w:val="center"/>
                </w:tcPr>
                <w:p>
                  <w:pPr>
                    <w:jc w:val="center"/>
                    <w:rPr>
                      <w:color w:val="000000"/>
                      <w:szCs w:val="21"/>
                    </w:rPr>
                  </w:pPr>
                  <w:r>
                    <w:rPr>
                      <w:color w:val="000000"/>
                      <w:kern w:val="0"/>
                      <w:szCs w:val="21"/>
                    </w:rPr>
                    <w:t>≤0.001</w:t>
                  </w:r>
                </w:p>
              </w:tc>
              <w:tc>
                <w:tcPr>
                  <w:tcW w:w="555" w:type="pct"/>
                  <w:noWrap w:val="0"/>
                  <w:vAlign w:val="center"/>
                </w:tcPr>
                <w:p>
                  <w:pPr>
                    <w:jc w:val="center"/>
                    <w:rPr>
                      <w:color w:val="000000"/>
                      <w:szCs w:val="21"/>
                    </w:rPr>
                  </w:pPr>
                  <w:r>
                    <w:rPr>
                      <w:color w:val="000000"/>
                      <w:kern w:val="0"/>
                      <w:szCs w:val="21"/>
                    </w:rPr>
                    <w:t>≤0.005</w:t>
                  </w:r>
                </w:p>
              </w:tc>
            </w:tr>
          </w:tbl>
          <w:p>
            <w:pPr>
              <w:spacing w:line="360" w:lineRule="auto"/>
              <w:ind w:firstLine="480" w:firstLineChars="200"/>
              <w:rPr>
                <w:color w:val="000000"/>
                <w:kern w:val="0"/>
                <w:sz w:val="24"/>
              </w:rPr>
            </w:pPr>
            <w:r>
              <w:rPr>
                <w:color w:val="000000"/>
                <w:kern w:val="0"/>
                <w:sz w:val="24"/>
              </w:rPr>
              <w:t>（3）声环境质量标准</w:t>
            </w:r>
          </w:p>
          <w:p>
            <w:pPr>
              <w:spacing w:line="360" w:lineRule="auto"/>
              <w:ind w:firstLine="468" w:firstLineChars="195"/>
              <w:rPr>
                <w:color w:val="000000"/>
                <w:sz w:val="24"/>
              </w:rPr>
            </w:pPr>
            <w:r>
              <w:rPr>
                <w:color w:val="000000"/>
                <w:sz w:val="24"/>
              </w:rPr>
              <w:t>项目拟建地声环境质量执行《声环境质量标准》（GB3096-2008）中2类标准，具体限值见</w:t>
            </w:r>
            <w:r>
              <w:rPr>
                <w:rFonts w:hint="eastAsia"/>
                <w:color w:val="000000"/>
                <w:sz w:val="24"/>
                <w:lang w:val="en-US" w:eastAsia="zh-CN"/>
              </w:rPr>
              <w:t>下</w:t>
            </w:r>
            <w:r>
              <w:rPr>
                <w:color w:val="000000"/>
                <w:sz w:val="24"/>
              </w:rPr>
              <w:t>表。</w:t>
            </w:r>
          </w:p>
          <w:p>
            <w:pPr>
              <w:adjustRightInd w:val="0"/>
              <w:snapToGrid w:val="0"/>
              <w:jc w:val="center"/>
              <w:rPr>
                <w:b/>
                <w:color w:val="000000"/>
                <w:szCs w:val="21"/>
              </w:rPr>
            </w:pPr>
            <w:r>
              <w:rPr>
                <w:b/>
                <w:color w:val="000000"/>
                <w:szCs w:val="21"/>
              </w:rPr>
              <w:t>表3-</w:t>
            </w:r>
            <w:r>
              <w:rPr>
                <w:rFonts w:hint="eastAsia"/>
                <w:b/>
                <w:color w:val="000000"/>
                <w:szCs w:val="21"/>
                <w:lang w:val="en-US" w:eastAsia="zh-CN"/>
              </w:rPr>
              <w:t>17</w:t>
            </w:r>
            <w:r>
              <w:rPr>
                <w:b/>
                <w:color w:val="000000"/>
                <w:szCs w:val="21"/>
              </w:rPr>
              <w:t xml:space="preserve">   环境噪声标准限值   单位：dB（A）</w:t>
            </w:r>
          </w:p>
          <w:tbl>
            <w:tblPr>
              <w:tblStyle w:val="2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3079"/>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87" w:type="pct"/>
                  <w:noWrap w:val="0"/>
                  <w:vAlign w:val="center"/>
                </w:tcPr>
                <w:p>
                  <w:pPr>
                    <w:jc w:val="center"/>
                    <w:rPr>
                      <w:color w:val="000000"/>
                      <w:sz w:val="21"/>
                      <w:szCs w:val="21"/>
                    </w:rPr>
                  </w:pPr>
                  <w:r>
                    <w:rPr>
                      <w:color w:val="000000"/>
                      <w:sz w:val="21"/>
                      <w:szCs w:val="21"/>
                    </w:rPr>
                    <w:t>类别</w:t>
                  </w:r>
                </w:p>
              </w:tc>
              <w:tc>
                <w:tcPr>
                  <w:tcW w:w="1912" w:type="pct"/>
                  <w:noWrap w:val="0"/>
                  <w:vAlign w:val="center"/>
                </w:tcPr>
                <w:p>
                  <w:pPr>
                    <w:jc w:val="center"/>
                    <w:rPr>
                      <w:color w:val="000000"/>
                      <w:sz w:val="21"/>
                      <w:szCs w:val="21"/>
                    </w:rPr>
                  </w:pPr>
                  <w:r>
                    <w:rPr>
                      <w:color w:val="000000"/>
                      <w:sz w:val="21"/>
                      <w:szCs w:val="21"/>
                    </w:rPr>
                    <w:t>昼间</w:t>
                  </w:r>
                </w:p>
              </w:tc>
              <w:tc>
                <w:tcPr>
                  <w:tcW w:w="1300" w:type="pct"/>
                  <w:noWrap w:val="0"/>
                  <w:vAlign w:val="center"/>
                </w:tcPr>
                <w:p>
                  <w:pPr>
                    <w:jc w:val="center"/>
                    <w:rPr>
                      <w:color w:val="000000"/>
                      <w:sz w:val="21"/>
                      <w:szCs w:val="21"/>
                    </w:rPr>
                  </w:pPr>
                  <w:r>
                    <w:rPr>
                      <w:color w:val="00000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787" w:type="pct"/>
                  <w:noWrap w:val="0"/>
                  <w:vAlign w:val="center"/>
                </w:tcPr>
                <w:p>
                  <w:pPr>
                    <w:jc w:val="center"/>
                    <w:rPr>
                      <w:color w:val="000000"/>
                      <w:sz w:val="21"/>
                      <w:szCs w:val="21"/>
                    </w:rPr>
                  </w:pPr>
                  <w:r>
                    <w:rPr>
                      <w:color w:val="000000"/>
                      <w:sz w:val="21"/>
                      <w:szCs w:val="21"/>
                    </w:rPr>
                    <w:t>2</w:t>
                  </w:r>
                </w:p>
              </w:tc>
              <w:tc>
                <w:tcPr>
                  <w:tcW w:w="1912" w:type="pct"/>
                  <w:noWrap w:val="0"/>
                  <w:vAlign w:val="center"/>
                </w:tcPr>
                <w:p>
                  <w:pPr>
                    <w:jc w:val="center"/>
                    <w:rPr>
                      <w:color w:val="000000"/>
                      <w:sz w:val="21"/>
                      <w:szCs w:val="21"/>
                    </w:rPr>
                  </w:pPr>
                  <w:r>
                    <w:rPr>
                      <w:color w:val="000000"/>
                      <w:sz w:val="21"/>
                      <w:szCs w:val="21"/>
                    </w:rPr>
                    <w:t>60</w:t>
                  </w:r>
                </w:p>
              </w:tc>
              <w:tc>
                <w:tcPr>
                  <w:tcW w:w="1300" w:type="pct"/>
                  <w:noWrap w:val="0"/>
                  <w:vAlign w:val="center"/>
                </w:tcPr>
                <w:p>
                  <w:pPr>
                    <w:jc w:val="center"/>
                    <w:rPr>
                      <w:color w:val="000000"/>
                      <w:sz w:val="21"/>
                      <w:szCs w:val="21"/>
                    </w:rPr>
                  </w:pPr>
                  <w:r>
                    <w:rPr>
                      <w:color w:val="000000"/>
                      <w:sz w:val="21"/>
                      <w:szCs w:val="21"/>
                    </w:rPr>
                    <w:t>50</w:t>
                  </w:r>
                </w:p>
              </w:tc>
            </w:tr>
          </w:tbl>
          <w:p>
            <w:pPr>
              <w:spacing w:line="360" w:lineRule="auto"/>
              <w:ind w:right="-1"/>
              <w:rPr>
                <w:color w:val="000000"/>
                <w:sz w:val="24"/>
              </w:rPr>
            </w:pPr>
            <w:r>
              <w:rPr>
                <w:color w:val="000000"/>
                <w:sz w:val="21"/>
                <w:szCs w:val="21"/>
              </w:rPr>
              <w:t>备注：夜间突发的噪声，其最大声级超过环境噪声限值的幅度不得高于15dB（A）</w:t>
            </w:r>
            <w:r>
              <w:rPr>
                <w:color w:val="000000"/>
                <w:sz w:val="24"/>
              </w:rPr>
              <w:t>。</w:t>
            </w:r>
          </w:p>
          <w:p>
            <w:pPr>
              <w:spacing w:line="360" w:lineRule="auto"/>
              <w:ind w:firstLine="480" w:firstLineChars="200"/>
              <w:rPr>
                <w:color w:val="000000"/>
                <w:sz w:val="24"/>
              </w:rPr>
            </w:pPr>
            <w:r>
              <w:rPr>
                <w:color w:val="000000"/>
                <w:sz w:val="24"/>
              </w:rPr>
              <w:t>（4）土壤环境质量标准</w:t>
            </w:r>
          </w:p>
          <w:p>
            <w:pPr>
              <w:spacing w:line="360" w:lineRule="auto"/>
              <w:ind w:firstLine="480" w:firstLineChars="200"/>
              <w:contextualSpacing/>
              <w:rPr>
                <w:color w:val="000000"/>
                <w:sz w:val="24"/>
              </w:rPr>
            </w:pPr>
            <w:r>
              <w:rPr>
                <w:color w:val="000000"/>
                <w:sz w:val="24"/>
              </w:rPr>
              <w:t>项目建设用地执行《土壤环境质量 建设用地土壤污染风险管控标准（试行）》（GB36600-2018）中“第二类用地”筛选标准，其他土壤执行《土壤环境质量 农用地土壤污染风险管控标准（试行）》（GB15618-2018）“其他”土壤污染风险筛选值，其标准值见</w:t>
            </w:r>
            <w:r>
              <w:rPr>
                <w:rFonts w:hint="eastAsia"/>
                <w:color w:val="000000"/>
                <w:sz w:val="24"/>
                <w:lang w:val="en-US" w:eastAsia="zh-CN"/>
              </w:rPr>
              <w:t>下</w:t>
            </w:r>
            <w:r>
              <w:rPr>
                <w:color w:val="000000"/>
                <w:sz w:val="24"/>
              </w:rPr>
              <w:t>表。</w:t>
            </w:r>
          </w:p>
          <w:p>
            <w:pPr>
              <w:pStyle w:val="24"/>
              <w:snapToGrid w:val="0"/>
              <w:spacing w:before="0" w:beforeAutospacing="0" w:after="0" w:afterAutospacing="0"/>
              <w:jc w:val="center"/>
              <w:rPr>
                <w:rFonts w:ascii="Times New Roman" w:hAnsi="Times New Roman"/>
                <w:b/>
                <w:bCs/>
                <w:color w:val="000000"/>
                <w:kern w:val="2"/>
                <w:sz w:val="21"/>
                <w:szCs w:val="21"/>
              </w:rPr>
            </w:pPr>
          </w:p>
          <w:p>
            <w:pPr>
              <w:pStyle w:val="24"/>
              <w:snapToGrid w:val="0"/>
              <w:spacing w:before="0" w:beforeAutospacing="0" w:after="0" w:afterAutospacing="0"/>
              <w:jc w:val="center"/>
              <w:rPr>
                <w:rFonts w:ascii="Times New Roman" w:hAnsi="Times New Roman"/>
                <w:b/>
                <w:bCs/>
                <w:color w:val="000000"/>
                <w:kern w:val="2"/>
                <w:sz w:val="21"/>
                <w:szCs w:val="21"/>
              </w:rPr>
            </w:pPr>
            <w:r>
              <w:rPr>
                <w:rFonts w:ascii="Times New Roman" w:hAnsi="Times New Roman"/>
                <w:b/>
                <w:bCs/>
                <w:color w:val="000000"/>
                <w:kern w:val="2"/>
                <w:sz w:val="21"/>
                <w:szCs w:val="21"/>
              </w:rPr>
              <w:t>表3-</w:t>
            </w:r>
            <w:r>
              <w:rPr>
                <w:rFonts w:hint="eastAsia" w:ascii="Times New Roman" w:hAnsi="Times New Roman"/>
                <w:b/>
                <w:bCs/>
                <w:color w:val="000000"/>
                <w:kern w:val="2"/>
                <w:sz w:val="21"/>
                <w:szCs w:val="21"/>
                <w:lang w:val="en-US" w:eastAsia="zh-CN"/>
              </w:rPr>
              <w:t>18</w:t>
            </w:r>
            <w:r>
              <w:rPr>
                <w:rFonts w:ascii="Times New Roman" w:hAnsi="Times New Roman"/>
                <w:b/>
                <w:bCs/>
                <w:color w:val="000000"/>
                <w:kern w:val="2"/>
                <w:sz w:val="21"/>
                <w:szCs w:val="21"/>
              </w:rPr>
              <w:t xml:space="preserve">   土壤环境质量标准（摘录）    单位：mg/kg</w:t>
            </w:r>
          </w:p>
          <w:tbl>
            <w:tblPr>
              <w:tblStyle w:val="2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2564"/>
              <w:gridCol w:w="129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65" w:type="dxa"/>
                  <w:tcBorders>
                    <w:tl2br w:val="nil"/>
                    <w:tr2bl w:val="nil"/>
                  </w:tcBorders>
                  <w:noWrap w:val="0"/>
                  <w:vAlign w:val="center"/>
                </w:tcPr>
                <w:p>
                  <w:pPr>
                    <w:jc w:val="center"/>
                    <w:rPr>
                      <w:b/>
                      <w:color w:val="000000"/>
                      <w:szCs w:val="21"/>
                    </w:rPr>
                  </w:pPr>
                  <w:r>
                    <w:rPr>
                      <w:b/>
                      <w:color w:val="000000"/>
                      <w:szCs w:val="21"/>
                      <w:lang w:val="zh-CN"/>
                    </w:rPr>
                    <w:t>标准名称及级（类）别</w:t>
                  </w:r>
                </w:p>
              </w:tc>
              <w:tc>
                <w:tcPr>
                  <w:tcW w:w="2593" w:type="dxa"/>
                  <w:tcBorders>
                    <w:tl2br w:val="nil"/>
                    <w:tr2bl w:val="nil"/>
                  </w:tcBorders>
                  <w:noWrap w:val="0"/>
                  <w:vAlign w:val="center"/>
                </w:tcPr>
                <w:p>
                  <w:pPr>
                    <w:jc w:val="center"/>
                    <w:rPr>
                      <w:b/>
                      <w:color w:val="000000"/>
                      <w:szCs w:val="21"/>
                    </w:rPr>
                  </w:pPr>
                  <w:r>
                    <w:rPr>
                      <w:b/>
                      <w:color w:val="000000"/>
                      <w:szCs w:val="21"/>
                    </w:rPr>
                    <w:t>项目</w:t>
                  </w:r>
                </w:p>
              </w:tc>
              <w:tc>
                <w:tcPr>
                  <w:tcW w:w="1312" w:type="dxa"/>
                  <w:tcBorders>
                    <w:tl2br w:val="nil"/>
                    <w:tr2bl w:val="nil"/>
                  </w:tcBorders>
                  <w:noWrap w:val="0"/>
                  <w:vAlign w:val="center"/>
                </w:tcPr>
                <w:p>
                  <w:pPr>
                    <w:jc w:val="center"/>
                    <w:rPr>
                      <w:b/>
                      <w:color w:val="000000"/>
                      <w:szCs w:val="21"/>
                    </w:rPr>
                  </w:pPr>
                  <w:r>
                    <w:rPr>
                      <w:b/>
                      <w:color w:val="000000"/>
                      <w:szCs w:val="21"/>
                    </w:rPr>
                    <w:t>单位</w:t>
                  </w:r>
                </w:p>
              </w:tc>
              <w:tc>
                <w:tcPr>
                  <w:tcW w:w="1768" w:type="dxa"/>
                  <w:tcBorders>
                    <w:tl2br w:val="nil"/>
                    <w:tr2bl w:val="nil"/>
                  </w:tcBorders>
                  <w:noWrap w:val="0"/>
                  <w:vAlign w:val="center"/>
                </w:tcPr>
                <w:p>
                  <w:pPr>
                    <w:jc w:val="center"/>
                    <w:rPr>
                      <w:b/>
                      <w:color w:val="000000"/>
                      <w:szCs w:val="21"/>
                    </w:rPr>
                  </w:pPr>
                  <w:r>
                    <w:rPr>
                      <w:b/>
                      <w:color w:val="000000"/>
                      <w:szCs w:val="21"/>
                    </w:rPr>
                    <w:t>筛选值（第二类用地）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restart"/>
                  <w:tcBorders>
                    <w:tl2br w:val="nil"/>
                    <w:tr2bl w:val="nil"/>
                  </w:tcBorders>
                  <w:noWrap w:val="0"/>
                  <w:vAlign w:val="center"/>
                </w:tcPr>
                <w:p>
                  <w:pPr>
                    <w:jc w:val="center"/>
                    <w:rPr>
                      <w:bCs/>
                      <w:color w:val="000000"/>
                      <w:szCs w:val="21"/>
                    </w:rPr>
                  </w:pPr>
                  <w:r>
                    <w:rPr>
                      <w:bCs/>
                      <w:color w:val="000000"/>
                      <w:szCs w:val="21"/>
                    </w:rPr>
                    <w:t>《土壤环境质量 建设用地土壤污染风险管控标准（试行）》（GB36600-2018）</w:t>
                  </w:r>
                </w:p>
              </w:tc>
              <w:tc>
                <w:tcPr>
                  <w:tcW w:w="2593" w:type="dxa"/>
                  <w:tcBorders>
                    <w:tl2br w:val="nil"/>
                    <w:tr2bl w:val="nil"/>
                  </w:tcBorders>
                  <w:noWrap w:val="0"/>
                  <w:vAlign w:val="center"/>
                </w:tcPr>
                <w:p>
                  <w:pPr>
                    <w:jc w:val="center"/>
                    <w:rPr>
                      <w:bCs/>
                      <w:color w:val="000000"/>
                      <w:szCs w:val="21"/>
                    </w:rPr>
                  </w:pPr>
                  <w:r>
                    <w:rPr>
                      <w:bCs/>
                      <w:color w:val="000000"/>
                      <w:szCs w:val="21"/>
                    </w:rPr>
                    <w:t>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镉</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铬（六价）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铜</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铅</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汞</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镍</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四氯化碳</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氯仿</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氯甲烷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1,1-二氯乙烷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1,2-二氯乙烷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1,1-二氯乙烯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顺-1,2-二氯乙烯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反-1,2-二氯乙烯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二氯甲烷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1,2-二氯乙烷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1,1,1,2-四氯乙烷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1,1,2,2-四氯乙烷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四氯乙烯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1,1,1-三氯乙烷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1,1,2-三氯乙烷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三氯乙烯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1,2,3-三氯丙烷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氯乙烯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氯苯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1,2-二氯苯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1,4-二氯苯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乙苯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苯乙烯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甲苯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间-二甲苯+对-二甲苯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邻-二甲苯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硝基苯</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苯胺</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2-氯酚</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苯并[a]蒽</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苯并[a]芘</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苯并[b]荧蒽</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苯并[k]荧蒽</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䓛</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二苯并[a,h]蒽</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茚并[1,2,3-cd]芘</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萘</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bCs/>
                      <w:color w:val="000000"/>
                      <w:szCs w:val="21"/>
                    </w:rPr>
                  </w:pPr>
                </w:p>
              </w:tc>
              <w:tc>
                <w:tcPr>
                  <w:tcW w:w="2593" w:type="dxa"/>
                  <w:tcBorders>
                    <w:tl2br w:val="nil"/>
                    <w:tr2bl w:val="nil"/>
                  </w:tcBorders>
                  <w:noWrap w:val="0"/>
                  <w:vAlign w:val="center"/>
                </w:tcPr>
                <w:p>
                  <w:pPr>
                    <w:jc w:val="center"/>
                    <w:rPr>
                      <w:bCs/>
                      <w:color w:val="000000"/>
                      <w:szCs w:val="21"/>
                    </w:rPr>
                  </w:pPr>
                  <w:r>
                    <w:rPr>
                      <w:bCs/>
                      <w:color w:val="000000"/>
                      <w:szCs w:val="21"/>
                    </w:rPr>
                    <w:t>石油烃（C</w:t>
                  </w:r>
                  <w:r>
                    <w:rPr>
                      <w:bCs/>
                      <w:color w:val="000000"/>
                      <w:szCs w:val="21"/>
                      <w:vertAlign w:val="subscript"/>
                    </w:rPr>
                    <w:t>10</w:t>
                  </w:r>
                  <w:r>
                    <w:rPr>
                      <w:bCs/>
                      <w:color w:val="000000"/>
                      <w:szCs w:val="21"/>
                    </w:rPr>
                    <w:t>~C</w:t>
                  </w:r>
                  <w:r>
                    <w:rPr>
                      <w:bCs/>
                      <w:color w:val="000000"/>
                      <w:szCs w:val="21"/>
                      <w:vertAlign w:val="subscript"/>
                    </w:rPr>
                    <w:t>40</w:t>
                  </w:r>
                  <w:r>
                    <w:rPr>
                      <w:bCs/>
                      <w:color w:val="000000"/>
                      <w:szCs w:val="21"/>
                    </w:rPr>
                    <w:t>）</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center"/>
                </w:tcPr>
                <w:p>
                  <w:pPr>
                    <w:jc w:val="center"/>
                    <w:rPr>
                      <w:bCs/>
                      <w:color w:val="000000"/>
                      <w:szCs w:val="21"/>
                    </w:rPr>
                  </w:pPr>
                  <w:r>
                    <w:rPr>
                      <w:bCs/>
                      <w:color w:val="00000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restart"/>
                  <w:tcBorders>
                    <w:tl2br w:val="nil"/>
                    <w:tr2bl w:val="nil"/>
                  </w:tcBorders>
                  <w:noWrap w:val="0"/>
                  <w:vAlign w:val="center"/>
                </w:tcPr>
                <w:p>
                  <w:pPr>
                    <w:jc w:val="center"/>
                    <w:rPr>
                      <w:bCs/>
                      <w:color w:val="000000"/>
                      <w:szCs w:val="21"/>
                    </w:rPr>
                  </w:pPr>
                  <w:r>
                    <w:rPr>
                      <w:color w:val="000000"/>
                      <w:szCs w:val="21"/>
                    </w:rPr>
                    <w:t>《土壤环境质量农用地土壤污染风险管控标准（试行）》（GB15618-2018）</w:t>
                  </w:r>
                </w:p>
              </w:tc>
              <w:tc>
                <w:tcPr>
                  <w:tcW w:w="2593" w:type="dxa"/>
                  <w:tcBorders>
                    <w:tl2br w:val="nil"/>
                    <w:tr2bl w:val="nil"/>
                  </w:tcBorders>
                  <w:noWrap w:val="0"/>
                  <w:vAlign w:val="center"/>
                </w:tcPr>
                <w:p>
                  <w:pPr>
                    <w:pStyle w:val="57"/>
                    <w:jc w:val="center"/>
                    <w:rPr>
                      <w:rFonts w:ascii="Times New Roman" w:hAnsi="Times New Roman"/>
                      <w:color w:val="000000"/>
                      <w:kern w:val="2"/>
                      <w:sz w:val="21"/>
                      <w:szCs w:val="21"/>
                    </w:rPr>
                  </w:pPr>
                  <w:r>
                    <w:rPr>
                      <w:rFonts w:ascii="Times New Roman" w:hAnsi="Times New Roman"/>
                      <w:color w:val="000000"/>
                      <w:sz w:val="21"/>
                      <w:szCs w:val="21"/>
                    </w:rPr>
                    <w:t>镉≤</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top"/>
                </w:tcPr>
                <w:p>
                  <w:pPr>
                    <w:pStyle w:val="57"/>
                    <w:jc w:val="center"/>
                    <w:rPr>
                      <w:rFonts w:ascii="Times New Roman" w:hAnsi="Times New Roman"/>
                      <w:color w:val="000000"/>
                      <w:kern w:val="2"/>
                      <w:sz w:val="21"/>
                      <w:szCs w:val="21"/>
                    </w:rPr>
                  </w:pPr>
                  <w:r>
                    <w:rPr>
                      <w:rFonts w:ascii="Times New Roman" w:hAnsi="Times New Roman"/>
                      <w:color w:val="000000"/>
                      <w:sz w:val="21"/>
                      <w:szCs w:val="21"/>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color w:val="000000"/>
                      <w:szCs w:val="21"/>
                    </w:rPr>
                  </w:pPr>
                </w:p>
              </w:tc>
              <w:tc>
                <w:tcPr>
                  <w:tcW w:w="2593" w:type="dxa"/>
                  <w:tcBorders>
                    <w:tl2br w:val="nil"/>
                    <w:tr2bl w:val="nil"/>
                  </w:tcBorders>
                  <w:noWrap w:val="0"/>
                  <w:vAlign w:val="center"/>
                </w:tcPr>
                <w:p>
                  <w:pPr>
                    <w:pStyle w:val="57"/>
                    <w:jc w:val="center"/>
                    <w:rPr>
                      <w:rFonts w:ascii="Times New Roman" w:hAnsi="Times New Roman"/>
                      <w:color w:val="000000"/>
                      <w:kern w:val="2"/>
                      <w:sz w:val="21"/>
                      <w:szCs w:val="21"/>
                    </w:rPr>
                  </w:pPr>
                  <w:r>
                    <w:rPr>
                      <w:rFonts w:ascii="Times New Roman" w:hAnsi="Times New Roman"/>
                      <w:color w:val="000000"/>
                      <w:sz w:val="21"/>
                      <w:szCs w:val="21"/>
                    </w:rPr>
                    <w:t>汞≤</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top"/>
                </w:tcPr>
                <w:p>
                  <w:pPr>
                    <w:pStyle w:val="57"/>
                    <w:jc w:val="center"/>
                    <w:rPr>
                      <w:rFonts w:ascii="Times New Roman" w:hAnsi="Times New Roman"/>
                      <w:color w:val="000000"/>
                      <w:kern w:val="2"/>
                      <w:sz w:val="21"/>
                      <w:szCs w:val="21"/>
                    </w:rPr>
                  </w:pPr>
                  <w:r>
                    <w:rPr>
                      <w:rFonts w:ascii="Times New Roman" w:hAnsi="Times New Roman"/>
                      <w:color w:val="000000"/>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center"/>
                </w:tcPr>
                <w:p>
                  <w:pPr>
                    <w:jc w:val="center"/>
                    <w:rPr>
                      <w:color w:val="000000"/>
                      <w:szCs w:val="21"/>
                    </w:rPr>
                  </w:pPr>
                </w:p>
              </w:tc>
              <w:tc>
                <w:tcPr>
                  <w:tcW w:w="2593" w:type="dxa"/>
                  <w:tcBorders>
                    <w:tl2br w:val="nil"/>
                    <w:tr2bl w:val="nil"/>
                  </w:tcBorders>
                  <w:noWrap w:val="0"/>
                  <w:vAlign w:val="center"/>
                </w:tcPr>
                <w:p>
                  <w:pPr>
                    <w:pStyle w:val="57"/>
                    <w:jc w:val="center"/>
                    <w:rPr>
                      <w:rFonts w:ascii="Times New Roman" w:hAnsi="Times New Roman"/>
                      <w:color w:val="000000"/>
                      <w:sz w:val="21"/>
                      <w:szCs w:val="21"/>
                    </w:rPr>
                  </w:pPr>
                  <w:r>
                    <w:rPr>
                      <w:rFonts w:ascii="Times New Roman" w:hAnsi="Times New Roman"/>
                      <w:color w:val="000000"/>
                      <w:sz w:val="21"/>
                      <w:szCs w:val="21"/>
                    </w:rPr>
                    <w:t>砷≤</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top"/>
                </w:tcPr>
                <w:p>
                  <w:pPr>
                    <w:pStyle w:val="57"/>
                    <w:jc w:val="center"/>
                    <w:rPr>
                      <w:rFonts w:ascii="Times New Roman" w:hAnsi="Times New Roman"/>
                      <w:color w:val="000000"/>
                      <w:kern w:val="2"/>
                      <w:sz w:val="21"/>
                      <w:szCs w:val="21"/>
                    </w:rPr>
                  </w:pPr>
                  <w:r>
                    <w:rPr>
                      <w:rFonts w:ascii="Times New Roman" w:hAnsi="Times New Roman"/>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top"/>
                </w:tcPr>
                <w:p>
                  <w:pPr>
                    <w:jc w:val="center"/>
                    <w:rPr>
                      <w:color w:val="000000"/>
                      <w:szCs w:val="21"/>
                    </w:rPr>
                  </w:pPr>
                </w:p>
              </w:tc>
              <w:tc>
                <w:tcPr>
                  <w:tcW w:w="2593" w:type="dxa"/>
                  <w:tcBorders>
                    <w:tl2br w:val="nil"/>
                    <w:tr2bl w:val="nil"/>
                  </w:tcBorders>
                  <w:noWrap w:val="0"/>
                  <w:vAlign w:val="center"/>
                </w:tcPr>
                <w:p>
                  <w:pPr>
                    <w:pStyle w:val="57"/>
                    <w:jc w:val="center"/>
                    <w:rPr>
                      <w:rFonts w:ascii="Times New Roman" w:hAnsi="Times New Roman"/>
                      <w:color w:val="000000"/>
                      <w:sz w:val="21"/>
                      <w:szCs w:val="21"/>
                    </w:rPr>
                  </w:pPr>
                  <w:r>
                    <w:rPr>
                      <w:rFonts w:ascii="Times New Roman" w:hAnsi="Times New Roman"/>
                      <w:color w:val="000000"/>
                      <w:sz w:val="21"/>
                      <w:szCs w:val="21"/>
                    </w:rPr>
                    <w:t>铜≤</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top"/>
                </w:tcPr>
                <w:p>
                  <w:pPr>
                    <w:pStyle w:val="57"/>
                    <w:jc w:val="center"/>
                    <w:rPr>
                      <w:rFonts w:ascii="Times New Roman" w:hAnsi="Times New Roman"/>
                      <w:color w:val="000000"/>
                      <w:kern w:val="2"/>
                      <w:sz w:val="21"/>
                      <w:szCs w:val="21"/>
                    </w:rPr>
                  </w:pPr>
                  <w:r>
                    <w:rPr>
                      <w:rFonts w:ascii="Times New Roman" w:hAnsi="Times New Roman"/>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top"/>
                </w:tcPr>
                <w:p>
                  <w:pPr>
                    <w:jc w:val="center"/>
                    <w:rPr>
                      <w:color w:val="000000"/>
                      <w:szCs w:val="21"/>
                    </w:rPr>
                  </w:pPr>
                </w:p>
              </w:tc>
              <w:tc>
                <w:tcPr>
                  <w:tcW w:w="2593" w:type="dxa"/>
                  <w:tcBorders>
                    <w:tl2br w:val="nil"/>
                    <w:tr2bl w:val="nil"/>
                  </w:tcBorders>
                  <w:noWrap w:val="0"/>
                  <w:vAlign w:val="center"/>
                </w:tcPr>
                <w:p>
                  <w:pPr>
                    <w:pStyle w:val="57"/>
                    <w:jc w:val="center"/>
                    <w:rPr>
                      <w:rFonts w:ascii="Times New Roman" w:hAnsi="Times New Roman"/>
                      <w:color w:val="000000"/>
                      <w:sz w:val="21"/>
                      <w:szCs w:val="21"/>
                    </w:rPr>
                  </w:pPr>
                  <w:r>
                    <w:rPr>
                      <w:rFonts w:ascii="Times New Roman" w:hAnsi="Times New Roman"/>
                      <w:color w:val="000000"/>
                      <w:sz w:val="21"/>
                      <w:szCs w:val="21"/>
                    </w:rPr>
                    <w:t>铅≤</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top"/>
                </w:tcPr>
                <w:p>
                  <w:pPr>
                    <w:pStyle w:val="57"/>
                    <w:jc w:val="center"/>
                    <w:rPr>
                      <w:rFonts w:ascii="Times New Roman" w:hAnsi="Times New Roman"/>
                      <w:color w:val="000000"/>
                      <w:kern w:val="2"/>
                      <w:sz w:val="21"/>
                      <w:szCs w:val="21"/>
                    </w:rPr>
                  </w:pPr>
                  <w:r>
                    <w:rPr>
                      <w:rFonts w:ascii="Times New Roman" w:hAnsi="Times New Roman"/>
                      <w:color w:val="000000"/>
                      <w:sz w:val="2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top"/>
                </w:tcPr>
                <w:p>
                  <w:pPr>
                    <w:jc w:val="center"/>
                    <w:rPr>
                      <w:color w:val="000000"/>
                      <w:szCs w:val="21"/>
                    </w:rPr>
                  </w:pPr>
                </w:p>
              </w:tc>
              <w:tc>
                <w:tcPr>
                  <w:tcW w:w="2593" w:type="dxa"/>
                  <w:tcBorders>
                    <w:tl2br w:val="nil"/>
                    <w:tr2bl w:val="nil"/>
                  </w:tcBorders>
                  <w:noWrap w:val="0"/>
                  <w:vAlign w:val="center"/>
                </w:tcPr>
                <w:p>
                  <w:pPr>
                    <w:pStyle w:val="57"/>
                    <w:jc w:val="center"/>
                    <w:rPr>
                      <w:rFonts w:ascii="Times New Roman" w:hAnsi="Times New Roman"/>
                      <w:color w:val="000000"/>
                      <w:sz w:val="21"/>
                      <w:szCs w:val="21"/>
                    </w:rPr>
                  </w:pPr>
                  <w:r>
                    <w:rPr>
                      <w:rFonts w:ascii="Times New Roman" w:hAnsi="Times New Roman"/>
                      <w:color w:val="000000"/>
                      <w:sz w:val="21"/>
                      <w:szCs w:val="21"/>
                    </w:rPr>
                    <w:t>铬≤</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top"/>
                </w:tcPr>
                <w:p>
                  <w:pPr>
                    <w:pStyle w:val="57"/>
                    <w:jc w:val="center"/>
                    <w:rPr>
                      <w:rFonts w:ascii="Times New Roman" w:hAnsi="Times New Roman"/>
                      <w:color w:val="000000"/>
                      <w:kern w:val="2"/>
                      <w:sz w:val="21"/>
                      <w:szCs w:val="21"/>
                    </w:rPr>
                  </w:pPr>
                  <w:r>
                    <w:rPr>
                      <w:rFonts w:ascii="Times New Roman" w:hAnsi="Times New Roman"/>
                      <w:color w:val="000000"/>
                      <w:sz w:val="2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noWrap w:val="0"/>
                  <w:vAlign w:val="top"/>
                </w:tcPr>
                <w:p>
                  <w:pPr>
                    <w:jc w:val="center"/>
                    <w:rPr>
                      <w:color w:val="000000"/>
                      <w:szCs w:val="21"/>
                    </w:rPr>
                  </w:pPr>
                </w:p>
              </w:tc>
              <w:tc>
                <w:tcPr>
                  <w:tcW w:w="2593" w:type="dxa"/>
                  <w:tcBorders>
                    <w:tl2br w:val="nil"/>
                    <w:tr2bl w:val="nil"/>
                  </w:tcBorders>
                  <w:noWrap w:val="0"/>
                  <w:vAlign w:val="center"/>
                </w:tcPr>
                <w:p>
                  <w:pPr>
                    <w:pStyle w:val="57"/>
                    <w:jc w:val="center"/>
                    <w:rPr>
                      <w:rFonts w:ascii="Times New Roman" w:hAnsi="Times New Roman"/>
                      <w:color w:val="000000"/>
                      <w:sz w:val="21"/>
                      <w:szCs w:val="21"/>
                    </w:rPr>
                  </w:pPr>
                  <w:r>
                    <w:rPr>
                      <w:rFonts w:ascii="Times New Roman" w:hAnsi="Times New Roman"/>
                      <w:color w:val="000000"/>
                      <w:sz w:val="21"/>
                      <w:szCs w:val="21"/>
                    </w:rPr>
                    <w:t>锌≤</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top"/>
                </w:tcPr>
                <w:p>
                  <w:pPr>
                    <w:pStyle w:val="57"/>
                    <w:jc w:val="center"/>
                    <w:rPr>
                      <w:rFonts w:ascii="Times New Roman" w:hAnsi="Times New Roman"/>
                      <w:color w:val="000000"/>
                      <w:kern w:val="2"/>
                      <w:sz w:val="21"/>
                      <w:szCs w:val="21"/>
                    </w:rPr>
                  </w:pPr>
                  <w:r>
                    <w:rPr>
                      <w:rFonts w:ascii="Times New Roman" w:hAnsi="Times New Roman"/>
                      <w:color w:val="00000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465" w:type="dxa"/>
                  <w:vMerge w:val="continue"/>
                  <w:tcBorders>
                    <w:tl2br w:val="nil"/>
                    <w:tr2bl w:val="nil"/>
                  </w:tcBorders>
                  <w:noWrap w:val="0"/>
                  <w:vAlign w:val="top"/>
                </w:tcPr>
                <w:p>
                  <w:pPr>
                    <w:jc w:val="center"/>
                    <w:rPr>
                      <w:color w:val="000000"/>
                      <w:szCs w:val="21"/>
                    </w:rPr>
                  </w:pPr>
                </w:p>
              </w:tc>
              <w:tc>
                <w:tcPr>
                  <w:tcW w:w="2593" w:type="dxa"/>
                  <w:tcBorders>
                    <w:tl2br w:val="nil"/>
                    <w:tr2bl w:val="nil"/>
                  </w:tcBorders>
                  <w:noWrap w:val="0"/>
                  <w:vAlign w:val="center"/>
                </w:tcPr>
                <w:p>
                  <w:pPr>
                    <w:pStyle w:val="57"/>
                    <w:jc w:val="center"/>
                    <w:rPr>
                      <w:rFonts w:ascii="Times New Roman" w:hAnsi="Times New Roman"/>
                      <w:color w:val="000000"/>
                      <w:sz w:val="21"/>
                      <w:szCs w:val="21"/>
                    </w:rPr>
                  </w:pPr>
                  <w:r>
                    <w:rPr>
                      <w:rFonts w:ascii="Times New Roman" w:hAnsi="Times New Roman"/>
                      <w:color w:val="000000"/>
                      <w:sz w:val="21"/>
                      <w:szCs w:val="21"/>
                    </w:rPr>
                    <w:t>镍≤</w:t>
                  </w:r>
                </w:p>
              </w:tc>
              <w:tc>
                <w:tcPr>
                  <w:tcW w:w="1312" w:type="dxa"/>
                  <w:tcBorders>
                    <w:tl2br w:val="nil"/>
                    <w:tr2bl w:val="nil"/>
                  </w:tcBorders>
                  <w:noWrap w:val="0"/>
                  <w:vAlign w:val="center"/>
                </w:tcPr>
                <w:p>
                  <w:pPr>
                    <w:jc w:val="center"/>
                    <w:rPr>
                      <w:bCs/>
                      <w:color w:val="000000"/>
                      <w:szCs w:val="21"/>
                    </w:rPr>
                  </w:pPr>
                  <w:r>
                    <w:rPr>
                      <w:bCs/>
                      <w:color w:val="000000"/>
                      <w:szCs w:val="21"/>
                    </w:rPr>
                    <w:t>mg/kg</w:t>
                  </w:r>
                </w:p>
              </w:tc>
              <w:tc>
                <w:tcPr>
                  <w:tcW w:w="1768" w:type="dxa"/>
                  <w:tcBorders>
                    <w:tl2br w:val="nil"/>
                    <w:tr2bl w:val="nil"/>
                  </w:tcBorders>
                  <w:noWrap w:val="0"/>
                  <w:vAlign w:val="top"/>
                </w:tcPr>
                <w:p>
                  <w:pPr>
                    <w:pStyle w:val="57"/>
                    <w:jc w:val="center"/>
                    <w:rPr>
                      <w:rFonts w:ascii="Times New Roman" w:hAnsi="Times New Roman"/>
                      <w:color w:val="000000"/>
                      <w:kern w:val="2"/>
                      <w:sz w:val="21"/>
                      <w:szCs w:val="21"/>
                    </w:rPr>
                  </w:pPr>
                  <w:r>
                    <w:rPr>
                      <w:rFonts w:ascii="Times New Roman" w:hAnsi="Times New Roman"/>
                      <w:color w:val="000000"/>
                      <w:sz w:val="21"/>
                      <w:szCs w:val="21"/>
                    </w:rPr>
                    <w:t>190</w:t>
                  </w:r>
                </w:p>
              </w:tc>
            </w:tr>
          </w:tbl>
          <w:p>
            <w:pPr>
              <w:pStyle w:val="60"/>
              <w:ind w:firstLine="420"/>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00" w:type="dxa"/>
            <w:vMerge w:val="continue"/>
            <w:tcMar>
              <w:left w:w="28" w:type="dxa"/>
              <w:right w:w="28" w:type="dxa"/>
            </w:tcMar>
            <w:vAlign w:val="center"/>
          </w:tcPr>
          <w:p>
            <w:pPr>
              <w:adjustRightInd w:val="0"/>
              <w:snapToGrid w:val="0"/>
              <w:jc w:val="center"/>
              <w:rPr>
                <w:color w:val="auto"/>
                <w:kern w:val="0"/>
                <w:szCs w:val="21"/>
              </w:rPr>
            </w:pPr>
          </w:p>
        </w:tc>
        <w:tc>
          <w:tcPr>
            <w:tcW w:w="8237" w:type="dxa"/>
          </w:tcPr>
          <w:p>
            <w:pPr>
              <w:pStyle w:val="60"/>
              <w:ind w:left="0" w:leftChars="0" w:firstLine="0" w:firstLineChars="0"/>
              <w:rPr>
                <w:rFonts w:hint="default"/>
                <w:b/>
                <w:bCs/>
                <w:color w:val="auto"/>
                <w:sz w:val="24"/>
                <w:szCs w:val="24"/>
                <w:lang w:val="en-US" w:eastAsia="zh-CN"/>
              </w:rPr>
            </w:pPr>
            <w:r>
              <w:rPr>
                <w:rFonts w:hint="eastAsia"/>
                <w:b/>
                <w:bCs/>
                <w:color w:val="auto"/>
                <w:sz w:val="24"/>
                <w:szCs w:val="24"/>
                <w:lang w:val="en-US" w:eastAsia="zh-CN"/>
              </w:rPr>
              <w:t>3.排放标准</w:t>
            </w:r>
          </w:p>
          <w:p>
            <w:pPr>
              <w:pStyle w:val="60"/>
              <w:ind w:firstLine="420"/>
              <w:rPr>
                <w:rFonts w:hint="eastAsia" w:eastAsia="宋体"/>
                <w:color w:val="auto"/>
                <w:sz w:val="24"/>
                <w:szCs w:val="24"/>
                <w:lang w:val="en-US" w:eastAsia="zh-CN"/>
              </w:rPr>
            </w:pPr>
            <w:r>
              <w:rPr>
                <w:rFonts w:hint="eastAsia"/>
                <w:color w:val="auto"/>
                <w:sz w:val="24"/>
                <w:szCs w:val="24"/>
                <w:lang w:val="en-US" w:eastAsia="zh-CN"/>
              </w:rPr>
              <w:t>（1）废气</w:t>
            </w:r>
          </w:p>
          <w:p>
            <w:pPr>
              <w:pStyle w:val="60"/>
              <w:ind w:firstLine="420"/>
              <w:rPr>
                <w:color w:val="auto"/>
                <w:sz w:val="24"/>
                <w:szCs w:val="24"/>
              </w:rPr>
            </w:pPr>
            <w:r>
              <w:rPr>
                <w:rFonts w:hint="eastAsia"/>
                <w:color w:val="auto"/>
                <w:sz w:val="24"/>
                <w:szCs w:val="24"/>
                <w:lang w:val="en-US" w:eastAsia="zh-CN"/>
              </w:rPr>
              <w:t>①</w:t>
            </w:r>
            <w:r>
              <w:rPr>
                <w:color w:val="auto"/>
                <w:sz w:val="24"/>
                <w:szCs w:val="24"/>
              </w:rPr>
              <w:t>施工期</w:t>
            </w:r>
          </w:p>
          <w:p>
            <w:pPr>
              <w:pStyle w:val="60"/>
              <w:ind w:firstLine="420"/>
              <w:rPr>
                <w:color w:val="auto"/>
                <w:sz w:val="24"/>
                <w:szCs w:val="24"/>
              </w:rPr>
            </w:pPr>
            <w:r>
              <w:rPr>
                <w:color w:val="auto"/>
                <w:sz w:val="24"/>
                <w:szCs w:val="24"/>
              </w:rPr>
              <w:t>施工期扬尘排放执行《大气污染物综合排放标准》（GB16297-1996）中“新污染源大气污染物排放限值”中无组织排放监控浓度限值（周界外浓度最高点）。</w:t>
            </w:r>
          </w:p>
          <w:p>
            <w:pPr>
              <w:pStyle w:val="14"/>
              <w:keepNext/>
              <w:spacing w:line="240" w:lineRule="auto"/>
              <w:rPr>
                <w:rFonts w:cs="Times New Roman"/>
                <w:color w:val="auto"/>
                <w:sz w:val="21"/>
                <w:szCs w:val="21"/>
              </w:rPr>
            </w:pPr>
            <w:r>
              <w:rPr>
                <w:rFonts w:eastAsia="宋体" w:cs="Times New Roman"/>
                <w:color w:val="auto"/>
                <w:sz w:val="21"/>
                <w:szCs w:val="21"/>
              </w:rPr>
              <w:t>表</w:t>
            </w:r>
            <w:r>
              <w:rPr>
                <w:rFonts w:hint="eastAsia" w:eastAsia="宋体" w:cs="Times New Roman"/>
                <w:color w:val="auto"/>
                <w:sz w:val="21"/>
                <w:szCs w:val="21"/>
                <w:lang w:val="en-US" w:eastAsia="zh-CN"/>
              </w:rPr>
              <w:t xml:space="preserve">3-19   </w:t>
            </w:r>
            <w:r>
              <w:rPr>
                <w:rFonts w:eastAsia="宋体" w:cs="Times New Roman"/>
                <w:color w:val="auto"/>
                <w:sz w:val="21"/>
                <w:szCs w:val="21"/>
              </w:rPr>
              <w:t>施工期粉尘无组织排放标准</w:t>
            </w:r>
          </w:p>
          <w:tbl>
            <w:tblPr>
              <w:tblStyle w:val="30"/>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693"/>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24" w:type="dxa"/>
                  <w:vMerge w:val="restart"/>
                  <w:noWrap/>
                  <w:vAlign w:val="center"/>
                </w:tcPr>
                <w:p>
                  <w:pPr>
                    <w:pStyle w:val="57"/>
                    <w:rPr>
                      <w:color w:val="auto"/>
                      <w:sz w:val="21"/>
                      <w:szCs w:val="21"/>
                    </w:rPr>
                  </w:pPr>
                  <w:r>
                    <w:rPr>
                      <w:color w:val="auto"/>
                      <w:sz w:val="21"/>
                      <w:szCs w:val="21"/>
                    </w:rPr>
                    <w:t>污染物</w:t>
                  </w:r>
                </w:p>
              </w:tc>
              <w:tc>
                <w:tcPr>
                  <w:tcW w:w="5379" w:type="dxa"/>
                  <w:gridSpan w:val="2"/>
                  <w:noWrap/>
                  <w:vAlign w:val="center"/>
                </w:tcPr>
                <w:p>
                  <w:pPr>
                    <w:pStyle w:val="57"/>
                    <w:rPr>
                      <w:color w:val="auto"/>
                      <w:sz w:val="21"/>
                      <w:szCs w:val="21"/>
                    </w:rPr>
                  </w:pPr>
                  <w:r>
                    <w:rPr>
                      <w:color w:val="auto"/>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24" w:type="dxa"/>
                  <w:vMerge w:val="continue"/>
                  <w:noWrap/>
                  <w:vAlign w:val="center"/>
                </w:tcPr>
                <w:p>
                  <w:pPr>
                    <w:pStyle w:val="57"/>
                    <w:rPr>
                      <w:color w:val="auto"/>
                      <w:sz w:val="21"/>
                      <w:szCs w:val="21"/>
                    </w:rPr>
                  </w:pPr>
                </w:p>
              </w:tc>
              <w:tc>
                <w:tcPr>
                  <w:tcW w:w="2693" w:type="dxa"/>
                  <w:noWrap/>
                  <w:vAlign w:val="center"/>
                </w:tcPr>
                <w:p>
                  <w:pPr>
                    <w:pStyle w:val="57"/>
                    <w:rPr>
                      <w:color w:val="auto"/>
                      <w:sz w:val="21"/>
                      <w:szCs w:val="21"/>
                    </w:rPr>
                  </w:pPr>
                  <w:r>
                    <w:rPr>
                      <w:color w:val="auto"/>
                      <w:sz w:val="21"/>
                      <w:szCs w:val="21"/>
                    </w:rPr>
                    <w:t>监控点</w:t>
                  </w:r>
                </w:p>
              </w:tc>
              <w:tc>
                <w:tcPr>
                  <w:tcW w:w="2686" w:type="dxa"/>
                  <w:noWrap/>
                  <w:vAlign w:val="center"/>
                </w:tcPr>
                <w:p>
                  <w:pPr>
                    <w:pStyle w:val="57"/>
                    <w:rPr>
                      <w:color w:val="auto"/>
                      <w:sz w:val="21"/>
                      <w:szCs w:val="21"/>
                    </w:rPr>
                  </w:pPr>
                  <w:r>
                    <w:rPr>
                      <w:color w:val="auto"/>
                      <w:sz w:val="21"/>
                      <w:szCs w:val="21"/>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24" w:type="dxa"/>
                  <w:noWrap/>
                  <w:vAlign w:val="center"/>
                </w:tcPr>
                <w:p>
                  <w:pPr>
                    <w:pStyle w:val="57"/>
                    <w:rPr>
                      <w:color w:val="auto"/>
                      <w:sz w:val="21"/>
                      <w:szCs w:val="21"/>
                    </w:rPr>
                  </w:pPr>
                  <w:r>
                    <w:rPr>
                      <w:color w:val="auto"/>
                      <w:sz w:val="21"/>
                      <w:szCs w:val="21"/>
                    </w:rPr>
                    <w:t>颗粒物</w:t>
                  </w:r>
                </w:p>
              </w:tc>
              <w:tc>
                <w:tcPr>
                  <w:tcW w:w="2693" w:type="dxa"/>
                  <w:noWrap/>
                  <w:vAlign w:val="center"/>
                </w:tcPr>
                <w:p>
                  <w:pPr>
                    <w:pStyle w:val="57"/>
                    <w:rPr>
                      <w:color w:val="auto"/>
                      <w:sz w:val="21"/>
                      <w:szCs w:val="21"/>
                    </w:rPr>
                  </w:pPr>
                  <w:r>
                    <w:rPr>
                      <w:color w:val="auto"/>
                      <w:sz w:val="21"/>
                      <w:szCs w:val="21"/>
                    </w:rPr>
                    <w:t>周界外浓度最高点</w:t>
                  </w:r>
                </w:p>
              </w:tc>
              <w:tc>
                <w:tcPr>
                  <w:tcW w:w="2686" w:type="dxa"/>
                  <w:noWrap/>
                  <w:vAlign w:val="center"/>
                </w:tcPr>
                <w:p>
                  <w:pPr>
                    <w:pStyle w:val="57"/>
                    <w:rPr>
                      <w:color w:val="auto"/>
                      <w:sz w:val="21"/>
                      <w:szCs w:val="21"/>
                    </w:rPr>
                  </w:pPr>
                  <w:r>
                    <w:rPr>
                      <w:color w:val="auto"/>
                      <w:sz w:val="21"/>
                      <w:szCs w:val="21"/>
                    </w:rPr>
                    <w:t>1</w:t>
                  </w:r>
                  <w:r>
                    <w:rPr>
                      <w:rFonts w:hint="eastAsia"/>
                      <w:color w:val="auto"/>
                      <w:sz w:val="21"/>
                      <w:szCs w:val="21"/>
                      <w:lang w:val="en-US" w:eastAsia="zh-CN"/>
                    </w:rPr>
                    <w:t>.0</w:t>
                  </w:r>
                  <w:r>
                    <w:rPr>
                      <w:color w:val="auto"/>
                      <w:sz w:val="21"/>
                      <w:szCs w:val="21"/>
                    </w:rPr>
                    <w:t>mg/m</w:t>
                  </w:r>
                  <w:r>
                    <w:rPr>
                      <w:color w:val="auto"/>
                      <w:sz w:val="21"/>
                      <w:szCs w:val="21"/>
                      <w:vertAlign w:val="superscript"/>
                    </w:rPr>
                    <w:t>3</w:t>
                  </w:r>
                </w:p>
              </w:tc>
            </w:tr>
          </w:tbl>
          <w:p>
            <w:pPr>
              <w:pStyle w:val="60"/>
              <w:ind w:firstLine="420"/>
              <w:rPr>
                <w:color w:val="auto"/>
                <w:sz w:val="24"/>
                <w:szCs w:val="24"/>
              </w:rPr>
            </w:pPr>
            <w:r>
              <w:rPr>
                <w:rFonts w:hint="eastAsia"/>
                <w:color w:val="auto"/>
                <w:sz w:val="24"/>
                <w:szCs w:val="24"/>
                <w:lang w:val="en-US" w:eastAsia="zh-CN"/>
              </w:rPr>
              <w:t>②</w:t>
            </w:r>
            <w:r>
              <w:rPr>
                <w:color w:val="auto"/>
                <w:sz w:val="24"/>
                <w:szCs w:val="24"/>
              </w:rPr>
              <w:t>运营期</w:t>
            </w:r>
          </w:p>
          <w:p>
            <w:pPr>
              <w:pStyle w:val="60"/>
              <w:ind w:firstLine="420"/>
              <w:rPr>
                <w:color w:val="auto"/>
                <w:sz w:val="24"/>
                <w:szCs w:val="24"/>
              </w:rPr>
            </w:pPr>
            <w:r>
              <w:rPr>
                <w:color w:val="auto"/>
                <w:sz w:val="24"/>
                <w:szCs w:val="24"/>
              </w:rPr>
              <w:t>项目</w:t>
            </w:r>
            <w:r>
              <w:rPr>
                <w:rFonts w:hint="eastAsia"/>
                <w:color w:val="auto"/>
                <w:sz w:val="24"/>
                <w:szCs w:val="24"/>
                <w:lang w:val="en-US" w:eastAsia="zh-CN"/>
              </w:rPr>
              <w:t>原料</w:t>
            </w:r>
            <w:r>
              <w:rPr>
                <w:color w:val="auto"/>
                <w:sz w:val="24"/>
                <w:szCs w:val="24"/>
              </w:rPr>
              <w:t>破碎和筛分粉尘、隧道窑烟尘、SO</w:t>
            </w:r>
            <w:r>
              <w:rPr>
                <w:color w:val="auto"/>
                <w:sz w:val="24"/>
                <w:szCs w:val="24"/>
                <w:vertAlign w:val="subscript"/>
              </w:rPr>
              <w:t>2</w:t>
            </w:r>
            <w:r>
              <w:rPr>
                <w:color w:val="auto"/>
                <w:sz w:val="24"/>
                <w:szCs w:val="24"/>
              </w:rPr>
              <w:t>、NO</w:t>
            </w:r>
            <w:r>
              <w:rPr>
                <w:i/>
                <w:iCs/>
                <w:color w:val="auto"/>
                <w:sz w:val="24"/>
                <w:szCs w:val="24"/>
              </w:rPr>
              <w:t>x</w:t>
            </w:r>
            <w:r>
              <w:rPr>
                <w:rFonts w:hint="eastAsia"/>
                <w:i/>
                <w:iCs/>
                <w:color w:val="auto"/>
                <w:sz w:val="24"/>
                <w:szCs w:val="24"/>
                <w:lang w:eastAsia="zh-CN"/>
              </w:rPr>
              <w:t>、</w:t>
            </w:r>
            <w:r>
              <w:rPr>
                <w:rFonts w:hint="eastAsia"/>
                <w:color w:val="auto"/>
                <w:sz w:val="24"/>
                <w:szCs w:val="24"/>
                <w:vertAlign w:val="baseline"/>
                <w:lang w:val="en-US" w:eastAsia="zh-CN"/>
              </w:rPr>
              <w:t>氟化物</w:t>
            </w:r>
            <w:r>
              <w:rPr>
                <w:color w:val="auto"/>
                <w:sz w:val="24"/>
                <w:szCs w:val="24"/>
              </w:rPr>
              <w:t>排放执行《砖瓦工业大气污染物排放标准》（GB29620-2013）表2及修改单标准限值；</w:t>
            </w:r>
            <w:r>
              <w:rPr>
                <w:rFonts w:hint="eastAsia"/>
                <w:color w:val="auto"/>
                <w:sz w:val="24"/>
              </w:rPr>
              <w:t>项目厂界</w:t>
            </w:r>
            <w:r>
              <w:rPr>
                <w:color w:val="auto"/>
                <w:sz w:val="24"/>
              </w:rPr>
              <w:t>无组织</w:t>
            </w:r>
            <w:r>
              <w:rPr>
                <w:rFonts w:hint="eastAsia"/>
                <w:color w:val="auto"/>
                <w:sz w:val="24"/>
              </w:rPr>
              <w:t>颗粒物、</w:t>
            </w:r>
            <w:r>
              <w:rPr>
                <w:color w:val="auto"/>
                <w:sz w:val="24"/>
              </w:rPr>
              <w:t>SO</w:t>
            </w:r>
            <w:r>
              <w:rPr>
                <w:color w:val="auto"/>
                <w:sz w:val="24"/>
                <w:vertAlign w:val="subscript"/>
              </w:rPr>
              <w:t>2</w:t>
            </w:r>
            <w:r>
              <w:rPr>
                <w:rFonts w:hint="eastAsia"/>
                <w:color w:val="auto"/>
                <w:sz w:val="24"/>
              </w:rPr>
              <w:t>、氟化物</w:t>
            </w:r>
            <w:r>
              <w:rPr>
                <w:color w:val="auto"/>
                <w:sz w:val="24"/>
              </w:rPr>
              <w:t>执行《砖瓦工业大气污染物排放标准》（GB29620-2013）表3标准限值</w:t>
            </w:r>
            <w:r>
              <w:rPr>
                <w:color w:val="auto"/>
                <w:sz w:val="24"/>
                <w:szCs w:val="24"/>
              </w:rPr>
              <w:t>。</w:t>
            </w:r>
          </w:p>
          <w:p>
            <w:pPr>
              <w:pStyle w:val="14"/>
              <w:keepNext/>
              <w:spacing w:line="240" w:lineRule="auto"/>
              <w:rPr>
                <w:rFonts w:cs="Times New Roman"/>
                <w:color w:val="auto"/>
                <w:sz w:val="21"/>
                <w:szCs w:val="21"/>
              </w:rPr>
            </w:pPr>
            <w:r>
              <w:rPr>
                <w:rFonts w:eastAsia="宋体" w:cs="Times New Roman"/>
                <w:color w:val="auto"/>
                <w:sz w:val="21"/>
                <w:szCs w:val="21"/>
              </w:rPr>
              <w:t>表</w:t>
            </w:r>
            <w:r>
              <w:rPr>
                <w:rFonts w:hint="eastAsia" w:eastAsia="宋体" w:cs="Times New Roman"/>
                <w:color w:val="auto"/>
                <w:sz w:val="21"/>
                <w:szCs w:val="21"/>
                <w:lang w:val="en-US" w:eastAsia="zh-CN"/>
              </w:rPr>
              <w:t xml:space="preserve">3-20   </w:t>
            </w:r>
            <w:r>
              <w:rPr>
                <w:rFonts w:eastAsia="宋体" w:cs="Times New Roman"/>
                <w:color w:val="auto"/>
                <w:sz w:val="21"/>
                <w:szCs w:val="21"/>
              </w:rPr>
              <w:t>运营期生产废气排放标准</w:t>
            </w:r>
          </w:p>
          <w:tbl>
            <w:tblPr>
              <w:tblStyle w:val="30"/>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81"/>
              <w:gridCol w:w="777"/>
              <w:gridCol w:w="996"/>
              <w:gridCol w:w="1050"/>
              <w:gridCol w:w="736"/>
              <w:gridCol w:w="791"/>
              <w:gridCol w:w="68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44" w:type="dxa"/>
                  <w:vMerge w:val="restart"/>
                  <w:noWrap/>
                  <w:vAlign w:val="center"/>
                </w:tcPr>
                <w:p>
                  <w:pPr>
                    <w:pStyle w:val="57"/>
                    <w:rPr>
                      <w:color w:val="auto"/>
                      <w:szCs w:val="21"/>
                    </w:rPr>
                  </w:pPr>
                  <w:r>
                    <w:rPr>
                      <w:color w:val="auto"/>
                      <w:szCs w:val="21"/>
                    </w:rPr>
                    <w:t>生产过程</w:t>
                  </w:r>
                </w:p>
              </w:tc>
              <w:tc>
                <w:tcPr>
                  <w:tcW w:w="3704" w:type="dxa"/>
                  <w:gridSpan w:val="4"/>
                  <w:noWrap/>
                  <w:vAlign w:val="center"/>
                </w:tcPr>
                <w:p>
                  <w:pPr>
                    <w:pStyle w:val="57"/>
                    <w:rPr>
                      <w:color w:val="auto"/>
                      <w:szCs w:val="21"/>
                    </w:rPr>
                  </w:pPr>
                  <w:r>
                    <w:rPr>
                      <w:color w:val="auto"/>
                      <w:szCs w:val="21"/>
                    </w:rPr>
                    <w:t>有组织最高允许排放浓度限值（mg/m</w:t>
                  </w:r>
                  <w:r>
                    <w:rPr>
                      <w:color w:val="auto"/>
                      <w:szCs w:val="21"/>
                      <w:vertAlign w:val="superscript"/>
                    </w:rPr>
                    <w:t>3</w:t>
                  </w:r>
                  <w:r>
                    <w:rPr>
                      <w:color w:val="auto"/>
                      <w:szCs w:val="21"/>
                    </w:rPr>
                    <w:t>）</w:t>
                  </w:r>
                </w:p>
              </w:tc>
              <w:tc>
                <w:tcPr>
                  <w:tcW w:w="736" w:type="dxa"/>
                  <w:vMerge w:val="restart"/>
                  <w:noWrap/>
                  <w:vAlign w:val="center"/>
                </w:tcPr>
                <w:p>
                  <w:pPr>
                    <w:pStyle w:val="57"/>
                    <w:rPr>
                      <w:rFonts w:hint="default" w:eastAsia="宋体"/>
                      <w:color w:val="auto"/>
                      <w:szCs w:val="21"/>
                      <w:lang w:val="en-US" w:eastAsia="zh-CN"/>
                    </w:rPr>
                  </w:pPr>
                  <w:r>
                    <w:rPr>
                      <w:rFonts w:hint="eastAsia"/>
                      <w:color w:val="auto"/>
                      <w:szCs w:val="21"/>
                      <w:lang w:val="en-US" w:eastAsia="zh-CN"/>
                    </w:rPr>
                    <w:t>排气筒高度（m）</w:t>
                  </w:r>
                </w:p>
              </w:tc>
              <w:tc>
                <w:tcPr>
                  <w:tcW w:w="2227" w:type="dxa"/>
                  <w:gridSpan w:val="3"/>
                  <w:noWrap/>
                  <w:vAlign w:val="center"/>
                </w:tcPr>
                <w:p>
                  <w:pPr>
                    <w:pStyle w:val="57"/>
                    <w:rPr>
                      <w:color w:val="auto"/>
                      <w:szCs w:val="21"/>
                    </w:rPr>
                  </w:pPr>
                  <w:r>
                    <w:rPr>
                      <w:color w:val="auto"/>
                      <w:szCs w:val="21"/>
                    </w:rPr>
                    <w:t>无组织排放监控浓度限值（mg/m</w:t>
                  </w:r>
                  <w:r>
                    <w:rPr>
                      <w:color w:val="auto"/>
                      <w:szCs w:val="21"/>
                      <w:vertAlign w:val="superscript"/>
                    </w:rPr>
                    <w:t>3</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4" w:type="dxa"/>
                  <w:vMerge w:val="continue"/>
                  <w:noWrap/>
                  <w:vAlign w:val="center"/>
                </w:tcPr>
                <w:p>
                  <w:pPr>
                    <w:pStyle w:val="57"/>
                    <w:rPr>
                      <w:color w:val="auto"/>
                      <w:szCs w:val="21"/>
                    </w:rPr>
                  </w:pPr>
                </w:p>
              </w:tc>
              <w:tc>
                <w:tcPr>
                  <w:tcW w:w="881" w:type="dxa"/>
                  <w:noWrap/>
                  <w:vAlign w:val="center"/>
                </w:tcPr>
                <w:p>
                  <w:pPr>
                    <w:pStyle w:val="57"/>
                    <w:rPr>
                      <w:color w:val="auto"/>
                      <w:szCs w:val="21"/>
                    </w:rPr>
                  </w:pPr>
                  <w:r>
                    <w:rPr>
                      <w:color w:val="auto"/>
                      <w:szCs w:val="21"/>
                    </w:rPr>
                    <w:t>颗粒物</w:t>
                  </w:r>
                </w:p>
              </w:tc>
              <w:tc>
                <w:tcPr>
                  <w:tcW w:w="777" w:type="dxa"/>
                  <w:noWrap/>
                  <w:vAlign w:val="center"/>
                </w:tcPr>
                <w:p>
                  <w:pPr>
                    <w:pStyle w:val="57"/>
                    <w:rPr>
                      <w:color w:val="auto"/>
                      <w:szCs w:val="21"/>
                    </w:rPr>
                  </w:pPr>
                  <w:r>
                    <w:rPr>
                      <w:color w:val="auto"/>
                      <w:szCs w:val="21"/>
                    </w:rPr>
                    <w:t>SO</w:t>
                  </w:r>
                  <w:r>
                    <w:rPr>
                      <w:color w:val="auto"/>
                      <w:szCs w:val="21"/>
                      <w:vertAlign w:val="subscript"/>
                    </w:rPr>
                    <w:t>2</w:t>
                  </w:r>
                </w:p>
              </w:tc>
              <w:tc>
                <w:tcPr>
                  <w:tcW w:w="996" w:type="dxa"/>
                  <w:noWrap/>
                  <w:vAlign w:val="center"/>
                </w:tcPr>
                <w:p>
                  <w:pPr>
                    <w:pStyle w:val="57"/>
                    <w:rPr>
                      <w:color w:val="auto"/>
                      <w:szCs w:val="21"/>
                    </w:rPr>
                  </w:pPr>
                  <w:r>
                    <w:rPr>
                      <w:color w:val="auto"/>
                      <w:szCs w:val="21"/>
                    </w:rPr>
                    <w:t>NO</w:t>
                  </w:r>
                  <w:r>
                    <w:rPr>
                      <w:i/>
                      <w:iCs/>
                      <w:color w:val="auto"/>
                      <w:szCs w:val="21"/>
                    </w:rPr>
                    <w:t>x</w:t>
                  </w:r>
                  <w:r>
                    <w:rPr>
                      <w:color w:val="auto"/>
                      <w:szCs w:val="21"/>
                    </w:rPr>
                    <w:t>（以NO</w:t>
                  </w:r>
                  <w:r>
                    <w:rPr>
                      <w:color w:val="auto"/>
                      <w:szCs w:val="21"/>
                      <w:vertAlign w:val="subscript"/>
                    </w:rPr>
                    <w:t>2</w:t>
                  </w:r>
                  <w:r>
                    <w:rPr>
                      <w:color w:val="auto"/>
                      <w:szCs w:val="21"/>
                    </w:rPr>
                    <w:t>计）</w:t>
                  </w:r>
                </w:p>
              </w:tc>
              <w:tc>
                <w:tcPr>
                  <w:tcW w:w="1050" w:type="dxa"/>
                  <w:vAlign w:val="center"/>
                </w:tcPr>
                <w:p>
                  <w:pPr>
                    <w:pStyle w:val="57"/>
                    <w:rPr>
                      <w:color w:val="auto"/>
                      <w:szCs w:val="21"/>
                    </w:rPr>
                  </w:pPr>
                  <w:r>
                    <w:rPr>
                      <w:rFonts w:hint="eastAsia"/>
                      <w:color w:val="auto"/>
                      <w:szCs w:val="21"/>
                    </w:rPr>
                    <w:t>氟化物（以F计）</w:t>
                  </w:r>
                </w:p>
              </w:tc>
              <w:tc>
                <w:tcPr>
                  <w:tcW w:w="736" w:type="dxa"/>
                  <w:vMerge w:val="continue"/>
                  <w:noWrap/>
                  <w:vAlign w:val="center"/>
                </w:tcPr>
                <w:p>
                  <w:pPr>
                    <w:pStyle w:val="57"/>
                    <w:rPr>
                      <w:rFonts w:hint="eastAsia"/>
                      <w:color w:val="auto"/>
                      <w:szCs w:val="21"/>
                    </w:rPr>
                  </w:pPr>
                </w:p>
              </w:tc>
              <w:tc>
                <w:tcPr>
                  <w:tcW w:w="791" w:type="dxa"/>
                  <w:noWrap/>
                  <w:vAlign w:val="center"/>
                </w:tcPr>
                <w:p>
                  <w:pPr>
                    <w:pStyle w:val="57"/>
                    <w:rPr>
                      <w:color w:val="auto"/>
                      <w:szCs w:val="21"/>
                    </w:rPr>
                  </w:pPr>
                  <w:r>
                    <w:rPr>
                      <w:rFonts w:hint="eastAsia"/>
                      <w:color w:val="auto"/>
                      <w:szCs w:val="21"/>
                    </w:rPr>
                    <w:t>TSP</w:t>
                  </w:r>
                </w:p>
              </w:tc>
              <w:tc>
                <w:tcPr>
                  <w:tcW w:w="682" w:type="dxa"/>
                  <w:vAlign w:val="center"/>
                </w:tcPr>
                <w:p>
                  <w:pPr>
                    <w:pStyle w:val="57"/>
                    <w:rPr>
                      <w:color w:val="auto"/>
                      <w:szCs w:val="21"/>
                    </w:rPr>
                  </w:pPr>
                  <w:r>
                    <w:rPr>
                      <w:color w:val="auto"/>
                      <w:szCs w:val="21"/>
                    </w:rPr>
                    <w:t>SO</w:t>
                  </w:r>
                  <w:r>
                    <w:rPr>
                      <w:color w:val="auto"/>
                      <w:szCs w:val="21"/>
                      <w:vertAlign w:val="subscript"/>
                    </w:rPr>
                    <w:t>2</w:t>
                  </w:r>
                </w:p>
              </w:tc>
              <w:tc>
                <w:tcPr>
                  <w:tcW w:w="754" w:type="dxa"/>
                  <w:vAlign w:val="center"/>
                </w:tcPr>
                <w:p>
                  <w:pPr>
                    <w:pStyle w:val="57"/>
                    <w:rPr>
                      <w:color w:val="auto"/>
                      <w:szCs w:val="21"/>
                    </w:rPr>
                  </w:pPr>
                  <w:r>
                    <w:rPr>
                      <w:rFonts w:hint="eastAsia"/>
                      <w:color w:val="auto"/>
                      <w:szCs w:val="21"/>
                    </w:rPr>
                    <w:t>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44" w:type="dxa"/>
                  <w:noWrap/>
                  <w:vAlign w:val="center"/>
                </w:tcPr>
                <w:p>
                  <w:pPr>
                    <w:pStyle w:val="57"/>
                    <w:rPr>
                      <w:szCs w:val="21"/>
                    </w:rPr>
                  </w:pPr>
                  <w:r>
                    <w:rPr>
                      <w:szCs w:val="21"/>
                    </w:rPr>
                    <w:t>原料燃料破碎及制备成型</w:t>
                  </w:r>
                </w:p>
              </w:tc>
              <w:tc>
                <w:tcPr>
                  <w:tcW w:w="881" w:type="dxa"/>
                  <w:noWrap/>
                  <w:vAlign w:val="center"/>
                </w:tcPr>
                <w:p>
                  <w:pPr>
                    <w:pStyle w:val="57"/>
                    <w:rPr>
                      <w:szCs w:val="21"/>
                    </w:rPr>
                  </w:pPr>
                  <w:r>
                    <w:rPr>
                      <w:szCs w:val="21"/>
                    </w:rPr>
                    <w:t>30</w:t>
                  </w:r>
                </w:p>
              </w:tc>
              <w:tc>
                <w:tcPr>
                  <w:tcW w:w="777" w:type="dxa"/>
                  <w:noWrap/>
                  <w:vAlign w:val="center"/>
                </w:tcPr>
                <w:p>
                  <w:pPr>
                    <w:pStyle w:val="57"/>
                    <w:rPr>
                      <w:szCs w:val="21"/>
                    </w:rPr>
                  </w:pPr>
                  <w:r>
                    <w:rPr>
                      <w:szCs w:val="21"/>
                    </w:rPr>
                    <w:t>/</w:t>
                  </w:r>
                </w:p>
              </w:tc>
              <w:tc>
                <w:tcPr>
                  <w:tcW w:w="996" w:type="dxa"/>
                  <w:noWrap/>
                  <w:vAlign w:val="center"/>
                </w:tcPr>
                <w:p>
                  <w:pPr>
                    <w:pStyle w:val="57"/>
                    <w:rPr>
                      <w:szCs w:val="21"/>
                    </w:rPr>
                  </w:pPr>
                  <w:r>
                    <w:rPr>
                      <w:szCs w:val="21"/>
                    </w:rPr>
                    <w:t>/</w:t>
                  </w:r>
                </w:p>
              </w:tc>
              <w:tc>
                <w:tcPr>
                  <w:tcW w:w="1050" w:type="dxa"/>
                  <w:vAlign w:val="center"/>
                </w:tcPr>
                <w:p>
                  <w:pPr>
                    <w:pStyle w:val="57"/>
                    <w:rPr>
                      <w:szCs w:val="21"/>
                    </w:rPr>
                  </w:pPr>
                  <w:r>
                    <w:rPr>
                      <w:rFonts w:hint="eastAsia"/>
                      <w:szCs w:val="21"/>
                    </w:rPr>
                    <w:t>/</w:t>
                  </w:r>
                </w:p>
              </w:tc>
              <w:tc>
                <w:tcPr>
                  <w:tcW w:w="736" w:type="dxa"/>
                  <w:vMerge w:val="restart"/>
                  <w:noWrap/>
                  <w:vAlign w:val="center"/>
                </w:tcPr>
                <w:p>
                  <w:pPr>
                    <w:pStyle w:val="57"/>
                    <w:rPr>
                      <w:rFonts w:hint="default" w:eastAsia="宋体"/>
                      <w:color w:val="auto"/>
                      <w:szCs w:val="21"/>
                      <w:lang w:val="en-US" w:eastAsia="zh-CN"/>
                    </w:rPr>
                  </w:pPr>
                  <w:r>
                    <w:rPr>
                      <w:rFonts w:hint="eastAsia"/>
                      <w:color w:val="auto"/>
                      <w:szCs w:val="21"/>
                      <w:lang w:val="en-US" w:eastAsia="zh-CN"/>
                    </w:rPr>
                    <w:t>不低于15m</w:t>
                  </w:r>
                </w:p>
              </w:tc>
              <w:tc>
                <w:tcPr>
                  <w:tcW w:w="791" w:type="dxa"/>
                  <w:vMerge w:val="restart"/>
                  <w:noWrap/>
                  <w:vAlign w:val="center"/>
                </w:tcPr>
                <w:p>
                  <w:pPr>
                    <w:pStyle w:val="57"/>
                    <w:rPr>
                      <w:color w:val="auto"/>
                      <w:szCs w:val="21"/>
                    </w:rPr>
                  </w:pPr>
                  <w:r>
                    <w:rPr>
                      <w:color w:val="auto"/>
                      <w:szCs w:val="21"/>
                    </w:rPr>
                    <w:t>1.0</w:t>
                  </w:r>
                </w:p>
              </w:tc>
              <w:tc>
                <w:tcPr>
                  <w:tcW w:w="682" w:type="dxa"/>
                  <w:vMerge w:val="restart"/>
                  <w:vAlign w:val="center"/>
                </w:tcPr>
                <w:p>
                  <w:pPr>
                    <w:pStyle w:val="57"/>
                    <w:rPr>
                      <w:szCs w:val="21"/>
                    </w:rPr>
                  </w:pPr>
                  <w:r>
                    <w:rPr>
                      <w:rFonts w:hint="eastAsia"/>
                      <w:szCs w:val="21"/>
                    </w:rPr>
                    <w:t>0</w:t>
                  </w:r>
                  <w:r>
                    <w:rPr>
                      <w:szCs w:val="21"/>
                    </w:rPr>
                    <w:t>.5</w:t>
                  </w:r>
                </w:p>
              </w:tc>
              <w:tc>
                <w:tcPr>
                  <w:tcW w:w="754" w:type="dxa"/>
                  <w:vMerge w:val="restart"/>
                  <w:vAlign w:val="center"/>
                </w:tcPr>
                <w:p>
                  <w:pPr>
                    <w:pStyle w:val="57"/>
                    <w:rPr>
                      <w:szCs w:val="21"/>
                    </w:rPr>
                  </w:pPr>
                  <w:r>
                    <w:rPr>
                      <w:rFonts w:hint="eastAsia"/>
                      <w:szCs w:val="21"/>
                    </w:rPr>
                    <w:t>0</w:t>
                  </w: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44" w:type="dxa"/>
                  <w:noWrap/>
                  <w:vAlign w:val="center"/>
                </w:tcPr>
                <w:p>
                  <w:pPr>
                    <w:pStyle w:val="57"/>
                    <w:rPr>
                      <w:szCs w:val="21"/>
                    </w:rPr>
                  </w:pPr>
                  <w:r>
                    <w:rPr>
                      <w:szCs w:val="21"/>
                    </w:rPr>
                    <w:t>人工干燥及焙烧</w:t>
                  </w:r>
                </w:p>
              </w:tc>
              <w:tc>
                <w:tcPr>
                  <w:tcW w:w="881" w:type="dxa"/>
                  <w:noWrap/>
                  <w:vAlign w:val="center"/>
                </w:tcPr>
                <w:p>
                  <w:pPr>
                    <w:pStyle w:val="57"/>
                    <w:rPr>
                      <w:szCs w:val="21"/>
                    </w:rPr>
                  </w:pPr>
                  <w:r>
                    <w:rPr>
                      <w:szCs w:val="21"/>
                    </w:rPr>
                    <w:t>30</w:t>
                  </w:r>
                </w:p>
              </w:tc>
              <w:tc>
                <w:tcPr>
                  <w:tcW w:w="777" w:type="dxa"/>
                  <w:noWrap/>
                  <w:vAlign w:val="center"/>
                </w:tcPr>
                <w:p>
                  <w:pPr>
                    <w:pStyle w:val="57"/>
                    <w:rPr>
                      <w:szCs w:val="21"/>
                    </w:rPr>
                  </w:pPr>
                  <w:r>
                    <w:rPr>
                      <w:szCs w:val="21"/>
                    </w:rPr>
                    <w:t>150</w:t>
                  </w:r>
                </w:p>
              </w:tc>
              <w:tc>
                <w:tcPr>
                  <w:tcW w:w="996" w:type="dxa"/>
                  <w:noWrap/>
                  <w:vAlign w:val="center"/>
                </w:tcPr>
                <w:p>
                  <w:pPr>
                    <w:pStyle w:val="57"/>
                    <w:rPr>
                      <w:szCs w:val="21"/>
                    </w:rPr>
                  </w:pPr>
                  <w:r>
                    <w:rPr>
                      <w:szCs w:val="21"/>
                    </w:rPr>
                    <w:t>200</w:t>
                  </w:r>
                </w:p>
              </w:tc>
              <w:tc>
                <w:tcPr>
                  <w:tcW w:w="1050" w:type="dxa"/>
                  <w:vAlign w:val="center"/>
                </w:tcPr>
                <w:p>
                  <w:pPr>
                    <w:pStyle w:val="57"/>
                    <w:rPr>
                      <w:szCs w:val="21"/>
                    </w:rPr>
                  </w:pPr>
                  <w:r>
                    <w:rPr>
                      <w:rFonts w:hint="eastAsia"/>
                      <w:szCs w:val="21"/>
                    </w:rPr>
                    <w:t>3</w:t>
                  </w:r>
                </w:p>
              </w:tc>
              <w:tc>
                <w:tcPr>
                  <w:tcW w:w="736" w:type="dxa"/>
                  <w:vMerge w:val="continue"/>
                  <w:noWrap/>
                  <w:vAlign w:val="center"/>
                </w:tcPr>
                <w:p>
                  <w:pPr>
                    <w:pStyle w:val="57"/>
                    <w:rPr>
                      <w:rFonts w:hint="eastAsia"/>
                      <w:szCs w:val="21"/>
                    </w:rPr>
                  </w:pPr>
                </w:p>
              </w:tc>
              <w:tc>
                <w:tcPr>
                  <w:tcW w:w="791" w:type="dxa"/>
                  <w:vMerge w:val="continue"/>
                  <w:noWrap/>
                  <w:vAlign w:val="center"/>
                </w:tcPr>
                <w:p>
                  <w:pPr>
                    <w:pStyle w:val="57"/>
                    <w:rPr>
                      <w:szCs w:val="21"/>
                    </w:rPr>
                  </w:pPr>
                </w:p>
              </w:tc>
              <w:tc>
                <w:tcPr>
                  <w:tcW w:w="682" w:type="dxa"/>
                  <w:vMerge w:val="continue"/>
                  <w:vAlign w:val="center"/>
                </w:tcPr>
                <w:p>
                  <w:pPr>
                    <w:pStyle w:val="57"/>
                    <w:rPr>
                      <w:szCs w:val="21"/>
                    </w:rPr>
                  </w:pPr>
                </w:p>
              </w:tc>
              <w:tc>
                <w:tcPr>
                  <w:tcW w:w="754" w:type="dxa"/>
                  <w:vMerge w:val="continue"/>
                  <w:vAlign w:val="center"/>
                </w:tcPr>
                <w:p>
                  <w:pPr>
                    <w:pStyle w:val="57"/>
                    <w:rPr>
                      <w:szCs w:val="21"/>
                    </w:rPr>
                  </w:pPr>
                </w:p>
              </w:tc>
            </w:tr>
          </w:tbl>
          <w:p>
            <w:pPr>
              <w:adjustRightInd w:val="0"/>
              <w:snapToGrid w:val="0"/>
              <w:spacing w:line="360" w:lineRule="auto"/>
              <w:ind w:firstLine="480" w:firstLineChars="200"/>
              <w:rPr>
                <w:color w:val="000000"/>
                <w:sz w:val="24"/>
              </w:rPr>
            </w:pPr>
            <w:r>
              <w:rPr>
                <w:color w:val="000000"/>
                <w:sz w:val="24"/>
              </w:rPr>
              <w:t>项目运营后餐饮油烟排放执行《饮食业油烟排放标准》（试行）（GB18483-2001）小型规模要求。标准限值见</w:t>
            </w:r>
            <w:r>
              <w:rPr>
                <w:rFonts w:hint="eastAsia"/>
                <w:color w:val="000000"/>
                <w:sz w:val="24"/>
                <w:lang w:val="en-US" w:eastAsia="zh-CN"/>
              </w:rPr>
              <w:t>下表</w:t>
            </w:r>
            <w:r>
              <w:rPr>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b/>
                <w:bCs/>
                <w:sz w:val="21"/>
                <w:szCs w:val="21"/>
              </w:rPr>
            </w:pPr>
            <w:r>
              <w:rPr>
                <w:b/>
                <w:bCs/>
                <w:sz w:val="21"/>
                <w:szCs w:val="21"/>
                <w:lang w:bidi="ar"/>
              </w:rPr>
              <w:t>表3-</w:t>
            </w:r>
            <w:r>
              <w:rPr>
                <w:rFonts w:hint="eastAsia"/>
                <w:b/>
                <w:bCs/>
                <w:sz w:val="21"/>
                <w:szCs w:val="21"/>
                <w:lang w:val="en-US" w:eastAsia="zh-CN" w:bidi="ar"/>
              </w:rPr>
              <w:t xml:space="preserve">21  </w:t>
            </w:r>
            <w:r>
              <w:rPr>
                <w:b/>
                <w:bCs/>
                <w:sz w:val="21"/>
                <w:szCs w:val="21"/>
                <w:lang w:bidi="ar"/>
              </w:rPr>
              <w:t xml:space="preserve"> 饮食业油烟排放标准</w:t>
            </w:r>
          </w:p>
          <w:tbl>
            <w:tblPr>
              <w:tblStyle w:val="28"/>
              <w:tblW w:w="805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516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15" w:type="dxa"/>
                  <w:tcBorders>
                    <w:tl2br w:val="nil"/>
                    <w:tr2bl w:val="nil"/>
                  </w:tcBorders>
                  <w:noWrap w:val="0"/>
                  <w:vAlign w:val="center"/>
                </w:tcPr>
                <w:p>
                  <w:pPr>
                    <w:autoSpaceDE w:val="0"/>
                    <w:adjustRightInd w:val="0"/>
                    <w:snapToGrid w:val="0"/>
                    <w:jc w:val="center"/>
                    <w:rPr>
                      <w:b w:val="0"/>
                      <w:bCs w:val="0"/>
                      <w:sz w:val="21"/>
                      <w:szCs w:val="21"/>
                    </w:rPr>
                  </w:pPr>
                  <w:r>
                    <w:rPr>
                      <w:b w:val="0"/>
                      <w:bCs w:val="0"/>
                      <w:sz w:val="21"/>
                      <w:szCs w:val="21"/>
                      <w:lang w:bidi="ar"/>
                    </w:rPr>
                    <w:t>饮食业油烟排放标准</w:t>
                  </w:r>
                </w:p>
              </w:tc>
              <w:tc>
                <w:tcPr>
                  <w:tcW w:w="5050" w:type="dxa"/>
                  <w:tcBorders>
                    <w:tl2br w:val="nil"/>
                    <w:tr2bl w:val="nil"/>
                  </w:tcBorders>
                  <w:noWrap w:val="0"/>
                  <w:vAlign w:val="center"/>
                </w:tcPr>
                <w:p>
                  <w:pPr>
                    <w:autoSpaceDE w:val="0"/>
                    <w:adjustRightInd w:val="0"/>
                    <w:snapToGrid w:val="0"/>
                    <w:jc w:val="center"/>
                    <w:rPr>
                      <w:b w:val="0"/>
                      <w:bCs w:val="0"/>
                      <w:sz w:val="21"/>
                      <w:szCs w:val="21"/>
                    </w:rPr>
                  </w:pPr>
                  <w:r>
                    <w:rPr>
                      <w:b w:val="0"/>
                      <w:bCs w:val="0"/>
                      <w:sz w:val="21"/>
                      <w:szCs w:val="21"/>
                      <w:lang w:bidi="ar"/>
                    </w:rPr>
                    <w:t>小型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15" w:type="dxa"/>
                  <w:tcBorders>
                    <w:tl2br w:val="nil"/>
                    <w:tr2bl w:val="nil"/>
                  </w:tcBorders>
                  <w:noWrap w:val="0"/>
                  <w:vAlign w:val="center"/>
                </w:tcPr>
                <w:p>
                  <w:pPr>
                    <w:autoSpaceDE w:val="0"/>
                    <w:adjustRightInd w:val="0"/>
                    <w:snapToGrid w:val="0"/>
                    <w:jc w:val="center"/>
                    <w:rPr>
                      <w:b w:val="0"/>
                      <w:bCs w:val="0"/>
                      <w:sz w:val="21"/>
                      <w:szCs w:val="21"/>
                    </w:rPr>
                  </w:pPr>
                  <w:r>
                    <w:rPr>
                      <w:b w:val="0"/>
                      <w:bCs w:val="0"/>
                      <w:sz w:val="21"/>
                      <w:szCs w:val="21"/>
                      <w:lang w:bidi="ar"/>
                    </w:rPr>
                    <w:t>最高允许排放浓度（mg/m³）</w:t>
                  </w:r>
                </w:p>
              </w:tc>
              <w:tc>
                <w:tcPr>
                  <w:tcW w:w="5050" w:type="dxa"/>
                  <w:tcBorders>
                    <w:tl2br w:val="nil"/>
                    <w:tr2bl w:val="nil"/>
                  </w:tcBorders>
                  <w:noWrap w:val="0"/>
                  <w:vAlign w:val="center"/>
                </w:tcPr>
                <w:p>
                  <w:pPr>
                    <w:autoSpaceDE w:val="0"/>
                    <w:adjustRightInd w:val="0"/>
                    <w:snapToGrid w:val="0"/>
                    <w:jc w:val="center"/>
                    <w:rPr>
                      <w:b w:val="0"/>
                      <w:bCs w:val="0"/>
                      <w:sz w:val="21"/>
                      <w:szCs w:val="21"/>
                    </w:rPr>
                  </w:pPr>
                  <w:r>
                    <w:rPr>
                      <w:b w:val="0"/>
                      <w:bCs w:val="0"/>
                      <w:sz w:val="21"/>
                      <w:szCs w:val="21"/>
                      <w:lang w:bidi="ar"/>
                    </w:rPr>
                    <w:t>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15" w:type="dxa"/>
                  <w:tcBorders>
                    <w:tl2br w:val="nil"/>
                    <w:tr2bl w:val="nil"/>
                  </w:tcBorders>
                  <w:noWrap w:val="0"/>
                  <w:vAlign w:val="center"/>
                </w:tcPr>
                <w:p>
                  <w:pPr>
                    <w:autoSpaceDE w:val="0"/>
                    <w:adjustRightInd w:val="0"/>
                    <w:snapToGrid w:val="0"/>
                    <w:jc w:val="center"/>
                    <w:rPr>
                      <w:b w:val="0"/>
                      <w:bCs w:val="0"/>
                      <w:sz w:val="21"/>
                      <w:szCs w:val="21"/>
                    </w:rPr>
                  </w:pPr>
                  <w:r>
                    <w:rPr>
                      <w:b w:val="0"/>
                      <w:bCs w:val="0"/>
                      <w:sz w:val="21"/>
                      <w:szCs w:val="21"/>
                      <w:lang w:bidi="ar"/>
                    </w:rPr>
                    <w:t>净化设施最低去除率（%）</w:t>
                  </w:r>
                </w:p>
              </w:tc>
              <w:tc>
                <w:tcPr>
                  <w:tcW w:w="5050" w:type="dxa"/>
                  <w:tcBorders>
                    <w:tl2br w:val="nil"/>
                    <w:tr2bl w:val="nil"/>
                  </w:tcBorders>
                  <w:noWrap w:val="0"/>
                  <w:vAlign w:val="center"/>
                </w:tcPr>
                <w:p>
                  <w:pPr>
                    <w:autoSpaceDE w:val="0"/>
                    <w:adjustRightInd w:val="0"/>
                    <w:snapToGrid w:val="0"/>
                    <w:jc w:val="center"/>
                    <w:rPr>
                      <w:b w:val="0"/>
                      <w:bCs w:val="0"/>
                      <w:sz w:val="21"/>
                      <w:szCs w:val="21"/>
                    </w:rPr>
                  </w:pPr>
                  <w:r>
                    <w:rPr>
                      <w:b w:val="0"/>
                      <w:bCs w:val="0"/>
                      <w:sz w:val="21"/>
                      <w:szCs w:val="21"/>
                      <w:lang w:bidi="ar"/>
                    </w:rPr>
                    <w:t>60</w:t>
                  </w:r>
                </w:p>
              </w:tc>
            </w:tr>
          </w:tbl>
          <w:p>
            <w:pPr>
              <w:pStyle w:val="60"/>
              <w:keepNext w:val="0"/>
              <w:keepLines w:val="0"/>
              <w:pageBreakBefore w:val="0"/>
              <w:widowControl w:val="0"/>
              <w:kinsoku/>
              <w:wordWrap/>
              <w:overflowPunct/>
              <w:topLinePunct w:val="0"/>
              <w:autoSpaceDE/>
              <w:autoSpaceDN/>
              <w:bidi w:val="0"/>
              <w:adjustRightInd/>
              <w:snapToGrid/>
              <w:spacing w:before="188" w:beforeLines="60"/>
              <w:ind w:left="0" w:leftChars="0" w:firstLine="480" w:firstLineChars="200"/>
              <w:textAlignment w:val="auto"/>
              <w:rPr>
                <w:b w:val="0"/>
                <w:bCs w:val="0"/>
                <w:color w:val="auto"/>
                <w:sz w:val="24"/>
                <w:szCs w:val="24"/>
              </w:rPr>
            </w:pPr>
            <w:r>
              <w:rPr>
                <w:rFonts w:hint="eastAsia"/>
                <w:b w:val="0"/>
                <w:bCs w:val="0"/>
                <w:color w:val="auto"/>
                <w:sz w:val="24"/>
                <w:szCs w:val="24"/>
                <w:lang w:eastAsia="zh-CN"/>
              </w:rPr>
              <w:t>（</w:t>
            </w:r>
            <w:r>
              <w:rPr>
                <w:rFonts w:hint="eastAsia"/>
                <w:b w:val="0"/>
                <w:bCs w:val="0"/>
                <w:color w:val="auto"/>
                <w:sz w:val="24"/>
                <w:szCs w:val="24"/>
                <w:lang w:val="en-US" w:eastAsia="zh-CN"/>
              </w:rPr>
              <w:t>2</w:t>
            </w:r>
            <w:r>
              <w:rPr>
                <w:rFonts w:hint="eastAsia"/>
                <w:b w:val="0"/>
                <w:bCs w:val="0"/>
                <w:color w:val="auto"/>
                <w:sz w:val="24"/>
                <w:szCs w:val="24"/>
                <w:lang w:eastAsia="zh-CN"/>
              </w:rPr>
              <w:t>）</w:t>
            </w:r>
            <w:r>
              <w:rPr>
                <w:b w:val="0"/>
                <w:bCs w:val="0"/>
                <w:color w:val="auto"/>
                <w:sz w:val="24"/>
                <w:szCs w:val="24"/>
              </w:rPr>
              <w:t>噪声污染物排放控制标准</w:t>
            </w:r>
          </w:p>
          <w:p>
            <w:pPr>
              <w:pStyle w:val="60"/>
              <w:ind w:firstLine="420"/>
              <w:rPr>
                <w:color w:val="auto"/>
                <w:sz w:val="24"/>
                <w:szCs w:val="24"/>
              </w:rPr>
            </w:pPr>
            <w:r>
              <w:rPr>
                <w:color w:val="auto"/>
                <w:sz w:val="24"/>
                <w:szCs w:val="24"/>
              </w:rPr>
              <w:t>项目施工期噪声排放执行《建筑施工场界环境噪声排放标准》（GB12523-2011）；运营期噪声排放执行《工业企业厂界环境噪声排放标准》（GB12348-2008）2类标准，详见下表。</w:t>
            </w:r>
          </w:p>
          <w:p>
            <w:pPr>
              <w:pStyle w:val="14"/>
              <w:keepNext/>
              <w:spacing w:line="240" w:lineRule="auto"/>
              <w:rPr>
                <w:rFonts w:cs="Times New Roman"/>
                <w:color w:val="auto"/>
                <w:sz w:val="21"/>
                <w:szCs w:val="21"/>
              </w:rPr>
            </w:pPr>
            <w:r>
              <w:rPr>
                <w:rFonts w:eastAsia="宋体" w:cs="Times New Roman"/>
                <w:color w:val="auto"/>
                <w:sz w:val="21"/>
                <w:szCs w:val="21"/>
              </w:rPr>
              <w:t>表</w:t>
            </w:r>
            <w:r>
              <w:rPr>
                <w:rFonts w:hint="eastAsia" w:eastAsia="宋体" w:cs="Times New Roman"/>
                <w:color w:val="auto"/>
                <w:sz w:val="21"/>
                <w:szCs w:val="21"/>
                <w:lang w:val="en-US" w:eastAsia="zh-CN"/>
              </w:rPr>
              <w:t xml:space="preserve">3-22   </w:t>
            </w:r>
            <w:r>
              <w:rPr>
                <w:rFonts w:eastAsia="宋体" w:cs="Times New Roman"/>
                <w:color w:val="auto"/>
                <w:sz w:val="21"/>
                <w:szCs w:val="21"/>
              </w:rPr>
              <w:t>噪声污染控制标准</w:t>
            </w:r>
          </w:p>
          <w:tbl>
            <w:tblPr>
              <w:tblStyle w:val="30"/>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Align w:val="center"/>
                </w:tcPr>
                <w:p>
                  <w:pPr>
                    <w:jc w:val="center"/>
                    <w:rPr>
                      <w:color w:val="auto"/>
                      <w:sz w:val="21"/>
                      <w:szCs w:val="21"/>
                    </w:rPr>
                  </w:pPr>
                  <w:r>
                    <w:rPr>
                      <w:color w:val="auto"/>
                      <w:sz w:val="21"/>
                      <w:szCs w:val="21"/>
                    </w:rPr>
                    <w:t>污染物</w:t>
                  </w:r>
                </w:p>
              </w:tc>
              <w:tc>
                <w:tcPr>
                  <w:tcW w:w="2003" w:type="dxa"/>
                  <w:noWrap/>
                  <w:vAlign w:val="center"/>
                </w:tcPr>
                <w:p>
                  <w:pPr>
                    <w:jc w:val="center"/>
                    <w:rPr>
                      <w:color w:val="auto"/>
                      <w:sz w:val="21"/>
                      <w:szCs w:val="21"/>
                    </w:rPr>
                  </w:pPr>
                  <w:r>
                    <w:rPr>
                      <w:color w:val="auto"/>
                      <w:sz w:val="21"/>
                      <w:szCs w:val="21"/>
                    </w:rPr>
                    <w:t>工程期</w:t>
                  </w:r>
                </w:p>
              </w:tc>
              <w:tc>
                <w:tcPr>
                  <w:tcW w:w="2003" w:type="dxa"/>
                  <w:noWrap/>
                  <w:vAlign w:val="center"/>
                </w:tcPr>
                <w:p>
                  <w:pPr>
                    <w:jc w:val="center"/>
                    <w:rPr>
                      <w:color w:val="auto"/>
                      <w:sz w:val="21"/>
                      <w:szCs w:val="21"/>
                    </w:rPr>
                  </w:pPr>
                  <w:r>
                    <w:rPr>
                      <w:color w:val="auto"/>
                      <w:sz w:val="21"/>
                      <w:szCs w:val="21"/>
                    </w:rPr>
                    <w:t>时段</w:t>
                  </w:r>
                </w:p>
              </w:tc>
              <w:tc>
                <w:tcPr>
                  <w:tcW w:w="2003" w:type="dxa"/>
                  <w:vAlign w:val="center"/>
                </w:tcPr>
                <w:p>
                  <w:pPr>
                    <w:jc w:val="center"/>
                    <w:rPr>
                      <w:color w:val="auto"/>
                      <w:sz w:val="21"/>
                      <w:szCs w:val="21"/>
                    </w:rPr>
                  </w:pPr>
                  <w:r>
                    <w:rPr>
                      <w:color w:val="auto"/>
                      <w:sz w:val="21"/>
                      <w:szCs w:val="21"/>
                    </w:rPr>
                    <w:t>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Merge w:val="restart"/>
                  <w:vAlign w:val="center"/>
                </w:tcPr>
                <w:p>
                  <w:pPr>
                    <w:jc w:val="center"/>
                    <w:rPr>
                      <w:color w:val="auto"/>
                      <w:sz w:val="21"/>
                      <w:szCs w:val="21"/>
                    </w:rPr>
                  </w:pPr>
                  <w:r>
                    <w:rPr>
                      <w:color w:val="auto"/>
                      <w:sz w:val="21"/>
                      <w:szCs w:val="21"/>
                    </w:rPr>
                    <w:t>噪声</w:t>
                  </w:r>
                </w:p>
              </w:tc>
              <w:tc>
                <w:tcPr>
                  <w:tcW w:w="2003" w:type="dxa"/>
                  <w:vMerge w:val="restart"/>
                  <w:noWrap/>
                  <w:vAlign w:val="center"/>
                </w:tcPr>
                <w:p>
                  <w:pPr>
                    <w:jc w:val="center"/>
                    <w:rPr>
                      <w:color w:val="auto"/>
                      <w:sz w:val="21"/>
                      <w:szCs w:val="21"/>
                    </w:rPr>
                  </w:pPr>
                  <w:r>
                    <w:rPr>
                      <w:color w:val="auto"/>
                      <w:sz w:val="21"/>
                      <w:szCs w:val="21"/>
                    </w:rPr>
                    <w:t>施工期</w:t>
                  </w:r>
                </w:p>
              </w:tc>
              <w:tc>
                <w:tcPr>
                  <w:tcW w:w="2003" w:type="dxa"/>
                  <w:noWrap/>
                  <w:vAlign w:val="center"/>
                </w:tcPr>
                <w:p>
                  <w:pPr>
                    <w:jc w:val="center"/>
                    <w:rPr>
                      <w:color w:val="auto"/>
                      <w:sz w:val="21"/>
                      <w:szCs w:val="21"/>
                    </w:rPr>
                  </w:pPr>
                  <w:r>
                    <w:rPr>
                      <w:color w:val="auto"/>
                      <w:sz w:val="21"/>
                      <w:szCs w:val="21"/>
                    </w:rPr>
                    <w:t>昼间</w:t>
                  </w:r>
                </w:p>
              </w:tc>
              <w:tc>
                <w:tcPr>
                  <w:tcW w:w="2003" w:type="dxa"/>
                  <w:vAlign w:val="center"/>
                </w:tcPr>
                <w:p>
                  <w:pPr>
                    <w:jc w:val="center"/>
                    <w:rPr>
                      <w:color w:val="auto"/>
                      <w:sz w:val="21"/>
                      <w:szCs w:val="21"/>
                    </w:rPr>
                  </w:pPr>
                  <w:r>
                    <w:rPr>
                      <w:color w:val="auto"/>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Merge w:val="continue"/>
                  <w:vAlign w:val="center"/>
                </w:tcPr>
                <w:p>
                  <w:pPr>
                    <w:jc w:val="center"/>
                    <w:rPr>
                      <w:color w:val="auto"/>
                      <w:sz w:val="21"/>
                      <w:szCs w:val="21"/>
                    </w:rPr>
                  </w:pPr>
                </w:p>
              </w:tc>
              <w:tc>
                <w:tcPr>
                  <w:tcW w:w="2003" w:type="dxa"/>
                  <w:vMerge w:val="continue"/>
                  <w:vAlign w:val="center"/>
                </w:tcPr>
                <w:p>
                  <w:pPr>
                    <w:jc w:val="center"/>
                    <w:rPr>
                      <w:color w:val="auto"/>
                      <w:sz w:val="21"/>
                      <w:szCs w:val="21"/>
                    </w:rPr>
                  </w:pPr>
                </w:p>
              </w:tc>
              <w:tc>
                <w:tcPr>
                  <w:tcW w:w="2003" w:type="dxa"/>
                  <w:noWrap/>
                  <w:vAlign w:val="center"/>
                </w:tcPr>
                <w:p>
                  <w:pPr>
                    <w:jc w:val="center"/>
                    <w:rPr>
                      <w:color w:val="auto"/>
                      <w:sz w:val="21"/>
                      <w:szCs w:val="21"/>
                    </w:rPr>
                  </w:pPr>
                  <w:r>
                    <w:rPr>
                      <w:color w:val="auto"/>
                      <w:sz w:val="21"/>
                      <w:szCs w:val="21"/>
                    </w:rPr>
                    <w:t>夜间</w:t>
                  </w:r>
                </w:p>
              </w:tc>
              <w:tc>
                <w:tcPr>
                  <w:tcW w:w="2003" w:type="dxa"/>
                  <w:vAlign w:val="center"/>
                </w:tcPr>
                <w:p>
                  <w:pPr>
                    <w:jc w:val="center"/>
                    <w:rPr>
                      <w:color w:val="auto"/>
                      <w:sz w:val="21"/>
                      <w:szCs w:val="21"/>
                    </w:rPr>
                  </w:pPr>
                  <w:r>
                    <w:rPr>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Merge w:val="continue"/>
                  <w:vAlign w:val="center"/>
                </w:tcPr>
                <w:p>
                  <w:pPr>
                    <w:jc w:val="center"/>
                    <w:rPr>
                      <w:color w:val="auto"/>
                      <w:sz w:val="21"/>
                      <w:szCs w:val="21"/>
                    </w:rPr>
                  </w:pPr>
                </w:p>
              </w:tc>
              <w:tc>
                <w:tcPr>
                  <w:tcW w:w="2003" w:type="dxa"/>
                  <w:vMerge w:val="restart"/>
                  <w:noWrap/>
                  <w:vAlign w:val="center"/>
                </w:tcPr>
                <w:p>
                  <w:pPr>
                    <w:jc w:val="center"/>
                    <w:rPr>
                      <w:color w:val="auto"/>
                      <w:sz w:val="21"/>
                      <w:szCs w:val="21"/>
                    </w:rPr>
                  </w:pPr>
                  <w:r>
                    <w:rPr>
                      <w:color w:val="auto"/>
                      <w:sz w:val="21"/>
                      <w:szCs w:val="21"/>
                    </w:rPr>
                    <w:t>运营期</w:t>
                  </w:r>
                </w:p>
              </w:tc>
              <w:tc>
                <w:tcPr>
                  <w:tcW w:w="2003" w:type="dxa"/>
                  <w:noWrap/>
                  <w:vAlign w:val="center"/>
                </w:tcPr>
                <w:p>
                  <w:pPr>
                    <w:jc w:val="center"/>
                    <w:rPr>
                      <w:color w:val="auto"/>
                      <w:sz w:val="21"/>
                      <w:szCs w:val="21"/>
                    </w:rPr>
                  </w:pPr>
                  <w:r>
                    <w:rPr>
                      <w:color w:val="auto"/>
                      <w:sz w:val="21"/>
                      <w:szCs w:val="21"/>
                    </w:rPr>
                    <w:t>昼间</w:t>
                  </w:r>
                </w:p>
              </w:tc>
              <w:tc>
                <w:tcPr>
                  <w:tcW w:w="2003" w:type="dxa"/>
                  <w:noWrap/>
                  <w:vAlign w:val="center"/>
                </w:tcPr>
                <w:p>
                  <w:pPr>
                    <w:jc w:val="center"/>
                    <w:rPr>
                      <w:color w:val="auto"/>
                      <w:sz w:val="21"/>
                      <w:szCs w:val="21"/>
                    </w:rPr>
                  </w:pPr>
                  <w:r>
                    <w:rPr>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Merge w:val="continue"/>
                  <w:vAlign w:val="center"/>
                </w:tcPr>
                <w:p>
                  <w:pPr>
                    <w:jc w:val="center"/>
                    <w:rPr>
                      <w:color w:val="auto"/>
                      <w:sz w:val="21"/>
                      <w:szCs w:val="21"/>
                    </w:rPr>
                  </w:pPr>
                </w:p>
              </w:tc>
              <w:tc>
                <w:tcPr>
                  <w:tcW w:w="2003" w:type="dxa"/>
                  <w:vMerge w:val="continue"/>
                  <w:vAlign w:val="center"/>
                </w:tcPr>
                <w:p>
                  <w:pPr>
                    <w:jc w:val="center"/>
                    <w:rPr>
                      <w:color w:val="auto"/>
                      <w:sz w:val="21"/>
                      <w:szCs w:val="21"/>
                    </w:rPr>
                  </w:pPr>
                </w:p>
              </w:tc>
              <w:tc>
                <w:tcPr>
                  <w:tcW w:w="2003" w:type="dxa"/>
                  <w:noWrap/>
                  <w:vAlign w:val="center"/>
                </w:tcPr>
                <w:p>
                  <w:pPr>
                    <w:jc w:val="center"/>
                    <w:rPr>
                      <w:color w:val="auto"/>
                      <w:sz w:val="21"/>
                      <w:szCs w:val="21"/>
                    </w:rPr>
                  </w:pPr>
                  <w:r>
                    <w:rPr>
                      <w:color w:val="auto"/>
                      <w:sz w:val="21"/>
                      <w:szCs w:val="21"/>
                    </w:rPr>
                    <w:t>夜间</w:t>
                  </w:r>
                </w:p>
              </w:tc>
              <w:tc>
                <w:tcPr>
                  <w:tcW w:w="2003" w:type="dxa"/>
                  <w:noWrap/>
                  <w:vAlign w:val="center"/>
                </w:tcPr>
                <w:p>
                  <w:pPr>
                    <w:jc w:val="center"/>
                    <w:rPr>
                      <w:color w:val="auto"/>
                      <w:sz w:val="21"/>
                      <w:szCs w:val="21"/>
                    </w:rPr>
                  </w:pPr>
                  <w:r>
                    <w:rPr>
                      <w:color w:val="auto"/>
                      <w:sz w:val="21"/>
                      <w:szCs w:val="21"/>
                    </w:rPr>
                    <w:t>50</w:t>
                  </w:r>
                </w:p>
              </w:tc>
            </w:tr>
          </w:tbl>
          <w:p>
            <w:pPr>
              <w:pStyle w:val="60"/>
              <w:ind w:left="0" w:leftChars="0" w:firstLine="480" w:firstLineChars="200"/>
              <w:rPr>
                <w:b w:val="0"/>
                <w:bCs w:val="0"/>
                <w:color w:val="auto"/>
                <w:sz w:val="24"/>
                <w:szCs w:val="24"/>
              </w:rPr>
            </w:pPr>
            <w:r>
              <w:rPr>
                <w:rFonts w:hint="eastAsia"/>
                <w:b w:val="0"/>
                <w:bCs w:val="0"/>
                <w:color w:val="auto"/>
                <w:sz w:val="24"/>
                <w:szCs w:val="24"/>
                <w:lang w:val="en-US" w:eastAsia="zh-CN"/>
              </w:rPr>
              <w:t>（3）</w:t>
            </w:r>
            <w:r>
              <w:rPr>
                <w:b w:val="0"/>
                <w:bCs w:val="0"/>
                <w:color w:val="auto"/>
                <w:sz w:val="24"/>
                <w:szCs w:val="24"/>
              </w:rPr>
              <w:t>固体废物污染控制标准</w:t>
            </w:r>
          </w:p>
          <w:p>
            <w:pPr>
              <w:pStyle w:val="60"/>
              <w:ind w:firstLine="420"/>
              <w:rPr>
                <w:rFonts w:hint="eastAsia" w:eastAsia="宋体"/>
                <w:color w:val="auto"/>
                <w:sz w:val="21"/>
                <w:szCs w:val="21"/>
                <w:lang w:val="en-US" w:eastAsia="zh-CN"/>
              </w:rPr>
            </w:pPr>
            <w:r>
              <w:rPr>
                <w:color w:val="auto"/>
                <w:sz w:val="24"/>
                <w:szCs w:val="24"/>
              </w:rPr>
              <w:t>项目产生的一般固体废物执行《一般工业固体废物贮存和填埋污染控制标准》（GB18599-2020）；危险废物排放执行《危险废物贮存污染控制标准》（GB18597-20</w:t>
            </w:r>
            <w:r>
              <w:rPr>
                <w:rFonts w:hint="eastAsia"/>
                <w:color w:val="auto"/>
                <w:sz w:val="24"/>
                <w:szCs w:val="24"/>
                <w:lang w:val="en-US" w:eastAsia="zh-CN"/>
              </w:rPr>
              <w:t>23</w:t>
            </w:r>
            <w:r>
              <w:rPr>
                <w:color w:val="auto"/>
                <w:sz w:val="24"/>
                <w:szCs w:val="24"/>
              </w:rPr>
              <w:t>）中的有关要求</w:t>
            </w: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800" w:type="dxa"/>
            <w:vAlign w:val="center"/>
          </w:tcPr>
          <w:p>
            <w:p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其他</w:t>
            </w:r>
          </w:p>
        </w:tc>
        <w:tc>
          <w:tcPr>
            <w:tcW w:w="8237" w:type="dxa"/>
          </w:tcPr>
          <w:p>
            <w:pPr>
              <w:pStyle w:val="60"/>
              <w:ind w:left="0" w:leftChars="0" w:firstLine="0" w:firstLineChars="0"/>
              <w:rPr>
                <w:rFonts w:hint="default" w:eastAsia="宋体"/>
                <w:b/>
                <w:bCs/>
                <w:color w:val="auto"/>
                <w:sz w:val="24"/>
                <w:szCs w:val="24"/>
                <w:lang w:val="en-US" w:eastAsia="zh-CN"/>
              </w:rPr>
            </w:pPr>
            <w:r>
              <w:rPr>
                <w:rFonts w:hint="eastAsia"/>
                <w:b/>
                <w:bCs/>
                <w:color w:val="auto"/>
                <w:sz w:val="24"/>
                <w:szCs w:val="24"/>
                <w:lang w:val="en-US" w:eastAsia="zh-CN"/>
              </w:rPr>
              <w:t>总量控制指标</w:t>
            </w:r>
          </w:p>
          <w:p>
            <w:pPr>
              <w:pStyle w:val="60"/>
              <w:ind w:firstLine="420"/>
              <w:rPr>
                <w:color w:val="auto"/>
                <w:sz w:val="24"/>
                <w:szCs w:val="24"/>
              </w:rPr>
            </w:pPr>
            <w:r>
              <w:rPr>
                <w:color w:val="auto"/>
                <w:sz w:val="24"/>
                <w:szCs w:val="24"/>
              </w:rPr>
              <w:t>根据国家污染物总量控制的要求，结合本项目污染排放特征，技改后本项目总量控制指标建议如下：</w:t>
            </w:r>
          </w:p>
          <w:p>
            <w:pPr>
              <w:pStyle w:val="14"/>
              <w:keepNext/>
              <w:spacing w:line="240" w:lineRule="auto"/>
              <w:rPr>
                <w:rFonts w:cs="Times New Roman"/>
                <w:color w:val="000000" w:themeColor="text1"/>
                <w:sz w:val="21"/>
                <w:szCs w:val="21"/>
                <w14:textFill>
                  <w14:solidFill>
                    <w14:schemeClr w14:val="tx1"/>
                  </w14:solidFill>
                </w14:textFill>
              </w:rPr>
            </w:pPr>
            <w:r>
              <w:rPr>
                <w:rFonts w:eastAsia="宋体" w:cs="Times New Roman"/>
                <w:color w:val="000000" w:themeColor="text1"/>
                <w:sz w:val="21"/>
                <w:szCs w:val="21"/>
                <w14:textFill>
                  <w14:solidFill>
                    <w14:schemeClr w14:val="tx1"/>
                  </w14:solidFill>
                </w14:textFill>
              </w:rPr>
              <w:t>表</w:t>
            </w:r>
            <w:r>
              <w:rPr>
                <w:rFonts w:hint="eastAsia" w:eastAsia="宋体" w:cs="Times New Roman"/>
                <w:color w:val="000000" w:themeColor="text1"/>
                <w:sz w:val="21"/>
                <w:szCs w:val="21"/>
                <w:lang w:val="en-US" w:eastAsia="zh-CN"/>
                <w14:textFill>
                  <w14:solidFill>
                    <w14:schemeClr w14:val="tx1"/>
                  </w14:solidFill>
                </w14:textFill>
              </w:rPr>
              <w:t xml:space="preserve">3-23   </w:t>
            </w:r>
            <w:r>
              <w:rPr>
                <w:rFonts w:eastAsia="宋体" w:cs="Times New Roman"/>
                <w:color w:val="000000" w:themeColor="text1"/>
                <w:sz w:val="21"/>
                <w:szCs w:val="21"/>
                <w14:textFill>
                  <w14:solidFill>
                    <w14:schemeClr w14:val="tx1"/>
                  </w14:solidFill>
                </w14:textFill>
              </w:rPr>
              <w:t>总量控制指标（建议）</w:t>
            </w:r>
          </w:p>
          <w:tbl>
            <w:tblPr>
              <w:tblStyle w:val="30"/>
              <w:tblW w:w="8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67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70" w:type="dxa"/>
                  <w:noWrap/>
                  <w:vAlign w:val="center"/>
                </w:tcPr>
                <w:p>
                  <w:pPr>
                    <w:pStyle w:val="57"/>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w:t>
                  </w:r>
                </w:p>
              </w:tc>
              <w:tc>
                <w:tcPr>
                  <w:tcW w:w="2670" w:type="dxa"/>
                  <w:vAlign w:val="center"/>
                </w:tcPr>
                <w:p>
                  <w:pPr>
                    <w:pStyle w:val="57"/>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2671" w:type="dxa"/>
                  <w:noWrap/>
                  <w:vAlign w:val="center"/>
                </w:tcPr>
                <w:p>
                  <w:pPr>
                    <w:pStyle w:val="57"/>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NO</w:t>
                  </w:r>
                  <w:r>
                    <w:rPr>
                      <w:i/>
                      <w:iCs/>
                      <w:color w:val="000000" w:themeColor="text1"/>
                      <w:sz w:val="21"/>
                      <w:szCs w:val="21"/>
                      <w14:textFill>
                        <w14:solidFill>
                          <w14:schemeClr w14:val="tx1"/>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70" w:type="dxa"/>
                  <w:noWrap/>
                  <w:vAlign w:val="center"/>
                </w:tcPr>
                <w:p>
                  <w:pPr>
                    <w:pStyle w:val="57"/>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建议控制指标（t/a）</w:t>
                  </w:r>
                </w:p>
              </w:tc>
              <w:tc>
                <w:tcPr>
                  <w:tcW w:w="2670" w:type="dxa"/>
                  <w:vAlign w:val="center"/>
                </w:tcPr>
                <w:p>
                  <w:pPr>
                    <w:pStyle w:val="57"/>
                    <w:rPr>
                      <w:rFonts w:hint="default"/>
                      <w:color w:val="000000" w:themeColor="text1"/>
                      <w:sz w:val="21"/>
                      <w:szCs w:val="21"/>
                      <w:lang w:val="en-US"/>
                      <w14:textFill>
                        <w14:solidFill>
                          <w14:schemeClr w14:val="tx1"/>
                        </w14:solidFill>
                      </w14:textFill>
                    </w:rPr>
                  </w:pPr>
                  <w:r>
                    <w:rPr>
                      <w:rFonts w:hint="eastAsia"/>
                      <w:szCs w:val="21"/>
                      <w:highlight w:val="none"/>
                    </w:rPr>
                    <w:t>4.4</w:t>
                  </w:r>
                  <w:r>
                    <w:rPr>
                      <w:rFonts w:hint="eastAsia"/>
                      <w:szCs w:val="21"/>
                      <w:highlight w:val="none"/>
                      <w:lang w:val="en-US" w:eastAsia="zh-CN"/>
                    </w:rPr>
                    <w:t>838</w:t>
                  </w:r>
                  <w:r>
                    <w:rPr>
                      <w:rFonts w:hint="eastAsia"/>
                      <w:szCs w:val="21"/>
                      <w:highlight w:val="none"/>
                    </w:rPr>
                    <w:t>t/a</w:t>
                  </w:r>
                </w:p>
              </w:tc>
              <w:tc>
                <w:tcPr>
                  <w:tcW w:w="2671" w:type="dxa"/>
                  <w:noWrap/>
                  <w:vAlign w:val="center"/>
                </w:tcPr>
                <w:p>
                  <w:pPr>
                    <w:pStyle w:val="57"/>
                    <w:rPr>
                      <w:rFonts w:hint="default" w:eastAsia="宋体"/>
                      <w:color w:val="000000" w:themeColor="text1"/>
                      <w:sz w:val="21"/>
                      <w:szCs w:val="21"/>
                      <w:lang w:val="en-US" w:eastAsia="zh-CN"/>
                      <w14:textFill>
                        <w14:solidFill>
                          <w14:schemeClr w14:val="tx1"/>
                        </w14:solidFill>
                      </w14:textFill>
                    </w:rPr>
                  </w:pPr>
                  <w:r>
                    <w:rPr>
                      <w:rFonts w:hint="eastAsia"/>
                      <w:szCs w:val="21"/>
                      <w:highlight w:val="none"/>
                      <w:lang w:val="en-US" w:eastAsia="zh-CN"/>
                    </w:rPr>
                    <w:t>3.9127</w:t>
                  </w:r>
                  <w:r>
                    <w:rPr>
                      <w:rFonts w:hint="eastAsia"/>
                      <w:szCs w:val="21"/>
                      <w:highlight w:val="none"/>
                    </w:rPr>
                    <w:t>t/a</w:t>
                  </w:r>
                </w:p>
              </w:tc>
            </w:tr>
          </w:tbl>
          <w:p>
            <w:pPr>
              <w:pStyle w:val="60"/>
              <w:ind w:firstLine="0" w:firstLineChars="0"/>
              <w:rPr>
                <w:rFonts w:hint="eastAsia" w:eastAsia="宋体"/>
                <w:color w:val="auto"/>
                <w:sz w:val="21"/>
                <w:szCs w:val="21"/>
                <w:lang w:val="en-US" w:eastAsia="zh-CN"/>
              </w:rPr>
            </w:pPr>
          </w:p>
        </w:tc>
      </w:tr>
    </w:tbl>
    <w:p>
      <w:pPr>
        <w:pStyle w:val="24"/>
        <w:jc w:val="center"/>
        <w:outlineLvl w:val="0"/>
        <w:rPr>
          <w:rFonts w:hint="eastAsia" w:ascii="宋体" w:hAnsi="宋体" w:eastAsia="宋体" w:cs="宋体"/>
          <w:b/>
          <w:bCs/>
          <w:snapToGrid w:val="0"/>
          <w:color w:val="auto"/>
          <w:sz w:val="30"/>
          <w:szCs w:val="30"/>
        </w:rPr>
      </w:pPr>
      <w:r>
        <w:rPr>
          <w:rFonts w:ascii="Times New Roman" w:hAnsi="Times New Roman" w:eastAsia="黑体"/>
          <w:snapToGrid w:val="0"/>
          <w:color w:val="auto"/>
          <w:sz w:val="36"/>
          <w:szCs w:val="36"/>
        </w:rPr>
        <w:br w:type="page"/>
      </w:r>
      <w:r>
        <w:rPr>
          <w:rFonts w:hint="eastAsia" w:ascii="宋体" w:hAnsi="宋体" w:eastAsia="宋体" w:cs="宋体"/>
          <w:b/>
          <w:bCs/>
          <w:snapToGrid w:val="0"/>
          <w:color w:val="auto"/>
          <w:sz w:val="30"/>
          <w:szCs w:val="30"/>
        </w:rPr>
        <w:t>四、生态环境影响分析</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6" w:type="dxa"/>
            <w:tcMar>
              <w:left w:w="28" w:type="dxa"/>
              <w:right w:w="28" w:type="dxa"/>
            </w:tcMar>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施工</w:t>
            </w:r>
          </w:p>
          <w:p>
            <w:pPr>
              <w:pStyle w:val="24"/>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lang w:val="en-US" w:eastAsia="zh-CN"/>
              </w:rPr>
            </w:pPr>
            <w:r>
              <w:rPr>
                <w:rFonts w:hint="default" w:ascii="Times New Roman" w:hAnsi="Times New Roman" w:eastAsia="宋体" w:cs="Times New Roman"/>
                <w:color w:val="auto"/>
                <w:kern w:val="2"/>
                <w:sz w:val="24"/>
                <w:szCs w:val="24"/>
              </w:rPr>
              <w:t>期</w:t>
            </w:r>
            <w:r>
              <w:rPr>
                <w:rFonts w:hint="eastAsia" w:ascii="Times New Roman" w:hAnsi="Times New Roman" w:cs="Times New Roman"/>
                <w:color w:val="auto"/>
                <w:kern w:val="2"/>
                <w:sz w:val="24"/>
                <w:szCs w:val="24"/>
                <w:lang w:val="en-US" w:eastAsia="zh-CN"/>
              </w:rPr>
              <w:t>生态环境影响分析</w:t>
            </w:r>
          </w:p>
        </w:tc>
        <w:tc>
          <w:tcPr>
            <w:tcW w:w="8162" w:type="dxa"/>
          </w:tcPr>
          <w:p>
            <w:pPr>
              <w:spacing w:line="360" w:lineRule="auto"/>
              <w:rPr>
                <w:b/>
                <w:bCs/>
                <w:color w:val="000000"/>
                <w:sz w:val="24"/>
              </w:rPr>
            </w:pPr>
            <w:r>
              <w:rPr>
                <w:b/>
                <w:bCs/>
                <w:color w:val="000000"/>
                <w:sz w:val="24"/>
              </w:rPr>
              <w:t>1</w:t>
            </w:r>
            <w:r>
              <w:rPr>
                <w:rFonts w:hint="eastAsia"/>
                <w:b/>
                <w:bCs/>
                <w:color w:val="000000"/>
                <w:sz w:val="24"/>
                <w:lang w:val="en-US" w:eastAsia="zh-CN"/>
              </w:rPr>
              <w:t>.</w:t>
            </w:r>
            <w:r>
              <w:rPr>
                <w:b/>
                <w:bCs/>
                <w:color w:val="000000"/>
                <w:sz w:val="24"/>
              </w:rPr>
              <w:t>施工期生态影响分析</w:t>
            </w:r>
          </w:p>
          <w:p>
            <w:pPr>
              <w:pStyle w:val="3"/>
              <w:spacing w:after="0" w:line="360" w:lineRule="auto"/>
              <w:ind w:left="0" w:leftChars="0" w:firstLine="480" w:firstLineChars="200"/>
              <w:rPr>
                <w:color w:val="auto"/>
                <w:sz w:val="24"/>
              </w:rPr>
            </w:pPr>
            <w:r>
              <w:rPr>
                <w:rFonts w:hint="eastAsia"/>
                <w:color w:val="auto"/>
                <w:szCs w:val="24"/>
              </w:rPr>
              <w:t>本项目施工期对生态环境的影响途径主要包括施工人员的施工活动、机械设备的使用对植被资源、野生动物、生物多样、生态系统及生态景观的影响。</w:t>
            </w:r>
          </w:p>
          <w:p>
            <w:pPr>
              <w:pStyle w:val="3"/>
              <w:spacing w:after="0" w:line="360" w:lineRule="auto"/>
              <w:ind w:left="0" w:leftChars="0" w:firstLine="480" w:firstLineChars="200"/>
              <w:rPr>
                <w:color w:val="000000"/>
                <w:sz w:val="24"/>
              </w:rPr>
            </w:pPr>
            <w:r>
              <w:rPr>
                <w:color w:val="000000"/>
                <w:sz w:val="24"/>
              </w:rPr>
              <w:t>（1）对植物资源及植被的影响</w:t>
            </w:r>
          </w:p>
          <w:p>
            <w:pPr>
              <w:pStyle w:val="3"/>
              <w:spacing w:after="0" w:line="360" w:lineRule="auto"/>
              <w:ind w:left="0" w:leftChars="0" w:firstLine="480" w:firstLineChars="200"/>
              <w:rPr>
                <w:color w:val="000000"/>
                <w:sz w:val="24"/>
              </w:rPr>
            </w:pPr>
            <w:r>
              <w:rPr>
                <w:color w:val="000000"/>
                <w:sz w:val="24"/>
              </w:rPr>
              <w:t>本项目为</w:t>
            </w:r>
            <w:r>
              <w:rPr>
                <w:rFonts w:hint="eastAsia"/>
                <w:color w:val="000000"/>
                <w:sz w:val="24"/>
                <w:lang w:val="en-US" w:eastAsia="zh-CN"/>
              </w:rPr>
              <w:t>旧</w:t>
            </w:r>
            <w:r>
              <w:rPr>
                <w:color w:val="000000"/>
                <w:sz w:val="24"/>
              </w:rPr>
              <w:t>砖厂</w:t>
            </w:r>
            <w:r>
              <w:rPr>
                <w:rFonts w:hint="eastAsia"/>
                <w:color w:val="000000"/>
                <w:sz w:val="24"/>
                <w:lang w:val="en-US" w:eastAsia="zh-CN"/>
              </w:rPr>
              <w:t>技术</w:t>
            </w:r>
            <w:r>
              <w:rPr>
                <w:color w:val="000000"/>
                <w:sz w:val="24"/>
              </w:rPr>
              <w:t>改造，场地内现状主要为旧砖厂遗留设施和建筑等，施工场地内无植被。项目周边均为当地常见物种，主要为稀树灌木草丛，植被类型单一，植物均为该区域常见的种类。项目施工不会导致种群结构的明显改变，更不会导致物种的灭绝。且项目采取文明施工，控制扬尘，及时清理施工现场，设置临时排水沟和沉砂池。减轻水土流失等措施减小影响，采取上述措施后施工期的建设活动不会使评价区植物群落的种类组成发生变化，对植被和植物资源的影响较小。</w:t>
            </w:r>
          </w:p>
          <w:p>
            <w:pPr>
              <w:pStyle w:val="3"/>
              <w:spacing w:after="0" w:line="360" w:lineRule="auto"/>
              <w:ind w:left="0" w:leftChars="0" w:firstLine="480" w:firstLineChars="200"/>
              <w:rPr>
                <w:color w:val="000000"/>
                <w:sz w:val="24"/>
              </w:rPr>
            </w:pPr>
            <w:r>
              <w:rPr>
                <w:color w:val="000000"/>
                <w:sz w:val="24"/>
              </w:rPr>
              <w:t>（2）对野生动物的影响</w:t>
            </w:r>
          </w:p>
          <w:p>
            <w:pPr>
              <w:pStyle w:val="3"/>
              <w:spacing w:after="0" w:line="360" w:lineRule="auto"/>
              <w:ind w:left="0" w:leftChars="0" w:firstLine="480" w:firstLineChars="200"/>
              <w:rPr>
                <w:color w:val="000000"/>
                <w:sz w:val="24"/>
              </w:rPr>
            </w:pPr>
            <w:r>
              <w:rPr>
                <w:color w:val="000000"/>
                <w:sz w:val="24"/>
              </w:rPr>
              <w:t>项目所在区域人类活动频繁，因此矿区内野生动物的种类及数量都不多，主要是中低山陡坡地区的一些小型哺乳动物、爬行类、昆虫和常见鸟类。其为区域的常见种类，矿区不被扰动的地方及矿区外有大面积生境与项目施工所破坏的生境相似，项目采取加强宣传。禁止捕杀等措施后，项目建设对其影响小。</w:t>
            </w:r>
          </w:p>
          <w:p>
            <w:pPr>
              <w:pStyle w:val="3"/>
              <w:spacing w:after="0" w:line="360" w:lineRule="auto"/>
              <w:ind w:left="0" w:leftChars="0" w:firstLine="480" w:firstLineChars="200"/>
              <w:rPr>
                <w:color w:val="000000"/>
                <w:sz w:val="24"/>
              </w:rPr>
            </w:pPr>
            <w:r>
              <w:rPr>
                <w:color w:val="000000"/>
                <w:sz w:val="24"/>
              </w:rPr>
              <w:t>（3）对生物多样性影响</w:t>
            </w:r>
          </w:p>
          <w:p>
            <w:pPr>
              <w:pStyle w:val="3"/>
              <w:spacing w:after="0" w:line="360" w:lineRule="auto"/>
              <w:ind w:left="0" w:leftChars="0" w:firstLine="480" w:firstLineChars="200"/>
              <w:rPr>
                <w:color w:val="000000"/>
                <w:sz w:val="24"/>
              </w:rPr>
            </w:pPr>
            <w:r>
              <w:rPr>
                <w:color w:val="000000"/>
                <w:sz w:val="24"/>
              </w:rPr>
              <w:t xml:space="preserve">项目施工期土建工程量不大，施工期短，对植被资源和野生动物的破坏有限，不会造成植物资源和野生动物的明显减少，更不会造成物种资源的消失。随着施工期的结束，通过加强绿化措施，在一定程度上可以弥补施工期对生物多样性的影响。破坏的生物多样性通过自我修复，逐渐形成新的生物多样性平衡，构成新的生态平衡格局，施工期对生物多样性影响较小。 </w:t>
            </w:r>
          </w:p>
          <w:p>
            <w:pPr>
              <w:pStyle w:val="3"/>
              <w:spacing w:after="0" w:line="360" w:lineRule="auto"/>
              <w:ind w:left="0" w:leftChars="0" w:firstLine="480" w:firstLineChars="200"/>
              <w:rPr>
                <w:color w:val="auto"/>
              </w:rPr>
            </w:pPr>
            <w:r>
              <w:rPr>
                <w:rFonts w:hint="eastAsia"/>
                <w:color w:val="auto"/>
              </w:rPr>
              <w:t>（4）对生态系统的影响</w:t>
            </w:r>
          </w:p>
          <w:p>
            <w:pPr>
              <w:pStyle w:val="3"/>
              <w:spacing w:after="0" w:line="360" w:lineRule="auto"/>
              <w:ind w:left="0" w:leftChars="0" w:firstLine="480" w:firstLineChars="200"/>
              <w:rPr>
                <w:rFonts w:hint="default" w:eastAsia="宋体"/>
                <w:color w:val="auto"/>
                <w:lang w:val="en-US" w:eastAsia="zh-CN"/>
              </w:rPr>
            </w:pPr>
            <w:r>
              <w:rPr>
                <w:rFonts w:hint="eastAsia"/>
                <w:color w:val="auto"/>
                <w:lang w:val="en-US" w:eastAsia="zh-CN"/>
              </w:rPr>
              <w:t>①对农田生态系统的影响</w:t>
            </w:r>
          </w:p>
          <w:p>
            <w:pPr>
              <w:pStyle w:val="3"/>
              <w:spacing w:after="0" w:line="360" w:lineRule="auto"/>
              <w:ind w:left="0" w:leftChars="0" w:firstLine="480" w:firstLineChars="200"/>
              <w:rPr>
                <w:rFonts w:hint="default"/>
                <w:color w:val="auto"/>
                <w:lang w:val="en-US" w:eastAsia="zh-CN"/>
              </w:rPr>
            </w:pPr>
            <w:r>
              <w:rPr>
                <w:rFonts w:hint="eastAsia"/>
                <w:color w:val="auto"/>
                <w:lang w:val="en-US" w:eastAsia="zh-CN"/>
              </w:rPr>
              <w:t>本项目评价区内农田生态系统简单，作物种类较单一，</w:t>
            </w:r>
            <w:r>
              <w:rPr>
                <w:color w:val="auto"/>
                <w:sz w:val="24"/>
              </w:rPr>
              <w:t>占较大比例的农作物群落与其它生物群落相互作用，共同生存</w:t>
            </w:r>
            <w:r>
              <w:rPr>
                <w:rFonts w:hint="eastAsia"/>
                <w:color w:val="auto"/>
                <w:sz w:val="24"/>
                <w:lang w:eastAsia="zh-CN"/>
              </w:rPr>
              <w:t>。</w:t>
            </w:r>
            <w:r>
              <w:rPr>
                <w:rFonts w:hint="eastAsia"/>
                <w:color w:val="auto"/>
                <w:sz w:val="24"/>
                <w:lang w:val="en-US" w:eastAsia="zh-CN"/>
              </w:rPr>
              <w:t>项目周边200m范围内有耕地，但本项目施工期均在项目厂区内部进行，不占用临时用地，因此对农田生态系统的影响较小。</w:t>
            </w:r>
          </w:p>
          <w:p>
            <w:pPr>
              <w:pStyle w:val="3"/>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eastAsia="宋体"/>
                <w:color w:val="auto"/>
                <w:sz w:val="24"/>
                <w:szCs w:val="24"/>
                <w:lang w:val="en-US" w:eastAsia="zh-CN"/>
              </w:rPr>
            </w:pPr>
            <w:r>
              <w:rPr>
                <w:rFonts w:hint="eastAsia"/>
                <w:color w:val="auto"/>
                <w:sz w:val="24"/>
                <w:szCs w:val="24"/>
                <w:lang w:val="en-US" w:eastAsia="zh-CN"/>
              </w:rPr>
              <w:t>②对草地生态系统的影响</w:t>
            </w:r>
          </w:p>
          <w:p>
            <w:pPr>
              <w:pStyle w:val="3"/>
              <w:spacing w:after="0" w:line="360" w:lineRule="auto"/>
              <w:ind w:left="0" w:leftChars="0" w:firstLine="480" w:firstLineChars="200"/>
              <w:rPr>
                <w:color w:val="auto"/>
                <w:sz w:val="24"/>
              </w:rPr>
            </w:pPr>
            <w:r>
              <w:rPr>
                <w:rFonts w:hint="eastAsia" w:ascii="Times New Roman" w:hAnsi="Times New Roman" w:eastAsia="宋体" w:cs="Times New Roman"/>
                <w:color w:val="auto"/>
                <w:kern w:val="0"/>
                <w:sz w:val="24"/>
                <w:szCs w:val="20"/>
                <w:lang w:val="en-US" w:eastAsia="zh-CN" w:bidi="ar-SA"/>
              </w:rPr>
              <w:t>本项目评价区内草地主要是天然草地，主要分布在山间沟谷洪水冲刷、水土流失较严重、土壤瘠薄地区，其生长缓慢、稀疏、低矮，牧用价值不高。该系统中动物种群简单，以野兔为主，还有蛇、蛙等。项目边南侧边界紧邻沟壑，其中主要为林木及草地。施工期的疏于管理则可能会对沟壑内的草地生态系统产生一定影响。</w:t>
            </w:r>
          </w:p>
          <w:p>
            <w:pPr>
              <w:pStyle w:val="3"/>
              <w:spacing w:after="0" w:line="360" w:lineRule="auto"/>
              <w:ind w:left="0" w:leftChars="0" w:firstLine="480" w:firstLineChars="200"/>
              <w:rPr>
                <w:color w:val="000000"/>
                <w:sz w:val="24"/>
              </w:rPr>
            </w:pPr>
            <w:r>
              <w:rPr>
                <w:color w:val="000000"/>
                <w:sz w:val="24"/>
              </w:rPr>
              <w:t>（</w:t>
            </w:r>
            <w:r>
              <w:rPr>
                <w:rFonts w:hint="eastAsia"/>
                <w:color w:val="000000"/>
                <w:sz w:val="24"/>
                <w:lang w:val="en-US" w:eastAsia="zh-CN"/>
              </w:rPr>
              <w:t>5</w:t>
            </w:r>
            <w:r>
              <w:rPr>
                <w:color w:val="000000"/>
                <w:sz w:val="24"/>
              </w:rPr>
              <w:t>）对景观的影响</w:t>
            </w:r>
          </w:p>
          <w:p>
            <w:pPr>
              <w:pStyle w:val="3"/>
              <w:spacing w:after="0" w:line="360" w:lineRule="auto"/>
              <w:ind w:left="0" w:leftChars="0" w:firstLine="480" w:firstLineChars="200"/>
              <w:rPr>
                <w:color w:val="000000"/>
                <w:sz w:val="24"/>
              </w:rPr>
            </w:pPr>
            <w:r>
              <w:rPr>
                <w:color w:val="000000"/>
                <w:sz w:val="24"/>
              </w:rPr>
              <w:t>本项目施工期存在土石方的开挖、土建工程、破坏植被，并且导致水土流失可能性增加，对周围人群造成一定的视觉冲击，影响景观环境。</w:t>
            </w:r>
          </w:p>
          <w:p>
            <w:pPr>
              <w:spacing w:line="360" w:lineRule="auto"/>
              <w:ind w:right="-1" w:firstLine="480" w:firstLineChars="200"/>
              <w:contextualSpacing/>
              <w:rPr>
                <w:color w:val="auto"/>
                <w:sz w:val="24"/>
              </w:rPr>
            </w:pPr>
            <w:r>
              <w:rPr>
                <w:color w:val="auto"/>
                <w:sz w:val="24"/>
              </w:rPr>
              <w:t>（</w:t>
            </w:r>
            <w:r>
              <w:rPr>
                <w:rFonts w:hint="eastAsia"/>
                <w:color w:val="auto"/>
                <w:sz w:val="24"/>
                <w:lang w:val="en-US" w:eastAsia="zh-CN"/>
              </w:rPr>
              <w:t>6</w:t>
            </w:r>
            <w:r>
              <w:rPr>
                <w:color w:val="auto"/>
                <w:sz w:val="24"/>
              </w:rPr>
              <w:t>）施工期水土流失影响</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本项目</w:t>
            </w:r>
            <w:r>
              <w:rPr>
                <w:rFonts w:hint="default" w:ascii="Times New Roman" w:hAnsi="Times New Roman" w:eastAsia="宋体" w:cs="Times New Roman"/>
                <w:color w:val="auto"/>
                <w:kern w:val="0"/>
                <w:sz w:val="24"/>
                <w:szCs w:val="24"/>
                <w:lang w:val="en-US" w:eastAsia="zh-CN" w:bidi="ar"/>
              </w:rPr>
              <w:t>建设提升了环保建材基础设施，对区域社会经济的发展起到了一定的作用，但在项目建设过程中，对项目区及周边地区环境将造成一定的破坏和影响，如不采取有效措施加以防治，将会影响到周边区域正常生产和群众的正常生活。本项目建设过程中造成人为水土流失危害的方面主要因素有：破坏地表完整性、挖方临时堆放、弃渣裸露，排水不畅，在雨季易产生水土流失。根据本项目地形地貌和施工建设特点，总结其产生的水土流失危害主要表现在以下几个方面：</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①</w:t>
            </w:r>
            <w:r>
              <w:rPr>
                <w:rFonts w:hint="default" w:ascii="Times New Roman" w:hAnsi="Times New Roman" w:eastAsia="宋体" w:cs="Times New Roman"/>
                <w:color w:val="auto"/>
                <w:kern w:val="0"/>
                <w:sz w:val="24"/>
                <w:szCs w:val="24"/>
                <w:lang w:val="en-US" w:eastAsia="zh-CN" w:bidi="ar"/>
              </w:rPr>
              <w:t>建设期水土流失程度增加</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项目建设区地处黄土高原丘陵沟壑区，土壤以湿陷性黄土为主，建设期开挖扰动强烈，地表裸露时间相对较长，扰动后土壤侵蚀强度较大。项目建设期土壤侵蚀模数由原来的3400t/km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·a增加到14500t/km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·a，新增流失量824t，如不采取适当的防治措施，产生的水土流失将会对周边地区造成一定的负面影响。</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②</w:t>
            </w:r>
            <w:r>
              <w:rPr>
                <w:rFonts w:hint="default" w:ascii="Times New Roman" w:hAnsi="Times New Roman" w:eastAsia="宋体" w:cs="Times New Roman"/>
                <w:color w:val="auto"/>
                <w:kern w:val="0"/>
                <w:sz w:val="24"/>
                <w:szCs w:val="24"/>
                <w:lang w:val="en-US" w:eastAsia="zh-CN" w:bidi="ar"/>
              </w:rPr>
              <w:t>可能造成局部土地资源和生产能力的破坏</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由于本项目施工建设扰动地表面积</w:t>
            </w:r>
            <w:r>
              <w:rPr>
                <w:rFonts w:hint="eastAsia" w:cs="Times New Roman"/>
                <w:color w:val="auto"/>
                <w:kern w:val="0"/>
                <w:sz w:val="24"/>
                <w:szCs w:val="24"/>
                <w:lang w:val="en-US" w:eastAsia="zh-CN" w:bidi="ar"/>
              </w:rPr>
              <w:t>13810</w:t>
            </w:r>
            <w:r>
              <w:rPr>
                <w:rFonts w:hint="eastAsia" w:ascii="Times New Roman" w:hAnsi="Times New Roman" w:eastAsia="宋体" w:cs="Times New Roman"/>
                <w:color w:val="auto"/>
                <w:kern w:val="0"/>
                <w:sz w:val="24"/>
                <w:szCs w:val="24"/>
                <w:lang w:val="en-US" w:eastAsia="zh-CN" w:bidi="ar"/>
              </w:rPr>
              <w:t>m</w:t>
            </w:r>
            <w:r>
              <w:rPr>
                <w:rFonts w:hint="eastAsia"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，若施工期监管不力导致部分施工单位出现弃方和建筑材料乱堆乱弃、乱修临时建筑物，局部地貌和土地资源会遭到一定的破坏。</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③</w:t>
            </w:r>
            <w:r>
              <w:rPr>
                <w:rFonts w:hint="default" w:ascii="Times New Roman" w:hAnsi="Times New Roman" w:eastAsia="宋体" w:cs="Times New Roman"/>
                <w:color w:val="auto"/>
                <w:kern w:val="0"/>
                <w:sz w:val="24"/>
                <w:szCs w:val="24"/>
                <w:lang w:val="en-US" w:eastAsia="zh-CN" w:bidi="ar"/>
              </w:rPr>
              <w:t>对地表植被的影响</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本工程为点状工程，基础开挖地表覆盖层将遭到较严重的破坏，施工中项目区基础开挖处于裸露状态，如不进行必要的防护，可能加剧施工区的水土流失。</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④</w:t>
            </w:r>
            <w:r>
              <w:rPr>
                <w:rFonts w:hint="default" w:ascii="Times New Roman" w:hAnsi="Times New Roman" w:eastAsia="宋体" w:cs="Times New Roman"/>
                <w:color w:val="auto"/>
                <w:kern w:val="0"/>
                <w:sz w:val="24"/>
                <w:szCs w:val="24"/>
                <w:lang w:val="en-US" w:eastAsia="zh-CN" w:bidi="ar"/>
              </w:rPr>
              <w:t>对基础设施的危害</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施工过程中，原有的地形、地貌、植被均遭到不同程度的破坏，蓄水保土功能受到影响，功能降低，特别是临时堆积的弃土、石、渣在降雨径流的作用下，松散的表土层极易被侵蚀、分割，发育成地表径流，携带泥沙蔓延冲击周边地形；对裸露土地，若不采取必要的防护措施，一旦遇到强降雨，地表水迅速汇流会引起面蚀和沟蚀，造成地面积水，威胁建筑物安全和正常安全运行，同时会加剧周边地貌的水土流失。</w:t>
            </w:r>
          </w:p>
          <w:p>
            <w:pPr>
              <w:spacing w:line="360" w:lineRule="auto"/>
              <w:ind w:firstLine="480" w:firstLineChars="200"/>
              <w:rPr>
                <w:color w:val="auto"/>
                <w:sz w:val="24"/>
              </w:rPr>
            </w:pPr>
            <w:r>
              <w:rPr>
                <w:rFonts w:hint="eastAsia"/>
                <w:color w:val="auto"/>
                <w:sz w:val="24"/>
                <w:lang w:val="en-US" w:eastAsia="zh-CN"/>
              </w:rPr>
              <w:t>⑤水土流失量预测</w:t>
            </w:r>
            <w:r>
              <w:rPr>
                <w:color w:val="auto"/>
                <w:sz w:val="24"/>
              </w:rPr>
              <w:t>。</w:t>
            </w:r>
          </w:p>
          <w:p>
            <w:pPr>
              <w:spacing w:line="360" w:lineRule="auto"/>
              <w:ind w:firstLine="480" w:firstLineChars="200"/>
              <w:rPr>
                <w:color w:val="auto"/>
                <w:sz w:val="24"/>
              </w:rPr>
            </w:pPr>
            <w:r>
              <w:rPr>
                <w:rFonts w:hint="default" w:ascii="Times New Roman" w:hAnsi="Times New Roman" w:eastAsia="宋体" w:cs="Times New Roman"/>
                <w:color w:val="auto"/>
                <w:kern w:val="0"/>
                <w:sz w:val="24"/>
                <w:szCs w:val="24"/>
                <w:lang w:val="en-US" w:eastAsia="zh-CN" w:bidi="ar"/>
              </w:rPr>
              <w:t>根据</w:t>
            </w:r>
            <w:r>
              <w:rPr>
                <w:rFonts w:hint="eastAsia" w:ascii="Times New Roman" w:hAnsi="Times New Roman" w:eastAsia="宋体" w:cs="Times New Roman"/>
                <w:color w:val="auto"/>
                <w:kern w:val="0"/>
                <w:sz w:val="24"/>
                <w:szCs w:val="24"/>
                <w:lang w:val="en-US" w:eastAsia="zh-CN" w:bidi="ar"/>
              </w:rPr>
              <w:t>本项目水土保持方案报告表中的</w:t>
            </w:r>
            <w:r>
              <w:rPr>
                <w:rFonts w:hint="default" w:ascii="Times New Roman" w:hAnsi="Times New Roman" w:eastAsia="宋体" w:cs="Times New Roman"/>
                <w:color w:val="auto"/>
                <w:kern w:val="0"/>
                <w:sz w:val="24"/>
                <w:szCs w:val="24"/>
                <w:lang w:val="en-US" w:eastAsia="zh-CN" w:bidi="ar"/>
              </w:rPr>
              <w:t>预测</w:t>
            </w:r>
            <w:r>
              <w:rPr>
                <w:rFonts w:hint="eastAsia" w:ascii="Times New Roman" w:hAnsi="Times New Roman" w:eastAsia="宋体" w:cs="Times New Roman"/>
                <w:color w:val="auto"/>
                <w:kern w:val="0"/>
                <w:sz w:val="24"/>
                <w:szCs w:val="24"/>
                <w:lang w:val="en-US" w:eastAsia="zh-CN" w:bidi="ar"/>
              </w:rPr>
              <w:t>，</w:t>
            </w:r>
            <w:r>
              <w:rPr>
                <w:color w:val="auto"/>
                <w:sz w:val="24"/>
                <w:lang w:val="en-US" w:eastAsia="zh-CN"/>
              </w:rPr>
              <w:t>预测结果表明，本工程建设期（施工期）可能产生的水土流失总量为</w:t>
            </w:r>
            <w:r>
              <w:rPr>
                <w:rFonts w:hint="default"/>
                <w:color w:val="auto"/>
                <w:sz w:val="24"/>
                <w:lang w:val="en-US" w:eastAsia="zh-CN"/>
              </w:rPr>
              <w:t>126.01t</w:t>
            </w:r>
            <w:r>
              <w:rPr>
                <w:rFonts w:hint="eastAsia"/>
                <w:color w:val="auto"/>
                <w:sz w:val="24"/>
                <w:lang w:val="en-US" w:eastAsia="zh-CN"/>
              </w:rPr>
              <w:t>，其中施工期可能产生的水土流失量为</w:t>
            </w:r>
            <w:r>
              <w:rPr>
                <w:rFonts w:hint="default"/>
                <w:color w:val="auto"/>
                <w:sz w:val="24"/>
                <w:lang w:val="en-US" w:eastAsia="zh-CN"/>
              </w:rPr>
              <w:t>119.30t</w:t>
            </w:r>
            <w:r>
              <w:rPr>
                <w:rFonts w:hint="eastAsia"/>
                <w:color w:val="auto"/>
                <w:sz w:val="24"/>
                <w:lang w:val="en-US" w:eastAsia="zh-CN"/>
              </w:rPr>
              <w:t>，自然恢复期可能产生的水土流失量为</w:t>
            </w:r>
            <w:r>
              <w:rPr>
                <w:rFonts w:hint="default"/>
                <w:color w:val="auto"/>
                <w:sz w:val="24"/>
                <w:lang w:val="en-US" w:eastAsia="zh-CN"/>
              </w:rPr>
              <w:t>6.71t</w:t>
            </w:r>
            <w:r>
              <w:rPr>
                <w:rFonts w:hint="eastAsia"/>
                <w:color w:val="auto"/>
                <w:sz w:val="24"/>
                <w:lang w:val="en-US" w:eastAsia="zh-CN"/>
              </w:rPr>
              <w:t>。新增水土流失总量为</w:t>
            </w:r>
            <w:r>
              <w:rPr>
                <w:rFonts w:hint="default"/>
                <w:color w:val="auto"/>
                <w:sz w:val="24"/>
                <w:lang w:val="en-US" w:eastAsia="zh-CN"/>
              </w:rPr>
              <w:t>84.76t</w:t>
            </w:r>
            <w:r>
              <w:rPr>
                <w:rFonts w:hint="eastAsia"/>
                <w:color w:val="auto"/>
                <w:sz w:val="24"/>
                <w:lang w:val="en-US" w:eastAsia="zh-CN"/>
              </w:rPr>
              <w:t>，其中施工期可能产生的水土流失量为</w:t>
            </w:r>
            <w:r>
              <w:rPr>
                <w:rFonts w:hint="default"/>
                <w:color w:val="auto"/>
                <w:sz w:val="24"/>
                <w:lang w:val="en-US" w:eastAsia="zh-CN"/>
              </w:rPr>
              <w:t>79.54t</w:t>
            </w:r>
            <w:r>
              <w:rPr>
                <w:rFonts w:hint="eastAsia"/>
                <w:color w:val="auto"/>
                <w:sz w:val="24"/>
                <w:lang w:val="en-US" w:eastAsia="zh-CN"/>
              </w:rPr>
              <w:t>，自然恢复期可能产生的水土流失量为</w:t>
            </w:r>
            <w:r>
              <w:rPr>
                <w:rFonts w:hint="default"/>
                <w:color w:val="auto"/>
                <w:sz w:val="24"/>
                <w:lang w:val="en-US" w:eastAsia="zh-CN"/>
              </w:rPr>
              <w:t>5.22t</w:t>
            </w:r>
            <w:r>
              <w:rPr>
                <w:rFonts w:hint="eastAsia"/>
                <w:color w:val="auto"/>
                <w:sz w:val="24"/>
                <w:lang w:val="en-US" w:eastAsia="zh-CN"/>
              </w:rPr>
              <w:t>。</w:t>
            </w:r>
          </w:p>
          <w:p>
            <w:pPr>
              <w:spacing w:line="360" w:lineRule="auto"/>
              <w:ind w:firstLine="480" w:firstLineChars="200"/>
              <w:rPr>
                <w:color w:val="000000"/>
                <w:sz w:val="24"/>
              </w:rPr>
            </w:pPr>
            <w:r>
              <w:rPr>
                <w:color w:val="000000"/>
                <w:sz w:val="24"/>
              </w:rPr>
              <w:t>（</w:t>
            </w:r>
            <w:r>
              <w:rPr>
                <w:rFonts w:hint="eastAsia"/>
                <w:color w:val="000000"/>
                <w:sz w:val="24"/>
                <w:lang w:val="en-US" w:eastAsia="zh-CN"/>
              </w:rPr>
              <w:t>7</w:t>
            </w:r>
            <w:r>
              <w:rPr>
                <w:color w:val="000000"/>
                <w:sz w:val="24"/>
              </w:rPr>
              <w:t>）对土壤的影响分析</w:t>
            </w:r>
          </w:p>
          <w:p>
            <w:pPr>
              <w:spacing w:line="360" w:lineRule="auto"/>
              <w:ind w:firstLine="480" w:firstLineChars="200"/>
              <w:rPr>
                <w:color w:val="000000"/>
                <w:sz w:val="24"/>
              </w:rPr>
            </w:pPr>
            <w:r>
              <w:rPr>
                <w:color w:val="000000"/>
                <w:sz w:val="24"/>
              </w:rPr>
              <w:t>施工期对土壤的影响主要是占压造成土壤压实和对土壤表层的剥离，影响范围主要集中在作业带周围，而对此区域以外的土壤影响较小。根据项目内容，本项目对土壤的影响主要表现为对土壤性质、土壤肥力的影响和土壤污染三个方面。评价要求建设单位施工时对固体废物实施了严格的管理措施，进行了统一回填和专门处理，减少对土壤的影响。</w:t>
            </w:r>
          </w:p>
          <w:p>
            <w:pPr>
              <w:spacing w:line="360" w:lineRule="auto"/>
              <w:ind w:firstLine="480" w:firstLineChars="200"/>
              <w:rPr>
                <w:color w:val="000000"/>
                <w:sz w:val="24"/>
              </w:rPr>
            </w:pPr>
            <w:r>
              <w:rPr>
                <w:color w:val="000000"/>
                <w:sz w:val="24"/>
              </w:rPr>
              <w:t>本项目施工期工程量较小，工期较短，对景观环境的影响是暂时的。本环评要求建设单位优化施工，避开雨天施工，减轻对植被资源的破坏，减轻对景观环境的影响程度。本项目不涉及风景名胜区、自然保护区，也不在风景名胜区和自然保护区的路线上，对景观环境影响较小。</w:t>
            </w:r>
          </w:p>
          <w:p>
            <w:pPr>
              <w:pStyle w:val="15"/>
              <w:spacing w:line="360" w:lineRule="auto"/>
              <w:rPr>
                <w:b/>
                <w:bCs/>
                <w:color w:val="000000"/>
                <w:sz w:val="24"/>
              </w:rPr>
            </w:pPr>
            <w:r>
              <w:rPr>
                <w:rFonts w:hint="eastAsia"/>
                <w:b/>
                <w:bCs/>
                <w:color w:val="000000"/>
                <w:sz w:val="24"/>
                <w:lang w:val="en-US" w:eastAsia="zh-CN"/>
              </w:rPr>
              <w:t>2.</w:t>
            </w:r>
            <w:r>
              <w:rPr>
                <w:b/>
                <w:bCs/>
                <w:color w:val="000000"/>
                <w:sz w:val="24"/>
              </w:rPr>
              <w:t>大气环境影响分析</w:t>
            </w:r>
          </w:p>
          <w:p>
            <w:pPr>
              <w:spacing w:line="360" w:lineRule="auto"/>
              <w:ind w:firstLine="480" w:firstLineChars="200"/>
              <w:rPr>
                <w:sz w:val="24"/>
              </w:rPr>
            </w:pPr>
            <w:r>
              <w:rPr>
                <w:sz w:val="24"/>
              </w:rPr>
              <w:t>项目土建工程中场地平整、土方开挖、回填及物料运输过程产生的扬尘是建设期最主要的污染因素；施工机械产生的废气中污染物主要有CO、NOx、SO</w:t>
            </w:r>
            <w:r>
              <w:rPr>
                <w:sz w:val="24"/>
                <w:vertAlign w:val="subscript"/>
              </w:rPr>
              <w:t>2</w:t>
            </w:r>
            <w:r>
              <w:rPr>
                <w:sz w:val="24"/>
              </w:rPr>
              <w:t>等。</w:t>
            </w:r>
          </w:p>
          <w:p>
            <w:pPr>
              <w:spacing w:line="360" w:lineRule="auto"/>
              <w:ind w:firstLine="480" w:firstLineChars="200"/>
              <w:outlineLvl w:val="2"/>
              <w:rPr>
                <w:sz w:val="24"/>
              </w:rPr>
            </w:pPr>
            <w:r>
              <w:rPr>
                <w:sz w:val="24"/>
              </w:rPr>
              <w:t>（1）扬尘影响分析</w:t>
            </w:r>
          </w:p>
          <w:p>
            <w:pPr>
              <w:spacing w:line="360" w:lineRule="auto"/>
              <w:ind w:firstLine="480" w:firstLineChars="200"/>
              <w:outlineLvl w:val="2"/>
              <w:rPr>
                <w:sz w:val="24"/>
              </w:rPr>
            </w:pPr>
            <w:r>
              <w:rPr>
                <w:sz w:val="24"/>
              </w:rPr>
              <w:t>施工期土建施工阶段，按起尘的原因可分为风力起尘和动力起尘，其中风力起尘主要是由于沟道两侧山体开挖、沟道回填、露天堆放的建材（如水泥等）及裸露的施工区表层浮尘因天气干燥及大风产生风尘扬尘；而动力起尘主要是在建材的装卸、搅拌过程中，由于外力而产生的尘粒再悬浮而造成，其中施工及装卸车辆造成的扬尘最为严重。据有关文献资料介绍，车辆行驶产生的扬尘占总扬尘的60%上，车辆行驶产生的扬尘在完全干燥情况下，以一辆10吨卡车，通过一段长度为1km的路面为例，在不同路面清洁程度，不同行驶速度情况下的扬尘量见表4-1。</w:t>
            </w:r>
          </w:p>
          <w:p>
            <w:pPr>
              <w:jc w:val="center"/>
              <w:outlineLvl w:val="2"/>
              <w:rPr>
                <w:b/>
              </w:rPr>
            </w:pPr>
            <w:r>
              <w:rPr>
                <w:b/>
              </w:rPr>
              <w:t>表4-1      在不同车速和地面清洁程度的汽车扬尘  单位：kg/辆·km</w:t>
            </w:r>
          </w:p>
          <w:tbl>
            <w:tblPr>
              <w:tblStyle w:val="28"/>
              <w:tblW w:w="80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149"/>
              <w:gridCol w:w="1149"/>
              <w:gridCol w:w="1149"/>
              <w:gridCol w:w="1150"/>
              <w:gridCol w:w="1151"/>
              <w:gridCol w:w="1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38" w:type="dxa"/>
                  <w:tcBorders>
                    <w:tl2br w:val="nil"/>
                    <w:tr2bl w:val="nil"/>
                  </w:tcBorders>
                  <w:noWrap w:val="0"/>
                  <w:vAlign w:val="center"/>
                </w:tcPr>
                <w:p>
                  <w:pPr>
                    <w:widowControl/>
                    <w:jc w:val="center"/>
                    <w:rPr>
                      <w:bCs/>
                      <w:kern w:val="0"/>
                      <w:szCs w:val="21"/>
                    </w:rPr>
                  </w:pPr>
                  <w:r>
                    <w:rPr>
                      <w:bCs/>
                      <w:kern w:val="0"/>
                      <w:szCs w:val="21"/>
                    </w:rPr>
                    <w:t>P车速</w:t>
                  </w:r>
                </w:p>
              </w:tc>
              <w:tc>
                <w:tcPr>
                  <w:tcW w:w="1136" w:type="dxa"/>
                  <w:tcBorders>
                    <w:tl2br w:val="nil"/>
                    <w:tr2bl w:val="nil"/>
                  </w:tcBorders>
                  <w:noWrap w:val="0"/>
                  <w:vAlign w:val="center"/>
                </w:tcPr>
                <w:p>
                  <w:pPr>
                    <w:widowControl/>
                    <w:jc w:val="center"/>
                    <w:rPr>
                      <w:bCs/>
                      <w:kern w:val="0"/>
                      <w:szCs w:val="21"/>
                    </w:rPr>
                  </w:pPr>
                  <w:r>
                    <w:rPr>
                      <w:bCs/>
                      <w:kern w:val="0"/>
                      <w:szCs w:val="21"/>
                    </w:rPr>
                    <w:t>0.1（kg/m</w:t>
                  </w:r>
                  <w:r>
                    <w:rPr>
                      <w:bCs/>
                      <w:kern w:val="0"/>
                      <w:szCs w:val="21"/>
                      <w:vertAlign w:val="superscript"/>
                    </w:rPr>
                    <w:t>2</w:t>
                  </w:r>
                  <w:r>
                    <w:rPr>
                      <w:bCs/>
                      <w:kern w:val="0"/>
                      <w:szCs w:val="21"/>
                    </w:rPr>
                    <w:t>）</w:t>
                  </w:r>
                </w:p>
              </w:tc>
              <w:tc>
                <w:tcPr>
                  <w:tcW w:w="1136" w:type="dxa"/>
                  <w:tcBorders>
                    <w:tl2br w:val="nil"/>
                    <w:tr2bl w:val="nil"/>
                  </w:tcBorders>
                  <w:noWrap w:val="0"/>
                  <w:vAlign w:val="center"/>
                </w:tcPr>
                <w:p>
                  <w:pPr>
                    <w:widowControl/>
                    <w:jc w:val="center"/>
                    <w:rPr>
                      <w:bCs/>
                      <w:kern w:val="0"/>
                      <w:szCs w:val="21"/>
                    </w:rPr>
                  </w:pPr>
                  <w:r>
                    <w:rPr>
                      <w:bCs/>
                      <w:kern w:val="0"/>
                      <w:szCs w:val="21"/>
                    </w:rPr>
                    <w:t>0.2（kg/m</w:t>
                  </w:r>
                  <w:r>
                    <w:rPr>
                      <w:bCs/>
                      <w:kern w:val="0"/>
                      <w:szCs w:val="21"/>
                      <w:vertAlign w:val="superscript"/>
                    </w:rPr>
                    <w:t>2</w:t>
                  </w:r>
                  <w:r>
                    <w:rPr>
                      <w:bCs/>
                      <w:kern w:val="0"/>
                      <w:szCs w:val="21"/>
                    </w:rPr>
                    <w:t>）</w:t>
                  </w:r>
                </w:p>
              </w:tc>
              <w:tc>
                <w:tcPr>
                  <w:tcW w:w="1136" w:type="dxa"/>
                  <w:tcBorders>
                    <w:tl2br w:val="nil"/>
                    <w:tr2bl w:val="nil"/>
                  </w:tcBorders>
                  <w:noWrap w:val="0"/>
                  <w:vAlign w:val="center"/>
                </w:tcPr>
                <w:p>
                  <w:pPr>
                    <w:widowControl/>
                    <w:jc w:val="center"/>
                    <w:rPr>
                      <w:bCs/>
                      <w:kern w:val="0"/>
                      <w:szCs w:val="21"/>
                    </w:rPr>
                  </w:pPr>
                  <w:r>
                    <w:rPr>
                      <w:bCs/>
                      <w:kern w:val="0"/>
                      <w:szCs w:val="21"/>
                    </w:rPr>
                    <w:t>0.3（kg/m</w:t>
                  </w:r>
                  <w:r>
                    <w:rPr>
                      <w:bCs/>
                      <w:kern w:val="0"/>
                      <w:szCs w:val="21"/>
                      <w:vertAlign w:val="superscript"/>
                    </w:rPr>
                    <w:t>2</w:t>
                  </w:r>
                  <w:r>
                    <w:rPr>
                      <w:bCs/>
                      <w:kern w:val="0"/>
                      <w:szCs w:val="21"/>
                    </w:rPr>
                    <w:t>）</w:t>
                  </w:r>
                </w:p>
              </w:tc>
              <w:tc>
                <w:tcPr>
                  <w:tcW w:w="1136" w:type="dxa"/>
                  <w:tcBorders>
                    <w:tl2br w:val="nil"/>
                    <w:tr2bl w:val="nil"/>
                  </w:tcBorders>
                  <w:noWrap w:val="0"/>
                  <w:vAlign w:val="center"/>
                </w:tcPr>
                <w:p>
                  <w:pPr>
                    <w:widowControl/>
                    <w:jc w:val="center"/>
                    <w:rPr>
                      <w:bCs/>
                      <w:kern w:val="0"/>
                      <w:szCs w:val="21"/>
                    </w:rPr>
                  </w:pPr>
                  <w:r>
                    <w:rPr>
                      <w:bCs/>
                      <w:kern w:val="0"/>
                      <w:szCs w:val="21"/>
                    </w:rPr>
                    <w:t>0.4（kg/m</w:t>
                  </w:r>
                  <w:r>
                    <w:rPr>
                      <w:bCs/>
                      <w:kern w:val="0"/>
                      <w:szCs w:val="21"/>
                      <w:vertAlign w:val="superscript"/>
                    </w:rPr>
                    <w:t>2</w:t>
                  </w:r>
                  <w:r>
                    <w:rPr>
                      <w:bCs/>
                      <w:kern w:val="0"/>
                      <w:szCs w:val="21"/>
                    </w:rPr>
                    <w:t>）</w:t>
                  </w:r>
                </w:p>
              </w:tc>
              <w:tc>
                <w:tcPr>
                  <w:tcW w:w="1137" w:type="dxa"/>
                  <w:tcBorders>
                    <w:tl2br w:val="nil"/>
                    <w:tr2bl w:val="nil"/>
                  </w:tcBorders>
                  <w:noWrap w:val="0"/>
                  <w:vAlign w:val="center"/>
                </w:tcPr>
                <w:p>
                  <w:pPr>
                    <w:widowControl/>
                    <w:jc w:val="center"/>
                    <w:rPr>
                      <w:bCs/>
                      <w:kern w:val="0"/>
                      <w:szCs w:val="21"/>
                    </w:rPr>
                  </w:pPr>
                  <w:r>
                    <w:rPr>
                      <w:bCs/>
                      <w:kern w:val="0"/>
                      <w:szCs w:val="21"/>
                    </w:rPr>
                    <w:t>0.5（kg/m</w:t>
                  </w:r>
                  <w:r>
                    <w:rPr>
                      <w:bCs/>
                      <w:kern w:val="0"/>
                      <w:szCs w:val="21"/>
                      <w:vertAlign w:val="superscript"/>
                    </w:rPr>
                    <w:t>2</w:t>
                  </w:r>
                  <w:r>
                    <w:rPr>
                      <w:bCs/>
                      <w:kern w:val="0"/>
                      <w:szCs w:val="21"/>
                    </w:rPr>
                    <w:t>）</w:t>
                  </w:r>
                </w:p>
              </w:tc>
              <w:tc>
                <w:tcPr>
                  <w:tcW w:w="1137" w:type="dxa"/>
                  <w:tcBorders>
                    <w:tl2br w:val="nil"/>
                    <w:tr2bl w:val="nil"/>
                  </w:tcBorders>
                  <w:noWrap w:val="0"/>
                  <w:vAlign w:val="center"/>
                </w:tcPr>
                <w:p>
                  <w:pPr>
                    <w:widowControl/>
                    <w:jc w:val="center"/>
                    <w:rPr>
                      <w:bCs/>
                      <w:kern w:val="0"/>
                      <w:szCs w:val="21"/>
                    </w:rPr>
                  </w:pPr>
                  <w:r>
                    <w:rPr>
                      <w:bCs/>
                      <w:kern w:val="0"/>
                      <w:szCs w:val="21"/>
                    </w:rPr>
                    <w:t>1（kg/m</w:t>
                  </w:r>
                  <w:r>
                    <w:rPr>
                      <w:bCs/>
                      <w:kern w:val="0"/>
                      <w:szCs w:val="21"/>
                      <w:vertAlign w:val="superscript"/>
                    </w:rPr>
                    <w:t>2</w:t>
                  </w:r>
                  <w:r>
                    <w:rPr>
                      <w:bCs/>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8" w:type="dxa"/>
                  <w:tcBorders>
                    <w:tl2br w:val="nil"/>
                    <w:tr2bl w:val="nil"/>
                  </w:tcBorders>
                  <w:noWrap w:val="0"/>
                  <w:vAlign w:val="center"/>
                </w:tcPr>
                <w:p>
                  <w:pPr>
                    <w:widowControl/>
                    <w:jc w:val="center"/>
                    <w:rPr>
                      <w:bCs/>
                      <w:kern w:val="0"/>
                      <w:szCs w:val="21"/>
                    </w:rPr>
                  </w:pPr>
                  <w:r>
                    <w:rPr>
                      <w:bCs/>
                      <w:kern w:val="0"/>
                      <w:szCs w:val="21"/>
                    </w:rPr>
                    <w:t>5（km/hr）</w:t>
                  </w:r>
                </w:p>
              </w:tc>
              <w:tc>
                <w:tcPr>
                  <w:tcW w:w="1136" w:type="dxa"/>
                  <w:tcBorders>
                    <w:tl2br w:val="nil"/>
                    <w:tr2bl w:val="nil"/>
                  </w:tcBorders>
                  <w:noWrap w:val="0"/>
                  <w:vAlign w:val="center"/>
                </w:tcPr>
                <w:p>
                  <w:pPr>
                    <w:widowControl/>
                    <w:jc w:val="center"/>
                    <w:rPr>
                      <w:bCs/>
                      <w:kern w:val="0"/>
                      <w:szCs w:val="21"/>
                    </w:rPr>
                  </w:pPr>
                  <w:r>
                    <w:rPr>
                      <w:bCs/>
                      <w:kern w:val="0"/>
                      <w:szCs w:val="21"/>
                    </w:rPr>
                    <w:t>0.0511</w:t>
                  </w:r>
                </w:p>
              </w:tc>
              <w:tc>
                <w:tcPr>
                  <w:tcW w:w="1136" w:type="dxa"/>
                  <w:tcBorders>
                    <w:tl2br w:val="nil"/>
                    <w:tr2bl w:val="nil"/>
                  </w:tcBorders>
                  <w:noWrap w:val="0"/>
                  <w:vAlign w:val="center"/>
                </w:tcPr>
                <w:p>
                  <w:pPr>
                    <w:widowControl/>
                    <w:jc w:val="center"/>
                    <w:rPr>
                      <w:bCs/>
                      <w:kern w:val="0"/>
                      <w:szCs w:val="21"/>
                    </w:rPr>
                  </w:pPr>
                  <w:r>
                    <w:rPr>
                      <w:bCs/>
                      <w:kern w:val="0"/>
                      <w:szCs w:val="21"/>
                    </w:rPr>
                    <w:t>0.0859</w:t>
                  </w:r>
                </w:p>
              </w:tc>
              <w:tc>
                <w:tcPr>
                  <w:tcW w:w="1136" w:type="dxa"/>
                  <w:tcBorders>
                    <w:tl2br w:val="nil"/>
                    <w:tr2bl w:val="nil"/>
                  </w:tcBorders>
                  <w:noWrap w:val="0"/>
                  <w:vAlign w:val="center"/>
                </w:tcPr>
                <w:p>
                  <w:pPr>
                    <w:widowControl/>
                    <w:jc w:val="center"/>
                    <w:rPr>
                      <w:bCs/>
                      <w:kern w:val="0"/>
                      <w:szCs w:val="21"/>
                    </w:rPr>
                  </w:pPr>
                  <w:r>
                    <w:rPr>
                      <w:bCs/>
                      <w:kern w:val="0"/>
                      <w:szCs w:val="21"/>
                    </w:rPr>
                    <w:t>0.1163</w:t>
                  </w:r>
                </w:p>
              </w:tc>
              <w:tc>
                <w:tcPr>
                  <w:tcW w:w="1136" w:type="dxa"/>
                  <w:tcBorders>
                    <w:tl2br w:val="nil"/>
                    <w:tr2bl w:val="nil"/>
                  </w:tcBorders>
                  <w:noWrap w:val="0"/>
                  <w:vAlign w:val="center"/>
                </w:tcPr>
                <w:p>
                  <w:pPr>
                    <w:widowControl/>
                    <w:jc w:val="center"/>
                    <w:rPr>
                      <w:bCs/>
                      <w:kern w:val="0"/>
                      <w:szCs w:val="21"/>
                    </w:rPr>
                  </w:pPr>
                  <w:r>
                    <w:rPr>
                      <w:bCs/>
                      <w:kern w:val="0"/>
                      <w:szCs w:val="21"/>
                    </w:rPr>
                    <w:t>0.1444</w:t>
                  </w:r>
                </w:p>
              </w:tc>
              <w:tc>
                <w:tcPr>
                  <w:tcW w:w="1137" w:type="dxa"/>
                  <w:tcBorders>
                    <w:tl2br w:val="nil"/>
                    <w:tr2bl w:val="nil"/>
                  </w:tcBorders>
                  <w:noWrap w:val="0"/>
                  <w:vAlign w:val="center"/>
                </w:tcPr>
                <w:p>
                  <w:pPr>
                    <w:widowControl/>
                    <w:jc w:val="center"/>
                    <w:rPr>
                      <w:bCs/>
                      <w:kern w:val="0"/>
                      <w:szCs w:val="21"/>
                    </w:rPr>
                  </w:pPr>
                  <w:r>
                    <w:rPr>
                      <w:bCs/>
                      <w:kern w:val="0"/>
                      <w:szCs w:val="21"/>
                    </w:rPr>
                    <w:t>0.1707</w:t>
                  </w:r>
                </w:p>
              </w:tc>
              <w:tc>
                <w:tcPr>
                  <w:tcW w:w="1137" w:type="dxa"/>
                  <w:tcBorders>
                    <w:tl2br w:val="nil"/>
                    <w:tr2bl w:val="nil"/>
                  </w:tcBorders>
                  <w:noWrap w:val="0"/>
                  <w:vAlign w:val="center"/>
                </w:tcPr>
                <w:p>
                  <w:pPr>
                    <w:widowControl/>
                    <w:jc w:val="center"/>
                    <w:rPr>
                      <w:bCs/>
                      <w:kern w:val="0"/>
                      <w:szCs w:val="21"/>
                    </w:rPr>
                  </w:pPr>
                  <w:r>
                    <w:rPr>
                      <w:bCs/>
                      <w:kern w:val="0"/>
                      <w:szCs w:val="21"/>
                    </w:rPr>
                    <w:t>0.2871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38" w:type="dxa"/>
                  <w:tcBorders>
                    <w:tl2br w:val="nil"/>
                    <w:tr2bl w:val="nil"/>
                  </w:tcBorders>
                  <w:noWrap w:val="0"/>
                  <w:vAlign w:val="center"/>
                </w:tcPr>
                <w:p>
                  <w:pPr>
                    <w:widowControl/>
                    <w:jc w:val="center"/>
                    <w:rPr>
                      <w:bCs/>
                      <w:kern w:val="0"/>
                      <w:szCs w:val="21"/>
                    </w:rPr>
                  </w:pPr>
                  <w:r>
                    <w:rPr>
                      <w:bCs/>
                      <w:kern w:val="0"/>
                      <w:szCs w:val="21"/>
                    </w:rPr>
                    <w:t>10（km/hr）</w:t>
                  </w:r>
                </w:p>
              </w:tc>
              <w:tc>
                <w:tcPr>
                  <w:tcW w:w="1136" w:type="dxa"/>
                  <w:tcBorders>
                    <w:tl2br w:val="nil"/>
                    <w:tr2bl w:val="nil"/>
                  </w:tcBorders>
                  <w:noWrap w:val="0"/>
                  <w:vAlign w:val="center"/>
                </w:tcPr>
                <w:p>
                  <w:pPr>
                    <w:widowControl/>
                    <w:jc w:val="center"/>
                    <w:rPr>
                      <w:bCs/>
                      <w:kern w:val="0"/>
                      <w:szCs w:val="21"/>
                    </w:rPr>
                  </w:pPr>
                  <w:r>
                    <w:rPr>
                      <w:bCs/>
                      <w:kern w:val="0"/>
                      <w:szCs w:val="21"/>
                    </w:rPr>
                    <w:t>0.1021</w:t>
                  </w:r>
                </w:p>
              </w:tc>
              <w:tc>
                <w:tcPr>
                  <w:tcW w:w="1136" w:type="dxa"/>
                  <w:tcBorders>
                    <w:tl2br w:val="nil"/>
                    <w:tr2bl w:val="nil"/>
                  </w:tcBorders>
                  <w:noWrap w:val="0"/>
                  <w:vAlign w:val="center"/>
                </w:tcPr>
                <w:p>
                  <w:pPr>
                    <w:widowControl/>
                    <w:jc w:val="center"/>
                    <w:rPr>
                      <w:bCs/>
                      <w:kern w:val="0"/>
                      <w:szCs w:val="21"/>
                    </w:rPr>
                  </w:pPr>
                  <w:r>
                    <w:rPr>
                      <w:bCs/>
                      <w:kern w:val="0"/>
                      <w:szCs w:val="21"/>
                    </w:rPr>
                    <w:t>0.1717</w:t>
                  </w:r>
                </w:p>
              </w:tc>
              <w:tc>
                <w:tcPr>
                  <w:tcW w:w="1136" w:type="dxa"/>
                  <w:tcBorders>
                    <w:tl2br w:val="nil"/>
                    <w:tr2bl w:val="nil"/>
                  </w:tcBorders>
                  <w:noWrap w:val="0"/>
                  <w:vAlign w:val="center"/>
                </w:tcPr>
                <w:p>
                  <w:pPr>
                    <w:widowControl/>
                    <w:jc w:val="center"/>
                    <w:rPr>
                      <w:bCs/>
                      <w:kern w:val="0"/>
                      <w:szCs w:val="21"/>
                    </w:rPr>
                  </w:pPr>
                  <w:r>
                    <w:rPr>
                      <w:bCs/>
                      <w:kern w:val="0"/>
                      <w:szCs w:val="21"/>
                    </w:rPr>
                    <w:t>0.2328</w:t>
                  </w:r>
                </w:p>
              </w:tc>
              <w:tc>
                <w:tcPr>
                  <w:tcW w:w="1136" w:type="dxa"/>
                  <w:tcBorders>
                    <w:tl2br w:val="nil"/>
                    <w:tr2bl w:val="nil"/>
                  </w:tcBorders>
                  <w:noWrap w:val="0"/>
                  <w:vAlign w:val="center"/>
                </w:tcPr>
                <w:p>
                  <w:pPr>
                    <w:widowControl/>
                    <w:jc w:val="center"/>
                    <w:rPr>
                      <w:bCs/>
                      <w:kern w:val="0"/>
                      <w:szCs w:val="21"/>
                    </w:rPr>
                  </w:pPr>
                  <w:r>
                    <w:rPr>
                      <w:bCs/>
                      <w:kern w:val="0"/>
                      <w:szCs w:val="21"/>
                    </w:rPr>
                    <w:t>0.2888</w:t>
                  </w:r>
                </w:p>
              </w:tc>
              <w:tc>
                <w:tcPr>
                  <w:tcW w:w="1137" w:type="dxa"/>
                  <w:tcBorders>
                    <w:tl2br w:val="nil"/>
                    <w:tr2bl w:val="nil"/>
                  </w:tcBorders>
                  <w:noWrap w:val="0"/>
                  <w:vAlign w:val="center"/>
                </w:tcPr>
                <w:p>
                  <w:pPr>
                    <w:widowControl/>
                    <w:jc w:val="center"/>
                    <w:rPr>
                      <w:bCs/>
                      <w:kern w:val="0"/>
                      <w:szCs w:val="21"/>
                    </w:rPr>
                  </w:pPr>
                  <w:r>
                    <w:rPr>
                      <w:bCs/>
                      <w:kern w:val="0"/>
                      <w:szCs w:val="21"/>
                    </w:rPr>
                    <w:t>0.3414</w:t>
                  </w:r>
                </w:p>
              </w:tc>
              <w:tc>
                <w:tcPr>
                  <w:tcW w:w="1137" w:type="dxa"/>
                  <w:tcBorders>
                    <w:tl2br w:val="nil"/>
                    <w:tr2bl w:val="nil"/>
                  </w:tcBorders>
                  <w:noWrap w:val="0"/>
                  <w:vAlign w:val="center"/>
                </w:tcPr>
                <w:p>
                  <w:pPr>
                    <w:widowControl/>
                    <w:jc w:val="center"/>
                    <w:rPr>
                      <w:bCs/>
                      <w:kern w:val="0"/>
                      <w:szCs w:val="21"/>
                    </w:rPr>
                  </w:pPr>
                  <w:r>
                    <w:rPr>
                      <w:bCs/>
                      <w:kern w:val="0"/>
                      <w:szCs w:val="21"/>
                    </w:rPr>
                    <w:t>0.5742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38" w:type="dxa"/>
                  <w:tcBorders>
                    <w:tl2br w:val="nil"/>
                    <w:tr2bl w:val="nil"/>
                  </w:tcBorders>
                  <w:noWrap w:val="0"/>
                  <w:vAlign w:val="center"/>
                </w:tcPr>
                <w:p>
                  <w:pPr>
                    <w:widowControl/>
                    <w:jc w:val="center"/>
                    <w:rPr>
                      <w:bCs/>
                      <w:kern w:val="0"/>
                      <w:szCs w:val="21"/>
                    </w:rPr>
                  </w:pPr>
                  <w:r>
                    <w:rPr>
                      <w:bCs/>
                      <w:kern w:val="0"/>
                      <w:szCs w:val="21"/>
                    </w:rPr>
                    <w:t>15（km/hr）</w:t>
                  </w:r>
                </w:p>
              </w:tc>
              <w:tc>
                <w:tcPr>
                  <w:tcW w:w="1136" w:type="dxa"/>
                  <w:tcBorders>
                    <w:tl2br w:val="nil"/>
                    <w:tr2bl w:val="nil"/>
                  </w:tcBorders>
                  <w:noWrap w:val="0"/>
                  <w:vAlign w:val="center"/>
                </w:tcPr>
                <w:p>
                  <w:pPr>
                    <w:widowControl/>
                    <w:jc w:val="center"/>
                    <w:rPr>
                      <w:bCs/>
                      <w:kern w:val="0"/>
                      <w:szCs w:val="21"/>
                    </w:rPr>
                  </w:pPr>
                  <w:r>
                    <w:rPr>
                      <w:bCs/>
                      <w:kern w:val="0"/>
                      <w:szCs w:val="21"/>
                    </w:rPr>
                    <w:t>0.1531</w:t>
                  </w:r>
                </w:p>
              </w:tc>
              <w:tc>
                <w:tcPr>
                  <w:tcW w:w="1136" w:type="dxa"/>
                  <w:tcBorders>
                    <w:tl2br w:val="nil"/>
                    <w:tr2bl w:val="nil"/>
                  </w:tcBorders>
                  <w:noWrap w:val="0"/>
                  <w:vAlign w:val="center"/>
                </w:tcPr>
                <w:p>
                  <w:pPr>
                    <w:widowControl/>
                    <w:jc w:val="center"/>
                    <w:rPr>
                      <w:bCs/>
                      <w:kern w:val="0"/>
                      <w:szCs w:val="21"/>
                    </w:rPr>
                  </w:pPr>
                  <w:r>
                    <w:rPr>
                      <w:bCs/>
                      <w:kern w:val="0"/>
                      <w:szCs w:val="21"/>
                    </w:rPr>
                    <w:t>0.2576</w:t>
                  </w:r>
                </w:p>
              </w:tc>
              <w:tc>
                <w:tcPr>
                  <w:tcW w:w="1136" w:type="dxa"/>
                  <w:tcBorders>
                    <w:tl2br w:val="nil"/>
                    <w:tr2bl w:val="nil"/>
                  </w:tcBorders>
                  <w:noWrap w:val="0"/>
                  <w:vAlign w:val="center"/>
                </w:tcPr>
                <w:p>
                  <w:pPr>
                    <w:widowControl/>
                    <w:jc w:val="center"/>
                    <w:rPr>
                      <w:bCs/>
                      <w:kern w:val="0"/>
                      <w:szCs w:val="21"/>
                    </w:rPr>
                  </w:pPr>
                  <w:r>
                    <w:rPr>
                      <w:bCs/>
                      <w:kern w:val="0"/>
                      <w:szCs w:val="21"/>
                    </w:rPr>
                    <w:t>0.3491</w:t>
                  </w:r>
                </w:p>
              </w:tc>
              <w:tc>
                <w:tcPr>
                  <w:tcW w:w="1136" w:type="dxa"/>
                  <w:tcBorders>
                    <w:tl2br w:val="nil"/>
                    <w:tr2bl w:val="nil"/>
                  </w:tcBorders>
                  <w:noWrap w:val="0"/>
                  <w:vAlign w:val="center"/>
                </w:tcPr>
                <w:p>
                  <w:pPr>
                    <w:widowControl/>
                    <w:jc w:val="center"/>
                    <w:rPr>
                      <w:bCs/>
                      <w:kern w:val="0"/>
                      <w:szCs w:val="21"/>
                    </w:rPr>
                  </w:pPr>
                  <w:r>
                    <w:rPr>
                      <w:bCs/>
                      <w:kern w:val="0"/>
                      <w:szCs w:val="21"/>
                    </w:rPr>
                    <w:t>0.4332</w:t>
                  </w:r>
                </w:p>
              </w:tc>
              <w:tc>
                <w:tcPr>
                  <w:tcW w:w="1137" w:type="dxa"/>
                  <w:tcBorders>
                    <w:tl2br w:val="nil"/>
                    <w:tr2bl w:val="nil"/>
                  </w:tcBorders>
                  <w:noWrap w:val="0"/>
                  <w:vAlign w:val="center"/>
                </w:tcPr>
                <w:p>
                  <w:pPr>
                    <w:widowControl/>
                    <w:jc w:val="center"/>
                    <w:rPr>
                      <w:bCs/>
                      <w:kern w:val="0"/>
                      <w:szCs w:val="21"/>
                    </w:rPr>
                  </w:pPr>
                  <w:r>
                    <w:rPr>
                      <w:bCs/>
                      <w:kern w:val="0"/>
                      <w:szCs w:val="21"/>
                    </w:rPr>
                    <w:t>0.5121</w:t>
                  </w:r>
                </w:p>
              </w:tc>
              <w:tc>
                <w:tcPr>
                  <w:tcW w:w="1137" w:type="dxa"/>
                  <w:tcBorders>
                    <w:tl2br w:val="nil"/>
                    <w:tr2bl w:val="nil"/>
                  </w:tcBorders>
                  <w:noWrap w:val="0"/>
                  <w:vAlign w:val="center"/>
                </w:tcPr>
                <w:p>
                  <w:pPr>
                    <w:widowControl/>
                    <w:jc w:val="center"/>
                    <w:rPr>
                      <w:bCs/>
                      <w:kern w:val="0"/>
                      <w:szCs w:val="21"/>
                    </w:rPr>
                  </w:pPr>
                  <w:r>
                    <w:rPr>
                      <w:bCs/>
                      <w:kern w:val="0"/>
                      <w:szCs w:val="21"/>
                    </w:rPr>
                    <w:t>0.8613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38" w:type="dxa"/>
                  <w:tcBorders>
                    <w:tl2br w:val="nil"/>
                    <w:tr2bl w:val="nil"/>
                  </w:tcBorders>
                  <w:noWrap w:val="0"/>
                  <w:vAlign w:val="center"/>
                </w:tcPr>
                <w:p>
                  <w:pPr>
                    <w:widowControl/>
                    <w:jc w:val="center"/>
                    <w:rPr>
                      <w:bCs/>
                      <w:kern w:val="0"/>
                      <w:szCs w:val="21"/>
                    </w:rPr>
                  </w:pPr>
                  <w:r>
                    <w:rPr>
                      <w:bCs/>
                      <w:kern w:val="0"/>
                      <w:szCs w:val="21"/>
                    </w:rPr>
                    <w:t>25（km/hr）</w:t>
                  </w:r>
                </w:p>
              </w:tc>
              <w:tc>
                <w:tcPr>
                  <w:tcW w:w="1136" w:type="dxa"/>
                  <w:tcBorders>
                    <w:tl2br w:val="nil"/>
                    <w:tr2bl w:val="nil"/>
                  </w:tcBorders>
                  <w:noWrap w:val="0"/>
                  <w:vAlign w:val="center"/>
                </w:tcPr>
                <w:p>
                  <w:pPr>
                    <w:widowControl/>
                    <w:jc w:val="center"/>
                    <w:rPr>
                      <w:bCs/>
                      <w:kern w:val="0"/>
                      <w:szCs w:val="21"/>
                    </w:rPr>
                  </w:pPr>
                  <w:r>
                    <w:rPr>
                      <w:bCs/>
                      <w:kern w:val="0"/>
                      <w:szCs w:val="21"/>
                    </w:rPr>
                    <w:t>0.2553</w:t>
                  </w:r>
                </w:p>
              </w:tc>
              <w:tc>
                <w:tcPr>
                  <w:tcW w:w="1136" w:type="dxa"/>
                  <w:tcBorders>
                    <w:tl2br w:val="nil"/>
                    <w:tr2bl w:val="nil"/>
                  </w:tcBorders>
                  <w:noWrap w:val="0"/>
                  <w:vAlign w:val="center"/>
                </w:tcPr>
                <w:p>
                  <w:pPr>
                    <w:widowControl/>
                    <w:jc w:val="center"/>
                    <w:rPr>
                      <w:bCs/>
                      <w:kern w:val="0"/>
                      <w:szCs w:val="21"/>
                    </w:rPr>
                  </w:pPr>
                  <w:r>
                    <w:rPr>
                      <w:bCs/>
                      <w:kern w:val="0"/>
                      <w:szCs w:val="21"/>
                    </w:rPr>
                    <w:t>0.4293</w:t>
                  </w:r>
                </w:p>
              </w:tc>
              <w:tc>
                <w:tcPr>
                  <w:tcW w:w="1136" w:type="dxa"/>
                  <w:tcBorders>
                    <w:tl2br w:val="nil"/>
                    <w:tr2bl w:val="nil"/>
                  </w:tcBorders>
                  <w:noWrap w:val="0"/>
                  <w:vAlign w:val="center"/>
                </w:tcPr>
                <w:p>
                  <w:pPr>
                    <w:widowControl/>
                    <w:jc w:val="center"/>
                    <w:rPr>
                      <w:bCs/>
                      <w:kern w:val="0"/>
                      <w:szCs w:val="21"/>
                    </w:rPr>
                  </w:pPr>
                  <w:r>
                    <w:rPr>
                      <w:bCs/>
                      <w:kern w:val="0"/>
                      <w:szCs w:val="21"/>
                    </w:rPr>
                    <w:t>0.5819</w:t>
                  </w:r>
                </w:p>
              </w:tc>
              <w:tc>
                <w:tcPr>
                  <w:tcW w:w="1136" w:type="dxa"/>
                  <w:tcBorders>
                    <w:tl2br w:val="nil"/>
                    <w:tr2bl w:val="nil"/>
                  </w:tcBorders>
                  <w:noWrap w:val="0"/>
                  <w:vAlign w:val="center"/>
                </w:tcPr>
                <w:p>
                  <w:pPr>
                    <w:widowControl/>
                    <w:jc w:val="center"/>
                    <w:rPr>
                      <w:bCs/>
                      <w:kern w:val="0"/>
                      <w:szCs w:val="21"/>
                    </w:rPr>
                  </w:pPr>
                  <w:r>
                    <w:rPr>
                      <w:bCs/>
                      <w:kern w:val="0"/>
                      <w:szCs w:val="21"/>
                    </w:rPr>
                    <w:t>0.7220</w:t>
                  </w:r>
                </w:p>
              </w:tc>
              <w:tc>
                <w:tcPr>
                  <w:tcW w:w="1137" w:type="dxa"/>
                  <w:tcBorders>
                    <w:tl2br w:val="nil"/>
                    <w:tr2bl w:val="nil"/>
                  </w:tcBorders>
                  <w:noWrap w:val="0"/>
                  <w:vAlign w:val="center"/>
                </w:tcPr>
                <w:p>
                  <w:pPr>
                    <w:widowControl/>
                    <w:jc w:val="center"/>
                    <w:rPr>
                      <w:bCs/>
                      <w:kern w:val="0"/>
                      <w:szCs w:val="21"/>
                    </w:rPr>
                  </w:pPr>
                  <w:r>
                    <w:rPr>
                      <w:bCs/>
                      <w:kern w:val="0"/>
                      <w:szCs w:val="21"/>
                    </w:rPr>
                    <w:t>0.8536</w:t>
                  </w:r>
                </w:p>
              </w:tc>
              <w:tc>
                <w:tcPr>
                  <w:tcW w:w="1137" w:type="dxa"/>
                  <w:tcBorders>
                    <w:tl2br w:val="nil"/>
                    <w:tr2bl w:val="nil"/>
                  </w:tcBorders>
                  <w:noWrap w:val="0"/>
                  <w:vAlign w:val="center"/>
                </w:tcPr>
                <w:p>
                  <w:pPr>
                    <w:widowControl/>
                    <w:jc w:val="center"/>
                    <w:rPr>
                      <w:bCs/>
                      <w:kern w:val="0"/>
                      <w:szCs w:val="21"/>
                    </w:rPr>
                  </w:pPr>
                  <w:r>
                    <w:rPr>
                      <w:bCs/>
                      <w:kern w:val="0"/>
                      <w:szCs w:val="21"/>
                    </w:rPr>
                    <w:t>1.4355</w:t>
                  </w:r>
                </w:p>
              </w:tc>
            </w:tr>
          </w:tbl>
          <w:p>
            <w:pPr>
              <w:spacing w:line="500" w:lineRule="exact"/>
              <w:ind w:firstLine="480" w:firstLineChars="200"/>
              <w:outlineLvl w:val="2"/>
              <w:rPr>
                <w:sz w:val="24"/>
              </w:rPr>
            </w:pPr>
            <w:r>
              <w:rPr>
                <w:sz w:val="24"/>
              </w:rPr>
              <w:t>由此可知，在同样路面清洁程度条件下，车速越快，扬尘量越大；而在同样车速情况下，路面越脏，则扬尘量越大。根据类比调查，一般情况下，施工场地、施工道路在自然风作用下产生的扬尘所影响的范围在100m以内。抑制扬尘的一个简洁有效的措施是洒水，如果在施工期内对车辆行驶的路面实施洒水抑尘，每天洒水4~5次，可使扬尘减少70%左右，表4-2为施工场地洒水抑尘的试验结果，由该表数据可看出对施工场地实施每天洒水4~5次进行抑尘，可有效地控制施工扬尘，并可将TSP污染距离缩小到20~50m范围。</w:t>
            </w:r>
          </w:p>
          <w:p>
            <w:pPr>
              <w:jc w:val="center"/>
              <w:outlineLvl w:val="2"/>
              <w:rPr>
                <w:b/>
                <w:szCs w:val="21"/>
              </w:rPr>
            </w:pPr>
            <w:r>
              <w:rPr>
                <w:b/>
                <w:szCs w:val="21"/>
              </w:rPr>
              <w:t>表4-2      施工场地洒水抑尘试验结果  单位：mg/m</w:t>
            </w:r>
            <w:r>
              <w:rPr>
                <w:b/>
                <w:szCs w:val="21"/>
                <w:vertAlign w:val="superscript"/>
              </w:rPr>
              <w:t>3</w:t>
            </w:r>
          </w:p>
          <w:tbl>
            <w:tblPr>
              <w:tblStyle w:val="28"/>
              <w:tblW w:w="80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2"/>
              <w:gridCol w:w="1238"/>
              <w:gridCol w:w="1368"/>
              <w:gridCol w:w="1348"/>
              <w:gridCol w:w="1348"/>
              <w:gridCol w:w="13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591" w:type="dxa"/>
                  <w:gridSpan w:val="2"/>
                  <w:tcBorders>
                    <w:tl2br w:val="nil"/>
                    <w:tr2bl w:val="nil"/>
                  </w:tcBorders>
                  <w:noWrap w:val="0"/>
                  <w:vAlign w:val="center"/>
                </w:tcPr>
                <w:p>
                  <w:pPr>
                    <w:autoSpaceDE w:val="0"/>
                    <w:autoSpaceDN w:val="0"/>
                    <w:adjustRightInd w:val="0"/>
                    <w:jc w:val="center"/>
                    <w:rPr>
                      <w:kern w:val="0"/>
                      <w:szCs w:val="21"/>
                    </w:rPr>
                  </w:pPr>
                  <w:r>
                    <w:rPr>
                      <w:kern w:val="0"/>
                      <w:szCs w:val="21"/>
                    </w:rPr>
                    <w:t>距离</w:t>
                  </w:r>
                </w:p>
              </w:tc>
              <w:tc>
                <w:tcPr>
                  <w:tcW w:w="1352" w:type="dxa"/>
                  <w:tcBorders>
                    <w:tl2br w:val="nil"/>
                    <w:tr2bl w:val="nil"/>
                  </w:tcBorders>
                  <w:noWrap w:val="0"/>
                  <w:vAlign w:val="center"/>
                </w:tcPr>
                <w:p>
                  <w:pPr>
                    <w:autoSpaceDE w:val="0"/>
                    <w:autoSpaceDN w:val="0"/>
                    <w:adjustRightInd w:val="0"/>
                    <w:jc w:val="center"/>
                    <w:rPr>
                      <w:kern w:val="0"/>
                      <w:szCs w:val="21"/>
                    </w:rPr>
                  </w:pPr>
                  <w:r>
                    <w:rPr>
                      <w:kern w:val="0"/>
                      <w:szCs w:val="21"/>
                    </w:rPr>
                    <w:t>5m</w:t>
                  </w:r>
                </w:p>
              </w:tc>
              <w:tc>
                <w:tcPr>
                  <w:tcW w:w="1332" w:type="dxa"/>
                  <w:tcBorders>
                    <w:tl2br w:val="nil"/>
                    <w:tr2bl w:val="nil"/>
                  </w:tcBorders>
                  <w:noWrap w:val="0"/>
                  <w:vAlign w:val="center"/>
                </w:tcPr>
                <w:p>
                  <w:pPr>
                    <w:autoSpaceDE w:val="0"/>
                    <w:autoSpaceDN w:val="0"/>
                    <w:adjustRightInd w:val="0"/>
                    <w:jc w:val="center"/>
                    <w:rPr>
                      <w:kern w:val="0"/>
                      <w:szCs w:val="21"/>
                    </w:rPr>
                  </w:pPr>
                  <w:r>
                    <w:rPr>
                      <w:kern w:val="0"/>
                      <w:szCs w:val="21"/>
                    </w:rPr>
                    <w:t>20m</w:t>
                  </w:r>
                </w:p>
              </w:tc>
              <w:tc>
                <w:tcPr>
                  <w:tcW w:w="1332" w:type="dxa"/>
                  <w:tcBorders>
                    <w:tl2br w:val="nil"/>
                    <w:tr2bl w:val="nil"/>
                  </w:tcBorders>
                  <w:noWrap w:val="0"/>
                  <w:vAlign w:val="center"/>
                </w:tcPr>
                <w:p>
                  <w:pPr>
                    <w:autoSpaceDE w:val="0"/>
                    <w:autoSpaceDN w:val="0"/>
                    <w:adjustRightInd w:val="0"/>
                    <w:jc w:val="center"/>
                    <w:rPr>
                      <w:kern w:val="0"/>
                      <w:szCs w:val="21"/>
                    </w:rPr>
                  </w:pPr>
                  <w:r>
                    <w:rPr>
                      <w:kern w:val="0"/>
                      <w:szCs w:val="21"/>
                    </w:rPr>
                    <w:t>50m</w:t>
                  </w:r>
                </w:p>
              </w:tc>
              <w:tc>
                <w:tcPr>
                  <w:tcW w:w="1350" w:type="dxa"/>
                  <w:tcBorders>
                    <w:tl2br w:val="nil"/>
                    <w:tr2bl w:val="nil"/>
                  </w:tcBorders>
                  <w:noWrap w:val="0"/>
                  <w:vAlign w:val="center"/>
                </w:tcPr>
                <w:p>
                  <w:pPr>
                    <w:autoSpaceDE w:val="0"/>
                    <w:autoSpaceDN w:val="0"/>
                    <w:adjustRightInd w:val="0"/>
                    <w:jc w:val="center"/>
                    <w:rPr>
                      <w:kern w:val="0"/>
                      <w:szCs w:val="21"/>
                    </w:rPr>
                  </w:pPr>
                  <w:r>
                    <w:rPr>
                      <w:kern w:val="0"/>
                      <w:szCs w:val="21"/>
                    </w:rPr>
                    <w:t>100m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367" w:type="dxa"/>
                  <w:vMerge w:val="restart"/>
                  <w:tcBorders>
                    <w:tl2br w:val="nil"/>
                    <w:tr2bl w:val="nil"/>
                  </w:tcBorders>
                  <w:noWrap w:val="0"/>
                  <w:vAlign w:val="center"/>
                </w:tcPr>
                <w:p>
                  <w:pPr>
                    <w:autoSpaceDE w:val="0"/>
                    <w:autoSpaceDN w:val="0"/>
                    <w:adjustRightInd w:val="0"/>
                    <w:jc w:val="center"/>
                    <w:rPr>
                      <w:kern w:val="0"/>
                      <w:szCs w:val="21"/>
                    </w:rPr>
                  </w:pPr>
                  <w:r>
                    <w:rPr>
                      <w:kern w:val="0"/>
                      <w:szCs w:val="21"/>
                    </w:rPr>
                    <w:t>TSP小时平均浓度</w:t>
                  </w:r>
                </w:p>
              </w:tc>
              <w:tc>
                <w:tcPr>
                  <w:tcW w:w="1224" w:type="dxa"/>
                  <w:tcBorders>
                    <w:tl2br w:val="nil"/>
                    <w:tr2bl w:val="nil"/>
                  </w:tcBorders>
                  <w:noWrap w:val="0"/>
                  <w:vAlign w:val="center"/>
                </w:tcPr>
                <w:p>
                  <w:pPr>
                    <w:autoSpaceDE w:val="0"/>
                    <w:autoSpaceDN w:val="0"/>
                    <w:adjustRightInd w:val="0"/>
                    <w:jc w:val="center"/>
                    <w:rPr>
                      <w:kern w:val="0"/>
                      <w:szCs w:val="21"/>
                    </w:rPr>
                  </w:pPr>
                  <w:r>
                    <w:rPr>
                      <w:kern w:val="0"/>
                      <w:szCs w:val="21"/>
                    </w:rPr>
                    <w:t>不洒水</w:t>
                  </w:r>
                </w:p>
              </w:tc>
              <w:tc>
                <w:tcPr>
                  <w:tcW w:w="1352" w:type="dxa"/>
                  <w:tcBorders>
                    <w:tl2br w:val="nil"/>
                    <w:tr2bl w:val="nil"/>
                  </w:tcBorders>
                  <w:noWrap w:val="0"/>
                  <w:vAlign w:val="center"/>
                </w:tcPr>
                <w:p>
                  <w:pPr>
                    <w:autoSpaceDE w:val="0"/>
                    <w:autoSpaceDN w:val="0"/>
                    <w:adjustRightInd w:val="0"/>
                    <w:jc w:val="center"/>
                    <w:rPr>
                      <w:kern w:val="0"/>
                      <w:szCs w:val="21"/>
                    </w:rPr>
                  </w:pPr>
                  <w:r>
                    <w:rPr>
                      <w:kern w:val="0"/>
                      <w:szCs w:val="21"/>
                    </w:rPr>
                    <w:t>10.14</w:t>
                  </w:r>
                </w:p>
              </w:tc>
              <w:tc>
                <w:tcPr>
                  <w:tcW w:w="1332" w:type="dxa"/>
                  <w:tcBorders>
                    <w:tl2br w:val="nil"/>
                    <w:tr2bl w:val="nil"/>
                  </w:tcBorders>
                  <w:noWrap w:val="0"/>
                  <w:vAlign w:val="center"/>
                </w:tcPr>
                <w:p>
                  <w:pPr>
                    <w:autoSpaceDE w:val="0"/>
                    <w:autoSpaceDN w:val="0"/>
                    <w:adjustRightInd w:val="0"/>
                    <w:jc w:val="center"/>
                    <w:rPr>
                      <w:kern w:val="0"/>
                      <w:szCs w:val="21"/>
                    </w:rPr>
                  </w:pPr>
                  <w:r>
                    <w:rPr>
                      <w:kern w:val="0"/>
                      <w:szCs w:val="21"/>
                    </w:rPr>
                    <w:t>2.89</w:t>
                  </w:r>
                </w:p>
              </w:tc>
              <w:tc>
                <w:tcPr>
                  <w:tcW w:w="1332" w:type="dxa"/>
                  <w:tcBorders>
                    <w:tl2br w:val="nil"/>
                    <w:tr2bl w:val="nil"/>
                  </w:tcBorders>
                  <w:noWrap w:val="0"/>
                  <w:vAlign w:val="center"/>
                </w:tcPr>
                <w:p>
                  <w:pPr>
                    <w:autoSpaceDE w:val="0"/>
                    <w:autoSpaceDN w:val="0"/>
                    <w:adjustRightInd w:val="0"/>
                    <w:jc w:val="center"/>
                    <w:rPr>
                      <w:kern w:val="0"/>
                      <w:szCs w:val="21"/>
                    </w:rPr>
                  </w:pPr>
                  <w:r>
                    <w:rPr>
                      <w:kern w:val="0"/>
                      <w:szCs w:val="21"/>
                    </w:rPr>
                    <w:t>1.15</w:t>
                  </w:r>
                </w:p>
              </w:tc>
              <w:tc>
                <w:tcPr>
                  <w:tcW w:w="1350" w:type="dxa"/>
                  <w:tcBorders>
                    <w:tl2br w:val="nil"/>
                    <w:tr2bl w:val="nil"/>
                  </w:tcBorders>
                  <w:noWrap w:val="0"/>
                  <w:vAlign w:val="center"/>
                </w:tcPr>
                <w:p>
                  <w:pPr>
                    <w:autoSpaceDE w:val="0"/>
                    <w:autoSpaceDN w:val="0"/>
                    <w:adjustRightInd w:val="0"/>
                    <w:jc w:val="center"/>
                    <w:rPr>
                      <w:kern w:val="0"/>
                      <w:szCs w:val="21"/>
                    </w:rPr>
                  </w:pPr>
                  <w:r>
                    <w:rPr>
                      <w:kern w:val="0"/>
                      <w:szCs w:val="21"/>
                    </w:rP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367" w:type="dxa"/>
                  <w:vMerge w:val="continue"/>
                  <w:tcBorders>
                    <w:tl2br w:val="nil"/>
                    <w:tr2bl w:val="nil"/>
                  </w:tcBorders>
                  <w:noWrap w:val="0"/>
                  <w:vAlign w:val="center"/>
                </w:tcPr>
                <w:p>
                  <w:pPr>
                    <w:autoSpaceDE w:val="0"/>
                    <w:autoSpaceDN w:val="0"/>
                    <w:adjustRightInd w:val="0"/>
                    <w:jc w:val="center"/>
                    <w:rPr>
                      <w:kern w:val="0"/>
                      <w:szCs w:val="21"/>
                    </w:rPr>
                  </w:pPr>
                </w:p>
              </w:tc>
              <w:tc>
                <w:tcPr>
                  <w:tcW w:w="1224" w:type="dxa"/>
                  <w:tcBorders>
                    <w:tl2br w:val="nil"/>
                    <w:tr2bl w:val="nil"/>
                  </w:tcBorders>
                  <w:noWrap w:val="0"/>
                  <w:vAlign w:val="center"/>
                </w:tcPr>
                <w:p>
                  <w:pPr>
                    <w:autoSpaceDE w:val="0"/>
                    <w:autoSpaceDN w:val="0"/>
                    <w:adjustRightInd w:val="0"/>
                    <w:jc w:val="center"/>
                    <w:rPr>
                      <w:kern w:val="0"/>
                      <w:szCs w:val="21"/>
                    </w:rPr>
                  </w:pPr>
                  <w:r>
                    <w:rPr>
                      <w:kern w:val="0"/>
                      <w:szCs w:val="21"/>
                    </w:rPr>
                    <w:t>洒水</w:t>
                  </w:r>
                </w:p>
              </w:tc>
              <w:tc>
                <w:tcPr>
                  <w:tcW w:w="1352" w:type="dxa"/>
                  <w:tcBorders>
                    <w:tl2br w:val="nil"/>
                    <w:tr2bl w:val="nil"/>
                  </w:tcBorders>
                  <w:noWrap w:val="0"/>
                  <w:vAlign w:val="center"/>
                </w:tcPr>
                <w:p>
                  <w:pPr>
                    <w:autoSpaceDE w:val="0"/>
                    <w:autoSpaceDN w:val="0"/>
                    <w:adjustRightInd w:val="0"/>
                    <w:jc w:val="center"/>
                    <w:rPr>
                      <w:kern w:val="0"/>
                      <w:szCs w:val="21"/>
                    </w:rPr>
                  </w:pPr>
                  <w:r>
                    <w:rPr>
                      <w:kern w:val="0"/>
                      <w:szCs w:val="21"/>
                    </w:rPr>
                    <w:t>2.01</w:t>
                  </w:r>
                </w:p>
              </w:tc>
              <w:tc>
                <w:tcPr>
                  <w:tcW w:w="1332" w:type="dxa"/>
                  <w:tcBorders>
                    <w:tl2br w:val="nil"/>
                    <w:tr2bl w:val="nil"/>
                  </w:tcBorders>
                  <w:noWrap w:val="0"/>
                  <w:vAlign w:val="center"/>
                </w:tcPr>
                <w:p>
                  <w:pPr>
                    <w:autoSpaceDE w:val="0"/>
                    <w:autoSpaceDN w:val="0"/>
                    <w:adjustRightInd w:val="0"/>
                    <w:jc w:val="center"/>
                    <w:rPr>
                      <w:kern w:val="0"/>
                      <w:szCs w:val="21"/>
                    </w:rPr>
                  </w:pPr>
                  <w:r>
                    <w:rPr>
                      <w:kern w:val="0"/>
                      <w:szCs w:val="21"/>
                    </w:rPr>
                    <w:t>1.40</w:t>
                  </w:r>
                </w:p>
              </w:tc>
              <w:tc>
                <w:tcPr>
                  <w:tcW w:w="1332" w:type="dxa"/>
                  <w:tcBorders>
                    <w:tl2br w:val="nil"/>
                    <w:tr2bl w:val="nil"/>
                  </w:tcBorders>
                  <w:noWrap w:val="0"/>
                  <w:vAlign w:val="center"/>
                </w:tcPr>
                <w:p>
                  <w:pPr>
                    <w:autoSpaceDE w:val="0"/>
                    <w:autoSpaceDN w:val="0"/>
                    <w:adjustRightInd w:val="0"/>
                    <w:jc w:val="center"/>
                    <w:rPr>
                      <w:kern w:val="0"/>
                      <w:szCs w:val="21"/>
                    </w:rPr>
                  </w:pPr>
                  <w:r>
                    <w:rPr>
                      <w:kern w:val="0"/>
                      <w:szCs w:val="21"/>
                    </w:rPr>
                    <w:t>0.74</w:t>
                  </w:r>
                </w:p>
              </w:tc>
              <w:tc>
                <w:tcPr>
                  <w:tcW w:w="1350" w:type="dxa"/>
                  <w:tcBorders>
                    <w:tl2br w:val="nil"/>
                    <w:tr2bl w:val="nil"/>
                  </w:tcBorders>
                  <w:noWrap w:val="0"/>
                  <w:vAlign w:val="center"/>
                </w:tcPr>
                <w:p>
                  <w:pPr>
                    <w:autoSpaceDE w:val="0"/>
                    <w:autoSpaceDN w:val="0"/>
                    <w:adjustRightInd w:val="0"/>
                    <w:jc w:val="center"/>
                    <w:rPr>
                      <w:kern w:val="0"/>
                      <w:szCs w:val="21"/>
                    </w:rPr>
                  </w:pPr>
                  <w:r>
                    <w:rPr>
                      <w:kern w:val="0"/>
                      <w:szCs w:val="21"/>
                    </w:rPr>
                    <w:t>0.60</w:t>
                  </w:r>
                </w:p>
              </w:tc>
            </w:tr>
          </w:tbl>
          <w:p>
            <w:pPr>
              <w:spacing w:line="500" w:lineRule="exact"/>
              <w:ind w:firstLine="480" w:firstLineChars="200"/>
              <w:outlineLvl w:val="2"/>
              <w:rPr>
                <w:sz w:val="24"/>
              </w:rPr>
            </w:pPr>
            <w:r>
              <w:rPr>
                <w:sz w:val="24"/>
              </w:rPr>
              <w:t>施工期扬尘的另一个主要原因是物料露天堆场和裸露场地的风力扬尘，由于施工的需要，一些建材需露天堆放；一些施工点表层土壤需人工开挖、堆放，在气候干燥又有风的情况下，会产生扬尘。尘粒在空气中的传播扩散情况与风速等气象条件有关，也与尘粒本身的沉降速度有关，不同粒径的尘粒的沉降速度见表4-3。</w:t>
            </w:r>
          </w:p>
          <w:p>
            <w:pPr>
              <w:jc w:val="center"/>
              <w:outlineLvl w:val="2"/>
              <w:rPr>
                <w:b/>
              </w:rPr>
            </w:pPr>
            <w:r>
              <w:rPr>
                <w:b/>
              </w:rPr>
              <w:t>表4-3      不同粒径尘粒的沉降速度</w:t>
            </w:r>
          </w:p>
          <w:tbl>
            <w:tblPr>
              <w:tblStyle w:val="28"/>
              <w:tblW w:w="79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39"/>
              <w:gridCol w:w="940"/>
              <w:gridCol w:w="941"/>
              <w:gridCol w:w="941"/>
              <w:gridCol w:w="941"/>
              <w:gridCol w:w="941"/>
              <w:gridCol w:w="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14" w:type="dxa"/>
                  <w:tcBorders>
                    <w:tl2br w:val="nil"/>
                    <w:tr2bl w:val="nil"/>
                  </w:tcBorders>
                  <w:noWrap w:val="0"/>
                  <w:vAlign w:val="center"/>
                </w:tcPr>
                <w:p>
                  <w:pPr>
                    <w:widowControl/>
                    <w:jc w:val="center"/>
                    <w:rPr>
                      <w:bCs/>
                      <w:kern w:val="0"/>
                      <w:szCs w:val="21"/>
                    </w:rPr>
                  </w:pPr>
                  <w:r>
                    <w:rPr>
                      <w:bCs/>
                      <w:kern w:val="0"/>
                      <w:szCs w:val="21"/>
                    </w:rPr>
                    <w:t>粒径（μm）</w:t>
                  </w:r>
                </w:p>
              </w:tc>
              <w:tc>
                <w:tcPr>
                  <w:tcW w:w="939" w:type="dxa"/>
                  <w:tcBorders>
                    <w:tl2br w:val="nil"/>
                    <w:tr2bl w:val="nil"/>
                  </w:tcBorders>
                  <w:noWrap w:val="0"/>
                  <w:vAlign w:val="center"/>
                </w:tcPr>
                <w:p>
                  <w:pPr>
                    <w:widowControl/>
                    <w:jc w:val="center"/>
                    <w:rPr>
                      <w:bCs/>
                      <w:kern w:val="0"/>
                      <w:szCs w:val="21"/>
                    </w:rPr>
                  </w:pPr>
                  <w:r>
                    <w:rPr>
                      <w:bCs/>
                      <w:kern w:val="0"/>
                      <w:szCs w:val="21"/>
                    </w:rPr>
                    <w:t>10</w:t>
                  </w:r>
                </w:p>
              </w:tc>
              <w:tc>
                <w:tcPr>
                  <w:tcW w:w="940" w:type="dxa"/>
                  <w:tcBorders>
                    <w:tl2br w:val="nil"/>
                    <w:tr2bl w:val="nil"/>
                  </w:tcBorders>
                  <w:noWrap w:val="0"/>
                  <w:vAlign w:val="center"/>
                </w:tcPr>
                <w:p>
                  <w:pPr>
                    <w:widowControl/>
                    <w:jc w:val="center"/>
                    <w:rPr>
                      <w:bCs/>
                      <w:kern w:val="0"/>
                      <w:szCs w:val="21"/>
                    </w:rPr>
                  </w:pPr>
                  <w:r>
                    <w:rPr>
                      <w:bCs/>
                      <w:kern w:val="0"/>
                      <w:szCs w:val="21"/>
                    </w:rPr>
                    <w:t>20</w:t>
                  </w:r>
                </w:p>
              </w:tc>
              <w:tc>
                <w:tcPr>
                  <w:tcW w:w="941" w:type="dxa"/>
                  <w:tcBorders>
                    <w:tl2br w:val="nil"/>
                    <w:tr2bl w:val="nil"/>
                  </w:tcBorders>
                  <w:noWrap w:val="0"/>
                  <w:vAlign w:val="center"/>
                </w:tcPr>
                <w:p>
                  <w:pPr>
                    <w:widowControl/>
                    <w:jc w:val="center"/>
                    <w:rPr>
                      <w:bCs/>
                      <w:kern w:val="0"/>
                      <w:szCs w:val="21"/>
                    </w:rPr>
                  </w:pPr>
                  <w:r>
                    <w:rPr>
                      <w:bCs/>
                      <w:kern w:val="0"/>
                      <w:szCs w:val="21"/>
                    </w:rPr>
                    <w:t>30</w:t>
                  </w:r>
                </w:p>
              </w:tc>
              <w:tc>
                <w:tcPr>
                  <w:tcW w:w="941" w:type="dxa"/>
                  <w:tcBorders>
                    <w:tl2br w:val="nil"/>
                    <w:tr2bl w:val="nil"/>
                  </w:tcBorders>
                  <w:noWrap w:val="0"/>
                  <w:vAlign w:val="center"/>
                </w:tcPr>
                <w:p>
                  <w:pPr>
                    <w:widowControl/>
                    <w:jc w:val="center"/>
                    <w:rPr>
                      <w:bCs/>
                      <w:kern w:val="0"/>
                      <w:szCs w:val="21"/>
                    </w:rPr>
                  </w:pPr>
                  <w:r>
                    <w:rPr>
                      <w:bCs/>
                      <w:kern w:val="0"/>
                      <w:szCs w:val="21"/>
                    </w:rPr>
                    <w:t>40</w:t>
                  </w:r>
                </w:p>
              </w:tc>
              <w:tc>
                <w:tcPr>
                  <w:tcW w:w="941" w:type="dxa"/>
                  <w:tcBorders>
                    <w:tl2br w:val="nil"/>
                    <w:tr2bl w:val="nil"/>
                  </w:tcBorders>
                  <w:noWrap w:val="0"/>
                  <w:vAlign w:val="center"/>
                </w:tcPr>
                <w:p>
                  <w:pPr>
                    <w:widowControl/>
                    <w:jc w:val="center"/>
                    <w:rPr>
                      <w:bCs/>
                      <w:kern w:val="0"/>
                      <w:szCs w:val="21"/>
                    </w:rPr>
                  </w:pPr>
                  <w:r>
                    <w:rPr>
                      <w:bCs/>
                      <w:kern w:val="0"/>
                      <w:szCs w:val="21"/>
                    </w:rPr>
                    <w:t>50</w:t>
                  </w:r>
                </w:p>
              </w:tc>
              <w:tc>
                <w:tcPr>
                  <w:tcW w:w="941" w:type="dxa"/>
                  <w:tcBorders>
                    <w:tl2br w:val="nil"/>
                    <w:tr2bl w:val="nil"/>
                  </w:tcBorders>
                  <w:noWrap w:val="0"/>
                  <w:vAlign w:val="center"/>
                </w:tcPr>
                <w:p>
                  <w:pPr>
                    <w:widowControl/>
                    <w:jc w:val="center"/>
                    <w:rPr>
                      <w:bCs/>
                      <w:kern w:val="0"/>
                      <w:szCs w:val="21"/>
                    </w:rPr>
                  </w:pPr>
                  <w:r>
                    <w:rPr>
                      <w:bCs/>
                      <w:kern w:val="0"/>
                      <w:szCs w:val="21"/>
                    </w:rPr>
                    <w:t>60</w:t>
                  </w:r>
                </w:p>
              </w:tc>
              <w:tc>
                <w:tcPr>
                  <w:tcW w:w="940" w:type="dxa"/>
                  <w:tcBorders>
                    <w:tl2br w:val="nil"/>
                    <w:tr2bl w:val="nil"/>
                  </w:tcBorders>
                  <w:noWrap w:val="0"/>
                  <w:vAlign w:val="center"/>
                </w:tcPr>
                <w:p>
                  <w:pPr>
                    <w:widowControl/>
                    <w:jc w:val="center"/>
                    <w:rPr>
                      <w:bCs/>
                      <w:kern w:val="0"/>
                      <w:szCs w:val="21"/>
                    </w:rPr>
                  </w:pPr>
                  <w:r>
                    <w:rPr>
                      <w:bCs/>
                      <w:kern w:val="0"/>
                      <w:szCs w:val="21"/>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414" w:type="dxa"/>
                  <w:tcBorders>
                    <w:tl2br w:val="nil"/>
                    <w:tr2bl w:val="nil"/>
                  </w:tcBorders>
                  <w:noWrap w:val="0"/>
                  <w:vAlign w:val="center"/>
                </w:tcPr>
                <w:p>
                  <w:pPr>
                    <w:widowControl/>
                    <w:jc w:val="center"/>
                    <w:rPr>
                      <w:bCs/>
                      <w:kern w:val="0"/>
                      <w:szCs w:val="21"/>
                    </w:rPr>
                  </w:pPr>
                  <w:r>
                    <w:rPr>
                      <w:bCs/>
                      <w:kern w:val="0"/>
                      <w:szCs w:val="21"/>
                    </w:rPr>
                    <w:t>沉降速（m/s）</w:t>
                  </w:r>
                </w:p>
              </w:tc>
              <w:tc>
                <w:tcPr>
                  <w:tcW w:w="939" w:type="dxa"/>
                  <w:tcBorders>
                    <w:tl2br w:val="nil"/>
                    <w:tr2bl w:val="nil"/>
                  </w:tcBorders>
                  <w:noWrap w:val="0"/>
                  <w:vAlign w:val="center"/>
                </w:tcPr>
                <w:p>
                  <w:pPr>
                    <w:widowControl/>
                    <w:jc w:val="center"/>
                    <w:rPr>
                      <w:bCs/>
                      <w:kern w:val="0"/>
                      <w:szCs w:val="21"/>
                    </w:rPr>
                  </w:pPr>
                  <w:r>
                    <w:rPr>
                      <w:bCs/>
                      <w:kern w:val="0"/>
                      <w:szCs w:val="21"/>
                    </w:rPr>
                    <w:t>0.003</w:t>
                  </w:r>
                </w:p>
              </w:tc>
              <w:tc>
                <w:tcPr>
                  <w:tcW w:w="940" w:type="dxa"/>
                  <w:tcBorders>
                    <w:tl2br w:val="nil"/>
                    <w:tr2bl w:val="nil"/>
                  </w:tcBorders>
                  <w:noWrap w:val="0"/>
                  <w:vAlign w:val="center"/>
                </w:tcPr>
                <w:p>
                  <w:pPr>
                    <w:widowControl/>
                    <w:jc w:val="center"/>
                    <w:rPr>
                      <w:bCs/>
                      <w:kern w:val="0"/>
                      <w:szCs w:val="21"/>
                    </w:rPr>
                  </w:pPr>
                  <w:r>
                    <w:rPr>
                      <w:bCs/>
                      <w:kern w:val="0"/>
                      <w:szCs w:val="21"/>
                    </w:rPr>
                    <w:t>0.012</w:t>
                  </w:r>
                </w:p>
              </w:tc>
              <w:tc>
                <w:tcPr>
                  <w:tcW w:w="941" w:type="dxa"/>
                  <w:tcBorders>
                    <w:tl2br w:val="nil"/>
                    <w:tr2bl w:val="nil"/>
                  </w:tcBorders>
                  <w:noWrap w:val="0"/>
                  <w:vAlign w:val="center"/>
                </w:tcPr>
                <w:p>
                  <w:pPr>
                    <w:widowControl/>
                    <w:jc w:val="center"/>
                    <w:rPr>
                      <w:bCs/>
                      <w:kern w:val="0"/>
                      <w:szCs w:val="21"/>
                    </w:rPr>
                  </w:pPr>
                  <w:r>
                    <w:rPr>
                      <w:bCs/>
                      <w:kern w:val="0"/>
                      <w:szCs w:val="21"/>
                    </w:rPr>
                    <w:t>0.027</w:t>
                  </w:r>
                </w:p>
              </w:tc>
              <w:tc>
                <w:tcPr>
                  <w:tcW w:w="941" w:type="dxa"/>
                  <w:tcBorders>
                    <w:tl2br w:val="nil"/>
                    <w:tr2bl w:val="nil"/>
                  </w:tcBorders>
                  <w:noWrap w:val="0"/>
                  <w:vAlign w:val="center"/>
                </w:tcPr>
                <w:p>
                  <w:pPr>
                    <w:widowControl/>
                    <w:jc w:val="center"/>
                    <w:rPr>
                      <w:bCs/>
                      <w:kern w:val="0"/>
                      <w:szCs w:val="21"/>
                    </w:rPr>
                  </w:pPr>
                  <w:r>
                    <w:rPr>
                      <w:bCs/>
                      <w:kern w:val="0"/>
                      <w:szCs w:val="21"/>
                    </w:rPr>
                    <w:t>0.048</w:t>
                  </w:r>
                </w:p>
              </w:tc>
              <w:tc>
                <w:tcPr>
                  <w:tcW w:w="941" w:type="dxa"/>
                  <w:tcBorders>
                    <w:tl2br w:val="nil"/>
                    <w:tr2bl w:val="nil"/>
                  </w:tcBorders>
                  <w:noWrap w:val="0"/>
                  <w:vAlign w:val="center"/>
                </w:tcPr>
                <w:p>
                  <w:pPr>
                    <w:widowControl/>
                    <w:jc w:val="center"/>
                    <w:rPr>
                      <w:bCs/>
                      <w:kern w:val="0"/>
                      <w:szCs w:val="21"/>
                    </w:rPr>
                  </w:pPr>
                  <w:r>
                    <w:rPr>
                      <w:bCs/>
                      <w:kern w:val="0"/>
                      <w:szCs w:val="21"/>
                    </w:rPr>
                    <w:t>0.075</w:t>
                  </w:r>
                </w:p>
              </w:tc>
              <w:tc>
                <w:tcPr>
                  <w:tcW w:w="941" w:type="dxa"/>
                  <w:tcBorders>
                    <w:tl2br w:val="nil"/>
                    <w:tr2bl w:val="nil"/>
                  </w:tcBorders>
                  <w:noWrap w:val="0"/>
                  <w:vAlign w:val="center"/>
                </w:tcPr>
                <w:p>
                  <w:pPr>
                    <w:widowControl/>
                    <w:jc w:val="center"/>
                    <w:rPr>
                      <w:bCs/>
                      <w:kern w:val="0"/>
                      <w:szCs w:val="21"/>
                    </w:rPr>
                  </w:pPr>
                  <w:r>
                    <w:rPr>
                      <w:bCs/>
                      <w:kern w:val="0"/>
                      <w:szCs w:val="21"/>
                    </w:rPr>
                    <w:t>0.108</w:t>
                  </w:r>
                </w:p>
              </w:tc>
              <w:tc>
                <w:tcPr>
                  <w:tcW w:w="940" w:type="dxa"/>
                  <w:tcBorders>
                    <w:tl2br w:val="nil"/>
                    <w:tr2bl w:val="nil"/>
                  </w:tcBorders>
                  <w:noWrap w:val="0"/>
                  <w:vAlign w:val="center"/>
                </w:tcPr>
                <w:p>
                  <w:pPr>
                    <w:widowControl/>
                    <w:jc w:val="center"/>
                    <w:rPr>
                      <w:bCs/>
                      <w:kern w:val="0"/>
                      <w:szCs w:val="21"/>
                    </w:rPr>
                  </w:pPr>
                  <w:r>
                    <w:rPr>
                      <w:bCs/>
                      <w:kern w:val="0"/>
                      <w:szCs w:val="21"/>
                    </w:rPr>
                    <w:t>0.147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414" w:type="dxa"/>
                  <w:tcBorders>
                    <w:tl2br w:val="nil"/>
                    <w:tr2bl w:val="nil"/>
                  </w:tcBorders>
                  <w:noWrap w:val="0"/>
                  <w:vAlign w:val="center"/>
                </w:tcPr>
                <w:p>
                  <w:pPr>
                    <w:widowControl/>
                    <w:jc w:val="center"/>
                    <w:rPr>
                      <w:bCs/>
                      <w:kern w:val="0"/>
                      <w:szCs w:val="21"/>
                    </w:rPr>
                  </w:pPr>
                  <w:r>
                    <w:rPr>
                      <w:bCs/>
                      <w:kern w:val="0"/>
                      <w:szCs w:val="21"/>
                    </w:rPr>
                    <w:t>粒径（μm）</w:t>
                  </w:r>
                </w:p>
              </w:tc>
              <w:tc>
                <w:tcPr>
                  <w:tcW w:w="939" w:type="dxa"/>
                  <w:tcBorders>
                    <w:tl2br w:val="nil"/>
                    <w:tr2bl w:val="nil"/>
                  </w:tcBorders>
                  <w:noWrap w:val="0"/>
                  <w:vAlign w:val="center"/>
                </w:tcPr>
                <w:p>
                  <w:pPr>
                    <w:widowControl/>
                    <w:jc w:val="center"/>
                    <w:rPr>
                      <w:bCs/>
                      <w:kern w:val="0"/>
                      <w:szCs w:val="21"/>
                    </w:rPr>
                  </w:pPr>
                  <w:r>
                    <w:rPr>
                      <w:bCs/>
                      <w:kern w:val="0"/>
                      <w:szCs w:val="21"/>
                    </w:rPr>
                    <w:t>80</w:t>
                  </w:r>
                </w:p>
              </w:tc>
              <w:tc>
                <w:tcPr>
                  <w:tcW w:w="940" w:type="dxa"/>
                  <w:tcBorders>
                    <w:tl2br w:val="nil"/>
                    <w:tr2bl w:val="nil"/>
                  </w:tcBorders>
                  <w:noWrap w:val="0"/>
                  <w:vAlign w:val="center"/>
                </w:tcPr>
                <w:p>
                  <w:pPr>
                    <w:widowControl/>
                    <w:jc w:val="center"/>
                    <w:rPr>
                      <w:bCs/>
                      <w:kern w:val="0"/>
                      <w:szCs w:val="21"/>
                    </w:rPr>
                  </w:pPr>
                  <w:r>
                    <w:rPr>
                      <w:bCs/>
                      <w:kern w:val="0"/>
                      <w:szCs w:val="21"/>
                    </w:rPr>
                    <w:t>90</w:t>
                  </w:r>
                </w:p>
              </w:tc>
              <w:tc>
                <w:tcPr>
                  <w:tcW w:w="941" w:type="dxa"/>
                  <w:tcBorders>
                    <w:tl2br w:val="nil"/>
                    <w:tr2bl w:val="nil"/>
                  </w:tcBorders>
                  <w:noWrap w:val="0"/>
                  <w:vAlign w:val="center"/>
                </w:tcPr>
                <w:p>
                  <w:pPr>
                    <w:widowControl/>
                    <w:jc w:val="center"/>
                    <w:rPr>
                      <w:bCs/>
                      <w:kern w:val="0"/>
                      <w:szCs w:val="21"/>
                    </w:rPr>
                  </w:pPr>
                  <w:r>
                    <w:rPr>
                      <w:bCs/>
                      <w:kern w:val="0"/>
                      <w:szCs w:val="21"/>
                    </w:rPr>
                    <w:t>100</w:t>
                  </w:r>
                </w:p>
              </w:tc>
              <w:tc>
                <w:tcPr>
                  <w:tcW w:w="941" w:type="dxa"/>
                  <w:tcBorders>
                    <w:tl2br w:val="nil"/>
                    <w:tr2bl w:val="nil"/>
                  </w:tcBorders>
                  <w:noWrap w:val="0"/>
                  <w:vAlign w:val="center"/>
                </w:tcPr>
                <w:p>
                  <w:pPr>
                    <w:widowControl/>
                    <w:jc w:val="center"/>
                    <w:rPr>
                      <w:bCs/>
                      <w:kern w:val="0"/>
                      <w:szCs w:val="21"/>
                    </w:rPr>
                  </w:pPr>
                  <w:r>
                    <w:rPr>
                      <w:bCs/>
                      <w:kern w:val="0"/>
                      <w:szCs w:val="21"/>
                    </w:rPr>
                    <w:t>150</w:t>
                  </w:r>
                </w:p>
              </w:tc>
              <w:tc>
                <w:tcPr>
                  <w:tcW w:w="941" w:type="dxa"/>
                  <w:tcBorders>
                    <w:tl2br w:val="nil"/>
                    <w:tr2bl w:val="nil"/>
                  </w:tcBorders>
                  <w:noWrap w:val="0"/>
                  <w:vAlign w:val="center"/>
                </w:tcPr>
                <w:p>
                  <w:pPr>
                    <w:widowControl/>
                    <w:jc w:val="center"/>
                    <w:rPr>
                      <w:bCs/>
                      <w:kern w:val="0"/>
                      <w:szCs w:val="21"/>
                    </w:rPr>
                  </w:pPr>
                  <w:r>
                    <w:rPr>
                      <w:bCs/>
                      <w:kern w:val="0"/>
                      <w:szCs w:val="21"/>
                    </w:rPr>
                    <w:t>200</w:t>
                  </w:r>
                </w:p>
              </w:tc>
              <w:tc>
                <w:tcPr>
                  <w:tcW w:w="941" w:type="dxa"/>
                  <w:tcBorders>
                    <w:tl2br w:val="nil"/>
                    <w:tr2bl w:val="nil"/>
                  </w:tcBorders>
                  <w:noWrap w:val="0"/>
                  <w:vAlign w:val="center"/>
                </w:tcPr>
                <w:p>
                  <w:pPr>
                    <w:widowControl/>
                    <w:jc w:val="center"/>
                    <w:rPr>
                      <w:bCs/>
                      <w:kern w:val="0"/>
                      <w:szCs w:val="21"/>
                    </w:rPr>
                  </w:pPr>
                  <w:r>
                    <w:rPr>
                      <w:bCs/>
                      <w:kern w:val="0"/>
                      <w:szCs w:val="21"/>
                    </w:rPr>
                    <w:t>250</w:t>
                  </w:r>
                </w:p>
              </w:tc>
              <w:tc>
                <w:tcPr>
                  <w:tcW w:w="940" w:type="dxa"/>
                  <w:tcBorders>
                    <w:tl2br w:val="nil"/>
                    <w:tr2bl w:val="nil"/>
                  </w:tcBorders>
                  <w:noWrap w:val="0"/>
                  <w:vAlign w:val="center"/>
                </w:tcPr>
                <w:p>
                  <w:pPr>
                    <w:widowControl/>
                    <w:jc w:val="center"/>
                    <w:rPr>
                      <w:bCs/>
                      <w:kern w:val="0"/>
                      <w:szCs w:val="21"/>
                    </w:rPr>
                  </w:pPr>
                  <w:r>
                    <w:rPr>
                      <w:bCs/>
                      <w:kern w:val="0"/>
                      <w:szCs w:val="21"/>
                    </w:rPr>
                    <w:t>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414" w:type="dxa"/>
                  <w:tcBorders>
                    <w:tl2br w:val="nil"/>
                    <w:tr2bl w:val="nil"/>
                  </w:tcBorders>
                  <w:noWrap w:val="0"/>
                  <w:vAlign w:val="center"/>
                </w:tcPr>
                <w:p>
                  <w:pPr>
                    <w:widowControl/>
                    <w:jc w:val="center"/>
                    <w:rPr>
                      <w:bCs/>
                      <w:kern w:val="0"/>
                      <w:szCs w:val="21"/>
                    </w:rPr>
                  </w:pPr>
                  <w:r>
                    <w:rPr>
                      <w:bCs/>
                      <w:kern w:val="0"/>
                      <w:szCs w:val="21"/>
                    </w:rPr>
                    <w:t>沉降速（m/s）</w:t>
                  </w:r>
                </w:p>
              </w:tc>
              <w:tc>
                <w:tcPr>
                  <w:tcW w:w="939" w:type="dxa"/>
                  <w:tcBorders>
                    <w:tl2br w:val="nil"/>
                    <w:tr2bl w:val="nil"/>
                  </w:tcBorders>
                  <w:noWrap w:val="0"/>
                  <w:vAlign w:val="center"/>
                </w:tcPr>
                <w:p>
                  <w:pPr>
                    <w:widowControl/>
                    <w:jc w:val="center"/>
                    <w:rPr>
                      <w:bCs/>
                      <w:kern w:val="0"/>
                      <w:szCs w:val="21"/>
                    </w:rPr>
                  </w:pPr>
                  <w:r>
                    <w:rPr>
                      <w:bCs/>
                      <w:kern w:val="0"/>
                      <w:szCs w:val="21"/>
                    </w:rPr>
                    <w:t>0.158</w:t>
                  </w:r>
                </w:p>
              </w:tc>
              <w:tc>
                <w:tcPr>
                  <w:tcW w:w="940" w:type="dxa"/>
                  <w:tcBorders>
                    <w:tl2br w:val="nil"/>
                    <w:tr2bl w:val="nil"/>
                  </w:tcBorders>
                  <w:noWrap w:val="0"/>
                  <w:vAlign w:val="center"/>
                </w:tcPr>
                <w:p>
                  <w:pPr>
                    <w:widowControl/>
                    <w:jc w:val="center"/>
                    <w:rPr>
                      <w:bCs/>
                      <w:kern w:val="0"/>
                      <w:szCs w:val="21"/>
                    </w:rPr>
                  </w:pPr>
                  <w:r>
                    <w:rPr>
                      <w:bCs/>
                      <w:kern w:val="0"/>
                      <w:szCs w:val="21"/>
                    </w:rPr>
                    <w:t>0.170</w:t>
                  </w:r>
                </w:p>
              </w:tc>
              <w:tc>
                <w:tcPr>
                  <w:tcW w:w="941" w:type="dxa"/>
                  <w:tcBorders>
                    <w:tl2br w:val="nil"/>
                    <w:tr2bl w:val="nil"/>
                  </w:tcBorders>
                  <w:noWrap w:val="0"/>
                  <w:vAlign w:val="center"/>
                </w:tcPr>
                <w:p>
                  <w:pPr>
                    <w:widowControl/>
                    <w:jc w:val="center"/>
                    <w:rPr>
                      <w:bCs/>
                      <w:kern w:val="0"/>
                      <w:szCs w:val="21"/>
                    </w:rPr>
                  </w:pPr>
                  <w:r>
                    <w:rPr>
                      <w:bCs/>
                      <w:kern w:val="0"/>
                      <w:szCs w:val="21"/>
                    </w:rPr>
                    <w:t>0.182</w:t>
                  </w:r>
                </w:p>
              </w:tc>
              <w:tc>
                <w:tcPr>
                  <w:tcW w:w="941" w:type="dxa"/>
                  <w:tcBorders>
                    <w:tl2br w:val="nil"/>
                    <w:tr2bl w:val="nil"/>
                  </w:tcBorders>
                  <w:noWrap w:val="0"/>
                  <w:vAlign w:val="center"/>
                </w:tcPr>
                <w:p>
                  <w:pPr>
                    <w:widowControl/>
                    <w:jc w:val="center"/>
                    <w:rPr>
                      <w:bCs/>
                      <w:kern w:val="0"/>
                      <w:szCs w:val="21"/>
                    </w:rPr>
                  </w:pPr>
                  <w:r>
                    <w:rPr>
                      <w:bCs/>
                      <w:kern w:val="0"/>
                      <w:szCs w:val="21"/>
                    </w:rPr>
                    <w:t>0.239</w:t>
                  </w:r>
                </w:p>
              </w:tc>
              <w:tc>
                <w:tcPr>
                  <w:tcW w:w="941" w:type="dxa"/>
                  <w:tcBorders>
                    <w:tl2br w:val="nil"/>
                    <w:tr2bl w:val="nil"/>
                  </w:tcBorders>
                  <w:noWrap w:val="0"/>
                  <w:vAlign w:val="center"/>
                </w:tcPr>
                <w:p>
                  <w:pPr>
                    <w:widowControl/>
                    <w:jc w:val="center"/>
                    <w:rPr>
                      <w:bCs/>
                      <w:kern w:val="0"/>
                      <w:szCs w:val="21"/>
                    </w:rPr>
                  </w:pPr>
                  <w:r>
                    <w:rPr>
                      <w:bCs/>
                      <w:kern w:val="0"/>
                      <w:szCs w:val="21"/>
                    </w:rPr>
                    <w:t>0.804</w:t>
                  </w:r>
                </w:p>
              </w:tc>
              <w:tc>
                <w:tcPr>
                  <w:tcW w:w="941" w:type="dxa"/>
                  <w:tcBorders>
                    <w:tl2br w:val="nil"/>
                    <w:tr2bl w:val="nil"/>
                  </w:tcBorders>
                  <w:noWrap w:val="0"/>
                  <w:vAlign w:val="center"/>
                </w:tcPr>
                <w:p>
                  <w:pPr>
                    <w:widowControl/>
                    <w:jc w:val="center"/>
                    <w:rPr>
                      <w:bCs/>
                      <w:kern w:val="0"/>
                      <w:szCs w:val="21"/>
                    </w:rPr>
                  </w:pPr>
                  <w:r>
                    <w:rPr>
                      <w:bCs/>
                      <w:kern w:val="0"/>
                      <w:szCs w:val="21"/>
                    </w:rPr>
                    <w:t>1.005</w:t>
                  </w:r>
                </w:p>
              </w:tc>
              <w:tc>
                <w:tcPr>
                  <w:tcW w:w="940" w:type="dxa"/>
                  <w:tcBorders>
                    <w:tl2br w:val="nil"/>
                    <w:tr2bl w:val="nil"/>
                  </w:tcBorders>
                  <w:noWrap w:val="0"/>
                  <w:vAlign w:val="center"/>
                </w:tcPr>
                <w:p>
                  <w:pPr>
                    <w:widowControl/>
                    <w:jc w:val="center"/>
                    <w:rPr>
                      <w:bCs/>
                      <w:kern w:val="0"/>
                      <w:szCs w:val="21"/>
                    </w:rPr>
                  </w:pPr>
                  <w:r>
                    <w:rPr>
                      <w:bCs/>
                      <w:kern w:val="0"/>
                      <w:szCs w:val="21"/>
                    </w:rPr>
                    <w:t>1.829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414" w:type="dxa"/>
                  <w:tcBorders>
                    <w:tl2br w:val="nil"/>
                    <w:tr2bl w:val="nil"/>
                  </w:tcBorders>
                  <w:noWrap w:val="0"/>
                  <w:vAlign w:val="center"/>
                </w:tcPr>
                <w:p>
                  <w:pPr>
                    <w:widowControl/>
                    <w:jc w:val="center"/>
                    <w:rPr>
                      <w:bCs/>
                      <w:kern w:val="0"/>
                      <w:szCs w:val="21"/>
                    </w:rPr>
                  </w:pPr>
                  <w:r>
                    <w:rPr>
                      <w:bCs/>
                      <w:kern w:val="0"/>
                      <w:szCs w:val="21"/>
                    </w:rPr>
                    <w:t>粒径（μm）</w:t>
                  </w:r>
                </w:p>
              </w:tc>
              <w:tc>
                <w:tcPr>
                  <w:tcW w:w="939" w:type="dxa"/>
                  <w:tcBorders>
                    <w:tl2br w:val="nil"/>
                    <w:tr2bl w:val="nil"/>
                  </w:tcBorders>
                  <w:noWrap w:val="0"/>
                  <w:vAlign w:val="center"/>
                </w:tcPr>
                <w:p>
                  <w:pPr>
                    <w:widowControl/>
                    <w:jc w:val="center"/>
                    <w:rPr>
                      <w:bCs/>
                      <w:kern w:val="0"/>
                      <w:szCs w:val="21"/>
                    </w:rPr>
                  </w:pPr>
                  <w:r>
                    <w:rPr>
                      <w:bCs/>
                      <w:kern w:val="0"/>
                      <w:szCs w:val="21"/>
                    </w:rPr>
                    <w:t>450</w:t>
                  </w:r>
                </w:p>
              </w:tc>
              <w:tc>
                <w:tcPr>
                  <w:tcW w:w="940" w:type="dxa"/>
                  <w:tcBorders>
                    <w:tl2br w:val="nil"/>
                    <w:tr2bl w:val="nil"/>
                  </w:tcBorders>
                  <w:noWrap w:val="0"/>
                  <w:vAlign w:val="center"/>
                </w:tcPr>
                <w:p>
                  <w:pPr>
                    <w:widowControl/>
                    <w:jc w:val="center"/>
                    <w:rPr>
                      <w:bCs/>
                      <w:kern w:val="0"/>
                      <w:szCs w:val="21"/>
                    </w:rPr>
                  </w:pPr>
                  <w:r>
                    <w:rPr>
                      <w:bCs/>
                      <w:kern w:val="0"/>
                      <w:szCs w:val="21"/>
                    </w:rPr>
                    <w:t>550</w:t>
                  </w:r>
                </w:p>
              </w:tc>
              <w:tc>
                <w:tcPr>
                  <w:tcW w:w="941" w:type="dxa"/>
                  <w:tcBorders>
                    <w:tl2br w:val="nil"/>
                    <w:tr2bl w:val="nil"/>
                  </w:tcBorders>
                  <w:noWrap w:val="0"/>
                  <w:vAlign w:val="center"/>
                </w:tcPr>
                <w:p>
                  <w:pPr>
                    <w:widowControl/>
                    <w:jc w:val="center"/>
                    <w:rPr>
                      <w:bCs/>
                      <w:kern w:val="0"/>
                      <w:szCs w:val="21"/>
                    </w:rPr>
                  </w:pPr>
                  <w:r>
                    <w:rPr>
                      <w:bCs/>
                      <w:kern w:val="0"/>
                      <w:szCs w:val="21"/>
                    </w:rPr>
                    <w:t>650</w:t>
                  </w:r>
                </w:p>
              </w:tc>
              <w:tc>
                <w:tcPr>
                  <w:tcW w:w="941" w:type="dxa"/>
                  <w:tcBorders>
                    <w:tl2br w:val="nil"/>
                    <w:tr2bl w:val="nil"/>
                  </w:tcBorders>
                  <w:noWrap w:val="0"/>
                  <w:vAlign w:val="center"/>
                </w:tcPr>
                <w:p>
                  <w:pPr>
                    <w:widowControl/>
                    <w:jc w:val="center"/>
                    <w:rPr>
                      <w:bCs/>
                      <w:kern w:val="0"/>
                      <w:szCs w:val="21"/>
                    </w:rPr>
                  </w:pPr>
                  <w:r>
                    <w:rPr>
                      <w:bCs/>
                      <w:kern w:val="0"/>
                      <w:szCs w:val="21"/>
                    </w:rPr>
                    <w:t>750</w:t>
                  </w:r>
                </w:p>
              </w:tc>
              <w:tc>
                <w:tcPr>
                  <w:tcW w:w="941" w:type="dxa"/>
                  <w:tcBorders>
                    <w:tl2br w:val="nil"/>
                    <w:tr2bl w:val="nil"/>
                  </w:tcBorders>
                  <w:noWrap w:val="0"/>
                  <w:vAlign w:val="center"/>
                </w:tcPr>
                <w:p>
                  <w:pPr>
                    <w:widowControl/>
                    <w:jc w:val="center"/>
                    <w:rPr>
                      <w:bCs/>
                      <w:kern w:val="0"/>
                      <w:szCs w:val="21"/>
                    </w:rPr>
                  </w:pPr>
                  <w:r>
                    <w:rPr>
                      <w:bCs/>
                      <w:kern w:val="0"/>
                      <w:szCs w:val="21"/>
                    </w:rPr>
                    <w:t>850</w:t>
                  </w:r>
                </w:p>
              </w:tc>
              <w:tc>
                <w:tcPr>
                  <w:tcW w:w="941" w:type="dxa"/>
                  <w:tcBorders>
                    <w:tl2br w:val="nil"/>
                    <w:tr2bl w:val="nil"/>
                  </w:tcBorders>
                  <w:noWrap w:val="0"/>
                  <w:vAlign w:val="center"/>
                </w:tcPr>
                <w:p>
                  <w:pPr>
                    <w:widowControl/>
                    <w:jc w:val="center"/>
                    <w:rPr>
                      <w:bCs/>
                      <w:kern w:val="0"/>
                      <w:szCs w:val="21"/>
                    </w:rPr>
                  </w:pPr>
                  <w:r>
                    <w:rPr>
                      <w:bCs/>
                      <w:kern w:val="0"/>
                      <w:szCs w:val="21"/>
                    </w:rPr>
                    <w:t>950</w:t>
                  </w:r>
                </w:p>
              </w:tc>
              <w:tc>
                <w:tcPr>
                  <w:tcW w:w="940" w:type="dxa"/>
                  <w:tcBorders>
                    <w:tl2br w:val="nil"/>
                    <w:tr2bl w:val="nil"/>
                  </w:tcBorders>
                  <w:noWrap w:val="0"/>
                  <w:vAlign w:val="center"/>
                </w:tcPr>
                <w:p>
                  <w:pPr>
                    <w:widowControl/>
                    <w:jc w:val="center"/>
                    <w:rPr>
                      <w:bCs/>
                      <w:kern w:val="0"/>
                      <w:szCs w:val="21"/>
                    </w:rPr>
                  </w:pPr>
                  <w:r>
                    <w:rPr>
                      <w:bCs/>
                      <w:kern w:val="0"/>
                      <w:szCs w:val="21"/>
                    </w:rPr>
                    <w:t>1050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414" w:type="dxa"/>
                  <w:tcBorders>
                    <w:tl2br w:val="nil"/>
                    <w:tr2bl w:val="nil"/>
                  </w:tcBorders>
                  <w:noWrap w:val="0"/>
                  <w:vAlign w:val="center"/>
                </w:tcPr>
                <w:p>
                  <w:pPr>
                    <w:widowControl/>
                    <w:jc w:val="center"/>
                    <w:rPr>
                      <w:bCs/>
                      <w:kern w:val="0"/>
                      <w:szCs w:val="21"/>
                    </w:rPr>
                  </w:pPr>
                  <w:r>
                    <w:rPr>
                      <w:bCs/>
                      <w:kern w:val="0"/>
                      <w:szCs w:val="21"/>
                    </w:rPr>
                    <w:t>沉降速（m/s）</w:t>
                  </w:r>
                </w:p>
              </w:tc>
              <w:tc>
                <w:tcPr>
                  <w:tcW w:w="939" w:type="dxa"/>
                  <w:tcBorders>
                    <w:tl2br w:val="nil"/>
                    <w:tr2bl w:val="nil"/>
                  </w:tcBorders>
                  <w:noWrap w:val="0"/>
                  <w:vAlign w:val="center"/>
                </w:tcPr>
                <w:p>
                  <w:pPr>
                    <w:widowControl/>
                    <w:jc w:val="center"/>
                    <w:rPr>
                      <w:bCs/>
                      <w:kern w:val="0"/>
                      <w:szCs w:val="21"/>
                    </w:rPr>
                  </w:pPr>
                  <w:r>
                    <w:rPr>
                      <w:bCs/>
                      <w:kern w:val="0"/>
                      <w:szCs w:val="21"/>
                    </w:rPr>
                    <w:t>2.211</w:t>
                  </w:r>
                </w:p>
              </w:tc>
              <w:tc>
                <w:tcPr>
                  <w:tcW w:w="940" w:type="dxa"/>
                  <w:tcBorders>
                    <w:tl2br w:val="nil"/>
                    <w:tr2bl w:val="nil"/>
                  </w:tcBorders>
                  <w:noWrap w:val="0"/>
                  <w:vAlign w:val="center"/>
                </w:tcPr>
                <w:p>
                  <w:pPr>
                    <w:widowControl/>
                    <w:jc w:val="center"/>
                    <w:rPr>
                      <w:bCs/>
                      <w:kern w:val="0"/>
                      <w:szCs w:val="21"/>
                    </w:rPr>
                  </w:pPr>
                  <w:r>
                    <w:rPr>
                      <w:bCs/>
                      <w:kern w:val="0"/>
                      <w:szCs w:val="21"/>
                    </w:rPr>
                    <w:t>2.614</w:t>
                  </w:r>
                </w:p>
              </w:tc>
              <w:tc>
                <w:tcPr>
                  <w:tcW w:w="941" w:type="dxa"/>
                  <w:tcBorders>
                    <w:tl2br w:val="nil"/>
                    <w:tr2bl w:val="nil"/>
                  </w:tcBorders>
                  <w:noWrap w:val="0"/>
                  <w:vAlign w:val="center"/>
                </w:tcPr>
                <w:p>
                  <w:pPr>
                    <w:widowControl/>
                    <w:jc w:val="center"/>
                    <w:rPr>
                      <w:bCs/>
                      <w:kern w:val="0"/>
                      <w:szCs w:val="21"/>
                    </w:rPr>
                  </w:pPr>
                  <w:r>
                    <w:rPr>
                      <w:bCs/>
                      <w:kern w:val="0"/>
                      <w:szCs w:val="21"/>
                    </w:rPr>
                    <w:t>3.016</w:t>
                  </w:r>
                </w:p>
              </w:tc>
              <w:tc>
                <w:tcPr>
                  <w:tcW w:w="941" w:type="dxa"/>
                  <w:tcBorders>
                    <w:tl2br w:val="nil"/>
                    <w:tr2bl w:val="nil"/>
                  </w:tcBorders>
                  <w:noWrap w:val="0"/>
                  <w:vAlign w:val="center"/>
                </w:tcPr>
                <w:p>
                  <w:pPr>
                    <w:widowControl/>
                    <w:jc w:val="center"/>
                    <w:rPr>
                      <w:bCs/>
                      <w:kern w:val="0"/>
                      <w:szCs w:val="21"/>
                    </w:rPr>
                  </w:pPr>
                  <w:r>
                    <w:rPr>
                      <w:bCs/>
                      <w:kern w:val="0"/>
                      <w:szCs w:val="21"/>
                    </w:rPr>
                    <w:t>3.418</w:t>
                  </w:r>
                </w:p>
              </w:tc>
              <w:tc>
                <w:tcPr>
                  <w:tcW w:w="941" w:type="dxa"/>
                  <w:tcBorders>
                    <w:tl2br w:val="nil"/>
                    <w:tr2bl w:val="nil"/>
                  </w:tcBorders>
                  <w:noWrap w:val="0"/>
                  <w:vAlign w:val="center"/>
                </w:tcPr>
                <w:p>
                  <w:pPr>
                    <w:widowControl/>
                    <w:jc w:val="center"/>
                    <w:rPr>
                      <w:bCs/>
                      <w:kern w:val="0"/>
                      <w:szCs w:val="21"/>
                    </w:rPr>
                  </w:pPr>
                  <w:r>
                    <w:rPr>
                      <w:bCs/>
                      <w:kern w:val="0"/>
                      <w:szCs w:val="21"/>
                    </w:rPr>
                    <w:t>3.820</w:t>
                  </w:r>
                </w:p>
              </w:tc>
              <w:tc>
                <w:tcPr>
                  <w:tcW w:w="941" w:type="dxa"/>
                  <w:tcBorders>
                    <w:tl2br w:val="nil"/>
                    <w:tr2bl w:val="nil"/>
                  </w:tcBorders>
                  <w:noWrap w:val="0"/>
                  <w:vAlign w:val="center"/>
                </w:tcPr>
                <w:p>
                  <w:pPr>
                    <w:widowControl/>
                    <w:jc w:val="center"/>
                    <w:rPr>
                      <w:bCs/>
                      <w:kern w:val="0"/>
                      <w:szCs w:val="21"/>
                    </w:rPr>
                  </w:pPr>
                  <w:r>
                    <w:rPr>
                      <w:bCs/>
                      <w:kern w:val="0"/>
                      <w:szCs w:val="21"/>
                    </w:rPr>
                    <w:t>4.222</w:t>
                  </w:r>
                </w:p>
              </w:tc>
              <w:tc>
                <w:tcPr>
                  <w:tcW w:w="940" w:type="dxa"/>
                  <w:tcBorders>
                    <w:tl2br w:val="nil"/>
                    <w:tr2bl w:val="nil"/>
                  </w:tcBorders>
                  <w:noWrap w:val="0"/>
                  <w:vAlign w:val="center"/>
                </w:tcPr>
                <w:p>
                  <w:pPr>
                    <w:widowControl/>
                    <w:jc w:val="center"/>
                    <w:rPr>
                      <w:bCs/>
                      <w:kern w:val="0"/>
                      <w:szCs w:val="21"/>
                    </w:rPr>
                  </w:pPr>
                  <w:r>
                    <w:rPr>
                      <w:bCs/>
                      <w:kern w:val="0"/>
                      <w:szCs w:val="21"/>
                    </w:rPr>
                    <w:t>4.624</w:t>
                  </w:r>
                </w:p>
              </w:tc>
            </w:tr>
          </w:tbl>
          <w:p>
            <w:pPr>
              <w:spacing w:line="360" w:lineRule="auto"/>
              <w:ind w:firstLine="480" w:firstLineChars="200"/>
              <w:jc w:val="left"/>
              <w:outlineLvl w:val="2"/>
              <w:rPr>
                <w:sz w:val="24"/>
              </w:rPr>
            </w:pPr>
            <w:r>
              <w:rPr>
                <w:sz w:val="24"/>
              </w:rPr>
              <w:t>由表4-3可知，尘粒的沉降速度随粒径的增大而迅速增大。当粒径为250μm时，沉降速度为1.0m/s，可认为当尘粒大于250μm时，主要影响范围在扬尘点下风向近距离范围内，而真正对外环境产生影响的是一些微小尘粒。施工过程中需采取严格的防尘措施，尽可能将扬尘降到最低，减少对周围环境的影响。</w:t>
            </w:r>
          </w:p>
          <w:p>
            <w:pPr>
              <w:spacing w:line="360" w:lineRule="auto"/>
              <w:ind w:firstLine="480" w:firstLineChars="200"/>
              <w:jc w:val="left"/>
              <w:outlineLvl w:val="2"/>
              <w:rPr>
                <w:sz w:val="24"/>
              </w:rPr>
            </w:pPr>
            <w:r>
              <w:rPr>
                <w:sz w:val="24"/>
              </w:rPr>
              <w:t>（2）设备燃油废气影响分析</w:t>
            </w:r>
          </w:p>
          <w:p>
            <w:pPr>
              <w:spacing w:line="360" w:lineRule="auto"/>
              <w:ind w:firstLine="480" w:firstLineChars="200"/>
              <w:jc w:val="left"/>
              <w:outlineLvl w:val="2"/>
              <w:rPr>
                <w:sz w:val="24"/>
              </w:rPr>
            </w:pPr>
            <w:r>
              <w:rPr>
                <w:sz w:val="24"/>
              </w:rPr>
              <w:t>本项目施工所用的施工机械，主要包括挖掘机、装载机等，它们主要以柴油为燃料，施工过程中将会产生一定量的废气，其排放的污染物主要为CO、NO</w:t>
            </w:r>
            <w:r>
              <w:rPr>
                <w:sz w:val="24"/>
                <w:vertAlign w:val="subscript"/>
              </w:rPr>
              <w:t>x</w:t>
            </w:r>
            <w:r>
              <w:rPr>
                <w:sz w:val="24"/>
              </w:rPr>
              <w:t>、烃类等，但一般产生量不大，影响范围有限。对于运输车辆产生的汽车尾气，施工单位应采取相应措施，做好施工现场交通疏导，控制汽车尾气的排放。</w:t>
            </w:r>
          </w:p>
          <w:p>
            <w:pPr>
              <w:pStyle w:val="15"/>
              <w:spacing w:line="360" w:lineRule="auto"/>
              <w:rPr>
                <w:b/>
                <w:bCs/>
                <w:color w:val="000000"/>
                <w:sz w:val="24"/>
              </w:rPr>
            </w:pPr>
            <w:r>
              <w:rPr>
                <w:rFonts w:hint="eastAsia"/>
                <w:b/>
                <w:bCs/>
                <w:color w:val="000000"/>
                <w:sz w:val="24"/>
                <w:lang w:val="en-US" w:eastAsia="zh-CN"/>
              </w:rPr>
              <w:t>3.</w:t>
            </w:r>
            <w:r>
              <w:rPr>
                <w:b/>
                <w:bCs/>
                <w:color w:val="000000"/>
                <w:sz w:val="24"/>
              </w:rPr>
              <w:t>水环境影响分析</w:t>
            </w:r>
          </w:p>
          <w:p>
            <w:pPr>
              <w:spacing w:line="360" w:lineRule="auto"/>
              <w:ind w:firstLine="480" w:firstLineChars="200"/>
              <w:jc w:val="left"/>
              <w:outlineLvl w:val="2"/>
              <w:rPr>
                <w:sz w:val="24"/>
              </w:rPr>
            </w:pPr>
            <w:r>
              <w:rPr>
                <w:sz w:val="24"/>
              </w:rPr>
              <w:t>废水主要来源于施工人员产生的生活污水，其主要污染物为COD、BOD</w:t>
            </w:r>
            <w:r>
              <w:rPr>
                <w:sz w:val="24"/>
                <w:vertAlign w:val="subscript"/>
              </w:rPr>
              <w:t>5</w:t>
            </w:r>
            <w:r>
              <w:rPr>
                <w:sz w:val="24"/>
              </w:rPr>
              <w:t>和悬浮物等，土建工程施工工期较短，施工人员较少，施工场地依托原有</w:t>
            </w:r>
            <w:r>
              <w:rPr>
                <w:rFonts w:hint="eastAsia"/>
                <w:sz w:val="24"/>
                <w:lang w:eastAsia="zh-CN"/>
              </w:rPr>
              <w:t>旱厕</w:t>
            </w:r>
            <w:r>
              <w:rPr>
                <w:sz w:val="24"/>
              </w:rPr>
              <w:t>，施工期生活污水排放量为</w:t>
            </w:r>
            <w:r>
              <w:rPr>
                <w:rFonts w:hint="eastAsia"/>
                <w:sz w:val="24"/>
                <w:lang w:val="en-US" w:eastAsia="zh-CN"/>
              </w:rPr>
              <w:t>252</w:t>
            </w:r>
            <w:r>
              <w:rPr>
                <w:sz w:val="24"/>
              </w:rPr>
              <w:t>m</w:t>
            </w:r>
            <w:r>
              <w:rPr>
                <w:sz w:val="24"/>
                <w:vertAlign w:val="superscript"/>
              </w:rPr>
              <w:t>3</w:t>
            </w:r>
            <w:r>
              <w:rPr>
                <w:sz w:val="24"/>
              </w:rPr>
              <w:t>，生活污水产生量较小，主要通过泼洒路面、作业面用于降尘。</w:t>
            </w:r>
          </w:p>
          <w:p>
            <w:pPr>
              <w:spacing w:line="360" w:lineRule="auto"/>
              <w:ind w:firstLine="480" w:firstLineChars="200"/>
              <w:jc w:val="left"/>
              <w:outlineLvl w:val="2"/>
              <w:rPr>
                <w:sz w:val="24"/>
              </w:rPr>
            </w:pPr>
            <w:r>
              <w:rPr>
                <w:sz w:val="24"/>
              </w:rPr>
              <w:t>本项目</w:t>
            </w:r>
            <w:r>
              <w:rPr>
                <w:rFonts w:hint="eastAsia"/>
                <w:sz w:val="24"/>
                <w:lang w:val="en-US" w:eastAsia="zh-CN"/>
              </w:rPr>
              <w:t>所在</w:t>
            </w:r>
            <w:r>
              <w:rPr>
                <w:sz w:val="24"/>
              </w:rPr>
              <w:t>区域雨季多集中在七、八月份，占全年降水量的60%~65%。雨季施工作业，雨水冲刷作业面，形成大量的泥污水，若不采取必要的疏导措施，则泥污水漫流会对周边环境造成一定的影响。</w:t>
            </w:r>
          </w:p>
          <w:p>
            <w:pPr>
              <w:spacing w:line="360" w:lineRule="auto"/>
              <w:ind w:firstLine="480" w:firstLineChars="200"/>
              <w:jc w:val="left"/>
              <w:outlineLvl w:val="2"/>
              <w:rPr>
                <w:sz w:val="24"/>
              </w:rPr>
            </w:pPr>
            <w:r>
              <w:rPr>
                <w:sz w:val="24"/>
              </w:rPr>
              <w:t>工程施工过程裸露地面、土方堆积等在雨季极易形成地表雨污径流，施工过程中应做好施工期临时雨水导排设施，确保雨污水合理排放，防止雨污水漫流对区域环境造成不良影响。</w:t>
            </w:r>
          </w:p>
          <w:p>
            <w:pPr>
              <w:spacing w:line="360" w:lineRule="auto"/>
              <w:rPr>
                <w:b/>
                <w:bCs/>
                <w:sz w:val="24"/>
                <w:szCs w:val="28"/>
              </w:rPr>
            </w:pPr>
            <w:r>
              <w:rPr>
                <w:rFonts w:hint="eastAsia"/>
                <w:b/>
                <w:bCs/>
                <w:sz w:val="24"/>
                <w:szCs w:val="28"/>
                <w:lang w:val="en-US" w:eastAsia="zh-CN"/>
              </w:rPr>
              <w:t>4.</w:t>
            </w:r>
            <w:r>
              <w:rPr>
                <w:b/>
                <w:bCs/>
                <w:sz w:val="24"/>
                <w:szCs w:val="28"/>
              </w:rPr>
              <w:t>声环境影响分析</w:t>
            </w:r>
          </w:p>
          <w:p>
            <w:pPr>
              <w:spacing w:line="360" w:lineRule="auto"/>
              <w:ind w:firstLine="480" w:firstLineChars="200"/>
              <w:outlineLvl w:val="2"/>
              <w:rPr>
                <w:color w:val="auto"/>
                <w:sz w:val="24"/>
              </w:rPr>
            </w:pPr>
            <w:r>
              <w:rPr>
                <w:color w:val="auto"/>
                <w:sz w:val="24"/>
              </w:rPr>
              <w:t>施工期噪声主要产生于各种施工机械设备和运输车辆，其特点是间歇性的。其中产噪最大的设备为场地平整的挖掘机、碾压机、装载机等。以高噪声源挖掘机作为预测源，采用点声源衰减预测模式进行距离衰减预测，忽略其它因素衰减。</w:t>
            </w:r>
          </w:p>
          <w:p>
            <w:pPr>
              <w:spacing w:line="360" w:lineRule="auto"/>
              <w:ind w:firstLine="480" w:firstLineChars="200"/>
              <w:outlineLvl w:val="2"/>
              <w:rPr>
                <w:color w:val="auto"/>
                <w:sz w:val="24"/>
              </w:rPr>
            </w:pPr>
            <w:r>
              <w:rPr>
                <w:color w:val="auto"/>
                <w:sz w:val="24"/>
              </w:rPr>
              <w:t>预测模式如下：</w:t>
            </w:r>
          </w:p>
          <w:p>
            <w:pPr>
              <w:jc w:val="center"/>
              <w:outlineLvl w:val="2"/>
              <w:rPr>
                <w:color w:val="auto"/>
                <w:sz w:val="24"/>
              </w:rPr>
            </w:pPr>
            <w:r>
              <w:rPr>
                <w:color w:val="auto"/>
              </w:rPr>
              <w:drawing>
                <wp:inline distT="0" distB="0" distL="114300" distR="114300">
                  <wp:extent cx="1762125" cy="695325"/>
                  <wp:effectExtent l="0" t="0" r="9525" b="952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9"/>
                          <a:stretch>
                            <a:fillRect/>
                          </a:stretch>
                        </pic:blipFill>
                        <pic:spPr>
                          <a:xfrm>
                            <a:off x="0" y="0"/>
                            <a:ext cx="1762125" cy="695325"/>
                          </a:xfrm>
                          <a:prstGeom prst="rect">
                            <a:avLst/>
                          </a:prstGeom>
                          <a:noFill/>
                          <a:ln>
                            <a:noFill/>
                          </a:ln>
                        </pic:spPr>
                      </pic:pic>
                    </a:graphicData>
                  </a:graphic>
                </wp:inline>
              </w:drawing>
            </w:r>
          </w:p>
          <w:p>
            <w:pPr>
              <w:spacing w:line="500" w:lineRule="exact"/>
              <w:ind w:firstLine="480" w:firstLineChars="200"/>
              <w:outlineLvl w:val="2"/>
              <w:rPr>
                <w:color w:val="auto"/>
                <w:sz w:val="24"/>
              </w:rPr>
            </w:pPr>
            <w:r>
              <w:rPr>
                <w:color w:val="auto"/>
                <w:sz w:val="24"/>
              </w:rPr>
              <w:t>式中：L</w:t>
            </w:r>
            <w:r>
              <w:rPr>
                <w:color w:val="auto"/>
                <w:sz w:val="24"/>
                <w:vertAlign w:val="subscript"/>
              </w:rPr>
              <w:t>A(r)</w:t>
            </w:r>
            <w:r>
              <w:rPr>
                <w:color w:val="auto"/>
                <w:sz w:val="24"/>
              </w:rPr>
              <w:t>—点声源在预测点产生的声压级；</w:t>
            </w:r>
          </w:p>
          <w:p>
            <w:pPr>
              <w:spacing w:line="500" w:lineRule="exact"/>
              <w:ind w:firstLine="1200" w:firstLineChars="500"/>
              <w:outlineLvl w:val="2"/>
              <w:rPr>
                <w:color w:val="auto"/>
                <w:sz w:val="24"/>
              </w:rPr>
            </w:pPr>
            <w:r>
              <w:rPr>
                <w:color w:val="auto"/>
                <w:sz w:val="24"/>
              </w:rPr>
              <w:t>L</w:t>
            </w:r>
            <w:r>
              <w:rPr>
                <w:color w:val="auto"/>
                <w:sz w:val="24"/>
                <w:vertAlign w:val="subscript"/>
              </w:rPr>
              <w:t>A(r0)</w:t>
            </w:r>
            <w:r>
              <w:rPr>
                <w:color w:val="auto"/>
                <w:sz w:val="24"/>
              </w:rPr>
              <w:t>—参考位置r</w:t>
            </w:r>
            <w:r>
              <w:rPr>
                <w:color w:val="auto"/>
                <w:sz w:val="24"/>
                <w:vertAlign w:val="subscript"/>
              </w:rPr>
              <w:t>0</w:t>
            </w:r>
            <w:r>
              <w:rPr>
                <w:color w:val="auto"/>
                <w:sz w:val="24"/>
              </w:rPr>
              <w:t>处的声压级；</w:t>
            </w:r>
          </w:p>
          <w:p>
            <w:pPr>
              <w:spacing w:line="500" w:lineRule="exact"/>
              <w:ind w:firstLine="1200" w:firstLineChars="500"/>
              <w:outlineLvl w:val="2"/>
              <w:rPr>
                <w:color w:val="auto"/>
                <w:sz w:val="24"/>
              </w:rPr>
            </w:pPr>
            <w:r>
              <w:rPr>
                <w:color w:val="auto"/>
                <w:sz w:val="24"/>
              </w:rPr>
              <w:t>r—预测点距声源的距离；</w:t>
            </w:r>
          </w:p>
          <w:p>
            <w:pPr>
              <w:spacing w:line="500" w:lineRule="exact"/>
              <w:ind w:firstLine="1200" w:firstLineChars="500"/>
              <w:outlineLvl w:val="2"/>
              <w:rPr>
                <w:color w:val="auto"/>
                <w:sz w:val="24"/>
              </w:rPr>
            </w:pPr>
            <w:r>
              <w:rPr>
                <w:color w:val="auto"/>
                <w:sz w:val="24"/>
              </w:rPr>
              <w:t>r</w:t>
            </w:r>
            <w:r>
              <w:rPr>
                <w:color w:val="auto"/>
                <w:sz w:val="24"/>
                <w:vertAlign w:val="subscript"/>
              </w:rPr>
              <w:t>0</w:t>
            </w:r>
            <w:r>
              <w:rPr>
                <w:color w:val="auto"/>
                <w:sz w:val="24"/>
              </w:rPr>
              <w:t>—参考位置距声源的距离；</w:t>
            </w:r>
          </w:p>
          <w:p>
            <w:pPr>
              <w:spacing w:line="500" w:lineRule="exact"/>
              <w:ind w:firstLine="1200" w:firstLineChars="500"/>
              <w:outlineLvl w:val="2"/>
              <w:rPr>
                <w:color w:val="auto"/>
                <w:sz w:val="24"/>
              </w:rPr>
            </w:pPr>
            <w:r>
              <w:rPr>
                <w:color w:val="auto"/>
                <w:sz w:val="24"/>
              </w:rPr>
              <w:t>ΔL—环境衰减。</w:t>
            </w:r>
          </w:p>
          <w:p>
            <w:pPr>
              <w:spacing w:line="500" w:lineRule="exact"/>
              <w:ind w:firstLine="480" w:firstLineChars="200"/>
              <w:outlineLvl w:val="2"/>
              <w:rPr>
                <w:color w:val="auto"/>
                <w:sz w:val="24"/>
              </w:rPr>
            </w:pPr>
            <w:r>
              <w:rPr>
                <w:color w:val="auto"/>
                <w:sz w:val="24"/>
              </w:rPr>
              <w:t>预测结果见表4-4。</w:t>
            </w:r>
          </w:p>
          <w:p>
            <w:pPr>
              <w:jc w:val="center"/>
              <w:outlineLvl w:val="2"/>
              <w:rPr>
                <w:b/>
                <w:color w:val="auto"/>
              </w:rPr>
            </w:pPr>
            <w:r>
              <w:rPr>
                <w:b/>
                <w:color w:val="auto"/>
              </w:rPr>
              <w:t>表4-4  施工噪声随距离衰减变化</w:t>
            </w:r>
          </w:p>
          <w:tbl>
            <w:tblPr>
              <w:tblStyle w:val="28"/>
              <w:tblW w:w="805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105"/>
              <w:gridCol w:w="823"/>
              <w:gridCol w:w="838"/>
              <w:gridCol w:w="845"/>
              <w:gridCol w:w="629"/>
              <w:gridCol w:w="797"/>
              <w:gridCol w:w="720"/>
              <w:gridCol w:w="621"/>
              <w:gridCol w:w="25"/>
              <w:gridCol w:w="6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2012" w:type="dxa"/>
                  <w:vMerge w:val="restart"/>
                  <w:tcBorders>
                    <w:tl2br w:val="nil"/>
                    <w:tr2bl w:val="nil"/>
                  </w:tcBorders>
                  <w:noWrap w:val="0"/>
                  <w:vAlign w:val="center"/>
                </w:tcPr>
                <w:p>
                  <w:pPr>
                    <w:widowControl/>
                    <w:jc w:val="right"/>
                    <w:rPr>
                      <w:color w:val="auto"/>
                      <w:szCs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12065</wp:posOffset>
                            </wp:positionV>
                            <wp:extent cx="1365250" cy="688975"/>
                            <wp:effectExtent l="1905" t="4445" r="4445" b="11430"/>
                            <wp:wrapNone/>
                            <wp:docPr id="34" name="直接连接符 34"/>
                            <wp:cNvGraphicFramePr/>
                            <a:graphic xmlns:a="http://schemas.openxmlformats.org/drawingml/2006/main">
                              <a:graphicData uri="http://schemas.microsoft.com/office/word/2010/wordprocessingShape">
                                <wps:wsp>
                                  <wps:cNvCnPr/>
                                  <wps:spPr>
                                    <a:xfrm>
                                      <a:off x="1459230" y="4179570"/>
                                      <a:ext cx="1365250" cy="688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pt;margin-top:0.95pt;height:54.25pt;width:107.5pt;z-index:251662336;mso-width-relative:page;mso-height-relative:page;" filled="f" stroked="t" coordsize="21600,21600" o:gfxdata="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iUr1wAAAAkBAAAPAAAAAAAAAAEAIAAAACIAAABkcnMvZG93bnJldi54bWxQ&#10;SwECFAAUAAAACACHTuJAXb8mEPgBAADEAwAADgAAAAAAAAABACAAAAAmAQAAZHJzL2Uyb0RvYy54&#10;bWxQSwUGAAAAAAYABgBZAQAAkAUAAAAA&#10;">
                            <v:fill on="f" focussize="0,0"/>
                            <v:stroke weight="0.5pt" color="#4472C4 [3204]" miterlimit="8" joinstyle="miter"/>
                            <v:imagedata o:title=""/>
                            <o:lock v:ext="edit" aspectratio="f"/>
                          </v:line>
                        </w:pict>
                      </mc:Fallback>
                    </mc:AlternateContent>
                  </w:r>
                  <w:r>
                    <w:rPr>
                      <w:color w:val="auto"/>
                      <w:szCs w:val="21"/>
                    </w:rPr>
                    <w:t>离声源距离</w:t>
                  </w:r>
                </w:p>
                <w:p>
                  <w:pPr>
                    <w:widowControl/>
                    <w:jc w:val="left"/>
                    <w:rPr>
                      <w:color w:val="auto"/>
                      <w:szCs w:val="21"/>
                    </w:rPr>
                  </w:pPr>
                </w:p>
                <w:p>
                  <w:pPr>
                    <w:widowControl/>
                    <w:jc w:val="left"/>
                    <w:rPr>
                      <w:color w:val="auto"/>
                      <w:szCs w:val="21"/>
                    </w:rPr>
                  </w:pPr>
                </w:p>
                <w:p>
                  <w:pPr>
                    <w:widowControl/>
                    <w:jc w:val="left"/>
                    <w:rPr>
                      <w:color w:val="auto"/>
                      <w:szCs w:val="21"/>
                    </w:rPr>
                  </w:pPr>
                  <w:r>
                    <w:rPr>
                      <w:color w:val="auto"/>
                      <w:szCs w:val="21"/>
                    </w:rPr>
                    <w:t xml:space="preserve">噪声源            </w:t>
                  </w:r>
                </w:p>
              </w:tc>
              <w:tc>
                <w:tcPr>
                  <w:tcW w:w="787" w:type="dxa"/>
                  <w:vMerge w:val="restart"/>
                  <w:tcBorders>
                    <w:tl2br w:val="nil"/>
                    <w:tr2bl w:val="nil"/>
                  </w:tcBorders>
                  <w:noWrap w:val="0"/>
                  <w:vAlign w:val="center"/>
                </w:tcPr>
                <w:p>
                  <w:pPr>
                    <w:spacing w:line="240" w:lineRule="atLeast"/>
                    <w:jc w:val="center"/>
                    <w:rPr>
                      <w:color w:val="auto"/>
                    </w:rPr>
                  </w:pPr>
                  <w:r>
                    <w:rPr>
                      <w:color w:val="auto"/>
                    </w:rPr>
                    <w:t>5m</w:t>
                  </w:r>
                </w:p>
              </w:tc>
              <w:tc>
                <w:tcPr>
                  <w:tcW w:w="801" w:type="dxa"/>
                  <w:vMerge w:val="restart"/>
                  <w:tcBorders>
                    <w:tl2br w:val="nil"/>
                    <w:tr2bl w:val="nil"/>
                  </w:tcBorders>
                  <w:noWrap w:val="0"/>
                  <w:vAlign w:val="center"/>
                </w:tcPr>
                <w:p>
                  <w:pPr>
                    <w:spacing w:line="240" w:lineRule="atLeast"/>
                    <w:jc w:val="center"/>
                    <w:rPr>
                      <w:color w:val="auto"/>
                    </w:rPr>
                  </w:pPr>
                  <w:r>
                    <w:rPr>
                      <w:color w:val="auto"/>
                    </w:rPr>
                    <w:t>10m</w:t>
                  </w:r>
                </w:p>
              </w:tc>
              <w:tc>
                <w:tcPr>
                  <w:tcW w:w="808" w:type="dxa"/>
                  <w:vMerge w:val="restart"/>
                  <w:tcBorders>
                    <w:tl2br w:val="nil"/>
                    <w:tr2bl w:val="nil"/>
                  </w:tcBorders>
                  <w:noWrap w:val="0"/>
                  <w:vAlign w:val="center"/>
                </w:tcPr>
                <w:p>
                  <w:pPr>
                    <w:spacing w:line="240" w:lineRule="atLeast"/>
                    <w:jc w:val="center"/>
                    <w:rPr>
                      <w:color w:val="auto"/>
                    </w:rPr>
                  </w:pPr>
                  <w:r>
                    <w:rPr>
                      <w:color w:val="auto"/>
                    </w:rPr>
                    <w:t>20m</w:t>
                  </w:r>
                </w:p>
              </w:tc>
              <w:tc>
                <w:tcPr>
                  <w:tcW w:w="601" w:type="dxa"/>
                  <w:vMerge w:val="restart"/>
                  <w:tcBorders>
                    <w:tl2br w:val="nil"/>
                    <w:tr2bl w:val="nil"/>
                  </w:tcBorders>
                  <w:noWrap w:val="0"/>
                  <w:vAlign w:val="center"/>
                </w:tcPr>
                <w:p>
                  <w:pPr>
                    <w:spacing w:line="240" w:lineRule="atLeast"/>
                    <w:jc w:val="center"/>
                    <w:rPr>
                      <w:color w:val="auto"/>
                    </w:rPr>
                  </w:pPr>
                  <w:r>
                    <w:rPr>
                      <w:color w:val="auto"/>
                    </w:rPr>
                    <w:t>40m</w:t>
                  </w:r>
                </w:p>
              </w:tc>
              <w:tc>
                <w:tcPr>
                  <w:tcW w:w="762" w:type="dxa"/>
                  <w:vMerge w:val="restart"/>
                  <w:tcBorders>
                    <w:tl2br w:val="nil"/>
                    <w:tr2bl w:val="nil"/>
                  </w:tcBorders>
                  <w:noWrap w:val="0"/>
                  <w:vAlign w:val="center"/>
                </w:tcPr>
                <w:p>
                  <w:pPr>
                    <w:spacing w:line="240" w:lineRule="atLeast"/>
                    <w:jc w:val="center"/>
                    <w:rPr>
                      <w:color w:val="auto"/>
                    </w:rPr>
                  </w:pPr>
                  <w:r>
                    <w:rPr>
                      <w:color w:val="auto"/>
                    </w:rPr>
                    <w:t>80m</w:t>
                  </w:r>
                </w:p>
              </w:tc>
              <w:tc>
                <w:tcPr>
                  <w:tcW w:w="688" w:type="dxa"/>
                  <w:vMerge w:val="restart"/>
                  <w:tcBorders>
                    <w:tl2br w:val="nil"/>
                    <w:tr2bl w:val="nil"/>
                  </w:tcBorders>
                  <w:noWrap w:val="0"/>
                  <w:vAlign w:val="center"/>
                </w:tcPr>
                <w:p>
                  <w:pPr>
                    <w:spacing w:line="240" w:lineRule="atLeast"/>
                    <w:jc w:val="center"/>
                    <w:rPr>
                      <w:color w:val="auto"/>
                    </w:rPr>
                  </w:pPr>
                  <w:r>
                    <w:rPr>
                      <w:color w:val="auto"/>
                    </w:rPr>
                    <w:t>100m</w:t>
                  </w:r>
                </w:p>
              </w:tc>
              <w:tc>
                <w:tcPr>
                  <w:tcW w:w="1237" w:type="dxa"/>
                  <w:gridSpan w:val="3"/>
                  <w:tcBorders>
                    <w:tl2br w:val="nil"/>
                    <w:tr2bl w:val="nil"/>
                  </w:tcBorders>
                  <w:noWrap w:val="0"/>
                  <w:vAlign w:val="center"/>
                </w:tcPr>
                <w:p>
                  <w:pPr>
                    <w:jc w:val="center"/>
                    <w:rPr>
                      <w:color w:val="auto"/>
                    </w:rPr>
                  </w:pPr>
                  <w:r>
                    <w:rPr>
                      <w:color w:val="auto"/>
                      <w:szCs w:val="21"/>
                    </w:rPr>
                    <w:t>达标距离（m）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2012" w:type="dxa"/>
                  <w:vMerge w:val="continue"/>
                  <w:tcBorders>
                    <w:tl2br w:val="nil"/>
                    <w:tr2bl w:val="nil"/>
                  </w:tcBorders>
                  <w:noWrap w:val="0"/>
                  <w:vAlign w:val="center"/>
                </w:tcPr>
                <w:p>
                  <w:pPr>
                    <w:widowControl/>
                    <w:jc w:val="center"/>
                    <w:rPr>
                      <w:color w:val="auto"/>
                      <w:szCs w:val="21"/>
                    </w:rPr>
                  </w:pPr>
                </w:p>
              </w:tc>
              <w:tc>
                <w:tcPr>
                  <w:tcW w:w="787" w:type="dxa"/>
                  <w:vMerge w:val="continue"/>
                  <w:tcBorders>
                    <w:tl2br w:val="nil"/>
                    <w:tr2bl w:val="nil"/>
                  </w:tcBorders>
                  <w:noWrap w:val="0"/>
                  <w:vAlign w:val="center"/>
                </w:tcPr>
                <w:p>
                  <w:pPr>
                    <w:spacing w:line="240" w:lineRule="atLeast"/>
                    <w:jc w:val="center"/>
                    <w:rPr>
                      <w:color w:val="auto"/>
                    </w:rPr>
                  </w:pPr>
                </w:p>
              </w:tc>
              <w:tc>
                <w:tcPr>
                  <w:tcW w:w="801" w:type="dxa"/>
                  <w:vMerge w:val="continue"/>
                  <w:tcBorders>
                    <w:tl2br w:val="nil"/>
                    <w:tr2bl w:val="nil"/>
                  </w:tcBorders>
                  <w:noWrap w:val="0"/>
                  <w:vAlign w:val="center"/>
                </w:tcPr>
                <w:p>
                  <w:pPr>
                    <w:spacing w:line="240" w:lineRule="atLeast"/>
                    <w:jc w:val="center"/>
                    <w:rPr>
                      <w:color w:val="auto"/>
                    </w:rPr>
                  </w:pPr>
                </w:p>
              </w:tc>
              <w:tc>
                <w:tcPr>
                  <w:tcW w:w="808" w:type="dxa"/>
                  <w:vMerge w:val="continue"/>
                  <w:tcBorders>
                    <w:tl2br w:val="nil"/>
                    <w:tr2bl w:val="nil"/>
                  </w:tcBorders>
                  <w:noWrap w:val="0"/>
                  <w:vAlign w:val="center"/>
                </w:tcPr>
                <w:p>
                  <w:pPr>
                    <w:spacing w:line="240" w:lineRule="atLeast"/>
                    <w:jc w:val="center"/>
                    <w:rPr>
                      <w:color w:val="auto"/>
                    </w:rPr>
                  </w:pPr>
                </w:p>
              </w:tc>
              <w:tc>
                <w:tcPr>
                  <w:tcW w:w="601" w:type="dxa"/>
                  <w:vMerge w:val="continue"/>
                  <w:tcBorders>
                    <w:tl2br w:val="nil"/>
                    <w:tr2bl w:val="nil"/>
                  </w:tcBorders>
                  <w:noWrap w:val="0"/>
                  <w:vAlign w:val="center"/>
                </w:tcPr>
                <w:p>
                  <w:pPr>
                    <w:spacing w:line="240" w:lineRule="atLeast"/>
                    <w:jc w:val="center"/>
                    <w:rPr>
                      <w:color w:val="auto"/>
                    </w:rPr>
                  </w:pPr>
                </w:p>
              </w:tc>
              <w:tc>
                <w:tcPr>
                  <w:tcW w:w="762" w:type="dxa"/>
                  <w:vMerge w:val="continue"/>
                  <w:tcBorders>
                    <w:tl2br w:val="nil"/>
                    <w:tr2bl w:val="nil"/>
                  </w:tcBorders>
                  <w:noWrap w:val="0"/>
                  <w:vAlign w:val="center"/>
                </w:tcPr>
                <w:p>
                  <w:pPr>
                    <w:spacing w:line="240" w:lineRule="atLeast"/>
                    <w:jc w:val="center"/>
                    <w:rPr>
                      <w:color w:val="auto"/>
                    </w:rPr>
                  </w:pPr>
                </w:p>
              </w:tc>
              <w:tc>
                <w:tcPr>
                  <w:tcW w:w="688" w:type="dxa"/>
                  <w:vMerge w:val="continue"/>
                  <w:tcBorders>
                    <w:tl2br w:val="nil"/>
                    <w:tr2bl w:val="nil"/>
                  </w:tcBorders>
                  <w:noWrap w:val="0"/>
                  <w:vAlign w:val="center"/>
                </w:tcPr>
                <w:p>
                  <w:pPr>
                    <w:spacing w:line="240" w:lineRule="atLeast"/>
                    <w:jc w:val="center"/>
                    <w:rPr>
                      <w:color w:val="auto"/>
                    </w:rPr>
                  </w:pPr>
                </w:p>
              </w:tc>
              <w:tc>
                <w:tcPr>
                  <w:tcW w:w="594" w:type="dxa"/>
                  <w:tcBorders>
                    <w:tl2br w:val="nil"/>
                    <w:tr2bl w:val="nil"/>
                  </w:tcBorders>
                  <w:noWrap w:val="0"/>
                  <w:vAlign w:val="center"/>
                </w:tcPr>
                <w:p>
                  <w:pPr>
                    <w:jc w:val="center"/>
                    <w:rPr>
                      <w:color w:val="auto"/>
                    </w:rPr>
                  </w:pPr>
                  <w:r>
                    <w:rPr>
                      <w:color w:val="auto"/>
                      <w:szCs w:val="21"/>
                    </w:rPr>
                    <w:t>昼间</w:t>
                  </w:r>
                </w:p>
              </w:tc>
              <w:tc>
                <w:tcPr>
                  <w:tcW w:w="643" w:type="dxa"/>
                  <w:gridSpan w:val="2"/>
                  <w:tcBorders>
                    <w:tl2br w:val="nil"/>
                    <w:tr2bl w:val="nil"/>
                  </w:tcBorders>
                  <w:noWrap w:val="0"/>
                  <w:vAlign w:val="center"/>
                </w:tcPr>
                <w:p>
                  <w:pPr>
                    <w:jc w:val="center"/>
                    <w:rPr>
                      <w:color w:val="auto"/>
                    </w:rPr>
                  </w:pPr>
                  <w:r>
                    <w:rPr>
                      <w:color w:val="auto"/>
                      <w:szCs w:val="21"/>
                    </w:rPr>
                    <w:t>昼间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noWrap w:val="0"/>
                  <w:vAlign w:val="center"/>
                </w:tcPr>
                <w:p>
                  <w:pPr>
                    <w:spacing w:line="240" w:lineRule="atLeast"/>
                    <w:jc w:val="center"/>
                    <w:rPr>
                      <w:color w:val="auto"/>
                    </w:rPr>
                  </w:pPr>
                  <w:r>
                    <w:rPr>
                      <w:color w:val="auto"/>
                    </w:rPr>
                    <w:t>挖掘机</w:t>
                  </w:r>
                </w:p>
              </w:tc>
              <w:tc>
                <w:tcPr>
                  <w:tcW w:w="787" w:type="dxa"/>
                  <w:tcBorders>
                    <w:tl2br w:val="nil"/>
                    <w:tr2bl w:val="nil"/>
                  </w:tcBorders>
                  <w:noWrap w:val="0"/>
                  <w:vAlign w:val="center"/>
                </w:tcPr>
                <w:p>
                  <w:pPr>
                    <w:spacing w:line="240" w:lineRule="atLeast"/>
                    <w:jc w:val="center"/>
                    <w:rPr>
                      <w:color w:val="auto"/>
                    </w:rPr>
                  </w:pPr>
                  <w:r>
                    <w:rPr>
                      <w:color w:val="auto"/>
                    </w:rPr>
                    <w:t>80</w:t>
                  </w:r>
                </w:p>
              </w:tc>
              <w:tc>
                <w:tcPr>
                  <w:tcW w:w="801" w:type="dxa"/>
                  <w:tcBorders>
                    <w:tl2br w:val="nil"/>
                    <w:tr2bl w:val="nil"/>
                  </w:tcBorders>
                  <w:noWrap w:val="0"/>
                  <w:vAlign w:val="center"/>
                </w:tcPr>
                <w:p>
                  <w:pPr>
                    <w:spacing w:line="240" w:lineRule="atLeast"/>
                    <w:jc w:val="center"/>
                    <w:rPr>
                      <w:color w:val="auto"/>
                    </w:rPr>
                  </w:pPr>
                  <w:r>
                    <w:rPr>
                      <w:color w:val="auto"/>
                    </w:rPr>
                    <w:t>72</w:t>
                  </w:r>
                </w:p>
              </w:tc>
              <w:tc>
                <w:tcPr>
                  <w:tcW w:w="808" w:type="dxa"/>
                  <w:tcBorders>
                    <w:tl2br w:val="nil"/>
                    <w:tr2bl w:val="nil"/>
                  </w:tcBorders>
                  <w:noWrap w:val="0"/>
                  <w:vAlign w:val="center"/>
                </w:tcPr>
                <w:p>
                  <w:pPr>
                    <w:spacing w:line="240" w:lineRule="atLeast"/>
                    <w:jc w:val="center"/>
                    <w:rPr>
                      <w:color w:val="auto"/>
                    </w:rPr>
                  </w:pPr>
                  <w:r>
                    <w:rPr>
                      <w:color w:val="auto"/>
                    </w:rPr>
                    <w:t>68</w:t>
                  </w:r>
                </w:p>
              </w:tc>
              <w:tc>
                <w:tcPr>
                  <w:tcW w:w="601" w:type="dxa"/>
                  <w:tcBorders>
                    <w:tl2br w:val="nil"/>
                    <w:tr2bl w:val="nil"/>
                  </w:tcBorders>
                  <w:noWrap w:val="0"/>
                  <w:vAlign w:val="center"/>
                </w:tcPr>
                <w:p>
                  <w:pPr>
                    <w:spacing w:line="240" w:lineRule="atLeast"/>
                    <w:jc w:val="center"/>
                    <w:rPr>
                      <w:color w:val="auto"/>
                    </w:rPr>
                  </w:pPr>
                  <w:r>
                    <w:rPr>
                      <w:color w:val="auto"/>
                    </w:rPr>
                    <w:t>62</w:t>
                  </w:r>
                </w:p>
              </w:tc>
              <w:tc>
                <w:tcPr>
                  <w:tcW w:w="762" w:type="dxa"/>
                  <w:tcBorders>
                    <w:tl2br w:val="nil"/>
                    <w:tr2bl w:val="nil"/>
                  </w:tcBorders>
                  <w:noWrap w:val="0"/>
                  <w:vAlign w:val="center"/>
                </w:tcPr>
                <w:p>
                  <w:pPr>
                    <w:spacing w:line="240" w:lineRule="atLeast"/>
                    <w:jc w:val="center"/>
                    <w:rPr>
                      <w:color w:val="auto"/>
                    </w:rPr>
                  </w:pPr>
                  <w:r>
                    <w:rPr>
                      <w:color w:val="auto"/>
                    </w:rPr>
                    <w:t>56</w:t>
                  </w:r>
                </w:p>
              </w:tc>
              <w:tc>
                <w:tcPr>
                  <w:tcW w:w="68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50</w:t>
                  </w:r>
                </w:p>
              </w:tc>
              <w:tc>
                <w:tcPr>
                  <w:tcW w:w="594"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52</w:t>
                  </w:r>
                </w:p>
              </w:tc>
              <w:tc>
                <w:tcPr>
                  <w:tcW w:w="643" w:type="dxa"/>
                  <w:gridSpan w:val="2"/>
                  <w:tcBorders>
                    <w:tl2br w:val="nil"/>
                    <w:tr2bl w:val="nil"/>
                  </w:tcBorders>
                  <w:noWrap w:val="0"/>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100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noWrap w:val="0"/>
                  <w:vAlign w:val="center"/>
                </w:tcPr>
                <w:p>
                  <w:pPr>
                    <w:jc w:val="center"/>
                    <w:rPr>
                      <w:color w:val="auto"/>
                      <w:szCs w:val="21"/>
                    </w:rPr>
                  </w:pPr>
                  <w:r>
                    <w:rPr>
                      <w:color w:val="auto"/>
                      <w:szCs w:val="21"/>
                    </w:rPr>
                    <w:t>轮式装载机</w:t>
                  </w:r>
                </w:p>
              </w:tc>
              <w:tc>
                <w:tcPr>
                  <w:tcW w:w="787"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90</w:t>
                  </w:r>
                </w:p>
              </w:tc>
              <w:tc>
                <w:tcPr>
                  <w:tcW w:w="8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84</w:t>
                  </w:r>
                </w:p>
              </w:tc>
              <w:tc>
                <w:tcPr>
                  <w:tcW w:w="80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77</w:t>
                  </w:r>
                </w:p>
              </w:tc>
              <w:tc>
                <w:tcPr>
                  <w:tcW w:w="6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70</w:t>
                  </w:r>
                </w:p>
              </w:tc>
              <w:tc>
                <w:tcPr>
                  <w:tcW w:w="762"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64</w:t>
                  </w:r>
                </w:p>
              </w:tc>
              <w:tc>
                <w:tcPr>
                  <w:tcW w:w="68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57</w:t>
                  </w:r>
                </w:p>
              </w:tc>
              <w:tc>
                <w:tcPr>
                  <w:tcW w:w="594"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rPr>
                  </w:pPr>
                  <w:r>
                    <w:rPr>
                      <w:rFonts w:ascii="Times New Roman" w:cs="Times New Roman"/>
                      <w:color w:val="auto"/>
                      <w:sz w:val="21"/>
                      <w:szCs w:val="21"/>
                    </w:rPr>
                    <w:t>51</w:t>
                  </w:r>
                </w:p>
              </w:tc>
              <w:tc>
                <w:tcPr>
                  <w:tcW w:w="643" w:type="dxa"/>
                  <w:gridSpan w:val="2"/>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rPr>
                  </w:pPr>
                  <w:r>
                    <w:rPr>
                      <w:rFonts w:ascii="Times New Roman" w:cs="Times New Roman"/>
                      <w:color w:val="auto"/>
                      <w:sz w:val="21"/>
                      <w:szCs w:val="21"/>
                    </w:rPr>
                    <w:t>282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noWrap w:val="0"/>
                  <w:vAlign w:val="center"/>
                </w:tcPr>
                <w:p>
                  <w:pPr>
                    <w:jc w:val="center"/>
                    <w:rPr>
                      <w:color w:val="auto"/>
                      <w:szCs w:val="21"/>
                    </w:rPr>
                  </w:pPr>
                  <w:r>
                    <w:rPr>
                      <w:color w:val="auto"/>
                      <w:szCs w:val="21"/>
                    </w:rPr>
                    <w:t>推土机</w:t>
                  </w:r>
                </w:p>
              </w:tc>
              <w:tc>
                <w:tcPr>
                  <w:tcW w:w="787"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86</w:t>
                  </w:r>
                </w:p>
              </w:tc>
              <w:tc>
                <w:tcPr>
                  <w:tcW w:w="8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80</w:t>
                  </w:r>
                </w:p>
              </w:tc>
              <w:tc>
                <w:tcPr>
                  <w:tcW w:w="80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73</w:t>
                  </w:r>
                </w:p>
              </w:tc>
              <w:tc>
                <w:tcPr>
                  <w:tcW w:w="6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66</w:t>
                  </w:r>
                </w:p>
              </w:tc>
              <w:tc>
                <w:tcPr>
                  <w:tcW w:w="762"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60</w:t>
                  </w:r>
                </w:p>
              </w:tc>
              <w:tc>
                <w:tcPr>
                  <w:tcW w:w="68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23</w:t>
                  </w:r>
                </w:p>
              </w:tc>
              <w:tc>
                <w:tcPr>
                  <w:tcW w:w="594"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35</w:t>
                  </w:r>
                </w:p>
              </w:tc>
              <w:tc>
                <w:tcPr>
                  <w:tcW w:w="643" w:type="dxa"/>
                  <w:gridSpan w:val="2"/>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178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noWrap w:val="0"/>
                  <w:vAlign w:val="center"/>
                </w:tcPr>
                <w:p>
                  <w:pPr>
                    <w:jc w:val="center"/>
                    <w:rPr>
                      <w:color w:val="auto"/>
                      <w:szCs w:val="21"/>
                    </w:rPr>
                  </w:pPr>
                  <w:r>
                    <w:rPr>
                      <w:color w:val="auto"/>
                      <w:szCs w:val="21"/>
                    </w:rPr>
                    <w:t>平地机</w:t>
                  </w:r>
                </w:p>
              </w:tc>
              <w:tc>
                <w:tcPr>
                  <w:tcW w:w="787"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90</w:t>
                  </w:r>
                </w:p>
              </w:tc>
              <w:tc>
                <w:tcPr>
                  <w:tcW w:w="8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84</w:t>
                  </w:r>
                </w:p>
              </w:tc>
              <w:tc>
                <w:tcPr>
                  <w:tcW w:w="80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77</w:t>
                  </w:r>
                </w:p>
              </w:tc>
              <w:tc>
                <w:tcPr>
                  <w:tcW w:w="6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70</w:t>
                  </w:r>
                </w:p>
              </w:tc>
              <w:tc>
                <w:tcPr>
                  <w:tcW w:w="762"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64</w:t>
                  </w:r>
                </w:p>
              </w:tc>
              <w:tc>
                <w:tcPr>
                  <w:tcW w:w="68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57</w:t>
                  </w:r>
                </w:p>
              </w:tc>
              <w:tc>
                <w:tcPr>
                  <w:tcW w:w="594"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51</w:t>
                  </w:r>
                </w:p>
              </w:tc>
              <w:tc>
                <w:tcPr>
                  <w:tcW w:w="643" w:type="dxa"/>
                  <w:gridSpan w:val="2"/>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282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noWrap w:val="0"/>
                  <w:vAlign w:val="center"/>
                </w:tcPr>
                <w:p>
                  <w:pPr>
                    <w:jc w:val="center"/>
                    <w:rPr>
                      <w:color w:val="auto"/>
                      <w:szCs w:val="21"/>
                    </w:rPr>
                  </w:pPr>
                  <w:r>
                    <w:rPr>
                      <w:color w:val="auto"/>
                      <w:szCs w:val="21"/>
                    </w:rPr>
                    <w:t>轮胎式液压挖掘机</w:t>
                  </w:r>
                </w:p>
              </w:tc>
              <w:tc>
                <w:tcPr>
                  <w:tcW w:w="787"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84</w:t>
                  </w:r>
                </w:p>
              </w:tc>
              <w:tc>
                <w:tcPr>
                  <w:tcW w:w="8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78</w:t>
                  </w:r>
                </w:p>
              </w:tc>
              <w:tc>
                <w:tcPr>
                  <w:tcW w:w="80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71</w:t>
                  </w:r>
                </w:p>
              </w:tc>
              <w:tc>
                <w:tcPr>
                  <w:tcW w:w="6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64</w:t>
                  </w:r>
                </w:p>
              </w:tc>
              <w:tc>
                <w:tcPr>
                  <w:tcW w:w="762"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58</w:t>
                  </w:r>
                </w:p>
              </w:tc>
              <w:tc>
                <w:tcPr>
                  <w:tcW w:w="68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51</w:t>
                  </w:r>
                </w:p>
              </w:tc>
              <w:tc>
                <w:tcPr>
                  <w:tcW w:w="594"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26</w:t>
                  </w:r>
                </w:p>
              </w:tc>
              <w:tc>
                <w:tcPr>
                  <w:tcW w:w="643" w:type="dxa"/>
                  <w:gridSpan w:val="2"/>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142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2012" w:type="dxa"/>
                  <w:tcBorders>
                    <w:tl2br w:val="nil"/>
                    <w:tr2bl w:val="nil"/>
                  </w:tcBorders>
                  <w:noWrap w:val="0"/>
                  <w:vAlign w:val="center"/>
                </w:tcPr>
                <w:p>
                  <w:pPr>
                    <w:jc w:val="center"/>
                    <w:rPr>
                      <w:color w:val="auto"/>
                      <w:szCs w:val="21"/>
                    </w:rPr>
                  </w:pPr>
                  <w:r>
                    <w:rPr>
                      <w:color w:val="auto"/>
                      <w:szCs w:val="21"/>
                    </w:rPr>
                    <w:t>载重汽车</w:t>
                  </w:r>
                </w:p>
              </w:tc>
              <w:tc>
                <w:tcPr>
                  <w:tcW w:w="787"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73</w:t>
                  </w:r>
                </w:p>
              </w:tc>
              <w:tc>
                <w:tcPr>
                  <w:tcW w:w="8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67</w:t>
                  </w:r>
                </w:p>
              </w:tc>
              <w:tc>
                <w:tcPr>
                  <w:tcW w:w="80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60</w:t>
                  </w:r>
                </w:p>
              </w:tc>
              <w:tc>
                <w:tcPr>
                  <w:tcW w:w="601"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53</w:t>
                  </w:r>
                </w:p>
              </w:tc>
              <w:tc>
                <w:tcPr>
                  <w:tcW w:w="762"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47</w:t>
                  </w:r>
                </w:p>
              </w:tc>
              <w:tc>
                <w:tcPr>
                  <w:tcW w:w="688"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40</w:t>
                  </w:r>
                </w:p>
              </w:tc>
              <w:tc>
                <w:tcPr>
                  <w:tcW w:w="618" w:type="dxa"/>
                  <w:gridSpan w:val="2"/>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2.6</w:t>
                  </w:r>
                </w:p>
              </w:tc>
              <w:tc>
                <w:tcPr>
                  <w:tcW w:w="619" w:type="dxa"/>
                  <w:tcBorders>
                    <w:tl2br w:val="nil"/>
                    <w:tr2bl w:val="nil"/>
                  </w:tcBorders>
                  <w:noWrap w:val="0"/>
                  <w:vAlign w:val="center"/>
                </w:tcPr>
                <w:p>
                  <w:pPr>
                    <w:pStyle w:val="36"/>
                    <w:tabs>
                      <w:tab w:val="left" w:pos="315"/>
                      <w:tab w:val="left" w:pos="360"/>
                    </w:tabs>
                    <w:adjustRightInd/>
                    <w:jc w:val="center"/>
                    <w:rPr>
                      <w:rFonts w:ascii="Times New Roman" w:cs="Times New Roman"/>
                      <w:color w:val="auto"/>
                      <w:kern w:val="2"/>
                      <w:sz w:val="21"/>
                      <w:szCs w:val="21"/>
                    </w:rPr>
                  </w:pPr>
                  <w:r>
                    <w:rPr>
                      <w:rFonts w:ascii="Times New Roman" w:cs="Times New Roman"/>
                      <w:color w:val="auto"/>
                      <w:sz w:val="21"/>
                      <w:szCs w:val="21"/>
                    </w:rPr>
                    <w:t>40</w:t>
                  </w:r>
                </w:p>
              </w:tc>
            </w:tr>
          </w:tbl>
          <w:p>
            <w:pPr>
              <w:spacing w:line="360" w:lineRule="auto"/>
              <w:ind w:firstLine="480" w:firstLineChars="200"/>
              <w:jc w:val="left"/>
              <w:outlineLvl w:val="2"/>
              <w:rPr>
                <w:color w:val="auto"/>
                <w:sz w:val="24"/>
              </w:rPr>
            </w:pPr>
            <w:r>
              <w:rPr>
                <w:color w:val="auto"/>
                <w:sz w:val="24"/>
              </w:rPr>
              <w:t>工程区主要包括</w:t>
            </w:r>
            <w:r>
              <w:rPr>
                <w:rFonts w:hint="eastAsia"/>
                <w:color w:val="auto"/>
                <w:sz w:val="24"/>
                <w:lang w:val="en-US" w:eastAsia="zh-CN"/>
              </w:rPr>
              <w:t>原建筑物拆除、</w:t>
            </w:r>
            <w:r>
              <w:rPr>
                <w:color w:val="auto"/>
                <w:sz w:val="24"/>
              </w:rPr>
              <w:t>场地平整、道路工程、地基处理工程、土建结构工程、设备安装等。根据表4-4预测结果，施工期间噪声影响最大的为装载机和平地机，昼间距离施工机械在51m处方可满足《建筑施工场界环境噪声排放标准》（GB12523-2011）中的标准限值要求，夜间在282m处噪声方能达标。工程建设过程中，晚上严禁高噪声设备进行施工，以免影响周围的声环境质量，施工过程中施工单位定期对施工机械进行检修，以保障其正常运转，避免带病工作造成高噪声排放，严禁在施工场地内鸣号，避免、降低噪声扰民，则施工噪声对周边声环境敏感目标影响较小。</w:t>
            </w:r>
          </w:p>
          <w:p>
            <w:pPr>
              <w:spacing w:line="360" w:lineRule="auto"/>
              <w:jc w:val="left"/>
              <w:rPr>
                <w:b/>
                <w:bCs/>
                <w:color w:val="auto"/>
                <w:sz w:val="24"/>
                <w:szCs w:val="28"/>
              </w:rPr>
            </w:pPr>
            <w:r>
              <w:rPr>
                <w:rFonts w:hint="eastAsia"/>
                <w:b/>
                <w:bCs/>
                <w:color w:val="auto"/>
                <w:sz w:val="24"/>
                <w:szCs w:val="28"/>
                <w:lang w:val="en-US" w:eastAsia="zh-CN"/>
              </w:rPr>
              <w:t>5.</w:t>
            </w:r>
            <w:r>
              <w:rPr>
                <w:b/>
                <w:bCs/>
                <w:color w:val="auto"/>
                <w:sz w:val="24"/>
                <w:szCs w:val="28"/>
              </w:rPr>
              <w:t>固体废弃物环境影响分析</w:t>
            </w:r>
          </w:p>
          <w:p>
            <w:pPr>
              <w:spacing w:line="360" w:lineRule="auto"/>
              <w:ind w:firstLine="480" w:firstLineChars="200"/>
              <w:outlineLvl w:val="2"/>
              <w:rPr>
                <w:color w:val="auto"/>
                <w:kern w:val="0"/>
                <w:sz w:val="24"/>
              </w:rPr>
            </w:pPr>
            <w:r>
              <w:rPr>
                <w:color w:val="auto"/>
                <w:kern w:val="0"/>
                <w:sz w:val="24"/>
              </w:rPr>
              <w:t>项目在现有厂区内建设，现有厂区土地基本平整，厂区道路基本符合生产要求，只对重新规划的部分道路进行简单修整，项目总体挖方量较少。根据建设单位提供资料，新建生产车间挖方量约为</w:t>
            </w:r>
            <w:r>
              <w:rPr>
                <w:rFonts w:hint="eastAsia"/>
                <w:color w:val="auto"/>
                <w:kern w:val="0"/>
                <w:sz w:val="24"/>
                <w:lang w:val="en-US" w:eastAsia="zh-CN"/>
              </w:rPr>
              <w:t>450</w:t>
            </w:r>
            <w:r>
              <w:rPr>
                <w:color w:val="auto"/>
                <w:kern w:val="0"/>
                <w:sz w:val="24"/>
              </w:rPr>
              <w:t>m</w:t>
            </w:r>
            <w:r>
              <w:rPr>
                <w:color w:val="auto"/>
                <w:kern w:val="0"/>
                <w:sz w:val="24"/>
                <w:vertAlign w:val="superscript"/>
              </w:rPr>
              <w:t>3</w:t>
            </w:r>
            <w:r>
              <w:rPr>
                <w:color w:val="auto"/>
                <w:kern w:val="0"/>
                <w:sz w:val="24"/>
              </w:rPr>
              <w:t>，新建隧道窑挖方量约为</w:t>
            </w:r>
            <w:r>
              <w:rPr>
                <w:rFonts w:hint="eastAsia"/>
                <w:color w:val="auto"/>
                <w:kern w:val="0"/>
                <w:sz w:val="24"/>
                <w:lang w:val="en-US" w:eastAsia="zh-CN"/>
              </w:rPr>
              <w:t>300</w:t>
            </w:r>
            <w:r>
              <w:rPr>
                <w:color w:val="auto"/>
                <w:kern w:val="0"/>
                <w:sz w:val="24"/>
              </w:rPr>
              <w:t>m</w:t>
            </w:r>
            <w:r>
              <w:rPr>
                <w:color w:val="auto"/>
                <w:kern w:val="0"/>
                <w:sz w:val="24"/>
                <w:vertAlign w:val="superscript"/>
              </w:rPr>
              <w:t>3</w:t>
            </w:r>
            <w:r>
              <w:rPr>
                <w:color w:val="auto"/>
                <w:kern w:val="0"/>
                <w:sz w:val="24"/>
              </w:rPr>
              <w:t>，除部分在建设工程中回填外，其余土方全部用于场地平整及道路修整，</w:t>
            </w:r>
            <w:r>
              <w:rPr>
                <w:color w:val="auto"/>
                <w:sz w:val="24"/>
              </w:rPr>
              <w:t>在项目建设过程施工挖、填方量可基本平衡，无需外运土方回填，施工中无弃土外运。项目</w:t>
            </w:r>
            <w:r>
              <w:rPr>
                <w:color w:val="auto"/>
                <w:kern w:val="0"/>
                <w:sz w:val="24"/>
              </w:rPr>
              <w:t>土石方平衡见表4-5、图4-1。</w:t>
            </w:r>
          </w:p>
          <w:p>
            <w:pPr>
              <w:pStyle w:val="76"/>
              <w:adjustRightInd w:val="0"/>
              <w:snapToGrid w:val="0"/>
              <w:spacing w:before="0" w:after="0" w:line="240" w:lineRule="auto"/>
              <w:rPr>
                <w:rFonts w:ascii="Times New Roman" w:hAnsi="Times New Roman" w:eastAsia="宋体"/>
                <w:color w:val="auto"/>
              </w:rPr>
            </w:pPr>
            <w:r>
              <w:rPr>
                <w:rFonts w:ascii="Times New Roman" w:hAnsi="Times New Roman" w:eastAsia="宋体"/>
                <w:color w:val="auto"/>
                <w:sz w:val="21"/>
                <w:szCs w:val="16"/>
              </w:rPr>
              <w:t>表4-5  土石方平衡表  （单位：m</w:t>
            </w:r>
            <w:r>
              <w:rPr>
                <w:rFonts w:ascii="Times New Roman" w:hAnsi="Times New Roman" w:eastAsia="宋体"/>
                <w:color w:val="auto"/>
                <w:sz w:val="21"/>
                <w:szCs w:val="16"/>
                <w:vertAlign w:val="superscript"/>
              </w:rPr>
              <w:t>3</w:t>
            </w:r>
            <w:r>
              <w:rPr>
                <w:rFonts w:ascii="Times New Roman" w:hAnsi="Times New Roman" w:eastAsia="宋体"/>
                <w:color w:val="auto"/>
                <w:sz w:val="21"/>
                <w:szCs w:val="16"/>
              </w:rPr>
              <w:t>）</w:t>
            </w:r>
          </w:p>
          <w:tbl>
            <w:tblPr>
              <w:tblStyle w:val="28"/>
              <w:tblW w:w="80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721"/>
              <w:gridCol w:w="1223"/>
              <w:gridCol w:w="1167"/>
              <w:gridCol w:w="1123"/>
              <w:gridCol w:w="1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12" w:type="dxa"/>
                  <w:tcBorders>
                    <w:tl2br w:val="nil"/>
                    <w:tr2bl w:val="nil"/>
                  </w:tcBorders>
                  <w:noWrap w:val="0"/>
                  <w:vAlign w:val="center"/>
                </w:tcPr>
                <w:p>
                  <w:pPr>
                    <w:spacing w:line="240" w:lineRule="auto"/>
                    <w:jc w:val="center"/>
                    <w:rPr>
                      <w:b/>
                      <w:color w:val="auto"/>
                      <w:kern w:val="0"/>
                      <w:szCs w:val="21"/>
                    </w:rPr>
                  </w:pPr>
                  <w:r>
                    <w:rPr>
                      <w:b/>
                      <w:color w:val="auto"/>
                      <w:kern w:val="0"/>
                      <w:szCs w:val="21"/>
                    </w:rPr>
                    <w:t>序号</w:t>
                  </w:r>
                </w:p>
              </w:tc>
              <w:tc>
                <w:tcPr>
                  <w:tcW w:w="2798" w:type="dxa"/>
                  <w:tcBorders>
                    <w:tl2br w:val="nil"/>
                    <w:tr2bl w:val="nil"/>
                  </w:tcBorders>
                  <w:noWrap w:val="0"/>
                  <w:vAlign w:val="center"/>
                </w:tcPr>
                <w:p>
                  <w:pPr>
                    <w:spacing w:line="240" w:lineRule="auto"/>
                    <w:jc w:val="center"/>
                    <w:rPr>
                      <w:b/>
                      <w:color w:val="auto"/>
                      <w:kern w:val="0"/>
                      <w:szCs w:val="21"/>
                    </w:rPr>
                  </w:pPr>
                  <w:r>
                    <w:rPr>
                      <w:b/>
                      <w:color w:val="auto"/>
                      <w:kern w:val="0"/>
                      <w:szCs w:val="21"/>
                    </w:rPr>
                    <w:t>工程名称</w:t>
                  </w:r>
                </w:p>
              </w:tc>
              <w:tc>
                <w:tcPr>
                  <w:tcW w:w="1254" w:type="dxa"/>
                  <w:tcBorders>
                    <w:tl2br w:val="nil"/>
                    <w:tr2bl w:val="nil"/>
                  </w:tcBorders>
                  <w:noWrap w:val="0"/>
                  <w:vAlign w:val="center"/>
                </w:tcPr>
                <w:p>
                  <w:pPr>
                    <w:spacing w:line="240" w:lineRule="auto"/>
                    <w:jc w:val="center"/>
                    <w:rPr>
                      <w:b/>
                      <w:color w:val="auto"/>
                      <w:kern w:val="0"/>
                      <w:szCs w:val="21"/>
                    </w:rPr>
                  </w:pPr>
                  <w:r>
                    <w:rPr>
                      <w:b/>
                      <w:color w:val="auto"/>
                      <w:kern w:val="0"/>
                      <w:szCs w:val="21"/>
                    </w:rPr>
                    <w:t>挖方量</w:t>
                  </w:r>
                </w:p>
              </w:tc>
              <w:tc>
                <w:tcPr>
                  <w:tcW w:w="1196" w:type="dxa"/>
                  <w:tcBorders>
                    <w:tl2br w:val="nil"/>
                    <w:tr2bl w:val="nil"/>
                  </w:tcBorders>
                  <w:noWrap w:val="0"/>
                  <w:vAlign w:val="center"/>
                </w:tcPr>
                <w:p>
                  <w:pPr>
                    <w:spacing w:line="240" w:lineRule="auto"/>
                    <w:jc w:val="center"/>
                    <w:rPr>
                      <w:b/>
                      <w:color w:val="auto"/>
                      <w:kern w:val="0"/>
                      <w:szCs w:val="21"/>
                    </w:rPr>
                  </w:pPr>
                  <w:r>
                    <w:rPr>
                      <w:b/>
                      <w:color w:val="auto"/>
                      <w:kern w:val="0"/>
                      <w:szCs w:val="21"/>
                    </w:rPr>
                    <w:t>填方量</w:t>
                  </w:r>
                </w:p>
              </w:tc>
              <w:tc>
                <w:tcPr>
                  <w:tcW w:w="1151" w:type="dxa"/>
                  <w:tcBorders>
                    <w:tl2br w:val="nil"/>
                    <w:tr2bl w:val="nil"/>
                  </w:tcBorders>
                  <w:noWrap w:val="0"/>
                  <w:vAlign w:val="center"/>
                </w:tcPr>
                <w:p>
                  <w:pPr>
                    <w:spacing w:line="240" w:lineRule="auto"/>
                    <w:jc w:val="center"/>
                    <w:rPr>
                      <w:b/>
                      <w:color w:val="auto"/>
                      <w:kern w:val="0"/>
                      <w:szCs w:val="21"/>
                    </w:rPr>
                  </w:pPr>
                  <w:r>
                    <w:rPr>
                      <w:b/>
                      <w:color w:val="auto"/>
                      <w:kern w:val="0"/>
                      <w:szCs w:val="21"/>
                    </w:rPr>
                    <w:t>借方量</w:t>
                  </w:r>
                </w:p>
              </w:tc>
              <w:tc>
                <w:tcPr>
                  <w:tcW w:w="1046" w:type="dxa"/>
                  <w:tcBorders>
                    <w:tl2br w:val="nil"/>
                    <w:tr2bl w:val="nil"/>
                  </w:tcBorders>
                  <w:noWrap w:val="0"/>
                  <w:vAlign w:val="center"/>
                </w:tcPr>
                <w:p>
                  <w:pPr>
                    <w:spacing w:line="240" w:lineRule="auto"/>
                    <w:jc w:val="center"/>
                    <w:rPr>
                      <w:b/>
                      <w:color w:val="auto"/>
                      <w:kern w:val="0"/>
                      <w:szCs w:val="21"/>
                    </w:rPr>
                  </w:pPr>
                  <w:r>
                    <w:rPr>
                      <w:b/>
                      <w:color w:val="auto"/>
                      <w:kern w:val="0"/>
                      <w:szCs w:val="21"/>
                    </w:rPr>
                    <w:t>弃方量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12" w:type="dxa"/>
                  <w:tcBorders>
                    <w:tl2br w:val="nil"/>
                    <w:tr2bl w:val="nil"/>
                  </w:tcBorders>
                  <w:noWrap w:val="0"/>
                  <w:vAlign w:val="center"/>
                </w:tcPr>
                <w:p>
                  <w:pPr>
                    <w:spacing w:line="240" w:lineRule="auto"/>
                    <w:jc w:val="center"/>
                    <w:rPr>
                      <w:color w:val="auto"/>
                      <w:kern w:val="0"/>
                      <w:szCs w:val="21"/>
                    </w:rPr>
                  </w:pPr>
                  <w:r>
                    <w:rPr>
                      <w:color w:val="auto"/>
                      <w:kern w:val="0"/>
                      <w:szCs w:val="21"/>
                    </w:rPr>
                    <w:t>1</w:t>
                  </w:r>
                </w:p>
              </w:tc>
              <w:tc>
                <w:tcPr>
                  <w:tcW w:w="2798" w:type="dxa"/>
                  <w:tcBorders>
                    <w:tl2br w:val="nil"/>
                    <w:tr2bl w:val="nil"/>
                  </w:tcBorders>
                  <w:noWrap w:val="0"/>
                  <w:vAlign w:val="center"/>
                </w:tcPr>
                <w:p>
                  <w:pPr>
                    <w:spacing w:line="240" w:lineRule="auto"/>
                    <w:jc w:val="center"/>
                    <w:rPr>
                      <w:color w:val="auto"/>
                      <w:kern w:val="0"/>
                      <w:szCs w:val="21"/>
                    </w:rPr>
                  </w:pPr>
                  <w:r>
                    <w:rPr>
                      <w:color w:val="auto"/>
                      <w:kern w:val="0"/>
                      <w:szCs w:val="21"/>
                    </w:rPr>
                    <w:t>工业场地平整</w:t>
                  </w:r>
                </w:p>
              </w:tc>
              <w:tc>
                <w:tcPr>
                  <w:tcW w:w="1254"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50</w:t>
                  </w:r>
                </w:p>
              </w:tc>
              <w:tc>
                <w:tcPr>
                  <w:tcW w:w="1196"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200</w:t>
                  </w:r>
                </w:p>
              </w:tc>
              <w:tc>
                <w:tcPr>
                  <w:tcW w:w="1151" w:type="dxa"/>
                  <w:tcBorders>
                    <w:tl2br w:val="nil"/>
                    <w:tr2bl w:val="nil"/>
                  </w:tcBorders>
                  <w:noWrap w:val="0"/>
                  <w:vAlign w:val="center"/>
                </w:tcPr>
                <w:p>
                  <w:pPr>
                    <w:spacing w:line="240" w:lineRule="auto"/>
                    <w:jc w:val="center"/>
                    <w:rPr>
                      <w:color w:val="auto"/>
                      <w:kern w:val="0"/>
                      <w:szCs w:val="21"/>
                    </w:rPr>
                  </w:pPr>
                  <w:r>
                    <w:rPr>
                      <w:color w:val="auto"/>
                      <w:kern w:val="0"/>
                      <w:szCs w:val="21"/>
                    </w:rPr>
                    <w:t>0</w:t>
                  </w:r>
                </w:p>
              </w:tc>
              <w:tc>
                <w:tcPr>
                  <w:tcW w:w="1046"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color w:val="auto"/>
                      <w:kern w:val="0"/>
                      <w:szCs w:val="21"/>
                    </w:rPr>
                    <w:t>-</w:t>
                  </w:r>
                  <w:r>
                    <w:rPr>
                      <w:rFonts w:hint="eastAsia"/>
                      <w:color w:val="auto"/>
                      <w:kern w:val="0"/>
                      <w:szCs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12" w:type="dxa"/>
                  <w:tcBorders>
                    <w:tl2br w:val="nil"/>
                    <w:tr2bl w:val="nil"/>
                  </w:tcBorders>
                  <w:noWrap w:val="0"/>
                  <w:vAlign w:val="center"/>
                </w:tcPr>
                <w:p>
                  <w:pPr>
                    <w:spacing w:line="240" w:lineRule="auto"/>
                    <w:jc w:val="center"/>
                    <w:rPr>
                      <w:color w:val="auto"/>
                      <w:kern w:val="0"/>
                      <w:szCs w:val="21"/>
                    </w:rPr>
                  </w:pPr>
                  <w:r>
                    <w:rPr>
                      <w:color w:val="auto"/>
                      <w:kern w:val="0"/>
                      <w:szCs w:val="21"/>
                    </w:rPr>
                    <w:t>2</w:t>
                  </w:r>
                </w:p>
              </w:tc>
              <w:tc>
                <w:tcPr>
                  <w:tcW w:w="2798" w:type="dxa"/>
                  <w:tcBorders>
                    <w:tl2br w:val="nil"/>
                    <w:tr2bl w:val="nil"/>
                  </w:tcBorders>
                  <w:noWrap w:val="0"/>
                  <w:vAlign w:val="center"/>
                </w:tcPr>
                <w:p>
                  <w:pPr>
                    <w:spacing w:line="240" w:lineRule="auto"/>
                    <w:jc w:val="center"/>
                    <w:rPr>
                      <w:color w:val="auto"/>
                      <w:kern w:val="0"/>
                      <w:szCs w:val="21"/>
                    </w:rPr>
                  </w:pPr>
                  <w:r>
                    <w:rPr>
                      <w:color w:val="auto"/>
                      <w:kern w:val="0"/>
                      <w:szCs w:val="21"/>
                    </w:rPr>
                    <w:t>新建生产车间</w:t>
                  </w:r>
                </w:p>
              </w:tc>
              <w:tc>
                <w:tcPr>
                  <w:tcW w:w="1254"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450</w:t>
                  </w:r>
                </w:p>
              </w:tc>
              <w:tc>
                <w:tcPr>
                  <w:tcW w:w="1196"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160</w:t>
                  </w:r>
                </w:p>
              </w:tc>
              <w:tc>
                <w:tcPr>
                  <w:tcW w:w="1151" w:type="dxa"/>
                  <w:tcBorders>
                    <w:tl2br w:val="nil"/>
                    <w:tr2bl w:val="nil"/>
                  </w:tcBorders>
                  <w:noWrap w:val="0"/>
                  <w:vAlign w:val="center"/>
                </w:tcPr>
                <w:p>
                  <w:pPr>
                    <w:spacing w:line="240" w:lineRule="auto"/>
                    <w:jc w:val="center"/>
                    <w:rPr>
                      <w:color w:val="auto"/>
                      <w:kern w:val="0"/>
                      <w:szCs w:val="21"/>
                    </w:rPr>
                  </w:pPr>
                  <w:r>
                    <w:rPr>
                      <w:color w:val="auto"/>
                      <w:kern w:val="0"/>
                      <w:szCs w:val="21"/>
                    </w:rPr>
                    <w:t>0</w:t>
                  </w:r>
                </w:p>
              </w:tc>
              <w:tc>
                <w:tcPr>
                  <w:tcW w:w="1046"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340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12" w:type="dxa"/>
                  <w:tcBorders>
                    <w:tl2br w:val="nil"/>
                    <w:tr2bl w:val="nil"/>
                  </w:tcBorders>
                  <w:noWrap w:val="0"/>
                  <w:vAlign w:val="center"/>
                </w:tcPr>
                <w:p>
                  <w:pPr>
                    <w:spacing w:line="240" w:lineRule="auto"/>
                    <w:jc w:val="center"/>
                    <w:rPr>
                      <w:color w:val="auto"/>
                      <w:kern w:val="0"/>
                      <w:szCs w:val="21"/>
                    </w:rPr>
                  </w:pPr>
                  <w:r>
                    <w:rPr>
                      <w:color w:val="auto"/>
                      <w:kern w:val="0"/>
                      <w:szCs w:val="21"/>
                    </w:rPr>
                    <w:t>3</w:t>
                  </w:r>
                </w:p>
              </w:tc>
              <w:tc>
                <w:tcPr>
                  <w:tcW w:w="2798" w:type="dxa"/>
                  <w:tcBorders>
                    <w:tl2br w:val="nil"/>
                    <w:tr2bl w:val="nil"/>
                  </w:tcBorders>
                  <w:noWrap w:val="0"/>
                  <w:vAlign w:val="center"/>
                </w:tcPr>
                <w:p>
                  <w:pPr>
                    <w:spacing w:line="240" w:lineRule="auto"/>
                    <w:jc w:val="center"/>
                    <w:rPr>
                      <w:color w:val="auto"/>
                      <w:kern w:val="0"/>
                      <w:szCs w:val="21"/>
                    </w:rPr>
                  </w:pPr>
                  <w:r>
                    <w:rPr>
                      <w:color w:val="auto"/>
                      <w:kern w:val="0"/>
                      <w:szCs w:val="21"/>
                    </w:rPr>
                    <w:t>隧道窑</w:t>
                  </w:r>
                </w:p>
              </w:tc>
              <w:tc>
                <w:tcPr>
                  <w:tcW w:w="1254"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300</w:t>
                  </w:r>
                </w:p>
              </w:tc>
              <w:tc>
                <w:tcPr>
                  <w:tcW w:w="1196" w:type="dxa"/>
                  <w:tcBorders>
                    <w:tl2br w:val="nil"/>
                    <w:tr2bl w:val="nil"/>
                  </w:tcBorders>
                  <w:noWrap w:val="0"/>
                  <w:vAlign w:val="center"/>
                </w:tcPr>
                <w:p>
                  <w:pPr>
                    <w:spacing w:line="240" w:lineRule="auto"/>
                    <w:jc w:val="center"/>
                    <w:rPr>
                      <w:color w:val="auto"/>
                      <w:kern w:val="0"/>
                      <w:szCs w:val="21"/>
                    </w:rPr>
                  </w:pPr>
                  <w:r>
                    <w:rPr>
                      <w:color w:val="auto"/>
                      <w:kern w:val="0"/>
                      <w:szCs w:val="21"/>
                    </w:rPr>
                    <w:t>150</w:t>
                  </w:r>
                </w:p>
              </w:tc>
              <w:tc>
                <w:tcPr>
                  <w:tcW w:w="1151" w:type="dxa"/>
                  <w:tcBorders>
                    <w:tl2br w:val="nil"/>
                    <w:tr2bl w:val="nil"/>
                  </w:tcBorders>
                  <w:noWrap w:val="0"/>
                  <w:vAlign w:val="center"/>
                </w:tcPr>
                <w:p>
                  <w:pPr>
                    <w:spacing w:line="240" w:lineRule="auto"/>
                    <w:jc w:val="center"/>
                    <w:rPr>
                      <w:color w:val="auto"/>
                      <w:kern w:val="0"/>
                      <w:szCs w:val="21"/>
                    </w:rPr>
                  </w:pPr>
                  <w:r>
                    <w:rPr>
                      <w:color w:val="auto"/>
                      <w:kern w:val="0"/>
                      <w:szCs w:val="21"/>
                    </w:rPr>
                    <w:t>0</w:t>
                  </w:r>
                </w:p>
              </w:tc>
              <w:tc>
                <w:tcPr>
                  <w:tcW w:w="1046"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12" w:type="dxa"/>
                  <w:tcBorders>
                    <w:tl2br w:val="nil"/>
                    <w:tr2bl w:val="nil"/>
                  </w:tcBorders>
                  <w:noWrap w:val="0"/>
                  <w:vAlign w:val="center"/>
                </w:tcPr>
                <w:p>
                  <w:pPr>
                    <w:spacing w:line="240" w:lineRule="auto"/>
                    <w:jc w:val="center"/>
                    <w:rPr>
                      <w:color w:val="auto"/>
                      <w:kern w:val="0"/>
                      <w:szCs w:val="21"/>
                    </w:rPr>
                  </w:pPr>
                  <w:r>
                    <w:rPr>
                      <w:color w:val="auto"/>
                      <w:kern w:val="0"/>
                      <w:szCs w:val="21"/>
                    </w:rPr>
                    <w:t>4</w:t>
                  </w:r>
                </w:p>
              </w:tc>
              <w:tc>
                <w:tcPr>
                  <w:tcW w:w="2798" w:type="dxa"/>
                  <w:tcBorders>
                    <w:tl2br w:val="nil"/>
                    <w:tr2bl w:val="nil"/>
                  </w:tcBorders>
                  <w:noWrap w:val="0"/>
                  <w:vAlign w:val="center"/>
                </w:tcPr>
                <w:p>
                  <w:pPr>
                    <w:spacing w:line="240" w:lineRule="auto"/>
                    <w:jc w:val="center"/>
                    <w:rPr>
                      <w:color w:val="auto"/>
                      <w:kern w:val="0"/>
                      <w:szCs w:val="21"/>
                    </w:rPr>
                  </w:pPr>
                  <w:r>
                    <w:rPr>
                      <w:color w:val="auto"/>
                      <w:kern w:val="0"/>
                      <w:szCs w:val="21"/>
                    </w:rPr>
                    <w:t>道路修整</w:t>
                  </w:r>
                </w:p>
              </w:tc>
              <w:tc>
                <w:tcPr>
                  <w:tcW w:w="1254" w:type="dxa"/>
                  <w:tcBorders>
                    <w:tl2br w:val="nil"/>
                    <w:tr2bl w:val="nil"/>
                  </w:tcBorders>
                  <w:noWrap w:val="0"/>
                  <w:vAlign w:val="center"/>
                </w:tcPr>
                <w:p>
                  <w:pPr>
                    <w:spacing w:line="240" w:lineRule="auto"/>
                    <w:jc w:val="center"/>
                    <w:rPr>
                      <w:color w:val="auto"/>
                      <w:kern w:val="0"/>
                      <w:szCs w:val="21"/>
                    </w:rPr>
                  </w:pPr>
                  <w:r>
                    <w:rPr>
                      <w:color w:val="auto"/>
                      <w:kern w:val="0"/>
                      <w:szCs w:val="21"/>
                    </w:rPr>
                    <w:t>110</w:t>
                  </w:r>
                </w:p>
              </w:tc>
              <w:tc>
                <w:tcPr>
                  <w:tcW w:w="1196"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400</w:t>
                  </w:r>
                </w:p>
              </w:tc>
              <w:tc>
                <w:tcPr>
                  <w:tcW w:w="1151" w:type="dxa"/>
                  <w:tcBorders>
                    <w:tl2br w:val="nil"/>
                    <w:tr2bl w:val="nil"/>
                  </w:tcBorders>
                  <w:noWrap w:val="0"/>
                  <w:vAlign w:val="center"/>
                </w:tcPr>
                <w:p>
                  <w:pPr>
                    <w:spacing w:line="240" w:lineRule="auto"/>
                    <w:jc w:val="center"/>
                    <w:rPr>
                      <w:color w:val="auto"/>
                      <w:kern w:val="0"/>
                      <w:szCs w:val="21"/>
                    </w:rPr>
                  </w:pPr>
                  <w:r>
                    <w:rPr>
                      <w:color w:val="auto"/>
                      <w:kern w:val="0"/>
                      <w:szCs w:val="21"/>
                    </w:rPr>
                    <w:t>0</w:t>
                  </w:r>
                </w:p>
              </w:tc>
              <w:tc>
                <w:tcPr>
                  <w:tcW w:w="1046"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color w:val="auto"/>
                      <w:kern w:val="0"/>
                      <w:szCs w:val="21"/>
                    </w:rPr>
                    <w:t>-</w:t>
                  </w:r>
                  <w:r>
                    <w:rPr>
                      <w:rFonts w:hint="eastAsia"/>
                      <w:color w:val="auto"/>
                      <w:kern w:val="0"/>
                      <w:szCs w:val="21"/>
                      <w:lang w:val="en-US" w:eastAsia="zh-CN"/>
                    </w:rPr>
                    <w:t>370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12" w:type="dxa"/>
                  <w:tcBorders>
                    <w:tl2br w:val="nil"/>
                    <w:tr2bl w:val="nil"/>
                  </w:tcBorders>
                  <w:noWrap w:val="0"/>
                  <w:vAlign w:val="center"/>
                </w:tcPr>
                <w:p>
                  <w:pPr>
                    <w:spacing w:line="240" w:lineRule="auto"/>
                    <w:jc w:val="center"/>
                    <w:rPr>
                      <w:color w:val="auto"/>
                      <w:kern w:val="0"/>
                      <w:szCs w:val="21"/>
                    </w:rPr>
                  </w:pPr>
                  <w:r>
                    <w:rPr>
                      <w:color w:val="auto"/>
                      <w:kern w:val="0"/>
                      <w:szCs w:val="21"/>
                    </w:rPr>
                    <w:t>5</w:t>
                  </w:r>
                </w:p>
              </w:tc>
              <w:tc>
                <w:tcPr>
                  <w:tcW w:w="2798" w:type="dxa"/>
                  <w:tcBorders>
                    <w:tl2br w:val="nil"/>
                    <w:tr2bl w:val="nil"/>
                  </w:tcBorders>
                  <w:noWrap w:val="0"/>
                  <w:vAlign w:val="center"/>
                </w:tcPr>
                <w:p>
                  <w:pPr>
                    <w:spacing w:line="240" w:lineRule="auto"/>
                    <w:jc w:val="center"/>
                    <w:rPr>
                      <w:color w:val="auto"/>
                      <w:kern w:val="0"/>
                      <w:szCs w:val="21"/>
                    </w:rPr>
                  </w:pPr>
                  <w:r>
                    <w:rPr>
                      <w:color w:val="auto"/>
                      <w:kern w:val="0"/>
                      <w:szCs w:val="21"/>
                    </w:rPr>
                    <w:t>合计</w:t>
                  </w:r>
                </w:p>
              </w:tc>
              <w:tc>
                <w:tcPr>
                  <w:tcW w:w="1254"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910</w:t>
                  </w:r>
                </w:p>
              </w:tc>
              <w:tc>
                <w:tcPr>
                  <w:tcW w:w="1196" w:type="dxa"/>
                  <w:tcBorders>
                    <w:tl2br w:val="nil"/>
                    <w:tr2bl w:val="nil"/>
                  </w:tcBorders>
                  <w:noWrap w:val="0"/>
                  <w:vAlign w:val="center"/>
                </w:tcPr>
                <w:p>
                  <w:pPr>
                    <w:spacing w:line="240" w:lineRule="auto"/>
                    <w:jc w:val="center"/>
                    <w:rPr>
                      <w:rFonts w:hint="default" w:eastAsia="宋体"/>
                      <w:color w:val="auto"/>
                      <w:kern w:val="0"/>
                      <w:szCs w:val="21"/>
                      <w:lang w:val="en-US" w:eastAsia="zh-CN"/>
                    </w:rPr>
                  </w:pPr>
                  <w:r>
                    <w:rPr>
                      <w:rFonts w:hint="eastAsia"/>
                      <w:color w:val="auto"/>
                      <w:kern w:val="0"/>
                      <w:szCs w:val="21"/>
                      <w:lang w:val="en-US" w:eastAsia="zh-CN"/>
                    </w:rPr>
                    <w:t>910</w:t>
                  </w:r>
                </w:p>
              </w:tc>
              <w:tc>
                <w:tcPr>
                  <w:tcW w:w="1151" w:type="dxa"/>
                  <w:tcBorders>
                    <w:tl2br w:val="nil"/>
                    <w:tr2bl w:val="nil"/>
                  </w:tcBorders>
                  <w:noWrap w:val="0"/>
                  <w:vAlign w:val="center"/>
                </w:tcPr>
                <w:p>
                  <w:pPr>
                    <w:spacing w:line="240" w:lineRule="auto"/>
                    <w:jc w:val="center"/>
                    <w:rPr>
                      <w:color w:val="auto"/>
                      <w:kern w:val="0"/>
                      <w:szCs w:val="21"/>
                    </w:rPr>
                  </w:pPr>
                  <w:r>
                    <w:rPr>
                      <w:color w:val="auto"/>
                      <w:kern w:val="0"/>
                      <w:szCs w:val="21"/>
                    </w:rPr>
                    <w:t>0</w:t>
                  </w:r>
                </w:p>
              </w:tc>
              <w:tc>
                <w:tcPr>
                  <w:tcW w:w="1046" w:type="dxa"/>
                  <w:tcBorders>
                    <w:tl2br w:val="nil"/>
                    <w:tr2bl w:val="nil"/>
                  </w:tcBorders>
                  <w:noWrap w:val="0"/>
                  <w:vAlign w:val="center"/>
                </w:tcPr>
                <w:p>
                  <w:pPr>
                    <w:spacing w:line="240" w:lineRule="auto"/>
                    <w:jc w:val="center"/>
                    <w:rPr>
                      <w:color w:val="auto"/>
                      <w:kern w:val="0"/>
                      <w:szCs w:val="21"/>
                    </w:rPr>
                  </w:pPr>
                  <w:r>
                    <w:rPr>
                      <w:color w:val="auto"/>
                      <w:kern w:val="0"/>
                      <w:szCs w:val="21"/>
                    </w:rPr>
                    <w:t>0</w:t>
                  </w:r>
                </w:p>
              </w:tc>
            </w:tr>
          </w:tbl>
          <w:p>
            <w:pPr>
              <w:spacing w:line="540" w:lineRule="exact"/>
              <w:ind w:firstLine="420" w:firstLineChars="200"/>
              <w:outlineLvl w:val="0"/>
              <w:rPr>
                <w:b/>
                <w:sz w:val="24"/>
              </w:rPr>
            </w:pPr>
            <w:r>
              <mc:AlternateContent>
                <mc:Choice Requires="wpc">
                  <w:drawing>
                    <wp:anchor distT="0" distB="0" distL="114300" distR="114300" simplePos="0" relativeHeight="251660288" behindDoc="0" locked="0" layoutInCell="1" allowOverlap="1">
                      <wp:simplePos x="0" y="0"/>
                      <wp:positionH relativeFrom="character">
                        <wp:posOffset>-288925</wp:posOffset>
                      </wp:positionH>
                      <wp:positionV relativeFrom="line">
                        <wp:posOffset>160020</wp:posOffset>
                      </wp:positionV>
                      <wp:extent cx="4979670" cy="2108835"/>
                      <wp:effectExtent l="0" t="0" r="11430" b="0"/>
                      <wp:wrapNone/>
                      <wp:docPr id="31" name="画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矩形 29"/>
                              <wps:cNvSpPr>
                                <a:spLocks noChangeArrowheads="1"/>
                              </wps:cNvSpPr>
                              <wps:spPr bwMode="auto">
                                <a:xfrm>
                                  <a:off x="130000" y="366245"/>
                                  <a:ext cx="867225" cy="225550"/>
                                </a:xfrm>
                                <a:prstGeom prst="rect">
                                  <a:avLst/>
                                </a:prstGeom>
                                <a:solidFill>
                                  <a:srgbClr val="FFFFFF"/>
                                </a:solidFill>
                                <a:ln w="9525">
                                  <a:solidFill>
                                    <a:srgbClr val="000000"/>
                                  </a:solidFill>
                                  <a:miter lim="800000"/>
                                </a:ln>
                                <a:effectLst/>
                              </wps:spPr>
                              <wps:txbx>
                                <w:txbxContent>
                                  <w:p>
                                    <w:pPr>
                                      <w:spacing w:line="320" w:lineRule="exact"/>
                                      <w:jc w:val="center"/>
                                      <w:rPr>
                                        <w:sz w:val="18"/>
                                        <w:szCs w:val="21"/>
                                      </w:rPr>
                                    </w:pPr>
                                    <w:r>
                                      <w:rPr>
                                        <w:rFonts w:hint="eastAsia" w:hAnsi="宋体"/>
                                        <w:sz w:val="18"/>
                                        <w:szCs w:val="21"/>
                                      </w:rPr>
                                      <w:t>生产车间</w:t>
                                    </w:r>
                                  </w:p>
                                </w:txbxContent>
                              </wps:txbx>
                              <wps:bodyPr rot="0" vert="horz" wrap="square" lIns="0" tIns="0" rIns="0" bIns="0" anchor="t" anchorCtr="0" upright="1">
                                <a:noAutofit/>
                              </wps:bodyPr>
                            </wps:wsp>
                            <wps:wsp>
                              <wps:cNvPr id="30" name="矩形 30"/>
                              <wps:cNvSpPr>
                                <a:spLocks noChangeArrowheads="1"/>
                              </wps:cNvSpPr>
                              <wps:spPr bwMode="auto">
                                <a:xfrm>
                                  <a:off x="4465577" y="1893088"/>
                                  <a:ext cx="499311" cy="187228"/>
                                </a:xfrm>
                                <a:prstGeom prst="rect">
                                  <a:avLst/>
                                </a:prstGeom>
                                <a:noFill/>
                                <a:ln>
                                  <a:noFill/>
                                </a:ln>
                                <a:effectLst/>
                              </wps:spPr>
                              <wps:txbx>
                                <w:txbxContent>
                                  <w:p>
                                    <w:pPr>
                                      <w:rPr>
                                        <w:b/>
                                        <w:sz w:val="18"/>
                                        <w:szCs w:val="21"/>
                                        <w:vertAlign w:val="superscript"/>
                                      </w:rPr>
                                    </w:pPr>
                                    <w:r>
                                      <w:rPr>
                                        <w:rFonts w:hint="eastAsia" w:hAnsi="宋体"/>
                                        <w:b/>
                                        <w:sz w:val="18"/>
                                        <w:szCs w:val="21"/>
                                      </w:rPr>
                                      <w:t>单位：</w:t>
                                    </w:r>
                                    <w:r>
                                      <w:rPr>
                                        <w:b/>
                                        <w:sz w:val="18"/>
                                        <w:szCs w:val="21"/>
                                      </w:rPr>
                                      <w:t>m</w:t>
                                    </w:r>
                                    <w:r>
                                      <w:rPr>
                                        <w:b/>
                                        <w:sz w:val="18"/>
                                        <w:szCs w:val="21"/>
                                        <w:vertAlign w:val="superscript"/>
                                      </w:rPr>
                                      <w:t>3</w:t>
                                    </w:r>
                                  </w:p>
                                </w:txbxContent>
                              </wps:txbx>
                              <wps:bodyPr rot="0" vert="horz" wrap="square" lIns="15480" tIns="9288" rIns="15480" bIns="9288" anchor="t" anchorCtr="0" upright="1">
                                <a:noAutofit/>
                              </wps:bodyPr>
                            </wps:wsp>
                            <wps:wsp>
                              <wps:cNvPr id="32" name="流程图: 决策 32"/>
                              <wps:cNvSpPr>
                                <a:spLocks noChangeArrowheads="1"/>
                              </wps:cNvSpPr>
                              <wps:spPr bwMode="auto">
                                <a:xfrm>
                                  <a:off x="1262210" y="331756"/>
                                  <a:ext cx="840945" cy="278105"/>
                                </a:xfrm>
                                <a:prstGeom prst="flowChartDecision">
                                  <a:avLst/>
                                </a:prstGeom>
                                <a:solidFill>
                                  <a:srgbClr val="FFFFFF"/>
                                </a:solidFill>
                                <a:ln w="15875">
                                  <a:solidFill>
                                    <a:srgbClr val="000000"/>
                                  </a:solidFill>
                                  <a:miter lim="800000"/>
                                </a:ln>
                                <a:effectLst/>
                              </wps:spPr>
                              <wps:txbx>
                                <w:txbxContent>
                                  <w:p>
                                    <w:pPr>
                                      <w:jc w:val="center"/>
                                      <w:rPr>
                                        <w:rFonts w:hint="default" w:eastAsia="宋体"/>
                                        <w:color w:val="000000"/>
                                        <w:sz w:val="18"/>
                                        <w:szCs w:val="21"/>
                                        <w:lang w:val="en-US" w:eastAsia="zh-CN"/>
                                      </w:rPr>
                                    </w:pPr>
                                    <w:r>
                                      <w:rPr>
                                        <w:rFonts w:hint="eastAsia"/>
                                        <w:color w:val="000000"/>
                                        <w:kern w:val="0"/>
                                        <w:sz w:val="18"/>
                                        <w:szCs w:val="21"/>
                                        <w:lang w:val="en-US" w:eastAsia="zh-CN"/>
                                      </w:rPr>
                                      <w:t>450</w:t>
                                    </w:r>
                                  </w:p>
                                </w:txbxContent>
                              </wps:txbx>
                              <wps:bodyPr rot="0" vert="horz" wrap="square" lIns="0" tIns="0" rIns="0" bIns="0" anchor="t" anchorCtr="0" upright="1">
                                <a:noAutofit/>
                              </wps:bodyPr>
                            </wps:wsp>
                            <wps:wsp>
                              <wps:cNvPr id="33" name="椭圆 33"/>
                              <wps:cNvSpPr>
                                <a:spLocks noChangeArrowheads="1"/>
                              </wps:cNvSpPr>
                              <wps:spPr bwMode="auto">
                                <a:xfrm>
                                  <a:off x="3846913" y="925741"/>
                                  <a:ext cx="557345" cy="243069"/>
                                </a:xfrm>
                                <a:prstGeom prst="ellipse">
                                  <a:avLst/>
                                </a:prstGeom>
                                <a:solidFill>
                                  <a:srgbClr val="FFFFFF"/>
                                </a:solidFill>
                                <a:ln w="15875">
                                  <a:solidFill>
                                    <a:srgbClr val="000000"/>
                                  </a:solidFill>
                                  <a:round/>
                                </a:ln>
                                <a:effectLst/>
                              </wps:spPr>
                              <wps:txbx>
                                <w:txbxContent>
                                  <w:p>
                                    <w:pPr>
                                      <w:ind w:firstLine="270" w:firstLineChars="150"/>
                                      <w:rPr>
                                        <w:sz w:val="18"/>
                                        <w:szCs w:val="21"/>
                                      </w:rPr>
                                    </w:pPr>
                                    <w:r>
                                      <w:rPr>
                                        <w:color w:val="000000"/>
                                        <w:kern w:val="0"/>
                                        <w:sz w:val="18"/>
                                        <w:szCs w:val="21"/>
                                      </w:rPr>
                                      <w:t>0</w:t>
                                    </w:r>
                                  </w:p>
                                </w:txbxContent>
                              </wps:txbx>
                              <wps:bodyPr rot="0" vert="horz" wrap="square" lIns="0" tIns="0" rIns="0" bIns="0" anchor="t" anchorCtr="0" upright="1">
                                <a:noAutofit/>
                              </wps:bodyPr>
                            </wps:wsp>
                            <wps:wsp>
                              <wps:cNvPr id="35" name="直接连接符 35"/>
                              <wps:cNvCnPr>
                                <a:cxnSpLocks noChangeShapeType="1"/>
                              </wps:cNvCnPr>
                              <wps:spPr bwMode="auto">
                                <a:xfrm>
                                  <a:off x="1010364" y="471356"/>
                                  <a:ext cx="260605" cy="547"/>
                                </a:xfrm>
                                <a:prstGeom prst="line">
                                  <a:avLst/>
                                </a:prstGeom>
                                <a:noFill/>
                                <a:ln w="9525">
                                  <a:solidFill>
                                    <a:srgbClr val="000000"/>
                                  </a:solidFill>
                                  <a:round/>
                                </a:ln>
                                <a:effectLst/>
                              </wps:spPr>
                              <wps:bodyPr/>
                            </wps:wsp>
                            <wps:wsp>
                              <wps:cNvPr id="36" name="直接连接符 36"/>
                              <wps:cNvCnPr>
                                <a:cxnSpLocks noChangeShapeType="1"/>
                              </wps:cNvCnPr>
                              <wps:spPr bwMode="auto">
                                <a:xfrm>
                                  <a:off x="2109725" y="471356"/>
                                  <a:ext cx="252941" cy="547"/>
                                </a:xfrm>
                                <a:prstGeom prst="line">
                                  <a:avLst/>
                                </a:prstGeom>
                                <a:noFill/>
                                <a:ln w="9525">
                                  <a:solidFill>
                                    <a:srgbClr val="000000"/>
                                  </a:solidFill>
                                  <a:round/>
                                  <a:tailEnd type="triangle" w="med" len="med"/>
                                </a:ln>
                                <a:effectLst/>
                              </wps:spPr>
                              <wps:bodyPr/>
                            </wps:wsp>
                            <wps:wsp>
                              <wps:cNvPr id="38" name="矩形 38"/>
                              <wps:cNvSpPr>
                                <a:spLocks noChangeArrowheads="1"/>
                              </wps:cNvSpPr>
                              <wps:spPr bwMode="auto">
                                <a:xfrm>
                                  <a:off x="2356096" y="367888"/>
                                  <a:ext cx="569390" cy="225550"/>
                                </a:xfrm>
                                <a:prstGeom prst="rect">
                                  <a:avLst/>
                                </a:prstGeom>
                                <a:solidFill>
                                  <a:srgbClr val="FFFFFF"/>
                                </a:solidFill>
                                <a:ln w="15875">
                                  <a:solidFill>
                                    <a:srgbClr val="000000"/>
                                  </a:solidFill>
                                  <a:miter lim="800000"/>
                                </a:ln>
                                <a:effectLst/>
                              </wps:spPr>
                              <wps:txbx>
                                <w:txbxContent>
                                  <w:p>
                                    <w:pPr>
                                      <w:spacing w:line="320" w:lineRule="exact"/>
                                      <w:jc w:val="center"/>
                                      <w:rPr>
                                        <w:rFonts w:hint="default" w:eastAsia="宋体"/>
                                        <w:sz w:val="18"/>
                                        <w:szCs w:val="21"/>
                                        <w:lang w:val="en-US" w:eastAsia="zh-CN"/>
                                      </w:rPr>
                                    </w:pPr>
                                    <w:r>
                                      <w:rPr>
                                        <w:rFonts w:hint="eastAsia"/>
                                        <w:sz w:val="18"/>
                                        <w:szCs w:val="21"/>
                                        <w:lang w:val="en-US" w:eastAsia="zh-CN"/>
                                      </w:rPr>
                                      <w:t>160</w:t>
                                    </w:r>
                                  </w:p>
                                </w:txbxContent>
                              </wps:txbx>
                              <wps:bodyPr rot="0" vert="horz" wrap="square" lIns="0" tIns="0" rIns="0" bIns="0" anchor="t" anchorCtr="0" upright="1">
                                <a:noAutofit/>
                              </wps:bodyPr>
                            </wps:wsp>
                            <wps:wsp>
                              <wps:cNvPr id="39" name="矩形 39"/>
                              <wps:cNvSpPr>
                                <a:spLocks noChangeArrowheads="1"/>
                              </wps:cNvSpPr>
                              <wps:spPr bwMode="auto">
                                <a:xfrm>
                                  <a:off x="126715" y="750556"/>
                                  <a:ext cx="867225" cy="225550"/>
                                </a:xfrm>
                                <a:prstGeom prst="rect">
                                  <a:avLst/>
                                </a:prstGeom>
                                <a:solidFill>
                                  <a:srgbClr val="FFFFFF"/>
                                </a:solidFill>
                                <a:ln w="9525">
                                  <a:solidFill>
                                    <a:srgbClr val="000000"/>
                                  </a:solidFill>
                                  <a:miter lim="800000"/>
                                </a:ln>
                                <a:effectLst/>
                              </wps:spPr>
                              <wps:txbx>
                                <w:txbxContent>
                                  <w:p>
                                    <w:pPr>
                                      <w:spacing w:line="320" w:lineRule="exact"/>
                                      <w:jc w:val="center"/>
                                      <w:rPr>
                                        <w:sz w:val="18"/>
                                        <w:szCs w:val="21"/>
                                      </w:rPr>
                                    </w:pPr>
                                    <w:r>
                                      <w:rPr>
                                        <w:rFonts w:hint="eastAsia" w:hAnsi="宋体"/>
                                        <w:sz w:val="18"/>
                                        <w:szCs w:val="21"/>
                                      </w:rPr>
                                      <w:t>工业场地平整</w:t>
                                    </w:r>
                                  </w:p>
                                  <w:p>
                                    <w:pPr>
                                      <w:rPr>
                                        <w:sz w:val="18"/>
                                      </w:rPr>
                                    </w:pPr>
                                  </w:p>
                                </w:txbxContent>
                              </wps:txbx>
                              <wps:bodyPr rot="0" vert="horz" wrap="square" lIns="0" tIns="30960" rIns="0" bIns="0" anchor="t" anchorCtr="0" upright="1">
                                <a:noAutofit/>
                              </wps:bodyPr>
                            </wps:wsp>
                            <wps:wsp>
                              <wps:cNvPr id="41" name="直接连接符 41"/>
                              <wps:cNvCnPr>
                                <a:cxnSpLocks noChangeShapeType="1"/>
                              </wps:cNvCnPr>
                              <wps:spPr bwMode="auto">
                                <a:xfrm>
                                  <a:off x="1007079" y="855667"/>
                                  <a:ext cx="260605" cy="547"/>
                                </a:xfrm>
                                <a:prstGeom prst="line">
                                  <a:avLst/>
                                </a:prstGeom>
                                <a:noFill/>
                                <a:ln w="9525">
                                  <a:solidFill>
                                    <a:srgbClr val="000000"/>
                                  </a:solidFill>
                                  <a:round/>
                                </a:ln>
                                <a:effectLst/>
                              </wps:spPr>
                              <wps:bodyPr/>
                            </wps:wsp>
                            <wps:wsp>
                              <wps:cNvPr id="42" name="直接连接符 42"/>
                              <wps:cNvCnPr>
                                <a:cxnSpLocks noChangeShapeType="1"/>
                              </wps:cNvCnPr>
                              <wps:spPr bwMode="auto">
                                <a:xfrm>
                                  <a:off x="2106440" y="855667"/>
                                  <a:ext cx="252941" cy="547"/>
                                </a:xfrm>
                                <a:prstGeom prst="line">
                                  <a:avLst/>
                                </a:prstGeom>
                                <a:noFill/>
                                <a:ln w="9525">
                                  <a:solidFill>
                                    <a:srgbClr val="000000"/>
                                  </a:solidFill>
                                  <a:round/>
                                  <a:tailEnd type="triangle" w="med" len="med"/>
                                </a:ln>
                                <a:effectLst/>
                              </wps:spPr>
                              <wps:bodyPr/>
                            </wps:wsp>
                            <wps:wsp>
                              <wps:cNvPr id="44" name="矩形 44"/>
                              <wps:cNvSpPr>
                                <a:spLocks noChangeArrowheads="1"/>
                              </wps:cNvSpPr>
                              <wps:spPr bwMode="auto">
                                <a:xfrm>
                                  <a:off x="2360476" y="737417"/>
                                  <a:ext cx="569390" cy="225550"/>
                                </a:xfrm>
                                <a:prstGeom prst="rect">
                                  <a:avLst/>
                                </a:prstGeom>
                                <a:solidFill>
                                  <a:srgbClr val="FFFFFF"/>
                                </a:solidFill>
                                <a:ln w="15875">
                                  <a:solidFill>
                                    <a:srgbClr val="000000"/>
                                  </a:solidFill>
                                  <a:miter lim="800000"/>
                                </a:ln>
                                <a:effectLst/>
                              </wps:spPr>
                              <wps:txbx>
                                <w:txbxContent>
                                  <w:p>
                                    <w:pPr>
                                      <w:spacing w:line="320" w:lineRule="exact"/>
                                      <w:jc w:val="center"/>
                                      <w:rPr>
                                        <w:rFonts w:hint="default" w:eastAsia="宋体"/>
                                        <w:sz w:val="18"/>
                                        <w:szCs w:val="21"/>
                                        <w:lang w:val="en-US" w:eastAsia="zh-CN"/>
                                      </w:rPr>
                                    </w:pPr>
                                    <w:r>
                                      <w:rPr>
                                        <w:rFonts w:hint="eastAsia"/>
                                        <w:sz w:val="18"/>
                                        <w:szCs w:val="21"/>
                                        <w:lang w:val="en-US" w:eastAsia="zh-CN"/>
                                      </w:rPr>
                                      <w:t>200</w:t>
                                    </w:r>
                                  </w:p>
                                </w:txbxContent>
                              </wps:txbx>
                              <wps:bodyPr rot="0" vert="horz" wrap="square" lIns="0" tIns="0" rIns="0" bIns="0" anchor="t" anchorCtr="0" upright="1">
                                <a:noAutofit/>
                              </wps:bodyPr>
                            </wps:wsp>
                            <wps:wsp>
                              <wps:cNvPr id="45" name="流程图: 决策 45"/>
                              <wps:cNvSpPr>
                                <a:spLocks noChangeArrowheads="1"/>
                              </wps:cNvSpPr>
                              <wps:spPr bwMode="auto">
                                <a:xfrm>
                                  <a:off x="1274255" y="716067"/>
                                  <a:ext cx="840945" cy="278105"/>
                                </a:xfrm>
                                <a:prstGeom prst="flowChartDecision">
                                  <a:avLst/>
                                </a:prstGeom>
                                <a:solidFill>
                                  <a:srgbClr val="FFFFFF"/>
                                </a:solidFill>
                                <a:ln w="15875">
                                  <a:solidFill>
                                    <a:srgbClr val="000000"/>
                                  </a:solidFill>
                                  <a:miter lim="800000"/>
                                </a:ln>
                                <a:effectLst/>
                              </wps:spPr>
                              <wps:txbx>
                                <w:txbxContent>
                                  <w:p>
                                    <w:pPr>
                                      <w:jc w:val="center"/>
                                      <w:rPr>
                                        <w:rFonts w:hint="default" w:eastAsia="宋体"/>
                                        <w:color w:val="000000"/>
                                        <w:sz w:val="18"/>
                                        <w:szCs w:val="21"/>
                                        <w:lang w:val="en-US" w:eastAsia="zh-CN"/>
                                      </w:rPr>
                                    </w:pPr>
                                    <w:r>
                                      <w:rPr>
                                        <w:rFonts w:hint="eastAsia"/>
                                        <w:color w:val="000000"/>
                                        <w:kern w:val="0"/>
                                        <w:sz w:val="18"/>
                                        <w:szCs w:val="21"/>
                                        <w:lang w:val="en-US" w:eastAsia="zh-CN"/>
                                      </w:rPr>
                                      <w:t>50</w:t>
                                    </w:r>
                                  </w:p>
                                </w:txbxContent>
                              </wps:txbx>
                              <wps:bodyPr rot="0" vert="horz" wrap="square" lIns="0" tIns="0" rIns="0" bIns="0" anchor="t" anchorCtr="0" upright="1">
                                <a:noAutofit/>
                              </wps:bodyPr>
                            </wps:wsp>
                            <wps:wsp>
                              <wps:cNvPr id="47" name="矩形 47"/>
                              <wps:cNvSpPr>
                                <a:spLocks noChangeArrowheads="1"/>
                              </wps:cNvSpPr>
                              <wps:spPr bwMode="auto">
                                <a:xfrm>
                                  <a:off x="2371425" y="1536697"/>
                                  <a:ext cx="569390" cy="225550"/>
                                </a:xfrm>
                                <a:prstGeom prst="rect">
                                  <a:avLst/>
                                </a:prstGeom>
                                <a:solidFill>
                                  <a:srgbClr val="FFFFFF"/>
                                </a:solidFill>
                                <a:ln w="15875">
                                  <a:solidFill>
                                    <a:srgbClr val="000000"/>
                                  </a:solidFill>
                                  <a:miter lim="800000"/>
                                </a:ln>
                                <a:effectLst/>
                              </wps:spPr>
                              <wps:txbx>
                                <w:txbxContent>
                                  <w:p>
                                    <w:pPr>
                                      <w:spacing w:line="320" w:lineRule="exact"/>
                                      <w:jc w:val="center"/>
                                      <w:rPr>
                                        <w:sz w:val="18"/>
                                        <w:szCs w:val="21"/>
                                      </w:rPr>
                                    </w:pPr>
                                    <w:r>
                                      <w:rPr>
                                        <w:sz w:val="18"/>
                                        <w:szCs w:val="21"/>
                                      </w:rPr>
                                      <w:t>150</w:t>
                                    </w:r>
                                  </w:p>
                                </w:txbxContent>
                              </wps:txbx>
                              <wps:bodyPr rot="0" vert="horz" wrap="square" lIns="0" tIns="0" rIns="0" bIns="0" anchor="t" anchorCtr="0" upright="1">
                                <a:noAutofit/>
                              </wps:bodyPr>
                            </wps:wsp>
                            <wps:wsp>
                              <wps:cNvPr id="48" name="矩形 48"/>
                              <wps:cNvSpPr>
                                <a:spLocks noChangeArrowheads="1"/>
                              </wps:cNvSpPr>
                              <wps:spPr bwMode="auto">
                                <a:xfrm>
                                  <a:off x="121240" y="1124466"/>
                                  <a:ext cx="867225" cy="225550"/>
                                </a:xfrm>
                                <a:prstGeom prst="rect">
                                  <a:avLst/>
                                </a:prstGeom>
                                <a:solidFill>
                                  <a:srgbClr val="FFFFFF"/>
                                </a:solidFill>
                                <a:ln w="9525">
                                  <a:solidFill>
                                    <a:srgbClr val="000000"/>
                                  </a:solidFill>
                                  <a:miter lim="800000"/>
                                </a:ln>
                                <a:effectLst/>
                              </wps:spPr>
                              <wps:txbx>
                                <w:txbxContent>
                                  <w:p>
                                    <w:pPr>
                                      <w:spacing w:line="320" w:lineRule="exact"/>
                                      <w:jc w:val="center"/>
                                      <w:rPr>
                                        <w:sz w:val="18"/>
                                        <w:szCs w:val="21"/>
                                      </w:rPr>
                                    </w:pPr>
                                    <w:r>
                                      <w:rPr>
                                        <w:rFonts w:hint="eastAsia" w:hAnsi="宋体"/>
                                        <w:sz w:val="18"/>
                                        <w:szCs w:val="21"/>
                                      </w:rPr>
                                      <w:t>道路建设</w:t>
                                    </w:r>
                                  </w:p>
                                  <w:p>
                                    <w:pPr>
                                      <w:rPr>
                                        <w:sz w:val="18"/>
                                        <w:szCs w:val="21"/>
                                      </w:rPr>
                                    </w:pPr>
                                  </w:p>
                                </w:txbxContent>
                              </wps:txbx>
                              <wps:bodyPr rot="0" vert="horz" wrap="square" lIns="0" tIns="0" rIns="0" bIns="0" anchor="t" anchorCtr="0" upright="1">
                                <a:noAutofit/>
                              </wps:bodyPr>
                            </wps:wsp>
                            <wps:wsp>
                              <wps:cNvPr id="50" name="矩形 50"/>
                              <wps:cNvSpPr>
                                <a:spLocks noChangeArrowheads="1"/>
                              </wps:cNvSpPr>
                              <wps:spPr bwMode="auto">
                                <a:xfrm>
                                  <a:off x="130000" y="1535055"/>
                                  <a:ext cx="867225" cy="225550"/>
                                </a:xfrm>
                                <a:prstGeom prst="rect">
                                  <a:avLst/>
                                </a:prstGeom>
                                <a:solidFill>
                                  <a:srgbClr val="FFFFFF"/>
                                </a:solidFill>
                                <a:ln w="9525">
                                  <a:solidFill>
                                    <a:srgbClr val="000000"/>
                                  </a:solidFill>
                                  <a:miter lim="800000"/>
                                </a:ln>
                                <a:effectLst/>
                              </wps:spPr>
                              <wps:txbx>
                                <w:txbxContent>
                                  <w:p>
                                    <w:pPr>
                                      <w:jc w:val="center"/>
                                      <w:rPr>
                                        <w:rFonts w:hint="eastAsia"/>
                                        <w:sz w:val="18"/>
                                      </w:rPr>
                                    </w:pPr>
                                    <w:r>
                                      <w:rPr>
                                        <w:rFonts w:hint="eastAsia" w:hAnsi="宋体"/>
                                        <w:sz w:val="18"/>
                                        <w:szCs w:val="21"/>
                                      </w:rPr>
                                      <w:t>隧道窑</w:t>
                                    </w:r>
                                  </w:p>
                                </w:txbxContent>
                              </wps:txbx>
                              <wps:bodyPr rot="0" vert="horz" wrap="square" lIns="0" tIns="0" rIns="0" bIns="0" anchor="t" anchorCtr="0" upright="1">
                                <a:noAutofit/>
                              </wps:bodyPr>
                            </wps:wsp>
                            <wps:wsp>
                              <wps:cNvPr id="51" name="直接连接符 51"/>
                              <wps:cNvCnPr>
                                <a:cxnSpLocks noChangeShapeType="1"/>
                              </wps:cNvCnPr>
                              <wps:spPr bwMode="auto">
                                <a:xfrm>
                                  <a:off x="1010364" y="1640165"/>
                                  <a:ext cx="260605" cy="547"/>
                                </a:xfrm>
                                <a:prstGeom prst="line">
                                  <a:avLst/>
                                </a:prstGeom>
                                <a:noFill/>
                                <a:ln w="9525">
                                  <a:solidFill>
                                    <a:srgbClr val="000000"/>
                                  </a:solidFill>
                                  <a:round/>
                                </a:ln>
                                <a:effectLst/>
                              </wps:spPr>
                              <wps:bodyPr/>
                            </wps:wsp>
                            <wps:wsp>
                              <wps:cNvPr id="53" name="直接连接符 53"/>
                              <wps:cNvCnPr>
                                <a:cxnSpLocks noChangeShapeType="1"/>
                              </wps:cNvCnPr>
                              <wps:spPr bwMode="auto">
                                <a:xfrm>
                                  <a:off x="2109725" y="1640165"/>
                                  <a:ext cx="252941" cy="547"/>
                                </a:xfrm>
                                <a:prstGeom prst="line">
                                  <a:avLst/>
                                </a:prstGeom>
                                <a:noFill/>
                                <a:ln w="9525">
                                  <a:solidFill>
                                    <a:srgbClr val="000000"/>
                                  </a:solidFill>
                                  <a:round/>
                                  <a:tailEnd type="triangle" w="med" len="med"/>
                                </a:ln>
                                <a:effectLst/>
                              </wps:spPr>
                              <wps:bodyPr/>
                            </wps:wsp>
                            <wps:wsp>
                              <wps:cNvPr id="54" name="流程图: 决策 54"/>
                              <wps:cNvSpPr>
                                <a:spLocks noChangeArrowheads="1"/>
                              </wps:cNvSpPr>
                              <wps:spPr bwMode="auto">
                                <a:xfrm>
                                  <a:off x="1277540" y="1500565"/>
                                  <a:ext cx="840945" cy="278105"/>
                                </a:xfrm>
                                <a:prstGeom prst="flowChartDecision">
                                  <a:avLst/>
                                </a:prstGeom>
                                <a:solidFill>
                                  <a:srgbClr val="FFFFFF"/>
                                </a:solidFill>
                                <a:ln w="15875">
                                  <a:solidFill>
                                    <a:srgbClr val="000000"/>
                                  </a:solidFill>
                                  <a:miter lim="800000"/>
                                </a:ln>
                                <a:effectLst/>
                              </wps:spPr>
                              <wps:txbx>
                                <w:txbxContent>
                                  <w:p>
                                    <w:pPr>
                                      <w:jc w:val="center"/>
                                      <w:rPr>
                                        <w:rFonts w:hint="default" w:eastAsia="宋体"/>
                                        <w:color w:val="000000"/>
                                        <w:sz w:val="18"/>
                                        <w:szCs w:val="21"/>
                                        <w:lang w:val="en-US" w:eastAsia="zh-CN"/>
                                      </w:rPr>
                                    </w:pPr>
                                    <w:r>
                                      <w:rPr>
                                        <w:rFonts w:hint="eastAsia"/>
                                        <w:color w:val="000000"/>
                                        <w:sz w:val="18"/>
                                        <w:szCs w:val="21"/>
                                        <w:lang w:val="en-US" w:eastAsia="zh-CN"/>
                                      </w:rPr>
                                      <w:t>300</w:t>
                                    </w:r>
                                  </w:p>
                                </w:txbxContent>
                              </wps:txbx>
                              <wps:bodyPr rot="0" vert="horz" wrap="square" lIns="0" tIns="0" rIns="0" bIns="0" anchor="t" anchorCtr="0" upright="1">
                                <a:noAutofit/>
                              </wps:bodyPr>
                            </wps:wsp>
                            <wpg:wgp>
                              <wpg:cNvPr id="21" name="组合 21"/>
                              <wpg:cNvGrpSpPr/>
                              <wpg:grpSpPr>
                                <a:xfrm>
                                  <a:off x="4331970" y="46990"/>
                                  <a:ext cx="629920" cy="728345"/>
                                  <a:chOff x="9675" y="8615"/>
                                  <a:chExt cx="1298" cy="1341"/>
                                </a:xfrm>
                                <a:effectLst/>
                              </wpg:grpSpPr>
                              <wps:wsp>
                                <wps:cNvPr id="57" name="矩形 5140"/>
                                <wps:cNvSpPr>
                                  <a:spLocks noChangeArrowheads="1"/>
                                </wps:cNvSpPr>
                                <wps:spPr bwMode="auto">
                                  <a:xfrm>
                                    <a:off x="9750" y="8955"/>
                                    <a:ext cx="430" cy="175"/>
                                  </a:xfrm>
                                  <a:prstGeom prst="rect">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wps:wsp>
                                <wps:cNvPr id="59" name="自选图形 5141"/>
                                <wps:cNvSpPr>
                                  <a:spLocks noChangeArrowheads="1"/>
                                </wps:cNvSpPr>
                                <wps:spPr bwMode="auto">
                                  <a:xfrm>
                                    <a:off x="9754" y="9255"/>
                                    <a:ext cx="529" cy="214"/>
                                  </a:xfrm>
                                  <a:prstGeom prst="diamond">
                                    <a:avLst/>
                                  </a:prstGeom>
                                  <a:solidFill>
                                    <a:srgbClr val="FFFFFF"/>
                                  </a:solidFill>
                                  <a:ln w="15875">
                                    <a:solidFill>
                                      <a:srgbClr val="000000"/>
                                    </a:solidFill>
                                    <a:miter lim="800000"/>
                                  </a:ln>
                                  <a:effectLst/>
                                </wps:spPr>
                                <wps:bodyPr rot="0" vert="horz" wrap="square" lIns="91440" tIns="45720" rIns="91440" bIns="45720" anchor="t" anchorCtr="0" upright="1">
                                  <a:noAutofit/>
                                </wps:bodyPr>
                              </wps:wsp>
                              <wps:wsp>
                                <wps:cNvPr id="60" name="矩形 5142"/>
                                <wps:cNvSpPr>
                                  <a:spLocks noChangeArrowheads="1"/>
                                </wps:cNvSpPr>
                                <wps:spPr bwMode="auto">
                                  <a:xfrm>
                                    <a:off x="10437" y="8936"/>
                                    <a:ext cx="469" cy="248"/>
                                  </a:xfrm>
                                  <a:prstGeom prst="rect">
                                    <a:avLst/>
                                  </a:prstGeom>
                                  <a:noFill/>
                                  <a:ln>
                                    <a:noFill/>
                                  </a:ln>
                                  <a:effectLst/>
                                </wps:spPr>
                                <wps:txbx>
                                  <w:txbxContent>
                                    <w:p>
                                      <w:pPr>
                                        <w:jc w:val="center"/>
                                        <w:rPr>
                                          <w:sz w:val="18"/>
                                          <w:szCs w:val="21"/>
                                        </w:rPr>
                                      </w:pPr>
                                      <w:r>
                                        <w:rPr>
                                          <w:rFonts w:hint="eastAsia" w:hAnsi="宋体"/>
                                          <w:sz w:val="18"/>
                                          <w:szCs w:val="21"/>
                                        </w:rPr>
                                        <w:t>填方</w:t>
                                      </w:r>
                                    </w:p>
                                  </w:txbxContent>
                                </wps:txbx>
                                <wps:bodyPr rot="0" vert="horz" wrap="square" lIns="0" tIns="0" rIns="0" bIns="0" anchor="t" anchorCtr="0" upright="1">
                                  <a:noAutofit/>
                                </wps:bodyPr>
                              </wps:wsp>
                              <wps:wsp>
                                <wps:cNvPr id="62" name="矩形 5143"/>
                                <wps:cNvSpPr>
                                  <a:spLocks noChangeArrowheads="1"/>
                                </wps:cNvSpPr>
                                <wps:spPr bwMode="auto">
                                  <a:xfrm>
                                    <a:off x="10456" y="9252"/>
                                    <a:ext cx="469" cy="249"/>
                                  </a:xfrm>
                                  <a:prstGeom prst="rect">
                                    <a:avLst/>
                                  </a:prstGeom>
                                  <a:noFill/>
                                  <a:ln>
                                    <a:noFill/>
                                  </a:ln>
                                  <a:effectLst/>
                                </wps:spPr>
                                <wps:txbx>
                                  <w:txbxContent>
                                    <w:p>
                                      <w:pPr>
                                        <w:jc w:val="center"/>
                                        <w:rPr>
                                          <w:sz w:val="18"/>
                                          <w:szCs w:val="21"/>
                                        </w:rPr>
                                      </w:pPr>
                                      <w:r>
                                        <w:rPr>
                                          <w:rFonts w:hint="eastAsia" w:hAnsi="宋体"/>
                                          <w:sz w:val="18"/>
                                          <w:szCs w:val="21"/>
                                        </w:rPr>
                                        <w:t>挖方</w:t>
                                      </w:r>
                                    </w:p>
                                  </w:txbxContent>
                                </wps:txbx>
                                <wps:bodyPr rot="0" vert="horz" wrap="square" lIns="0" tIns="0" rIns="0" bIns="0" anchor="t" anchorCtr="0" upright="1">
                                  <a:noAutofit/>
                                </wps:bodyPr>
                              </wps:wsp>
                              <wps:wsp>
                                <wps:cNvPr id="63" name="矩形 5144"/>
                                <wps:cNvSpPr>
                                  <a:spLocks noChangeArrowheads="1"/>
                                </wps:cNvSpPr>
                                <wps:spPr bwMode="auto">
                                  <a:xfrm>
                                    <a:off x="9967" y="8615"/>
                                    <a:ext cx="717" cy="235"/>
                                  </a:xfrm>
                                  <a:prstGeom prst="rect">
                                    <a:avLst/>
                                  </a:prstGeom>
                                  <a:noFill/>
                                  <a:ln>
                                    <a:noFill/>
                                  </a:ln>
                                  <a:effectLst/>
                                </wps:spPr>
                                <wps:txbx>
                                  <w:txbxContent>
                                    <w:p>
                                      <w:pPr>
                                        <w:jc w:val="center"/>
                                        <w:rPr>
                                          <w:b/>
                                          <w:sz w:val="18"/>
                                          <w:szCs w:val="21"/>
                                        </w:rPr>
                                      </w:pPr>
                                      <w:r>
                                        <w:rPr>
                                          <w:rFonts w:hint="eastAsia" w:hAnsi="宋体"/>
                                          <w:b/>
                                          <w:sz w:val="18"/>
                                          <w:szCs w:val="21"/>
                                        </w:rPr>
                                        <w:t>图</w:t>
                                      </w:r>
                                      <w:r>
                                        <w:rPr>
                                          <w:b/>
                                          <w:sz w:val="18"/>
                                          <w:szCs w:val="21"/>
                                        </w:rPr>
                                        <w:t xml:space="preserve"> </w:t>
                                      </w:r>
                                      <w:r>
                                        <w:rPr>
                                          <w:rFonts w:hint="eastAsia" w:hAnsi="宋体"/>
                                          <w:b/>
                                          <w:sz w:val="18"/>
                                          <w:szCs w:val="21"/>
                                        </w:rPr>
                                        <w:t>例</w:t>
                                      </w:r>
                                    </w:p>
                                  </w:txbxContent>
                                </wps:txbx>
                                <wps:bodyPr rot="0" vert="horz" wrap="square" lIns="0" tIns="0" rIns="0" bIns="0" anchor="t" anchorCtr="0" upright="1">
                                  <a:noAutofit/>
                                </wps:bodyPr>
                              </wps:wsp>
                              <wps:wsp>
                                <wps:cNvPr id="65" name="矩形 5145"/>
                                <wps:cNvSpPr>
                                  <a:spLocks noChangeArrowheads="1"/>
                                </wps:cNvSpPr>
                                <wps:spPr bwMode="auto">
                                  <a:xfrm>
                                    <a:off x="9675" y="8629"/>
                                    <a:ext cx="1296" cy="1327"/>
                                  </a:xfrm>
                                  <a:prstGeom prst="rect">
                                    <a:avLst/>
                                  </a:prstGeom>
                                  <a:noFill/>
                                  <a:ln w="19050">
                                    <a:solidFill>
                                      <a:srgbClr val="000000"/>
                                    </a:solidFill>
                                    <a:prstDash val="sysDot"/>
                                    <a:miter lim="800000"/>
                                  </a:ln>
                                  <a:effectLst/>
                                </wps:spPr>
                                <wps:bodyPr rot="0" vert="horz" wrap="square" lIns="91440" tIns="45720" rIns="91440" bIns="45720" anchor="t" anchorCtr="0" upright="1">
                                  <a:noAutofit/>
                                </wps:bodyPr>
                              </wps:wsp>
                              <wps:wsp>
                                <wps:cNvPr id="66" name="椭圆 5146"/>
                                <wps:cNvSpPr>
                                  <a:spLocks noChangeArrowheads="1"/>
                                </wps:cNvSpPr>
                                <wps:spPr bwMode="auto">
                                  <a:xfrm>
                                    <a:off x="9743" y="9609"/>
                                    <a:ext cx="468" cy="224"/>
                                  </a:xfrm>
                                  <a:prstGeom prst="ellipse">
                                    <a:avLst/>
                                  </a:prstGeom>
                                  <a:solidFill>
                                    <a:srgbClr val="FFFFFF"/>
                                  </a:solidFill>
                                  <a:ln w="19050">
                                    <a:solidFill>
                                      <a:srgbClr val="000000"/>
                                    </a:solidFill>
                                    <a:round/>
                                  </a:ln>
                                  <a:effectLst/>
                                </wps:spPr>
                                <wps:bodyPr rot="0" vert="horz" wrap="square" lIns="91440" tIns="45720" rIns="91440" bIns="45720" anchor="t" anchorCtr="0" upright="1">
                                  <a:noAutofit/>
                                </wps:bodyPr>
                              </wps:wsp>
                              <wps:wsp>
                                <wps:cNvPr id="68" name="矩形 5147"/>
                                <wps:cNvSpPr>
                                  <a:spLocks noChangeArrowheads="1"/>
                                </wps:cNvSpPr>
                                <wps:spPr bwMode="auto">
                                  <a:xfrm>
                                    <a:off x="10429" y="9532"/>
                                    <a:ext cx="544" cy="370"/>
                                  </a:xfrm>
                                  <a:prstGeom prst="rect">
                                    <a:avLst/>
                                  </a:prstGeom>
                                  <a:noFill/>
                                  <a:ln>
                                    <a:noFill/>
                                  </a:ln>
                                  <a:effectLst/>
                                </wps:spPr>
                                <wps:txbx>
                                  <w:txbxContent>
                                    <w:p>
                                      <w:pPr>
                                        <w:rPr>
                                          <w:sz w:val="18"/>
                                          <w:szCs w:val="21"/>
                                        </w:rPr>
                                      </w:pPr>
                                      <w:r>
                                        <w:rPr>
                                          <w:rFonts w:hint="eastAsia" w:hAnsi="宋体"/>
                                          <w:sz w:val="18"/>
                                          <w:szCs w:val="21"/>
                                        </w:rPr>
                                        <w:t>弃方</w:t>
                                      </w:r>
                                    </w:p>
                                  </w:txbxContent>
                                </wps:txbx>
                                <wps:bodyPr rot="0" vert="horz" wrap="square" lIns="15480" tIns="9288" rIns="15480" bIns="9288" anchor="t" anchorCtr="0" upright="1">
                                  <a:noAutofit/>
                                </wps:bodyPr>
                              </wps:wsp>
                            </wpg:wgp>
                            <wps:wsp>
                              <wps:cNvPr id="69" name="直接连接符 69"/>
                              <wps:cNvCnPr>
                                <a:cxnSpLocks noChangeShapeType="1"/>
                              </wps:cNvCnPr>
                              <wps:spPr bwMode="auto">
                                <a:xfrm flipV="1">
                                  <a:off x="3292853" y="1060414"/>
                                  <a:ext cx="533256" cy="1642"/>
                                </a:xfrm>
                                <a:prstGeom prst="line">
                                  <a:avLst/>
                                </a:prstGeom>
                                <a:noFill/>
                                <a:ln w="9525">
                                  <a:solidFill>
                                    <a:srgbClr val="000000"/>
                                  </a:solidFill>
                                  <a:round/>
                                  <a:tailEnd type="triangle" w="med" len="med"/>
                                </a:ln>
                                <a:effectLst/>
                              </wps:spPr>
                              <wps:bodyPr/>
                            </wps:wsp>
                            <wps:wsp>
                              <wps:cNvPr id="71" name="矩形 71"/>
                              <wps:cNvSpPr>
                                <a:spLocks noChangeArrowheads="1"/>
                              </wps:cNvSpPr>
                              <wps:spPr bwMode="auto">
                                <a:xfrm>
                                  <a:off x="2376900" y="1114612"/>
                                  <a:ext cx="569390" cy="225550"/>
                                </a:xfrm>
                                <a:prstGeom prst="rect">
                                  <a:avLst/>
                                </a:prstGeom>
                                <a:solidFill>
                                  <a:srgbClr val="FFFFFF"/>
                                </a:solidFill>
                                <a:ln w="15875">
                                  <a:solidFill>
                                    <a:srgbClr val="000000"/>
                                  </a:solidFill>
                                  <a:miter lim="800000"/>
                                </a:ln>
                                <a:effectLst/>
                              </wps:spPr>
                              <wps:txbx>
                                <w:txbxContent>
                                  <w:p>
                                    <w:pPr>
                                      <w:spacing w:line="320" w:lineRule="exact"/>
                                      <w:jc w:val="center"/>
                                      <w:rPr>
                                        <w:rFonts w:hint="default" w:eastAsia="宋体"/>
                                        <w:color w:val="000000"/>
                                        <w:sz w:val="18"/>
                                        <w:szCs w:val="21"/>
                                        <w:lang w:val="en-US" w:eastAsia="zh-CN"/>
                                      </w:rPr>
                                    </w:pPr>
                                    <w:r>
                                      <w:rPr>
                                        <w:rFonts w:hint="eastAsia"/>
                                        <w:color w:val="000000"/>
                                        <w:sz w:val="18"/>
                                        <w:szCs w:val="21"/>
                                        <w:lang w:val="en-US" w:eastAsia="zh-CN"/>
                                      </w:rPr>
                                      <w:t>400</w:t>
                                    </w:r>
                                  </w:p>
                                </w:txbxContent>
                              </wps:txbx>
                              <wps:bodyPr rot="0" vert="horz" wrap="square" lIns="0" tIns="0" rIns="0" bIns="0" anchor="t" anchorCtr="0" upright="1">
                                <a:noAutofit/>
                              </wps:bodyPr>
                            </wps:wsp>
                            <wps:wsp>
                              <wps:cNvPr id="72" name="直接连接符 72"/>
                              <wps:cNvCnPr>
                                <a:cxnSpLocks noChangeShapeType="1"/>
                              </wps:cNvCnPr>
                              <wps:spPr bwMode="auto">
                                <a:xfrm>
                                  <a:off x="2941912" y="844171"/>
                                  <a:ext cx="360249" cy="547"/>
                                </a:xfrm>
                                <a:prstGeom prst="line">
                                  <a:avLst/>
                                </a:prstGeom>
                                <a:noFill/>
                                <a:ln w="9525">
                                  <a:solidFill>
                                    <a:srgbClr val="000000"/>
                                  </a:solidFill>
                                  <a:round/>
                                  <a:tailEnd type="triangle" w="med" len="med"/>
                                </a:ln>
                                <a:effectLst/>
                              </wps:spPr>
                              <wps:bodyPr/>
                            </wps:wsp>
                            <wps:wsp>
                              <wps:cNvPr id="73" name="直接连接符 73"/>
                              <wps:cNvCnPr>
                                <a:cxnSpLocks noChangeShapeType="1"/>
                              </wps:cNvCnPr>
                              <wps:spPr bwMode="auto">
                                <a:xfrm flipV="1">
                                  <a:off x="2959431" y="1223007"/>
                                  <a:ext cx="326304" cy="7117"/>
                                </a:xfrm>
                                <a:prstGeom prst="line">
                                  <a:avLst/>
                                </a:prstGeom>
                                <a:noFill/>
                                <a:ln w="9525">
                                  <a:solidFill>
                                    <a:srgbClr val="000000"/>
                                  </a:solidFill>
                                  <a:round/>
                                  <a:tailEnd type="triangle" w="med" len="med"/>
                                </a:ln>
                                <a:effectLst/>
                              </wps:spPr>
                              <wps:bodyPr/>
                            </wps:wsp>
                            <wps:wsp>
                              <wps:cNvPr id="75" name="直接连接符 75"/>
                              <wps:cNvCnPr>
                                <a:cxnSpLocks noChangeShapeType="1"/>
                              </wps:cNvCnPr>
                              <wps:spPr bwMode="auto">
                                <a:xfrm>
                                  <a:off x="2941912" y="1631954"/>
                                  <a:ext cx="360249" cy="547"/>
                                </a:xfrm>
                                <a:prstGeom prst="line">
                                  <a:avLst/>
                                </a:prstGeom>
                                <a:noFill/>
                                <a:ln w="9525">
                                  <a:solidFill>
                                    <a:srgbClr val="000000"/>
                                  </a:solidFill>
                                  <a:round/>
                                  <a:tailEnd type="triangle" w="med" len="med"/>
                                </a:ln>
                                <a:effectLst/>
                              </wps:spPr>
                              <wps:bodyPr/>
                            </wps:wsp>
                            <wps:wsp>
                              <wps:cNvPr id="77" name="直接连接符 77"/>
                              <wps:cNvCnPr>
                                <a:cxnSpLocks noChangeShapeType="1"/>
                              </wps:cNvCnPr>
                              <wps:spPr bwMode="auto">
                                <a:xfrm flipV="1">
                                  <a:off x="3286283" y="482852"/>
                                  <a:ext cx="547" cy="1149101"/>
                                </a:xfrm>
                                <a:prstGeom prst="line">
                                  <a:avLst/>
                                </a:prstGeom>
                                <a:noFill/>
                                <a:ln w="9525">
                                  <a:solidFill>
                                    <a:srgbClr val="000000"/>
                                  </a:solidFill>
                                  <a:round/>
                                </a:ln>
                                <a:effectLst/>
                              </wps:spPr>
                              <wps:bodyPr/>
                            </wps:wsp>
                            <wps:wsp>
                              <wps:cNvPr id="78" name="直接连接符 78"/>
                              <wps:cNvCnPr>
                                <a:cxnSpLocks noChangeShapeType="1"/>
                              </wps:cNvCnPr>
                              <wps:spPr bwMode="auto">
                                <a:xfrm>
                                  <a:off x="2941912" y="482852"/>
                                  <a:ext cx="360249" cy="547"/>
                                </a:xfrm>
                                <a:prstGeom prst="line">
                                  <a:avLst/>
                                </a:prstGeom>
                                <a:noFill/>
                                <a:ln w="9525">
                                  <a:solidFill>
                                    <a:srgbClr val="000000"/>
                                  </a:solidFill>
                                  <a:round/>
                                  <a:tailEnd type="triangle" w="med" len="med"/>
                                </a:ln>
                                <a:effectLst/>
                              </wps:spPr>
                              <wps:bodyPr/>
                            </wps:wsp>
                            <wps:wsp>
                              <wps:cNvPr id="22" name="直接连接符 22"/>
                              <wps:cNvCnPr>
                                <a:cxnSpLocks noChangeShapeType="1"/>
                              </wps:cNvCnPr>
                              <wps:spPr bwMode="auto">
                                <a:xfrm>
                                  <a:off x="1007079" y="1224102"/>
                                  <a:ext cx="260605" cy="547"/>
                                </a:xfrm>
                                <a:prstGeom prst="line">
                                  <a:avLst/>
                                </a:prstGeom>
                                <a:noFill/>
                                <a:ln w="9525">
                                  <a:solidFill>
                                    <a:srgbClr val="000000"/>
                                  </a:solidFill>
                                  <a:round/>
                                </a:ln>
                                <a:effectLst/>
                              </wps:spPr>
                              <wps:bodyPr/>
                            </wps:wsp>
                            <wps:wsp>
                              <wps:cNvPr id="23" name="直接连接符 23"/>
                              <wps:cNvCnPr>
                                <a:cxnSpLocks noChangeShapeType="1"/>
                              </wps:cNvCnPr>
                              <wps:spPr bwMode="auto">
                                <a:xfrm>
                                  <a:off x="2106440" y="1224102"/>
                                  <a:ext cx="252941" cy="547"/>
                                </a:xfrm>
                                <a:prstGeom prst="line">
                                  <a:avLst/>
                                </a:prstGeom>
                                <a:noFill/>
                                <a:ln w="9525">
                                  <a:solidFill>
                                    <a:srgbClr val="000000"/>
                                  </a:solidFill>
                                  <a:round/>
                                  <a:tailEnd type="triangle" w="med" len="med"/>
                                </a:ln>
                                <a:effectLst/>
                              </wps:spPr>
                              <wps:bodyPr/>
                            </wps:wsp>
                            <wps:wsp>
                              <wps:cNvPr id="24" name="流程图: 决策 24"/>
                              <wps:cNvSpPr>
                                <a:spLocks noChangeArrowheads="1"/>
                              </wps:cNvSpPr>
                              <wps:spPr bwMode="auto">
                                <a:xfrm>
                                  <a:off x="1274255" y="1084502"/>
                                  <a:ext cx="840945" cy="278105"/>
                                </a:xfrm>
                                <a:prstGeom prst="flowChartDecision">
                                  <a:avLst/>
                                </a:prstGeom>
                                <a:solidFill>
                                  <a:srgbClr val="FFFFFF"/>
                                </a:solidFill>
                                <a:ln w="15875">
                                  <a:solidFill>
                                    <a:srgbClr val="000000"/>
                                  </a:solidFill>
                                  <a:miter lim="800000"/>
                                </a:ln>
                                <a:effectLst/>
                              </wps:spPr>
                              <wps:txbx>
                                <w:txbxContent>
                                  <w:p>
                                    <w:pPr>
                                      <w:jc w:val="center"/>
                                      <w:rPr>
                                        <w:color w:val="000000"/>
                                        <w:sz w:val="18"/>
                                        <w:szCs w:val="21"/>
                                      </w:rPr>
                                    </w:pPr>
                                    <w:r>
                                      <w:rPr>
                                        <w:color w:val="000000"/>
                                        <w:kern w:val="0"/>
                                        <w:sz w:val="18"/>
                                        <w:szCs w:val="21"/>
                                      </w:rPr>
                                      <w:t>110</w:t>
                                    </w:r>
                                  </w:p>
                                </w:txbxContent>
                              </wps:txbx>
                              <wps:bodyPr rot="0" vert="horz" wrap="square" lIns="0" tIns="0" rIns="0" bIns="0" anchor="t" anchorCtr="0" upright="1">
                                <a:noAutofit/>
                              </wps:bodyPr>
                            </wps:wsp>
                            <wps:wsp>
                              <wps:cNvPr id="25" name="直接连接符 25"/>
                              <wps:cNvCnPr>
                                <a:cxnSpLocks noChangeShapeType="1"/>
                              </wps:cNvCnPr>
                              <wps:spPr bwMode="auto">
                                <a:xfrm flipV="1">
                                  <a:off x="2674736" y="1348921"/>
                                  <a:ext cx="547" cy="180659"/>
                                </a:xfrm>
                                <a:prstGeom prst="line">
                                  <a:avLst/>
                                </a:prstGeom>
                                <a:noFill/>
                                <a:ln w="9525">
                                  <a:solidFill>
                                    <a:srgbClr val="000000"/>
                                  </a:solidFill>
                                  <a:round/>
                                  <a:tailEnd type="triangle" w="med" len="med"/>
                                </a:ln>
                                <a:effectLst/>
                              </wps:spPr>
                              <wps:bodyPr/>
                            </wps:wsp>
                            <wps:wsp>
                              <wps:cNvPr id="26" name="矩形 26"/>
                              <wps:cNvSpPr>
                                <a:spLocks noChangeArrowheads="1"/>
                              </wps:cNvSpPr>
                              <wps:spPr bwMode="auto">
                                <a:xfrm>
                                  <a:off x="2213748" y="659132"/>
                                  <a:ext cx="870510" cy="788330"/>
                                </a:xfrm>
                                <a:prstGeom prst="rect">
                                  <a:avLst/>
                                </a:prstGeom>
                                <a:noFill/>
                                <a:ln w="9525">
                                  <a:solidFill>
                                    <a:srgbClr val="000000"/>
                                  </a:solidFill>
                                  <a:prstDash val="dash"/>
                                  <a:miter lim="800000"/>
                                </a:ln>
                                <a:effectLst/>
                              </wps:spPr>
                              <wps:bodyPr rot="0" vert="horz" wrap="square" lIns="91440" tIns="45720" rIns="91440" bIns="45720" anchor="t" anchorCtr="0" upright="1">
                                <a:noAutofit/>
                              </wps:bodyPr>
                            </wps:wsp>
                            <wps:wsp>
                              <wps:cNvPr id="28" name="直接连接符 28"/>
                              <wps:cNvCnPr>
                                <a:cxnSpLocks noChangeShapeType="1"/>
                              </wps:cNvCnPr>
                              <wps:spPr bwMode="auto">
                                <a:xfrm>
                                  <a:off x="2640792" y="593438"/>
                                  <a:ext cx="8760" cy="131388"/>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22.75pt;margin-top:12.6pt;height:166.05pt;width:392.1pt;mso-position-horizontal-relative:char;mso-position-vertical-relative:line;z-index:251660288;mso-width-relative:page;mso-height-relative:page;" coordsize="4979670,2108835" editas="canvas" o:gfxdata="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">
                      <o:lock v:ext="edit" aspectratio="f"/>
                      <v:shape id="_x0000_s1026" o:spid="_x0000_s1026" style="position:absolute;left:0;top:0;height:2108835;width:4979670;" filled="f" stroked="f" coordsize="21600,21600" o:gfxdata="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">
                        <v:fill on="f" focussize="0,0"/>
                        <v:stroke on="f"/>
                        <v:imagedata o:title=""/>
                        <o:lock v:ext="edit" aspectratio="t"/>
                      </v:shape>
                      <v:rect id="_x0000_s1026" o:spid="_x0000_s1026" o:spt="1" style="position:absolute;left:130000;top:366245;height:225550;width:867225;" fillcolor="#FFFFFF" filled="t" stroked="t" coordsize="21600,21600" o:gfxdata="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AI26bbAAAACgEAAA8AAAAAAAAAAQAgAAAAIgAA&#10;AGRycy9kb3ducmV2LnhtbFBLAQIUABQAAAAIAIdO4kAnRbNzPgIAAIMEAAAOAAAAAAAAAAEAIAAA&#10;ACoBAABkcnMvZTJvRG9jLnhtbFBLBQYAAAAABgAGAFkBAADaBQAAAAA=&#10;">
                        <v:fill on="t" focussize="0,0"/>
                        <v:stroke color="#000000" miterlimit="8" joinstyle="miter"/>
                        <v:imagedata o:title=""/>
                        <o:lock v:ext="edit" aspectratio="f"/>
                        <v:textbox inset="0mm,0mm,0mm,0mm">
                          <w:txbxContent>
                            <w:p>
                              <w:pPr>
                                <w:spacing w:line="320" w:lineRule="exact"/>
                                <w:jc w:val="center"/>
                                <w:rPr>
                                  <w:sz w:val="18"/>
                                  <w:szCs w:val="21"/>
                                </w:rPr>
                              </w:pPr>
                              <w:r>
                                <w:rPr>
                                  <w:rFonts w:hint="eastAsia" w:hAnsi="宋体"/>
                                  <w:sz w:val="18"/>
                                  <w:szCs w:val="21"/>
                                </w:rPr>
                                <w:t>生产车间</w:t>
                              </w:r>
                            </w:p>
                          </w:txbxContent>
                        </v:textbox>
                      </v:rect>
                      <v:rect id="_x0000_s1026" o:spid="_x0000_s1026" o:spt="1" style="position:absolute;left:4465577;top:1893088;height:187228;width:499311;" filled="f" stroked="f" coordsize="21600,21600" o:gfxdata="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C3kh2gAA&#10;AAoBAAAPAAAAAAAAAAEAIAAAACIAAABkcnMvZG93bnJldi54bWxQSwECFAAUAAAACACHTuJAhCi2&#10;VRwCAAAhBAAADgAAAAAAAAABACAAAAApAQAAZHJzL2Uyb0RvYy54bWxQSwUGAAAAAAYABgBZAQAA&#10;twUAAAAA&#10;">
                        <v:fill on="f" focussize="0,0"/>
                        <v:stroke on="f"/>
                        <v:imagedata o:title=""/>
                        <o:lock v:ext="edit" aspectratio="f"/>
                        <v:textbox inset="0.43mm,0.258mm,0.43mm,0.258mm">
                          <w:txbxContent>
                            <w:p>
                              <w:pPr>
                                <w:rPr>
                                  <w:b/>
                                  <w:sz w:val="18"/>
                                  <w:szCs w:val="21"/>
                                  <w:vertAlign w:val="superscript"/>
                                </w:rPr>
                              </w:pPr>
                              <w:r>
                                <w:rPr>
                                  <w:rFonts w:hint="eastAsia" w:hAnsi="宋体"/>
                                  <w:b/>
                                  <w:sz w:val="18"/>
                                  <w:szCs w:val="21"/>
                                </w:rPr>
                                <w:t>单位：</w:t>
                              </w:r>
                              <w:r>
                                <w:rPr>
                                  <w:b/>
                                  <w:sz w:val="18"/>
                                  <w:szCs w:val="21"/>
                                </w:rPr>
                                <w:t>m</w:t>
                              </w:r>
                              <w:r>
                                <w:rPr>
                                  <w:b/>
                                  <w:sz w:val="18"/>
                                  <w:szCs w:val="21"/>
                                  <w:vertAlign w:val="superscript"/>
                                </w:rPr>
                                <w:t>3</w:t>
                              </w:r>
                            </w:p>
                          </w:txbxContent>
                        </v:textbox>
                      </v:rect>
                      <v:shape id="_x0000_s1026" o:spid="_x0000_s1026" o:spt="110" type="#_x0000_t110" style="position:absolute;left:1262210;top:331756;height:278105;width:840945;" fillcolor="#FFFFFF" filled="t" stroked="t" coordsize="21600,21600" o:gfxdata="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QlMsN3AAAAAoBAAAPAAAAAAAAAAEAIAAAACIAAABkcnMvZG93bnJldi54bWxQSwECFAAUAAAA&#10;CACHTuJAaYSn1lwCAACdBAAADgAAAAAAAAABACAAAAArAQAAZHJzL2Uyb0RvYy54bWxQSwUGAAAA&#10;AAYABgBZAQAA+QUAAAAA&#10;">
                        <v:fill on="t" focussize="0,0"/>
                        <v:stroke weight="1.25pt" color="#000000" miterlimit="8" joinstyle="miter"/>
                        <v:imagedata o:title=""/>
                        <o:lock v:ext="edit" aspectratio="f"/>
                        <v:textbox inset="0mm,0mm,0mm,0mm">
                          <w:txbxContent>
                            <w:p>
                              <w:pPr>
                                <w:jc w:val="center"/>
                                <w:rPr>
                                  <w:rFonts w:hint="default" w:eastAsia="宋体"/>
                                  <w:color w:val="000000"/>
                                  <w:sz w:val="18"/>
                                  <w:szCs w:val="21"/>
                                  <w:lang w:val="en-US" w:eastAsia="zh-CN"/>
                                </w:rPr>
                              </w:pPr>
                              <w:r>
                                <w:rPr>
                                  <w:rFonts w:hint="eastAsia"/>
                                  <w:color w:val="000000"/>
                                  <w:kern w:val="0"/>
                                  <w:sz w:val="18"/>
                                  <w:szCs w:val="21"/>
                                  <w:lang w:val="en-US" w:eastAsia="zh-CN"/>
                                </w:rPr>
                                <w:t>450</w:t>
                              </w:r>
                            </w:p>
                          </w:txbxContent>
                        </v:textbox>
                      </v:shape>
                      <v:shape id="_x0000_s1026" o:spid="_x0000_s1026" o:spt="3" type="#_x0000_t3" style="position:absolute;left:3846913;top:925741;height:243069;width:557345;" fillcolor="#FFFFFF" filled="t" stroked="t" coordsize="21600,21600" o:gfxdata="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OTfT9sAAAAKAQAADwAAAAAAAAABACAAAAAi&#10;AAAAZHJzL2Rvd25yZXYueG1sUEsBAhQAFAAAAAgAh07iQEgbsDJAAgAAewQAAA4AAAAAAAAAAQAg&#10;AAAAKgEAAGRycy9lMm9Eb2MueG1sUEsFBgAAAAAGAAYAWQEAANwFAAAAAA==&#10;">
                        <v:fill on="t" focussize="0,0"/>
                        <v:stroke weight="1.25pt" color="#000000" joinstyle="round"/>
                        <v:imagedata o:title=""/>
                        <o:lock v:ext="edit" aspectratio="f"/>
                        <v:textbox inset="0mm,0mm,0mm,0mm">
                          <w:txbxContent>
                            <w:p>
                              <w:pPr>
                                <w:ind w:firstLine="270" w:firstLineChars="150"/>
                                <w:rPr>
                                  <w:sz w:val="18"/>
                                  <w:szCs w:val="21"/>
                                </w:rPr>
                              </w:pPr>
                              <w:r>
                                <w:rPr>
                                  <w:color w:val="000000"/>
                                  <w:kern w:val="0"/>
                                  <w:sz w:val="18"/>
                                  <w:szCs w:val="21"/>
                                </w:rPr>
                                <w:t>0</w:t>
                              </w:r>
                            </w:p>
                          </w:txbxContent>
                        </v:textbox>
                      </v:shape>
                      <v:line id="_x0000_s1026" o:spid="_x0000_s1026" o:spt="20" style="position:absolute;left:1010364;top:471356;height:547;width:260605;" filled="f" stroked="t" coordsize="21600,21600" o:gfxdata="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kCoXZAAAACgEAAA8AAAAAAAAAAQAgAAAAIgAAAGRycy9kb3ducmV2Lnht&#10;bFBLAQIUABQAAAAIAIdO4kDhnB19+AEAAMYDAAAOAAAAAAAAAAEAIAAAACgBAABkcnMvZTJvRG9j&#10;LnhtbFBLBQYAAAAABgAGAFkBAACSBQAAAAA=&#10;">
                        <v:fill on="f" focussize="0,0"/>
                        <v:stroke color="#000000" joinstyle="round"/>
                        <v:imagedata o:title=""/>
                        <o:lock v:ext="edit" aspectratio="f"/>
                      </v:line>
                      <v:line id="_x0000_s1026" o:spid="_x0000_s1026" o:spt="20" style="position:absolute;left:2109725;top:471356;height:547;width:252941;" filled="f" stroked="t" coordsize="21600,21600" o:gfxdata="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5kVOdwAAAAKAQAADwAA&#10;AAAAAAABACAAAAAiAAAAZHJzL2Rvd25yZXYueG1sUEsBAhQAFAAAAAgAh07iQD0+qeESAgAA9AMA&#10;AA4AAAAAAAAAAQAgAAAAKwEAAGRycy9lMm9Eb2MueG1sUEsFBgAAAAAGAAYAWQEAAK8FAAAAAA==&#10;">
                        <v:fill on="f" focussize="0,0"/>
                        <v:stroke color="#000000" joinstyle="round" endarrow="block"/>
                        <v:imagedata o:title=""/>
                        <o:lock v:ext="edit" aspectratio="f"/>
                      </v:line>
                      <v:rect id="_x0000_s1026" o:spid="_x0000_s1026" o:spt="1" style="position:absolute;left:2356096;top:367888;height:225550;width:569390;" fillcolor="#FFFFFF" filled="t" stroked="t" coordsize="21600,21600" o:gfxdata="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TWuDl2gAAAAoBAAAPAAAAAAAAAAEAIAAA&#10;ACIAAABkcnMvZG93bnJldi54bWxQSwECFAAUAAAACACHTuJAfWUtNEMCAACFBAAADgAAAAAAAAAB&#10;ACAAAAApAQAAZHJzL2Uyb0RvYy54bWxQSwUGAAAAAAYABgBZAQAA3gUAAAAA&#10;">
                        <v:fill on="t" focussize="0,0"/>
                        <v:stroke weight="1.25pt" color="#000000" miterlimit="8" joinstyle="miter"/>
                        <v:imagedata o:title=""/>
                        <o:lock v:ext="edit" aspectratio="f"/>
                        <v:textbox inset="0mm,0mm,0mm,0mm">
                          <w:txbxContent>
                            <w:p>
                              <w:pPr>
                                <w:spacing w:line="320" w:lineRule="exact"/>
                                <w:jc w:val="center"/>
                                <w:rPr>
                                  <w:rFonts w:hint="default" w:eastAsia="宋体"/>
                                  <w:sz w:val="18"/>
                                  <w:szCs w:val="21"/>
                                  <w:lang w:val="en-US" w:eastAsia="zh-CN"/>
                                </w:rPr>
                              </w:pPr>
                              <w:r>
                                <w:rPr>
                                  <w:rFonts w:hint="eastAsia"/>
                                  <w:sz w:val="18"/>
                                  <w:szCs w:val="21"/>
                                  <w:lang w:val="en-US" w:eastAsia="zh-CN"/>
                                </w:rPr>
                                <w:t>160</w:t>
                              </w:r>
                            </w:p>
                          </w:txbxContent>
                        </v:textbox>
                      </v:rect>
                      <v:rect id="_x0000_s1026" o:spid="_x0000_s1026" o:spt="1" style="position:absolute;left:126715;top:750556;height:225550;width:867225;" fillcolor="#FFFFFF" filled="t" stroked="t" coordsize="21600,21600" o:gfxdata="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HRPa2gAAAAoBAAAPAAAAAAAAAAEAIAAAACIA&#10;AABkcnMvZG93bnJldi54bWxQSwECFAAUAAAACACHTuJAd1t850ACAACHBAAADgAAAAAAAAABACAA&#10;AAApAQAAZHJzL2Uyb0RvYy54bWxQSwUGAAAAAAYABgBZAQAA2wUAAAAA&#10;">
                        <v:fill on="t" focussize="0,0"/>
                        <v:stroke color="#000000" miterlimit="8" joinstyle="miter"/>
                        <v:imagedata o:title=""/>
                        <o:lock v:ext="edit" aspectratio="f"/>
                        <v:textbox inset="0mm,0.86mm,0mm,0mm">
                          <w:txbxContent>
                            <w:p>
                              <w:pPr>
                                <w:spacing w:line="320" w:lineRule="exact"/>
                                <w:jc w:val="center"/>
                                <w:rPr>
                                  <w:sz w:val="18"/>
                                  <w:szCs w:val="21"/>
                                </w:rPr>
                              </w:pPr>
                              <w:r>
                                <w:rPr>
                                  <w:rFonts w:hint="eastAsia" w:hAnsi="宋体"/>
                                  <w:sz w:val="18"/>
                                  <w:szCs w:val="21"/>
                                </w:rPr>
                                <w:t>工业场地平整</w:t>
                              </w:r>
                            </w:p>
                            <w:p>
                              <w:pPr>
                                <w:rPr>
                                  <w:sz w:val="18"/>
                                </w:rPr>
                              </w:pPr>
                            </w:p>
                          </w:txbxContent>
                        </v:textbox>
                      </v:rect>
                      <v:line id="_x0000_s1026" o:spid="_x0000_s1026" o:spt="20" style="position:absolute;left:1007079;top:855667;height:547;width:260605;" filled="f" stroked="t" coordsize="21600,21600" o:gfxdata="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OQKhdkAAAAKAQAADwAAAAAAAAABACAAAAAiAAAAZHJzL2Rvd25yZXYu&#10;eG1sUEsBAhQAFAAAAAgAh07iQLsRajD6AQAAxgMAAA4AAAAAAAAAAQAgAAAAKAEAAGRycy9lMm9E&#10;b2MueG1sUEsFBgAAAAAGAAYAWQEAAJQFAAAAAA==&#10;">
                        <v:fill on="f" focussize="0,0"/>
                        <v:stroke color="#000000" joinstyle="round"/>
                        <v:imagedata o:title=""/>
                        <o:lock v:ext="edit" aspectratio="f"/>
                      </v:line>
                      <v:line id="_x0000_s1026" o:spid="_x0000_s1026" o:spt="20" style="position:absolute;left:2106440;top:855667;height:547;width:252941;" filled="f" stroked="t" coordsize="21600,21600" o:gfxdata="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ZFTncAAAACgEAAA8A&#10;AAAAAAAAAQAgAAAAIgAAAGRycy9kb3ducmV2LnhtbFBLAQIUABQAAAAIAIdO4kChCqwCEwIAAPQD&#10;AAAOAAAAAAAAAAEAIAAAACsBAABkcnMvZTJvRG9jLnhtbFBLBQYAAAAABgAGAFkBAACwBQAAAAA=&#10;">
                        <v:fill on="f" focussize="0,0"/>
                        <v:stroke color="#000000" joinstyle="round" endarrow="block"/>
                        <v:imagedata o:title=""/>
                        <o:lock v:ext="edit" aspectratio="f"/>
                      </v:line>
                      <v:rect id="_x0000_s1026" o:spid="_x0000_s1026" o:spt="1" style="position:absolute;left:2360476;top:737417;height:225550;width:569390;" fillcolor="#FFFFFF" filled="t" stroked="t" coordsize="21600,21600" o:gfxdata="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1rg5doAAAAKAQAADwAAAAAAAAABACAA&#10;AAAiAAAAZHJzL2Rvd25yZXYueG1sUEsBAhQAFAAAAAgAh07iQB0djw1EAgAAhQQAAA4AAAAAAAAA&#10;AQAgAAAAKQEAAGRycy9lMm9Eb2MueG1sUEsFBgAAAAAGAAYAWQEAAN8FAAAAAA==&#10;">
                        <v:fill on="t" focussize="0,0"/>
                        <v:stroke weight="1.25pt" color="#000000" miterlimit="8" joinstyle="miter"/>
                        <v:imagedata o:title=""/>
                        <o:lock v:ext="edit" aspectratio="f"/>
                        <v:textbox inset="0mm,0mm,0mm,0mm">
                          <w:txbxContent>
                            <w:p>
                              <w:pPr>
                                <w:spacing w:line="320" w:lineRule="exact"/>
                                <w:jc w:val="center"/>
                                <w:rPr>
                                  <w:rFonts w:hint="default" w:eastAsia="宋体"/>
                                  <w:sz w:val="18"/>
                                  <w:szCs w:val="21"/>
                                  <w:lang w:val="en-US" w:eastAsia="zh-CN"/>
                                </w:rPr>
                              </w:pPr>
                              <w:r>
                                <w:rPr>
                                  <w:rFonts w:hint="eastAsia"/>
                                  <w:sz w:val="18"/>
                                  <w:szCs w:val="21"/>
                                  <w:lang w:val="en-US" w:eastAsia="zh-CN"/>
                                </w:rPr>
                                <w:t>200</w:t>
                              </w:r>
                            </w:p>
                          </w:txbxContent>
                        </v:textbox>
                      </v:rect>
                      <v:shape id="_x0000_s1026" o:spid="_x0000_s1026" o:spt="110" type="#_x0000_t110" style="position:absolute;left:1274255;top:716067;height:278105;width:840945;" fillcolor="#FFFFFF" filled="t" stroked="t" coordsize="21600,21600" o:gfxdata="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CUyw3cAAAACgEAAA8AAAAAAAAAAQAgAAAAIgAAAGRycy9kb3ducmV2LnhtbFBLAQIUABQAAAAI&#10;AIdO4kCALx80WwIAAJ0EAAAOAAAAAAAAAAEAIAAAACsBAABkcnMvZTJvRG9jLnhtbFBLBQYAAAAA&#10;BgAGAFkBAAD4BQAAAAA=&#10;">
                        <v:fill on="t" focussize="0,0"/>
                        <v:stroke weight="1.25pt" color="#000000" miterlimit="8" joinstyle="miter"/>
                        <v:imagedata o:title=""/>
                        <o:lock v:ext="edit" aspectratio="f"/>
                        <v:textbox inset="0mm,0mm,0mm,0mm">
                          <w:txbxContent>
                            <w:p>
                              <w:pPr>
                                <w:jc w:val="center"/>
                                <w:rPr>
                                  <w:rFonts w:hint="default" w:eastAsia="宋体"/>
                                  <w:color w:val="000000"/>
                                  <w:sz w:val="18"/>
                                  <w:szCs w:val="21"/>
                                  <w:lang w:val="en-US" w:eastAsia="zh-CN"/>
                                </w:rPr>
                              </w:pPr>
                              <w:r>
                                <w:rPr>
                                  <w:rFonts w:hint="eastAsia"/>
                                  <w:color w:val="000000"/>
                                  <w:kern w:val="0"/>
                                  <w:sz w:val="18"/>
                                  <w:szCs w:val="21"/>
                                  <w:lang w:val="en-US" w:eastAsia="zh-CN"/>
                                </w:rPr>
                                <w:t>50</w:t>
                              </w:r>
                            </w:p>
                          </w:txbxContent>
                        </v:textbox>
                      </v:shape>
                      <v:rect id="_x0000_s1026" o:spid="_x0000_s1026" o:spt="1" style="position:absolute;left:2371425;top:1536697;height:225550;width:569390;" fillcolor="#FFFFFF" filled="t" stroked="t" coordsize="21600,21600" o:gfxdata="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Na4OXaAAAACgEAAA8AAAAAAAAAAQAg&#10;AAAAIgAAAGRycy9kb3ducmV2LnhtbFBLAQIUABQAAAAIAIdO4kCt1bp2RQIAAIYEAAAOAAAAAAAA&#10;AAEAIAAAACkBAABkcnMvZTJvRG9jLnhtbFBLBQYAAAAABgAGAFkBAADgBQAAAAA=&#10;">
                        <v:fill on="t" focussize="0,0"/>
                        <v:stroke weight="1.25pt" color="#000000" miterlimit="8" joinstyle="miter"/>
                        <v:imagedata o:title=""/>
                        <o:lock v:ext="edit" aspectratio="f"/>
                        <v:textbox inset="0mm,0mm,0mm,0mm">
                          <w:txbxContent>
                            <w:p>
                              <w:pPr>
                                <w:spacing w:line="320" w:lineRule="exact"/>
                                <w:jc w:val="center"/>
                                <w:rPr>
                                  <w:sz w:val="18"/>
                                  <w:szCs w:val="21"/>
                                </w:rPr>
                              </w:pPr>
                              <w:r>
                                <w:rPr>
                                  <w:sz w:val="18"/>
                                  <w:szCs w:val="21"/>
                                </w:rPr>
                                <w:t>150</w:t>
                              </w:r>
                            </w:p>
                          </w:txbxContent>
                        </v:textbox>
                      </v:rect>
                      <v:rect id="_x0000_s1026" o:spid="_x0000_s1026" o:spt="1" style="position:absolute;left:121240;top:1124466;height:225550;width:867225;" fillcolor="#FFFFFF" filled="t" stroked="t" coordsize="21600,21600" o:gfxdata="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wCNum2wAAAAoBAAAPAAAAAAAAAAEAIAAAACIAAABkcnMv&#10;ZG93bnJldi54bWxQSwECFAAUAAAACACHTuJALy77ITkCAACEBAAADgAAAAAAAAABACAAAAAqAQAA&#10;ZHJzL2Uyb0RvYy54bWxQSwUGAAAAAAYABgBZAQAA1QUAAAAA&#10;">
                        <v:fill on="t" focussize="0,0"/>
                        <v:stroke color="#000000" miterlimit="8" joinstyle="miter"/>
                        <v:imagedata o:title=""/>
                        <o:lock v:ext="edit" aspectratio="f"/>
                        <v:textbox inset="0mm,0mm,0mm,0mm">
                          <w:txbxContent>
                            <w:p>
                              <w:pPr>
                                <w:spacing w:line="320" w:lineRule="exact"/>
                                <w:jc w:val="center"/>
                                <w:rPr>
                                  <w:sz w:val="18"/>
                                  <w:szCs w:val="21"/>
                                </w:rPr>
                              </w:pPr>
                              <w:r>
                                <w:rPr>
                                  <w:rFonts w:hint="eastAsia" w:hAnsi="宋体"/>
                                  <w:sz w:val="18"/>
                                  <w:szCs w:val="21"/>
                                </w:rPr>
                                <w:t>道路建设</w:t>
                              </w:r>
                            </w:p>
                            <w:p>
                              <w:pPr>
                                <w:rPr>
                                  <w:sz w:val="18"/>
                                  <w:szCs w:val="21"/>
                                </w:rPr>
                              </w:pPr>
                            </w:p>
                          </w:txbxContent>
                        </v:textbox>
                      </v:rect>
                      <v:rect id="_x0000_s1026" o:spid="_x0000_s1026" o:spt="1" style="position:absolute;left:130000;top:1535055;height:225550;width:867225;" fillcolor="#FFFFFF" filled="t" stroked="t" coordsize="21600,21600" o:gfxdata="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AI26bbAAAACgEAAA8AAAAAAAAAAQAgAAAAIgAAAGRy&#10;cy9kb3ducmV2LnhtbFBLAQIUABQAAAAIAIdO4kCoCWIbOwIAAIQEAAAOAAAAAAAAAAEAIAAAACoB&#10;AABkcnMvZTJvRG9jLnhtbFBLBQYAAAAABgAGAFkBAADXBQAAAAA=&#10;">
                        <v:fill on="t" focussize="0,0"/>
                        <v:stroke color="#000000" miterlimit="8" joinstyle="miter"/>
                        <v:imagedata o:title=""/>
                        <o:lock v:ext="edit" aspectratio="f"/>
                        <v:textbox inset="0mm,0mm,0mm,0mm">
                          <w:txbxContent>
                            <w:p>
                              <w:pPr>
                                <w:jc w:val="center"/>
                                <w:rPr>
                                  <w:rFonts w:hint="eastAsia"/>
                                  <w:sz w:val="18"/>
                                </w:rPr>
                              </w:pPr>
                              <w:r>
                                <w:rPr>
                                  <w:rFonts w:hint="eastAsia" w:hAnsi="宋体"/>
                                  <w:sz w:val="18"/>
                                  <w:szCs w:val="21"/>
                                </w:rPr>
                                <w:t>隧道窑</w:t>
                              </w:r>
                            </w:p>
                          </w:txbxContent>
                        </v:textbox>
                      </v:rect>
                      <v:line id="_x0000_s1026" o:spid="_x0000_s1026" o:spt="20" style="position:absolute;left:1010364;top:1640165;height:547;width:260605;" filled="f" stroked="t" coordsize="21600,21600" o:gfxdata="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5AqF2QAAAAoBAAAPAAAAAAAAAAEAIAAAACIAAABkcnMvZG93bnJldi54bWxQ&#10;SwECFAAUAAAACACHTuJAODqA8PYBAADHAwAADgAAAAAAAAABACAAAAAoAQAAZHJzL2Uyb0RvYy54&#10;bWxQSwUGAAAAAAYABgBZAQAAkAUAAAAA&#10;">
                        <v:fill on="f" focussize="0,0"/>
                        <v:stroke color="#000000" joinstyle="round"/>
                        <v:imagedata o:title=""/>
                        <o:lock v:ext="edit" aspectratio="f"/>
                      </v:line>
                      <v:line id="_x0000_s1026" o:spid="_x0000_s1026" o:spt="20" style="position:absolute;left:2109725;top:1640165;height:547;width:252941;" filled="f" stroked="t" coordsize="21600,21600" o:gfxdata="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5kVOdwAAAAKAQAADwAA&#10;AAAAAAABACAAAAAiAAAAZHJzL2Rvd25yZXYueG1sUEsBAhQAFAAAAAgAh07iQO1nVb4SAgAA9QMA&#10;AA4AAAAAAAAAAQAgAAAAKwEAAGRycy9lMm9Eb2MueG1sUEsFBgAAAAAGAAYAWQEAAK8FAAAAAA==&#10;">
                        <v:fill on="f" focussize="0,0"/>
                        <v:stroke color="#000000" joinstyle="round" endarrow="block"/>
                        <v:imagedata o:title=""/>
                        <o:lock v:ext="edit" aspectratio="f"/>
                      </v:line>
                      <v:shape id="_x0000_s1026" o:spid="_x0000_s1026" o:spt="110" type="#_x0000_t110" style="position:absolute;left:1277540;top:1500565;height:278105;width:840945;" fillcolor="#FFFFFF" filled="t" stroked="t" coordsize="21600,21600" o:gfxdata="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QlMsN3AAAAAoBAAAPAAAAAAAAAAEAIAAAACIAAABkcnMvZG93bnJldi54bWxQSwECFAAUAAAA&#10;CACHTuJA8UqJsFwCAACeBAAADgAAAAAAAAABACAAAAArAQAAZHJzL2Uyb0RvYy54bWxQSwUGAAAA&#10;AAYABgBZAQAA+QUAAAAA&#10;">
                        <v:fill on="t" focussize="0,0"/>
                        <v:stroke weight="1.25pt" color="#000000" miterlimit="8" joinstyle="miter"/>
                        <v:imagedata o:title=""/>
                        <o:lock v:ext="edit" aspectratio="f"/>
                        <v:textbox inset="0mm,0mm,0mm,0mm">
                          <w:txbxContent>
                            <w:p>
                              <w:pPr>
                                <w:jc w:val="center"/>
                                <w:rPr>
                                  <w:rFonts w:hint="default" w:eastAsia="宋体"/>
                                  <w:color w:val="000000"/>
                                  <w:sz w:val="18"/>
                                  <w:szCs w:val="21"/>
                                  <w:lang w:val="en-US" w:eastAsia="zh-CN"/>
                                </w:rPr>
                              </w:pPr>
                              <w:r>
                                <w:rPr>
                                  <w:rFonts w:hint="eastAsia"/>
                                  <w:color w:val="000000"/>
                                  <w:sz w:val="18"/>
                                  <w:szCs w:val="21"/>
                                  <w:lang w:val="en-US" w:eastAsia="zh-CN"/>
                                </w:rPr>
                                <w:t>300</w:t>
                              </w:r>
                            </w:p>
                          </w:txbxContent>
                        </v:textbox>
                      </v:shape>
                      <v:group id="_x0000_s1026" o:spid="_x0000_s1026" o:spt="203" style="position:absolute;left:4331970;top:46990;height:728345;width:629920;" coordorigin="9675,8615" coordsize="1298,1341" o:gfxdata="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">
                        <o:lock v:ext="edit" aspectratio="f"/>
                        <v:rect id="矩形 5140" o:spid="_x0000_s1026" o:spt="1" style="position:absolute;left:9750;top:8955;height:175;width:430;" fillcolor="#FFFFFF" filled="t" stroked="t" coordsize="21600,21600" o:gfxdata="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2v1y8AAAA&#10;2wAAAA8AAAAAAAAAAQAgAAAAIgAAAGRycy9kb3ducmV2LnhtbFBLAQIUABQAAAAIAIdO4kAzLwWe&#10;OwAAADkAAAAQAAAAAAAAAAEAIAAAAAsBAABkcnMvc2hhcGV4bWwueG1sUEsFBgAAAAAGAAYAWwEA&#10;ALUDAAAAAA==&#10;">
                          <v:fill on="t" focussize="0,0"/>
                          <v:stroke weight="1.25pt" color="#000000" miterlimit="8" joinstyle="miter"/>
                          <v:imagedata o:title=""/>
                          <o:lock v:ext="edit" aspectratio="f"/>
                        </v:rect>
                        <v:shape id="自选图形 5141" o:spid="_x0000_s1026" o:spt="4" type="#_x0000_t4" style="position:absolute;left:9754;top:9255;height:214;width:529;" fillcolor="#FFFFFF" filled="t" stroked="t" coordsize="21600,21600" o:gfxdata="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Fou/&#10;AAAA2wAAAA8AAAAAAAAAAQAgAAAAIgAAAGRycy9kb3ducmV2LnhtbFBLAQIUABQAAAAIAIdO4kAz&#10;LwWeOwAAADkAAAAQAAAAAAAAAAEAIAAAAA4BAABkcnMvc2hhcGV4bWwueG1sUEsFBgAAAAAGAAYA&#10;WwEAALgDAAAAAA==&#10;">
                          <v:fill on="t" focussize="0,0"/>
                          <v:stroke weight="1.25pt" color="#000000" miterlimit="8" joinstyle="miter"/>
                          <v:imagedata o:title=""/>
                          <o:lock v:ext="edit" aspectratio="f"/>
                        </v:shape>
                        <v:rect id="矩形 5142" o:spid="_x0000_s1026" o:spt="1" style="position:absolute;left:10437;top:8936;height:248;width:469;" filled="f" stroked="f" coordsize="21600,21600" o:gfxdata="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1ydJy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jc w:val="center"/>
                                  <w:rPr>
                                    <w:sz w:val="18"/>
                                    <w:szCs w:val="21"/>
                                  </w:rPr>
                                </w:pPr>
                                <w:r>
                                  <w:rPr>
                                    <w:rFonts w:hint="eastAsia" w:hAnsi="宋体"/>
                                    <w:sz w:val="18"/>
                                    <w:szCs w:val="21"/>
                                  </w:rPr>
                                  <w:t>填方</w:t>
                                </w:r>
                              </w:p>
                            </w:txbxContent>
                          </v:textbox>
                        </v:rect>
                        <v:rect id="矩形 5143" o:spid="_x0000_s1026" o:spt="1" style="position:absolute;left:10456;top:9252;height:249;width:469;" filled="f" stroked="f" coordsize="21600,21600" o:gfxdata="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X6Z6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21"/>
                                  </w:rPr>
                                </w:pPr>
                                <w:r>
                                  <w:rPr>
                                    <w:rFonts w:hint="eastAsia" w:hAnsi="宋体"/>
                                    <w:sz w:val="18"/>
                                    <w:szCs w:val="21"/>
                                  </w:rPr>
                                  <w:t>挖方</w:t>
                                </w:r>
                              </w:p>
                            </w:txbxContent>
                          </v:textbox>
                        </v:rect>
                        <v:rect id="矩形 5144" o:spid="_x0000_s1026" o:spt="1" style="position:absolute;left:9967;top:8615;height:235;width:717;" filled="f" stroked="f" coordsize="21600,21600" o:gfxdata="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bTA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b/>
                                    <w:sz w:val="18"/>
                                    <w:szCs w:val="21"/>
                                  </w:rPr>
                                </w:pPr>
                                <w:r>
                                  <w:rPr>
                                    <w:rFonts w:hint="eastAsia" w:hAnsi="宋体"/>
                                    <w:b/>
                                    <w:sz w:val="18"/>
                                    <w:szCs w:val="21"/>
                                  </w:rPr>
                                  <w:t>图</w:t>
                                </w:r>
                                <w:r>
                                  <w:rPr>
                                    <w:b/>
                                    <w:sz w:val="18"/>
                                    <w:szCs w:val="21"/>
                                  </w:rPr>
                                  <w:t xml:space="preserve"> </w:t>
                                </w:r>
                                <w:r>
                                  <w:rPr>
                                    <w:rFonts w:hint="eastAsia" w:hAnsi="宋体"/>
                                    <w:b/>
                                    <w:sz w:val="18"/>
                                    <w:szCs w:val="21"/>
                                  </w:rPr>
                                  <w:t>例</w:t>
                                </w:r>
                              </w:p>
                            </w:txbxContent>
                          </v:textbox>
                        </v:rect>
                        <v:rect id="矩形 5145" o:spid="_x0000_s1026" o:spt="1" style="position:absolute;left:9675;top:8629;height:1327;width:1296;" filled="f" stroked="t" coordsize="21600,21600" o:gfxdata="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AroXvQAA&#10;ANsAAAAPAAAAAAAAAAEAIAAAACIAAABkcnMvZG93bnJldi54bWxQSwECFAAUAAAACACHTuJAMy8F&#10;njsAAAA5AAAAEAAAAAAAAAABACAAAAAMAQAAZHJzL3NoYXBleG1sLnhtbFBLBQYAAAAABgAGAFsB&#10;AAC2AwAAAAA=&#10;">
                          <v:fill on="f" focussize="0,0"/>
                          <v:stroke weight="1.5pt" color="#000000" miterlimit="8" joinstyle="miter" dashstyle="1 1"/>
                          <v:imagedata o:title=""/>
                          <o:lock v:ext="edit" aspectratio="f"/>
                        </v:rect>
                        <v:shape id="椭圆 5146" o:spid="_x0000_s1026" o:spt="3" type="#_x0000_t3" style="position:absolute;left:9743;top:9609;height:224;width:468;" fillcolor="#FFFFFF" filled="t" stroked="t" coordsize="21600,21600" o:gfxdata="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3+1rsAAADb&#10;AAAADwAAAAAAAAABACAAAAAiAAAAZHJzL2Rvd25yZXYueG1sUEsBAhQAFAAAAAgAh07iQDMvBZ47&#10;AAAAOQAAABAAAAAAAAAAAQAgAAAACgEAAGRycy9zaGFwZXhtbC54bWxQSwUGAAAAAAYABgBbAQAA&#10;tAMAAAAA&#10;">
                          <v:fill on="t" focussize="0,0"/>
                          <v:stroke weight="1.5pt" color="#000000" joinstyle="round"/>
                          <v:imagedata o:title=""/>
                          <o:lock v:ext="edit" aspectratio="f"/>
                        </v:shape>
                        <v:rect id="矩形 5147" o:spid="_x0000_s1026" o:spt="1" style="position:absolute;left:10429;top:9532;height:370;width:544;" filled="f" stroked="f" coordsize="21600,21600" o:gfxdata="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8qWoO5AAAA2wAA&#10;AA8AAAAAAAAAAQAgAAAAIgAAAGRycy9kb3ducmV2LnhtbFBLAQIUABQAAAAIAIdO4kAzLwWeOwAA&#10;ADkAAAAQAAAAAAAAAAEAIAAAAAgBAABkcnMvc2hhcGV4bWwueG1sUEsFBgAAAAAGAAYAWwEAALID&#10;AAAAAA==&#10;">
                          <v:fill on="f" focussize="0,0"/>
                          <v:stroke on="f"/>
                          <v:imagedata o:title=""/>
                          <o:lock v:ext="edit" aspectratio="f"/>
                          <v:textbox inset="0.43mm,0.258mm,0.43mm,0.258mm">
                            <w:txbxContent>
                              <w:p>
                                <w:pPr>
                                  <w:rPr>
                                    <w:sz w:val="18"/>
                                    <w:szCs w:val="21"/>
                                  </w:rPr>
                                </w:pPr>
                                <w:r>
                                  <w:rPr>
                                    <w:rFonts w:hint="eastAsia" w:hAnsi="宋体"/>
                                    <w:sz w:val="18"/>
                                    <w:szCs w:val="21"/>
                                  </w:rPr>
                                  <w:t>弃方</w:t>
                                </w:r>
                              </w:p>
                            </w:txbxContent>
                          </v:textbox>
                        </v:rect>
                      </v:group>
                      <v:line id="_x0000_s1026" o:spid="_x0000_s1026" o:spt="20" style="position:absolute;left:3292853;top:1060414;flip:y;height:1642;width:533256;" filled="f" stroked="t" coordsize="21600,21600" o:gfxdata="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WRrHTbAAAA&#10;CgEAAA8AAAAAAAAAAQAgAAAAIgAAAGRycy9kb3ducmV2LnhtbFBLAQIUABQAAAAIAIdO4kDZzwcu&#10;GgIAAAAEAAAOAAAAAAAAAAEAIAAAACoBAABkcnMvZTJvRG9jLnhtbFBLBQYAAAAABgAGAFkBAAC2&#10;BQAAAAA=&#10;">
                        <v:fill on="f" focussize="0,0"/>
                        <v:stroke color="#000000" joinstyle="round" endarrow="block"/>
                        <v:imagedata o:title=""/>
                        <o:lock v:ext="edit" aspectratio="f"/>
                      </v:line>
                      <v:rect id="_x0000_s1026" o:spid="_x0000_s1026" o:spt="1" style="position:absolute;left:2376900;top:1114612;height:225550;width:569390;" fillcolor="#FFFFFF" filled="t" stroked="t" coordsize="21600,21600" o:gfxdata="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Na4OXaAAAACgEAAA8AAAAAAAAAAQAg&#10;AAAAIgAAAGRycy9kb3ducmV2LnhtbFBLAQIUABQAAAAIAIdO4kBEVy2ERQIAAIYEAAAOAAAAAAAA&#10;AAEAIAAAACkBAABkcnMvZTJvRG9jLnhtbFBLBQYAAAAABgAGAFkBAADgBQAAAAA=&#10;">
                        <v:fill on="t" focussize="0,0"/>
                        <v:stroke weight="1.25pt" color="#000000" miterlimit="8" joinstyle="miter"/>
                        <v:imagedata o:title=""/>
                        <o:lock v:ext="edit" aspectratio="f"/>
                        <v:textbox inset="0mm,0mm,0mm,0mm">
                          <w:txbxContent>
                            <w:p>
                              <w:pPr>
                                <w:spacing w:line="320" w:lineRule="exact"/>
                                <w:jc w:val="center"/>
                                <w:rPr>
                                  <w:rFonts w:hint="default" w:eastAsia="宋体"/>
                                  <w:color w:val="000000"/>
                                  <w:sz w:val="18"/>
                                  <w:szCs w:val="21"/>
                                  <w:lang w:val="en-US" w:eastAsia="zh-CN"/>
                                </w:rPr>
                              </w:pPr>
                              <w:r>
                                <w:rPr>
                                  <w:rFonts w:hint="eastAsia"/>
                                  <w:color w:val="000000"/>
                                  <w:sz w:val="18"/>
                                  <w:szCs w:val="21"/>
                                  <w:lang w:val="en-US" w:eastAsia="zh-CN"/>
                                </w:rPr>
                                <w:t>400</w:t>
                              </w:r>
                            </w:p>
                          </w:txbxContent>
                        </v:textbox>
                      </v:rect>
                      <v:line id="_x0000_s1026" o:spid="_x0000_s1026" o:spt="20" style="position:absolute;left:2941912;top:844171;height:547;width:360249;" filled="f" stroked="t" coordsize="21600,21600" o:gfxdata="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ZFTncAAAACgEAAA8A&#10;AAAAAAAAAQAgAAAAIgAAAGRycy9kb3ducmV2LnhtbFBLAQIUABQAAAAIAIdO4kANpzOhEwIAAPQD&#10;AAAOAAAAAAAAAAEAIAAAACsBAABkcnMvZTJvRG9jLnhtbFBLBQYAAAAABgAGAFkBAACwBQAAAAA=&#10;">
                        <v:fill on="f" focussize="0,0"/>
                        <v:stroke color="#000000" joinstyle="round" endarrow="block"/>
                        <v:imagedata o:title=""/>
                        <o:lock v:ext="edit" aspectratio="f"/>
                      </v:line>
                      <v:line id="_x0000_s1026" o:spid="_x0000_s1026" o:spt="20" style="position:absolute;left:2959431;top:1223007;flip:y;height:7117;width:326304;" filled="f" stroked="t" coordsize="21600,21600" o:gfxdata="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ZGsdNsA&#10;AAAKAQAADwAAAAAAAAABACAAAAAiAAAAZHJzL2Rvd25yZXYueG1sUEsBAhQAFAAAAAgAh07iQIkP&#10;hp4cAgAAAAQAAA4AAAAAAAAAAQAgAAAAKgEAAGRycy9lMm9Eb2MueG1sUEsFBgAAAAAGAAYAWQEA&#10;ALgFAAAAAA==&#10;">
                        <v:fill on="f" focussize="0,0"/>
                        <v:stroke color="#000000" joinstyle="round" endarrow="block"/>
                        <v:imagedata o:title=""/>
                        <o:lock v:ext="edit" aspectratio="f"/>
                      </v:line>
                      <v:line id="_x0000_s1026" o:spid="_x0000_s1026" o:spt="20" style="position:absolute;left:2941912;top:1631954;height:547;width:360249;" filled="f" stroked="t" coordsize="21600,21600" o:gfxdata="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mRU53AAAAAoBAAAP&#10;AAAAAAAAAAEAIAAAACIAAABkcnMvZG93bnJldi54bWxQSwECFAAUAAAACACHTuJAVUVlBBQCAAD1&#10;AwAADgAAAAAAAAABACAAAAArAQAAZHJzL2Uyb0RvYy54bWxQSwUGAAAAAAYABgBZAQAAsQUAAAAA&#10;">
                        <v:fill on="f" focussize="0,0"/>
                        <v:stroke color="#000000" joinstyle="round" endarrow="block"/>
                        <v:imagedata o:title=""/>
                        <o:lock v:ext="edit" aspectratio="f"/>
                      </v:line>
                      <v:line id="_x0000_s1026" o:spid="_x0000_s1026" o:spt="20" style="position:absolute;left:3286283;top:482852;flip:y;height:1149101;width:547;" filled="f" stroked="t" coordsize="21600,21600" o:gfxdata="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4Yq7ZAAAACgEAAA8AAAAAAAAAAQAgAAAAIgAAAGRycy9k&#10;b3ducmV2LnhtbFBLAQIUABQAAAAIAIdO4kA16cT3AQIAANEDAAAOAAAAAAAAAAEAIAAAACgBAABk&#10;cnMvZTJvRG9jLnhtbFBLBQYAAAAABgAGAFkBAACbBQAAAAA=&#10;">
                        <v:fill on="f" focussize="0,0"/>
                        <v:stroke color="#000000" joinstyle="round"/>
                        <v:imagedata o:title=""/>
                        <o:lock v:ext="edit" aspectratio="f"/>
                      </v:line>
                      <v:line id="_x0000_s1026" o:spid="_x0000_s1026" o:spt="20" style="position:absolute;left:2941912;top:482852;height:547;width:360249;" filled="f" stroked="t" coordsize="21600,21600" o:gfxdata="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ZFTncAAAACgEAAA8A&#10;AAAAAAAAAQAgAAAAIgAAAGRycy9kb3ducmV2LnhtbFBLAQIUABQAAAAIAIdO4kAGIlyyEwIAAPQD&#10;AAAOAAAAAAAAAAEAIAAAACsBAABkcnMvZTJvRG9jLnhtbFBLBQYAAAAABgAGAFkBAACwBQAAAAA=&#10;">
                        <v:fill on="f" focussize="0,0"/>
                        <v:stroke color="#000000" joinstyle="round" endarrow="block"/>
                        <v:imagedata o:title=""/>
                        <o:lock v:ext="edit" aspectratio="f"/>
                      </v:line>
                      <v:line id="_x0000_s1026" o:spid="_x0000_s1026" o:spt="20" style="position:absolute;left:1007079;top:1224102;height:547;width:260605;" filled="f" stroked="t" coordsize="21600,21600" o:gfxdata="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kCoXZAAAACgEAAA8AAAAAAAAAAQAgAAAAIgAAAGRycy9kb3ducmV2Lnht&#10;bFBLAQIUABQAAAAIAIdO4kAp17rT+AEAAMcDAAAOAAAAAAAAAAEAIAAAACgBAABkcnMvZTJvRG9j&#10;LnhtbFBLBQYAAAAABgAGAFkBAACSBQAAAAA=&#10;">
                        <v:fill on="f" focussize="0,0"/>
                        <v:stroke color="#000000" joinstyle="round"/>
                        <v:imagedata o:title=""/>
                        <o:lock v:ext="edit" aspectratio="f"/>
                      </v:line>
                      <v:line id="_x0000_s1026" o:spid="_x0000_s1026" o:spt="20" style="position:absolute;left:2106440;top:1224102;height:547;width:252941;" filled="f" stroked="t" coordsize="21600,21600" o:gfxdata="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5kVOdwAAAAKAQAADwAA&#10;AAAAAAABACAAAAAiAAAAZHJzL2Rvd25yZXYueG1sUEsBAhQAFAAAAAgAh07iQPN7zKUSAgAA9QMA&#10;AA4AAAAAAAAAAQAgAAAAKwEAAGRycy9lMm9Eb2MueG1sUEsFBgAAAAAGAAYAWQEAAK8FAAAAAA==&#10;">
                        <v:fill on="f" focussize="0,0"/>
                        <v:stroke color="#000000" joinstyle="round" endarrow="block"/>
                        <v:imagedata o:title=""/>
                        <o:lock v:ext="edit" aspectratio="f"/>
                      </v:line>
                      <v:shape id="_x0000_s1026" o:spid="_x0000_s1026" o:spt="110" type="#_x0000_t110" style="position:absolute;left:1274255;top:1084502;height:278105;width:840945;" fillcolor="#FFFFFF" filled="t" stroked="t" coordsize="21600,21600" o:gfxdata="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CUyw3cAAAACgEAAA8AAAAAAAAAAQAgAAAAIgAAAGRycy9kb3ducmV2LnhtbFBLAQIUABQAAAAI&#10;AIdO4kCUMfMwWwIAAJ4EAAAOAAAAAAAAAAEAIAAAACsBAABkcnMvZTJvRG9jLnhtbFBLBQYAAAAA&#10;BgAGAFkBAAD4BQAAAAA=&#10;">
                        <v:fill on="t" focussize="0,0"/>
                        <v:stroke weight="1.25pt" color="#000000" miterlimit="8" joinstyle="miter"/>
                        <v:imagedata o:title=""/>
                        <o:lock v:ext="edit" aspectratio="f"/>
                        <v:textbox inset="0mm,0mm,0mm,0mm">
                          <w:txbxContent>
                            <w:p>
                              <w:pPr>
                                <w:jc w:val="center"/>
                                <w:rPr>
                                  <w:color w:val="000000"/>
                                  <w:sz w:val="18"/>
                                  <w:szCs w:val="21"/>
                                </w:rPr>
                              </w:pPr>
                              <w:r>
                                <w:rPr>
                                  <w:color w:val="000000"/>
                                  <w:kern w:val="0"/>
                                  <w:sz w:val="18"/>
                                  <w:szCs w:val="21"/>
                                </w:rPr>
                                <w:t>110</w:t>
                              </w:r>
                            </w:p>
                          </w:txbxContent>
                        </v:textbox>
                      </v:shape>
                      <v:line id="_x0000_s1026" o:spid="_x0000_s1026" o:spt="20" style="position:absolute;left:2674736;top:1348921;flip:y;height:180659;width:547;" filled="f" stroked="t" coordsize="21600,21600" o:gfxdata="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kax02wAAAAoB&#10;AAAPAAAAAAAAAAEAIAAAACIAAABkcnMvZG93bnJldi54bWxQSwECFAAUAAAACACHTuJAtnWL4hgC&#10;AAD/AwAADgAAAAAAAAABACAAAAAqAQAAZHJzL2Uyb0RvYy54bWxQSwUGAAAAAAYABgBZAQAAtAUA&#10;AAAA&#10;">
                        <v:fill on="f" focussize="0,0"/>
                        <v:stroke color="#000000" joinstyle="round" endarrow="block"/>
                        <v:imagedata o:title=""/>
                        <o:lock v:ext="edit" aspectratio="f"/>
                      </v:line>
                      <v:rect id="_x0000_s1026" o:spid="_x0000_s1026" o:spt="1" style="position:absolute;left:2213748;top:659132;height:788330;width:870510;" filled="f" stroked="t" coordsize="21600,21600" o:gfxdata="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DWKpjZAAAACgEAAA8AAAAA&#10;AAAAAQAgAAAAIgAAAGRycy9kb3ducmV2LnhtbFBLAQIUABQAAAAIAIdO4kDHFWSPTAIAAHgEAAAO&#10;AAAAAAAAAAEAIAAAACgBAABkcnMvZTJvRG9jLnhtbFBLBQYAAAAABgAGAFkBAADmBQAAAAA=&#10;">
                        <v:fill on="f" focussize="0,0"/>
                        <v:stroke color="#000000" miterlimit="8" joinstyle="miter" dashstyle="dash"/>
                        <v:imagedata o:title=""/>
                        <o:lock v:ext="edit" aspectratio="f"/>
                      </v:rect>
                      <v:line id="_x0000_s1026" o:spid="_x0000_s1026" o:spt="20" style="position:absolute;left:2640792;top:593438;height:131388;width:8760;" filled="f" stroked="t" coordsize="21600,21600" o:gfxdata="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5kVOdwAAAAKAQAA&#10;DwAAAAAAAAABACAAAAAiAAAAZHJzL2Rvd25yZXYueG1sUEsBAhQAFAAAAAgAh07iQKxI1Z0VAgAA&#10;9QMAAA4AAAAAAAAAAQAgAAAAKwEAAGRycy9lMm9Eb2MueG1sUEsFBgAAAAAGAAYAWQEAALIFAAAA&#10;AA==&#10;">
                        <v:fill on="f" focussize="0,0"/>
                        <v:stroke color="#000000" joinstyle="round" endarrow="block"/>
                        <v:imagedata o:title=""/>
                        <o:lock v:ext="edit" aspectratio="f"/>
                      </v:line>
                    </v:group>
                  </w:pict>
                </mc:Fallback>
              </mc:AlternateContent>
            </w:r>
          </w:p>
          <w:p>
            <w:pPr>
              <w:spacing w:line="540" w:lineRule="exact"/>
              <w:ind w:firstLine="482" w:firstLineChars="200"/>
              <w:outlineLvl w:val="0"/>
              <w:rPr>
                <w:b/>
                <w:sz w:val="24"/>
              </w:rPr>
            </w:pPr>
          </w:p>
          <w:p>
            <w:pPr>
              <w:spacing w:line="540" w:lineRule="exact"/>
              <w:ind w:firstLine="482" w:firstLineChars="200"/>
              <w:outlineLvl w:val="0"/>
              <w:rPr>
                <w:b/>
                <w:sz w:val="24"/>
              </w:rPr>
            </w:pPr>
          </w:p>
          <w:p>
            <w:pPr>
              <w:spacing w:line="540" w:lineRule="exact"/>
              <w:ind w:firstLine="482" w:firstLineChars="200"/>
              <w:outlineLvl w:val="0"/>
              <w:rPr>
                <w:b/>
                <w:sz w:val="24"/>
              </w:rPr>
            </w:pPr>
          </w:p>
          <w:p>
            <w:pPr>
              <w:spacing w:line="540" w:lineRule="exact"/>
              <w:ind w:firstLine="482" w:firstLineChars="200"/>
              <w:outlineLvl w:val="0"/>
              <w:rPr>
                <w:b/>
                <w:sz w:val="24"/>
              </w:rPr>
            </w:pPr>
          </w:p>
          <w:p>
            <w:pPr>
              <w:spacing w:line="540" w:lineRule="exact"/>
              <w:ind w:firstLine="420" w:firstLineChars="200"/>
              <w:outlineLvl w:val="0"/>
              <w:rPr>
                <w:b/>
                <w:sz w:val="24"/>
              </w:rPr>
            </w:pPr>
            <w:r>
              <mc:AlternateContent>
                <mc:Choice Requires="wps">
                  <w:drawing>
                    <wp:anchor distT="0" distB="0" distL="114300" distR="114300" simplePos="0" relativeHeight="251661312" behindDoc="0" locked="0" layoutInCell="1" allowOverlap="1">
                      <wp:simplePos x="0" y="0"/>
                      <wp:positionH relativeFrom="column">
                        <wp:posOffset>880110</wp:posOffset>
                      </wp:positionH>
                      <wp:positionV relativeFrom="paragraph">
                        <wp:posOffset>309880</wp:posOffset>
                      </wp:positionV>
                      <wp:extent cx="2717800" cy="299720"/>
                      <wp:effectExtent l="0" t="0" r="0" b="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717800" cy="299720"/>
                              </a:xfrm>
                              <a:prstGeom prst="rect">
                                <a:avLst/>
                              </a:prstGeom>
                              <a:noFill/>
                              <a:ln>
                                <a:noFill/>
                              </a:ln>
                              <a:effectLst/>
                            </wps:spPr>
                            <wps:txbx>
                              <w:txbxContent>
                                <w:p>
                                  <w:pPr>
                                    <w:pStyle w:val="77"/>
                                    <w:spacing w:before="120"/>
                                    <w:ind w:firstLine="480"/>
                                    <w:rPr>
                                      <w:rFonts w:eastAsia="宋体"/>
                                      <w:color w:val="000000"/>
                                      <w:sz w:val="21"/>
                                      <w:szCs w:val="21"/>
                                    </w:rPr>
                                  </w:pPr>
                                  <w:r>
                                    <w:rPr>
                                      <w:rFonts w:hint="eastAsia" w:hAnsi="宋体" w:eastAsia="宋体"/>
                                      <w:color w:val="000000"/>
                                      <w:sz w:val="21"/>
                                      <w:szCs w:val="21"/>
                                    </w:rPr>
                                    <w:t>图</w:t>
                                  </w:r>
                                  <w:r>
                                    <w:rPr>
                                      <w:rFonts w:hint="eastAsia" w:eastAsia="宋体"/>
                                      <w:color w:val="000000"/>
                                      <w:sz w:val="21"/>
                                      <w:szCs w:val="21"/>
                                    </w:rPr>
                                    <w:t>4</w:t>
                                  </w:r>
                                  <w:r>
                                    <w:rPr>
                                      <w:rFonts w:eastAsia="宋体"/>
                                      <w:color w:val="000000"/>
                                      <w:sz w:val="21"/>
                                      <w:szCs w:val="21"/>
                                    </w:rPr>
                                    <w:t xml:space="preserve">-1  </w:t>
                                  </w:r>
                                  <w:r>
                                    <w:rPr>
                                      <w:rFonts w:hint="eastAsia" w:hAnsi="宋体" w:eastAsia="宋体"/>
                                      <w:color w:val="000000"/>
                                      <w:sz w:val="21"/>
                                      <w:szCs w:val="21"/>
                                    </w:rPr>
                                    <w:t>施工期土石方平衡图</w:t>
                                  </w:r>
                                </w:p>
                                <w:p>
                                  <w:pPr>
                                    <w:rPr>
                                      <w:szCs w:val="21"/>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69.3pt;margin-top:24.4pt;height:23.6pt;width:214pt;z-index:251661312;mso-width-relative:page;mso-height-relative:page;" filled="f" stroked="f" coordsize="21600,21600" o:gfxdata="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ZFik2QAAAAkBAAAPAAAAAAAAAAEAIAAAACIA&#10;AABkcnMvZG93bnJldi54bWxQSwECFAAUAAAACACHTuJAs02A5AgCAAAIBAAADgAAAAAAAAABACAA&#10;AAAoAQAAZHJzL2Uyb0RvYy54bWxQSwUGAAAAAAYABgBZAQAAogUAAAAA&#10;">
                      <v:fill on="f" focussize="0,0"/>
                      <v:stroke on="f"/>
                      <v:imagedata o:title=""/>
                      <o:lock v:ext="edit" aspectratio="f"/>
                      <v:textbox inset="0mm,0mm,0mm,0mm">
                        <w:txbxContent>
                          <w:p>
                            <w:pPr>
                              <w:pStyle w:val="77"/>
                              <w:spacing w:before="120"/>
                              <w:ind w:firstLine="480"/>
                              <w:rPr>
                                <w:rFonts w:eastAsia="宋体"/>
                                <w:color w:val="000000"/>
                                <w:sz w:val="21"/>
                                <w:szCs w:val="21"/>
                              </w:rPr>
                            </w:pPr>
                            <w:r>
                              <w:rPr>
                                <w:rFonts w:hint="eastAsia" w:hAnsi="宋体" w:eastAsia="宋体"/>
                                <w:color w:val="000000"/>
                                <w:sz w:val="21"/>
                                <w:szCs w:val="21"/>
                              </w:rPr>
                              <w:t>图</w:t>
                            </w:r>
                            <w:r>
                              <w:rPr>
                                <w:rFonts w:hint="eastAsia" w:eastAsia="宋体"/>
                                <w:color w:val="000000"/>
                                <w:sz w:val="21"/>
                                <w:szCs w:val="21"/>
                              </w:rPr>
                              <w:t>4</w:t>
                            </w:r>
                            <w:r>
                              <w:rPr>
                                <w:rFonts w:eastAsia="宋体"/>
                                <w:color w:val="000000"/>
                                <w:sz w:val="21"/>
                                <w:szCs w:val="21"/>
                              </w:rPr>
                              <w:t xml:space="preserve">-1  </w:t>
                            </w:r>
                            <w:r>
                              <w:rPr>
                                <w:rFonts w:hint="eastAsia" w:hAnsi="宋体" w:eastAsia="宋体"/>
                                <w:color w:val="000000"/>
                                <w:sz w:val="21"/>
                                <w:szCs w:val="21"/>
                              </w:rPr>
                              <w:t>施工期土石方平衡图</w:t>
                            </w:r>
                          </w:p>
                          <w:p>
                            <w:pPr>
                              <w:rPr>
                                <w:szCs w:val="21"/>
                              </w:rPr>
                            </w:pPr>
                          </w:p>
                        </w:txbxContent>
                      </v:textbox>
                    </v:rect>
                  </w:pict>
                </mc:Fallback>
              </mc:AlternateContent>
            </w:r>
          </w:p>
          <w:p>
            <w:pPr>
              <w:spacing w:line="540" w:lineRule="exact"/>
              <w:ind w:firstLine="482" w:firstLineChars="200"/>
              <w:outlineLvl w:val="0"/>
              <w:rPr>
                <w:b/>
                <w:sz w:val="24"/>
              </w:rPr>
            </w:pPr>
          </w:p>
          <w:p>
            <w:pPr>
              <w:spacing w:line="360" w:lineRule="auto"/>
              <w:ind w:firstLine="480" w:firstLineChars="200"/>
              <w:jc w:val="left"/>
              <w:rPr>
                <w:color w:val="000000"/>
                <w:sz w:val="24"/>
              </w:rPr>
            </w:pPr>
            <w:r>
              <w:rPr>
                <w:color w:val="000000"/>
                <w:sz w:val="24"/>
              </w:rPr>
              <w:t>建筑垃圾集中收集后可回收利用的部分拉运至附近建筑垃圾再利用企业回用，不能回收利用的运至指定地点处置，禁止随意倾倒。</w:t>
            </w:r>
          </w:p>
          <w:p>
            <w:pPr>
              <w:pStyle w:val="60"/>
              <w:ind w:left="0" w:leftChars="0" w:firstLine="480" w:firstLineChars="200"/>
              <w:rPr>
                <w:rFonts w:hint="default" w:ascii="Times New Roman" w:hAnsi="Times New Roman" w:eastAsia="宋体" w:cs="Times New Roman"/>
                <w:color w:val="auto"/>
              </w:rPr>
            </w:pPr>
            <w:r>
              <w:rPr>
                <w:color w:val="000000"/>
                <w:sz w:val="24"/>
              </w:rPr>
              <w:t>项目施工期生活垃圾集中收集后委托环卫部门清运处理，严禁施工期间生活垃圾乱堆乱放。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6"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4"/>
                <w:szCs w:val="24"/>
              </w:rPr>
              <w:t>运营期生态环境影响分析</w:t>
            </w:r>
          </w:p>
        </w:tc>
        <w:tc>
          <w:tcPr>
            <w:tcW w:w="8162" w:type="dxa"/>
          </w:tcPr>
          <w:p>
            <w:pPr>
              <w:pStyle w:val="60"/>
              <w:ind w:left="0" w:leftChars="0" w:firstLine="0" w:firstLineChars="0"/>
              <w:rPr>
                <w:b/>
                <w:bCs/>
                <w:color w:val="auto"/>
                <w:sz w:val="24"/>
                <w:szCs w:val="24"/>
              </w:rPr>
            </w:pPr>
            <w:r>
              <w:rPr>
                <w:rFonts w:hint="eastAsia"/>
                <w:b/>
                <w:bCs/>
                <w:color w:val="auto"/>
                <w:sz w:val="24"/>
                <w:szCs w:val="24"/>
                <w:lang w:val="en-US" w:eastAsia="zh-CN"/>
              </w:rPr>
              <w:t>1.废气污染物</w:t>
            </w:r>
            <w:r>
              <w:rPr>
                <w:b/>
                <w:bCs/>
                <w:color w:val="auto"/>
                <w:sz w:val="24"/>
                <w:szCs w:val="24"/>
              </w:rPr>
              <w:t>环境影响和保护措施</w:t>
            </w:r>
          </w:p>
          <w:p>
            <w:pPr>
              <w:pStyle w:val="60"/>
              <w:ind w:left="0" w:leftChars="0" w:firstLine="0" w:firstLineChars="0"/>
              <w:rPr>
                <w:b/>
                <w:bCs/>
                <w:color w:val="auto"/>
                <w:sz w:val="24"/>
                <w:szCs w:val="24"/>
              </w:rPr>
            </w:pPr>
            <w:r>
              <w:rPr>
                <w:rFonts w:hint="eastAsia"/>
                <w:b/>
                <w:bCs/>
                <w:color w:val="auto"/>
                <w:sz w:val="24"/>
                <w:szCs w:val="24"/>
                <w:lang w:val="en-US" w:eastAsia="zh-CN"/>
              </w:rPr>
              <w:t>1</w:t>
            </w:r>
            <w:r>
              <w:rPr>
                <w:b/>
                <w:bCs/>
                <w:color w:val="auto"/>
                <w:sz w:val="24"/>
                <w:szCs w:val="24"/>
              </w:rPr>
              <w:t>.1废气产排情况</w:t>
            </w:r>
          </w:p>
          <w:p>
            <w:pPr>
              <w:pStyle w:val="60"/>
              <w:ind w:left="0" w:leftChars="0" w:firstLine="480" w:firstLineChars="200"/>
              <w:rPr>
                <w:color w:val="auto"/>
                <w:sz w:val="24"/>
                <w:szCs w:val="24"/>
              </w:rPr>
            </w:pPr>
            <w:r>
              <w:rPr>
                <w:color w:val="auto"/>
                <w:sz w:val="24"/>
                <w:szCs w:val="24"/>
              </w:rPr>
              <w:t>项目运营期废气主要包括粘土矿区、煤矸石堆</w:t>
            </w:r>
            <w:r>
              <w:rPr>
                <w:rFonts w:hint="eastAsia"/>
                <w:color w:val="auto"/>
                <w:sz w:val="24"/>
                <w:szCs w:val="24"/>
                <w:lang w:val="en-US" w:eastAsia="zh-CN"/>
              </w:rPr>
              <w:t>棚</w:t>
            </w:r>
            <w:r>
              <w:rPr>
                <w:color w:val="auto"/>
                <w:sz w:val="24"/>
                <w:szCs w:val="24"/>
              </w:rPr>
              <w:t>及运输道路扬尘；破碎、筛分等过程产生粉尘；焙烧隧道窑产生的烟气等。</w:t>
            </w:r>
          </w:p>
          <w:p>
            <w:pPr>
              <w:pStyle w:val="60"/>
              <w:ind w:firstLine="420"/>
              <w:rPr>
                <w:color w:val="auto"/>
                <w:sz w:val="24"/>
                <w:szCs w:val="24"/>
              </w:rPr>
            </w:pPr>
            <w:r>
              <w:rPr>
                <w:color w:val="auto"/>
                <w:sz w:val="24"/>
                <w:szCs w:val="24"/>
              </w:rPr>
              <w:t>（1）粘土矿区扬尘</w:t>
            </w:r>
          </w:p>
          <w:p>
            <w:pPr>
              <w:pStyle w:val="60"/>
              <w:ind w:firstLine="420"/>
              <w:rPr>
                <w:color w:val="auto"/>
                <w:sz w:val="24"/>
                <w:szCs w:val="24"/>
              </w:rPr>
            </w:pPr>
            <w:r>
              <w:rPr>
                <w:color w:val="auto"/>
                <w:sz w:val="24"/>
                <w:szCs w:val="24"/>
              </w:rPr>
              <w:t>运营期项目粘土矿区与料仓距离</w:t>
            </w:r>
            <w:r>
              <w:rPr>
                <w:rFonts w:hint="eastAsia"/>
                <w:color w:val="auto"/>
                <w:sz w:val="24"/>
                <w:szCs w:val="24"/>
                <w:lang w:val="en-US" w:eastAsia="zh-CN"/>
              </w:rPr>
              <w:t>较</w:t>
            </w:r>
            <w:r>
              <w:rPr>
                <w:color w:val="auto"/>
                <w:sz w:val="24"/>
                <w:szCs w:val="24"/>
              </w:rPr>
              <w:t>近，粘土矿矿区采用露天开釆方式，参考</w:t>
            </w:r>
            <w:r>
              <w:rPr>
                <w:color w:val="auto"/>
                <w:spacing w:val="-7"/>
                <w:sz w:val="24"/>
                <w:szCs w:val="24"/>
              </w:rPr>
              <w:t>《排放源统计调查产排污核算方法和系数手册》（1019粘土及其他土砂石开采行业系数）露天开采颗粒物产生系数8.2×10</w:t>
            </w:r>
            <w:r>
              <w:rPr>
                <w:color w:val="auto"/>
                <w:spacing w:val="-7"/>
                <w:sz w:val="24"/>
                <w:szCs w:val="24"/>
                <w:vertAlign w:val="superscript"/>
              </w:rPr>
              <w:t>-2</w:t>
            </w:r>
            <w:r>
              <w:rPr>
                <w:color w:val="auto"/>
                <w:spacing w:val="-7"/>
                <w:sz w:val="24"/>
                <w:szCs w:val="24"/>
              </w:rPr>
              <w:t>kg/t产品计算，本项目</w:t>
            </w:r>
            <w:r>
              <w:rPr>
                <w:color w:val="auto"/>
                <w:sz w:val="24"/>
                <w:szCs w:val="24"/>
              </w:rPr>
              <w:t>改建后粘土开采量为</w:t>
            </w:r>
            <w:r>
              <w:rPr>
                <w:rFonts w:hint="eastAsia"/>
                <w:color w:val="auto"/>
                <w:sz w:val="24"/>
                <w:szCs w:val="24"/>
                <w:lang w:val="en-US" w:eastAsia="zh-CN"/>
              </w:rPr>
              <w:t>144417t</w:t>
            </w:r>
            <w:r>
              <w:rPr>
                <w:color w:val="auto"/>
                <w:sz w:val="24"/>
                <w:szCs w:val="24"/>
              </w:rPr>
              <w:t>/a，</w:t>
            </w:r>
            <w:r>
              <w:rPr>
                <w:rFonts w:hint="eastAsia"/>
                <w:color w:val="auto"/>
                <w:sz w:val="24"/>
                <w:szCs w:val="24"/>
                <w:lang w:val="en-US" w:eastAsia="zh-CN"/>
              </w:rPr>
              <w:t>计算可知</w:t>
            </w:r>
            <w:r>
              <w:rPr>
                <w:color w:val="auto"/>
                <w:sz w:val="24"/>
                <w:szCs w:val="24"/>
              </w:rPr>
              <w:t>粘土矿区开采扬尘产生量为</w:t>
            </w:r>
            <w:r>
              <w:rPr>
                <w:rFonts w:hint="eastAsia"/>
                <w:color w:val="auto"/>
                <w:sz w:val="24"/>
                <w:szCs w:val="24"/>
                <w:lang w:val="en-US" w:eastAsia="zh-CN"/>
              </w:rPr>
              <w:t>11.84</w:t>
            </w:r>
            <w:r>
              <w:rPr>
                <w:color w:val="auto"/>
                <w:sz w:val="24"/>
                <w:szCs w:val="24"/>
              </w:rPr>
              <w:t>t/a。粘土矿区采取</w:t>
            </w:r>
            <w:r>
              <w:rPr>
                <w:rFonts w:hint="eastAsia"/>
                <w:color w:val="auto"/>
                <w:sz w:val="24"/>
                <w:szCs w:val="24"/>
                <w:lang w:val="en-US" w:eastAsia="zh-CN"/>
              </w:rPr>
              <w:t>取土前对其进行洒水（降低74%扬尘）、取土过程中喷雾降尘（降低74%的扬尘）</w:t>
            </w:r>
            <w:r>
              <w:rPr>
                <w:color w:val="auto"/>
                <w:sz w:val="24"/>
                <w:szCs w:val="24"/>
              </w:rPr>
              <w:t>，则粘土矿区扬尘排放量为</w:t>
            </w:r>
            <w:r>
              <w:rPr>
                <w:rFonts w:hint="eastAsia"/>
                <w:color w:val="auto"/>
                <w:sz w:val="24"/>
                <w:szCs w:val="24"/>
                <w:lang w:val="en-US" w:eastAsia="zh-CN"/>
              </w:rPr>
              <w:t>0.8t</w:t>
            </w:r>
            <w:r>
              <w:rPr>
                <w:color w:val="auto"/>
                <w:sz w:val="24"/>
                <w:szCs w:val="24"/>
              </w:rPr>
              <w:t>/a</w:t>
            </w:r>
            <w:r>
              <w:rPr>
                <w:rFonts w:hint="eastAsia"/>
                <w:color w:val="auto"/>
                <w:sz w:val="24"/>
                <w:szCs w:val="24"/>
                <w:lang w:eastAsia="zh-CN"/>
              </w:rPr>
              <w:t>（</w:t>
            </w:r>
            <w:r>
              <w:rPr>
                <w:rFonts w:hint="eastAsia"/>
                <w:color w:val="auto"/>
                <w:sz w:val="24"/>
                <w:szCs w:val="24"/>
                <w:lang w:val="en-US" w:eastAsia="zh-CN"/>
              </w:rPr>
              <w:t>0.89kg/h</w:t>
            </w:r>
            <w:r>
              <w:rPr>
                <w:rFonts w:hint="eastAsia"/>
                <w:color w:val="auto"/>
                <w:sz w:val="24"/>
                <w:szCs w:val="24"/>
                <w:lang w:eastAsia="zh-CN"/>
              </w:rPr>
              <w:t>）</w:t>
            </w:r>
            <w:r>
              <w:rPr>
                <w:color w:val="auto"/>
                <w:sz w:val="24"/>
                <w:szCs w:val="24"/>
              </w:rPr>
              <w:t>。</w:t>
            </w:r>
          </w:p>
          <w:p>
            <w:pPr>
              <w:spacing w:line="360" w:lineRule="auto"/>
              <w:ind w:firstLine="480" w:firstLineChars="200"/>
              <w:rPr>
                <w:rFonts w:hint="default" w:eastAsia="宋体"/>
                <w:color w:val="auto"/>
                <w:sz w:val="24"/>
                <w:lang w:val="en-US" w:eastAsia="zh-CN"/>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粘土装卸及堆放粉尘</w:t>
            </w:r>
          </w:p>
          <w:p>
            <w:pPr>
              <w:pStyle w:val="60"/>
              <w:ind w:firstLine="480"/>
              <w:rPr>
                <w:color w:val="auto"/>
                <w:sz w:val="24"/>
              </w:rPr>
            </w:pPr>
            <w:r>
              <w:rPr>
                <w:color w:val="auto"/>
                <w:sz w:val="24"/>
              </w:rPr>
              <w:t>本项目</w:t>
            </w:r>
            <w:r>
              <w:rPr>
                <w:rFonts w:hint="eastAsia"/>
                <w:color w:val="auto"/>
                <w:sz w:val="24"/>
                <w:lang w:val="en-US" w:eastAsia="zh-CN"/>
              </w:rPr>
              <w:t>粘土装卸</w:t>
            </w:r>
            <w:r>
              <w:rPr>
                <w:color w:val="auto"/>
                <w:sz w:val="24"/>
              </w:rPr>
              <w:t>起尘和堆放起尘根据《第二次全国污染源普查工业污染源产排污系数手册》（2021年6月11日发布）附表2：固体物料堆存颗粒物产排污核算系数手册，内容中工业企业固体物料堆存颗粒物包括</w:t>
            </w:r>
            <w:r>
              <w:rPr>
                <w:rFonts w:hint="eastAsia"/>
                <w:color w:val="auto"/>
                <w:sz w:val="24"/>
                <w:lang w:val="en-US" w:eastAsia="zh-CN"/>
              </w:rPr>
              <w:t>装卸扬</w:t>
            </w:r>
            <w:r>
              <w:rPr>
                <w:color w:val="auto"/>
                <w:sz w:val="24"/>
              </w:rPr>
              <w:t>尘和风蚀扬尘，颗粒物产生量核算公式如下：</w:t>
            </w:r>
          </w:p>
          <w:p>
            <w:pPr>
              <w:spacing w:line="360" w:lineRule="auto"/>
              <w:ind w:left="1078" w:leftChars="300" w:hanging="448" w:hangingChars="187"/>
              <w:jc w:val="center"/>
              <w:rPr>
                <w:color w:val="auto"/>
                <w:sz w:val="24"/>
              </w:rPr>
            </w:pPr>
            <m:oMath>
              <m:r>
                <m:rPr>
                  <m:nor/>
                  <m:sty m:val="p"/>
                </m:rPr>
                <w:rPr>
                  <w:rFonts w:ascii="Cambria Math" w:hAnsi="Cambria Math"/>
                  <w:b w:val="0"/>
                  <w:i w:val="0"/>
                  <w:color w:val="auto"/>
                  <w:sz w:val="24"/>
                </w:rPr>
                <m:t>P</m:t>
              </m:r>
              <m:r>
                <m:rPr>
                  <m:nor/>
                  <m:sty m:val="p"/>
                </m:rPr>
                <w:rPr>
                  <w:b w:val="0"/>
                  <w:i w:val="0"/>
                  <w:color w:val="auto"/>
                  <w:sz w:val="24"/>
                </w:rPr>
                <m:t>=</m:t>
              </m:r>
              <m:r>
                <m:rPr>
                  <m:nor/>
                  <m:sty m:val="p"/>
                </m:rPr>
                <w:rPr>
                  <w:rFonts w:ascii="Cambria Math" w:hAnsi="Cambria Math"/>
                  <w:b w:val="0"/>
                  <w:i w:val="0"/>
                  <w:color w:val="auto"/>
                  <w:sz w:val="24"/>
                </w:rPr>
                <m:t>ZCy+FCy={Nc</m:t>
              </m:r>
              <m:r>
                <m:rPr>
                  <m:nor/>
                  <m:sty m:val="p"/>
                </m:rPr>
                <w:rPr>
                  <w:b w:val="0"/>
                  <w:i w:val="0"/>
                  <w:color w:val="auto"/>
                  <w:sz w:val="24"/>
                </w:rPr>
                <m:t>×</m:t>
              </m:r>
            </m:oMath>
            <w:r>
              <w:rPr>
                <w:rFonts w:hint="eastAsia"/>
                <w:color w:val="auto"/>
                <w:sz w:val="24"/>
              </w:rPr>
              <w:t>D</w:t>
            </w:r>
            <m:oMath>
              <m:r>
                <m:rPr>
                  <m:nor/>
                  <m:sty m:val="p"/>
                </m:rPr>
                <w:rPr>
                  <w:b w:val="0"/>
                  <w:i w:val="0"/>
                  <w:color w:val="auto"/>
                  <w:sz w:val="24"/>
                </w:rPr>
                <m:t>×</m:t>
              </m:r>
            </m:oMath>
            <w:r>
              <w:rPr>
                <w:rFonts w:hint="eastAsia"/>
                <w:color w:val="auto"/>
                <w:sz w:val="24"/>
              </w:rPr>
              <w:t>(a/b)+2</w:t>
            </w:r>
            <m:oMath>
              <m:r>
                <m:rPr>
                  <m:nor/>
                  <m:sty m:val="p"/>
                </m:rPr>
                <w:rPr>
                  <w:b w:val="0"/>
                  <w:i w:val="0"/>
                  <w:color w:val="auto"/>
                  <w:sz w:val="24"/>
                </w:rPr>
                <m:t>×</m:t>
              </m:r>
            </m:oMath>
            <w:r>
              <w:rPr>
                <w:rFonts w:hint="eastAsia"/>
                <w:color w:val="auto"/>
                <w:sz w:val="24"/>
              </w:rPr>
              <w:t>E</w:t>
            </w:r>
            <w:r>
              <w:rPr>
                <w:rFonts w:hint="eastAsia"/>
                <w:color w:val="auto"/>
                <w:sz w:val="24"/>
                <w:vertAlign w:val="subscript"/>
              </w:rPr>
              <w:t>f</w:t>
            </w:r>
            <m:oMath>
              <m:r>
                <m:rPr>
                  <m:nor/>
                  <m:sty m:val="p"/>
                </m:rPr>
                <w:rPr>
                  <w:b w:val="0"/>
                  <w:i w:val="0"/>
                  <w:color w:val="auto"/>
                  <w:sz w:val="24"/>
                </w:rPr>
                <m:t>×</m:t>
              </m:r>
            </m:oMath>
            <w:r>
              <w:rPr>
                <w:rFonts w:hint="eastAsia"/>
                <w:color w:val="auto"/>
                <w:sz w:val="24"/>
              </w:rPr>
              <w:t>S}</w:t>
            </w:r>
            <m:oMath>
              <m:r>
                <m:rPr>
                  <m:nor/>
                  <m:sty m:val="p"/>
                </m:rPr>
                <w:rPr>
                  <w:b w:val="0"/>
                  <w:i w:val="0"/>
                  <w:color w:val="auto"/>
                  <w:sz w:val="24"/>
                </w:rPr>
                <m:t>×</m:t>
              </m:r>
            </m:oMath>
            <w:r>
              <w:rPr>
                <w:rFonts w:hint="eastAsia"/>
                <w:color w:val="auto"/>
                <w:sz w:val="24"/>
              </w:rPr>
              <w:t>10</w:t>
            </w:r>
            <w:r>
              <w:rPr>
                <w:rFonts w:hint="eastAsia"/>
                <w:color w:val="auto"/>
                <w:sz w:val="24"/>
                <w:vertAlign w:val="superscript"/>
              </w:rPr>
              <w:t>-3</w:t>
            </w:r>
          </w:p>
          <w:p>
            <w:pPr>
              <w:pStyle w:val="60"/>
              <w:ind w:firstLine="480"/>
              <w:rPr>
                <w:color w:val="auto"/>
                <w:sz w:val="24"/>
              </w:rPr>
            </w:pPr>
            <w:r>
              <w:rPr>
                <w:color w:val="auto"/>
                <w:sz w:val="24"/>
              </w:rPr>
              <w:t>中：P 指颗粒物产生量（单位：吨）；</w:t>
            </w:r>
          </w:p>
          <w:p>
            <w:pPr>
              <w:pStyle w:val="60"/>
              <w:ind w:firstLine="960" w:firstLineChars="400"/>
              <w:rPr>
                <w:color w:val="auto"/>
                <w:sz w:val="24"/>
              </w:rPr>
            </w:pPr>
            <w:r>
              <w:rPr>
                <w:color w:val="auto"/>
                <w:sz w:val="24"/>
              </w:rPr>
              <w:t>ZCy指装卸扬尘产生量（单位：吨）；</w:t>
            </w:r>
          </w:p>
          <w:p>
            <w:pPr>
              <w:pStyle w:val="60"/>
              <w:ind w:firstLine="960" w:firstLineChars="400"/>
              <w:rPr>
                <w:color w:val="auto"/>
                <w:sz w:val="24"/>
              </w:rPr>
            </w:pPr>
            <w:r>
              <w:rPr>
                <w:color w:val="auto"/>
                <w:sz w:val="24"/>
              </w:rPr>
              <w:t>FCy指风蚀扬尘产生量（单位：吨）；</w:t>
            </w:r>
          </w:p>
          <w:p>
            <w:pPr>
              <w:pStyle w:val="60"/>
              <w:ind w:firstLine="960" w:firstLineChars="400"/>
              <w:rPr>
                <w:color w:val="auto"/>
                <w:sz w:val="24"/>
              </w:rPr>
            </w:pPr>
            <w:r>
              <w:rPr>
                <w:color w:val="auto"/>
                <w:sz w:val="24"/>
              </w:rPr>
              <w:t>Nc指年物料运载车次（单位：车）；</w:t>
            </w:r>
          </w:p>
          <w:p>
            <w:pPr>
              <w:pStyle w:val="60"/>
              <w:ind w:firstLine="960" w:firstLineChars="400"/>
              <w:rPr>
                <w:color w:val="auto"/>
                <w:sz w:val="24"/>
              </w:rPr>
            </w:pPr>
            <w:r>
              <w:rPr>
                <w:color w:val="auto"/>
                <w:sz w:val="24"/>
              </w:rPr>
              <w:t>D指单车平均运载量（单位：吨/车）；</w:t>
            </w:r>
          </w:p>
          <w:p>
            <w:pPr>
              <w:pStyle w:val="60"/>
              <w:ind w:left="0" w:leftChars="0" w:firstLine="480" w:firstLineChars="200"/>
              <w:rPr>
                <w:color w:val="auto"/>
                <w:sz w:val="24"/>
              </w:rPr>
            </w:pPr>
            <w:r>
              <w:rPr>
                <w:color w:val="auto"/>
                <w:sz w:val="24"/>
              </w:rPr>
              <w:t>(a/b)指装卸扬尘概化系数（单位：千克/吨），a指各省风速概化系数，见附录1（甘肃省</w:t>
            </w:r>
            <w:r>
              <w:rPr>
                <w:rFonts w:hint="eastAsia"/>
                <w:color w:val="auto"/>
                <w:sz w:val="24"/>
              </w:rPr>
              <w:t>0.0011</w:t>
            </w:r>
            <w:r>
              <w:rPr>
                <w:color w:val="auto"/>
                <w:sz w:val="24"/>
              </w:rPr>
              <w:t>），b 指物料含水率概化系数，见附录 2（</w:t>
            </w:r>
            <w:r>
              <w:rPr>
                <w:rFonts w:hint="eastAsia"/>
                <w:color w:val="auto"/>
                <w:sz w:val="24"/>
                <w:lang w:val="en-US" w:eastAsia="zh-CN"/>
              </w:rPr>
              <w:t>粘土</w:t>
            </w:r>
            <w:r>
              <w:rPr>
                <w:color w:val="auto"/>
                <w:sz w:val="24"/>
              </w:rPr>
              <w:t>含水率</w:t>
            </w:r>
            <w:r>
              <w:rPr>
                <w:rFonts w:hint="eastAsia"/>
                <w:color w:val="auto"/>
                <w:sz w:val="24"/>
                <w:lang w:val="en-US" w:eastAsia="zh-CN"/>
              </w:rPr>
              <w:t>10.0</w:t>
            </w:r>
            <w:r>
              <w:rPr>
                <w:rFonts w:hint="eastAsia"/>
                <w:color w:val="auto"/>
                <w:sz w:val="24"/>
              </w:rPr>
              <w:t>，</w:t>
            </w:r>
            <w:r>
              <w:rPr>
                <w:color w:val="auto"/>
                <w:sz w:val="24"/>
              </w:rPr>
              <w:t>b</w:t>
            </w:r>
            <w:r>
              <w:rPr>
                <w:rFonts w:hint="eastAsia"/>
                <w:color w:val="auto"/>
                <w:sz w:val="24"/>
              </w:rPr>
              <w:t>值0.0</w:t>
            </w:r>
            <w:r>
              <w:rPr>
                <w:rFonts w:hint="eastAsia"/>
                <w:color w:val="auto"/>
                <w:sz w:val="24"/>
                <w:lang w:val="en-US" w:eastAsia="zh-CN"/>
              </w:rPr>
              <w:t>151</w:t>
            </w:r>
            <w:r>
              <w:rPr>
                <w:rFonts w:hint="eastAsia"/>
                <w:color w:val="auto"/>
                <w:sz w:val="24"/>
              </w:rPr>
              <w:t>）；</w:t>
            </w:r>
          </w:p>
          <w:p>
            <w:pPr>
              <w:pStyle w:val="60"/>
              <w:ind w:left="0" w:leftChars="0" w:firstLine="480" w:firstLineChars="200"/>
              <w:rPr>
                <w:color w:val="auto"/>
                <w:sz w:val="24"/>
              </w:rPr>
            </w:pPr>
            <w:r>
              <w:rPr>
                <w:color w:val="auto"/>
                <w:sz w:val="24"/>
              </w:rPr>
              <w:t>E</w:t>
            </w:r>
            <w:r>
              <w:rPr>
                <w:color w:val="auto"/>
                <w:sz w:val="24"/>
                <w:vertAlign w:val="subscript"/>
              </w:rPr>
              <w:t>f</w:t>
            </w:r>
            <w:r>
              <w:rPr>
                <w:color w:val="auto"/>
                <w:sz w:val="24"/>
              </w:rPr>
              <w:t>指堆场风蚀扬尘概化系数，见附录3（单位：千克/平方米）（</w:t>
            </w:r>
            <w:r>
              <w:rPr>
                <w:rFonts w:hint="eastAsia"/>
                <w:color w:val="auto"/>
                <w:sz w:val="24"/>
                <w:lang w:val="en-US" w:eastAsia="zh-CN"/>
              </w:rPr>
              <w:t>粘土41.5808</w:t>
            </w:r>
            <w:r>
              <w:rPr>
                <w:color w:val="auto"/>
                <w:sz w:val="24"/>
              </w:rPr>
              <w:t>）；</w:t>
            </w:r>
          </w:p>
          <w:p>
            <w:pPr>
              <w:pStyle w:val="60"/>
              <w:ind w:left="0" w:leftChars="0" w:firstLine="480" w:firstLineChars="200"/>
              <w:rPr>
                <w:color w:val="auto"/>
                <w:sz w:val="24"/>
              </w:rPr>
            </w:pPr>
            <w:r>
              <w:rPr>
                <w:color w:val="auto"/>
                <w:sz w:val="24"/>
              </w:rPr>
              <w:t>S 指堆场占地面积（单位：平方米，本项目</w:t>
            </w:r>
            <w:r>
              <w:rPr>
                <w:rFonts w:hint="eastAsia"/>
                <w:color w:val="auto"/>
                <w:sz w:val="24"/>
                <w:lang w:val="en-US" w:eastAsia="zh-CN"/>
              </w:rPr>
              <w:t>粘土</w:t>
            </w:r>
            <w:r>
              <w:rPr>
                <w:color w:val="auto"/>
                <w:sz w:val="24"/>
              </w:rPr>
              <w:t>堆棚占地</w:t>
            </w:r>
            <w:r>
              <w:rPr>
                <w:rFonts w:hint="eastAsia"/>
                <w:color w:val="auto"/>
                <w:sz w:val="24"/>
              </w:rPr>
              <w:t>面积为</w:t>
            </w:r>
            <w:r>
              <w:rPr>
                <w:rFonts w:hint="eastAsia"/>
                <w:color w:val="auto"/>
                <w:sz w:val="24"/>
                <w:lang w:val="en-US" w:eastAsia="zh-CN"/>
              </w:rPr>
              <w:t>500</w:t>
            </w:r>
            <w:r>
              <w:rPr>
                <w:rFonts w:hint="eastAsia"/>
                <w:color w:val="auto"/>
                <w:sz w:val="24"/>
              </w:rPr>
              <w:t>m</w:t>
            </w:r>
            <w:r>
              <w:rPr>
                <w:rFonts w:hint="eastAsia"/>
                <w:color w:val="auto"/>
                <w:sz w:val="24"/>
                <w:vertAlign w:val="superscript"/>
              </w:rPr>
              <w:t>2</w:t>
            </w:r>
            <w:r>
              <w:rPr>
                <w:color w:val="auto"/>
                <w:sz w:val="24"/>
              </w:rPr>
              <w:t>）。</w:t>
            </w:r>
          </w:p>
          <w:p>
            <w:pPr>
              <w:pStyle w:val="60"/>
              <w:ind w:left="0" w:leftChars="0" w:firstLine="480" w:firstLineChars="200"/>
              <w:rPr>
                <w:color w:val="auto"/>
                <w:sz w:val="24"/>
              </w:rPr>
            </w:pPr>
            <w:r>
              <w:rPr>
                <w:color w:val="auto"/>
                <w:sz w:val="24"/>
              </w:rPr>
              <w:t>项目</w:t>
            </w:r>
            <w:r>
              <w:rPr>
                <w:rFonts w:hint="eastAsia"/>
                <w:color w:val="auto"/>
                <w:sz w:val="24"/>
                <w:lang w:val="en-US" w:eastAsia="zh-CN"/>
              </w:rPr>
              <w:t>粘土用量144417</w:t>
            </w:r>
            <w:r>
              <w:rPr>
                <w:color w:val="auto"/>
                <w:sz w:val="24"/>
              </w:rPr>
              <w:t>t/a，</w:t>
            </w:r>
            <w:r>
              <w:rPr>
                <w:rFonts w:hint="eastAsia"/>
                <w:color w:val="auto"/>
                <w:sz w:val="24"/>
                <w:lang w:val="en-US" w:eastAsia="zh-CN"/>
              </w:rPr>
              <w:t>用装载机进行运输，本项目装载机满载量为8t，则需运输次数为18052次/a</w:t>
            </w:r>
            <w:r>
              <w:rPr>
                <w:color w:val="auto"/>
                <w:sz w:val="24"/>
              </w:rPr>
              <w:t>，根据上公式计算，</w:t>
            </w:r>
            <w:r>
              <w:rPr>
                <w:rFonts w:hint="eastAsia"/>
                <w:color w:val="auto"/>
                <w:sz w:val="24"/>
                <w:lang w:val="en-US" w:eastAsia="zh-CN"/>
              </w:rPr>
              <w:t>粘土</w:t>
            </w:r>
            <w:r>
              <w:rPr>
                <w:color w:val="auto"/>
                <w:sz w:val="24"/>
              </w:rPr>
              <w:t>卸料起尘和堆放起尘总量约</w:t>
            </w:r>
            <w:r>
              <w:rPr>
                <w:rFonts w:hint="eastAsia"/>
                <w:color w:val="auto"/>
                <w:sz w:val="24"/>
                <w:lang w:val="en-US" w:eastAsia="zh-CN"/>
              </w:rPr>
              <w:t>39.63</w:t>
            </w:r>
            <w:r>
              <w:rPr>
                <w:color w:val="auto"/>
                <w:sz w:val="24"/>
              </w:rPr>
              <w:t>t/a。</w:t>
            </w:r>
          </w:p>
          <w:p>
            <w:pPr>
              <w:pStyle w:val="60"/>
              <w:ind w:firstLine="480"/>
              <w:rPr>
                <w:color w:val="auto"/>
                <w:sz w:val="24"/>
              </w:rPr>
            </w:pPr>
            <w:r>
              <w:rPr>
                <w:color w:val="auto"/>
                <w:sz w:val="24"/>
              </w:rPr>
              <w:t>工业企业固体物料堆场颗粒物排放量核算公式如下：</w:t>
            </w:r>
          </w:p>
          <w:p>
            <w:pPr>
              <w:spacing w:line="360" w:lineRule="auto"/>
              <w:ind w:firstLine="1231" w:firstLineChars="513"/>
              <w:rPr>
                <w:color w:val="auto"/>
                <w:sz w:val="24"/>
              </w:rPr>
            </w:pPr>
            <m:oMathPara>
              <m:oMath>
                <m:r>
                  <m:rPr>
                    <m:sty m:val="p"/>
                  </m:rPr>
                  <w:rPr>
                    <w:rFonts w:ascii="Cambria Math" w:hAnsi="Cambria Math"/>
                    <w:color w:val="auto"/>
                    <w:sz w:val="24"/>
                  </w:rPr>
                  <m:t>Uc=P×(1−Cm)×(1−Tm)</m:t>
                </m:r>
              </m:oMath>
            </m:oMathPara>
          </w:p>
          <w:p>
            <w:pPr>
              <w:pStyle w:val="60"/>
              <w:ind w:firstLine="480"/>
              <w:rPr>
                <w:color w:val="auto"/>
                <w:sz w:val="24"/>
              </w:rPr>
            </w:pPr>
            <w:r>
              <w:rPr>
                <w:color w:val="auto"/>
                <w:sz w:val="24"/>
              </w:rPr>
              <w:t>式中：P 指颗粒物产生量（单位：吨）；</w:t>
            </w:r>
          </w:p>
          <w:p>
            <w:pPr>
              <w:pStyle w:val="60"/>
              <w:ind w:firstLine="1200" w:firstLineChars="500"/>
              <w:rPr>
                <w:color w:val="auto"/>
                <w:sz w:val="24"/>
              </w:rPr>
            </w:pPr>
            <w:r>
              <w:rPr>
                <w:color w:val="auto"/>
                <w:sz w:val="24"/>
              </w:rPr>
              <w:t>Uc指颗粒物排放量（单位：吨）；</w:t>
            </w:r>
          </w:p>
          <w:p>
            <w:pPr>
              <w:pStyle w:val="60"/>
              <w:ind w:firstLine="1200" w:firstLineChars="500"/>
              <w:rPr>
                <w:color w:val="auto"/>
                <w:sz w:val="24"/>
              </w:rPr>
            </w:pPr>
            <w:r>
              <w:rPr>
                <w:color w:val="auto"/>
                <w:sz w:val="24"/>
              </w:rPr>
              <w:t>Cm指颗粒物控制措施控制效率（单位：%），见附录4；</w:t>
            </w:r>
          </w:p>
          <w:p>
            <w:pPr>
              <w:pStyle w:val="60"/>
              <w:ind w:firstLine="1200" w:firstLineChars="500"/>
              <w:rPr>
                <w:color w:val="auto"/>
                <w:sz w:val="24"/>
              </w:rPr>
            </w:pPr>
            <w:r>
              <w:rPr>
                <w:color w:val="auto"/>
                <w:sz w:val="24"/>
              </w:rPr>
              <w:t>Tm指堆场类型控制效率（单位：%），见附录5。</w:t>
            </w:r>
          </w:p>
          <w:p>
            <w:pPr>
              <w:pStyle w:val="60"/>
              <w:ind w:firstLine="480"/>
              <w:rPr>
                <w:b/>
                <w:bCs/>
                <w:color w:val="auto"/>
                <w:sz w:val="24"/>
              </w:rPr>
            </w:pPr>
            <w:r>
              <w:rPr>
                <w:color w:val="auto"/>
                <w:sz w:val="24"/>
              </w:rPr>
              <w:t>项目</w:t>
            </w:r>
            <w:r>
              <w:rPr>
                <w:rFonts w:hint="eastAsia"/>
                <w:color w:val="auto"/>
                <w:sz w:val="24"/>
                <w:lang w:val="en-US" w:eastAsia="zh-CN"/>
              </w:rPr>
              <w:t>粘土开采区采用开采前洒水、开采过程中雾炮喷雾及堆放在全封闭式车间内等</w:t>
            </w:r>
            <w:r>
              <w:rPr>
                <w:color w:val="auto"/>
                <w:sz w:val="24"/>
              </w:rPr>
              <w:t>措施，根据《工业源固体物料堆场颗粒物核算系数手册》附录4和附录5，</w:t>
            </w:r>
            <w:r>
              <w:rPr>
                <w:rFonts w:hint="eastAsia"/>
                <w:color w:val="auto"/>
                <w:sz w:val="24"/>
              </w:rPr>
              <w:t>洒水</w:t>
            </w:r>
            <w:r>
              <w:rPr>
                <w:rFonts w:hint="eastAsia"/>
                <w:color w:val="auto"/>
                <w:sz w:val="24"/>
                <w:lang w:val="en-US" w:eastAsia="zh-CN"/>
              </w:rPr>
              <w:t>及喷雾</w:t>
            </w:r>
            <w:r>
              <w:rPr>
                <w:color w:val="auto"/>
                <w:sz w:val="24"/>
              </w:rPr>
              <w:t>的控制效率为</w:t>
            </w:r>
            <w:r>
              <w:rPr>
                <w:rFonts w:hint="eastAsia"/>
                <w:color w:val="auto"/>
                <w:sz w:val="24"/>
              </w:rPr>
              <w:t>74</w:t>
            </w:r>
            <w:r>
              <w:rPr>
                <w:color w:val="auto"/>
                <w:sz w:val="24"/>
              </w:rPr>
              <w:t>%</w:t>
            </w:r>
            <w:r>
              <w:rPr>
                <w:rFonts w:hint="eastAsia"/>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%。由上公式计算得出</w:t>
            </w:r>
            <w:r>
              <w:rPr>
                <w:rFonts w:hint="eastAsia"/>
                <w:color w:val="auto"/>
                <w:sz w:val="24"/>
                <w:lang w:val="en-US" w:eastAsia="zh-CN"/>
              </w:rPr>
              <w:t>粘土装卸及堆放粉尘</w:t>
            </w:r>
            <w:r>
              <w:rPr>
                <w:color w:val="auto"/>
                <w:sz w:val="24"/>
              </w:rPr>
              <w:t>颗粒物排放量为</w:t>
            </w:r>
            <w:r>
              <w:rPr>
                <w:rFonts w:hint="eastAsia"/>
                <w:color w:val="auto"/>
                <w:sz w:val="24"/>
              </w:rPr>
              <w:t>0.</w:t>
            </w:r>
            <w:r>
              <w:rPr>
                <w:rFonts w:hint="eastAsia"/>
                <w:color w:val="auto"/>
                <w:sz w:val="24"/>
                <w:lang w:val="en-US" w:eastAsia="zh-CN"/>
              </w:rPr>
              <w:t>027</w:t>
            </w:r>
            <w:r>
              <w:rPr>
                <w:color w:val="auto"/>
                <w:sz w:val="24"/>
              </w:rPr>
              <w:t>t/a</w:t>
            </w:r>
            <w:r>
              <w:rPr>
                <w:rFonts w:hint="eastAsia"/>
                <w:color w:val="auto"/>
                <w:sz w:val="24"/>
              </w:rPr>
              <w:t>（0.</w:t>
            </w:r>
            <w:r>
              <w:rPr>
                <w:rFonts w:hint="eastAsia"/>
                <w:color w:val="auto"/>
                <w:sz w:val="24"/>
                <w:lang w:val="en-US" w:eastAsia="zh-CN"/>
              </w:rPr>
              <w:t>0</w:t>
            </w:r>
            <w:r>
              <w:rPr>
                <w:rFonts w:hint="eastAsia"/>
                <w:color w:val="auto"/>
                <w:sz w:val="24"/>
              </w:rPr>
              <w:t>3kg/h）。</w:t>
            </w:r>
          </w:p>
          <w:p>
            <w:pPr>
              <w:jc w:val="center"/>
              <w:rPr>
                <w:b/>
                <w:bCs/>
                <w:color w:val="FF0000"/>
                <w:sz w:val="21"/>
                <w:szCs w:val="21"/>
              </w:rPr>
            </w:pPr>
          </w:p>
          <w:p>
            <w:pPr>
              <w:jc w:val="center"/>
              <w:rPr>
                <w:b/>
                <w:bCs/>
                <w:color w:val="auto"/>
                <w:sz w:val="21"/>
                <w:szCs w:val="21"/>
              </w:rPr>
            </w:pPr>
            <w:r>
              <w:rPr>
                <w:b/>
                <w:bCs/>
                <w:color w:val="auto"/>
                <w:sz w:val="21"/>
                <w:szCs w:val="21"/>
              </w:rPr>
              <w:t>表4-</w:t>
            </w:r>
            <w:r>
              <w:rPr>
                <w:rFonts w:hint="eastAsia"/>
                <w:b/>
                <w:bCs/>
                <w:color w:val="auto"/>
                <w:sz w:val="21"/>
                <w:szCs w:val="21"/>
              </w:rPr>
              <w:t>6</w:t>
            </w:r>
            <w:r>
              <w:rPr>
                <w:b/>
                <w:bCs/>
                <w:color w:val="auto"/>
                <w:sz w:val="21"/>
                <w:szCs w:val="21"/>
              </w:rPr>
              <w:t xml:space="preserve">  厂区堆场起尘量及排放量核算</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47"/>
              <w:gridCol w:w="1286"/>
              <w:gridCol w:w="1045"/>
              <w:gridCol w:w="238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3" w:type="pct"/>
                  <w:vAlign w:val="center"/>
                </w:tcPr>
                <w:p>
                  <w:pPr>
                    <w:adjustRightInd w:val="0"/>
                    <w:snapToGrid w:val="0"/>
                    <w:jc w:val="center"/>
                    <w:rPr>
                      <w:color w:val="auto"/>
                      <w:sz w:val="21"/>
                      <w:szCs w:val="21"/>
                    </w:rPr>
                  </w:pPr>
                  <w:r>
                    <w:rPr>
                      <w:color w:val="auto"/>
                      <w:sz w:val="21"/>
                      <w:szCs w:val="21"/>
                    </w:rPr>
                    <w:t>排放形式</w:t>
                  </w:r>
                </w:p>
              </w:tc>
              <w:tc>
                <w:tcPr>
                  <w:tcW w:w="717" w:type="pct"/>
                  <w:vAlign w:val="center"/>
                </w:tcPr>
                <w:p>
                  <w:pPr>
                    <w:adjustRightInd w:val="0"/>
                    <w:snapToGrid w:val="0"/>
                    <w:jc w:val="center"/>
                    <w:rPr>
                      <w:color w:val="auto"/>
                      <w:sz w:val="21"/>
                      <w:szCs w:val="21"/>
                    </w:rPr>
                  </w:pPr>
                  <w:r>
                    <w:rPr>
                      <w:color w:val="auto"/>
                      <w:sz w:val="21"/>
                      <w:szCs w:val="21"/>
                    </w:rPr>
                    <w:t>物料名称</w:t>
                  </w:r>
                </w:p>
              </w:tc>
              <w:tc>
                <w:tcPr>
                  <w:tcW w:w="804" w:type="pct"/>
                  <w:vAlign w:val="center"/>
                </w:tcPr>
                <w:p>
                  <w:pPr>
                    <w:adjustRightInd w:val="0"/>
                    <w:snapToGrid w:val="0"/>
                    <w:jc w:val="center"/>
                    <w:rPr>
                      <w:color w:val="auto"/>
                      <w:sz w:val="21"/>
                      <w:szCs w:val="21"/>
                    </w:rPr>
                  </w:pPr>
                  <w:r>
                    <w:rPr>
                      <w:color w:val="auto"/>
                      <w:sz w:val="21"/>
                      <w:szCs w:val="21"/>
                    </w:rPr>
                    <w:t>产生位置</w:t>
                  </w:r>
                </w:p>
              </w:tc>
              <w:tc>
                <w:tcPr>
                  <w:tcW w:w="653" w:type="pct"/>
                  <w:vAlign w:val="center"/>
                </w:tcPr>
                <w:p>
                  <w:pPr>
                    <w:adjustRightInd w:val="0"/>
                    <w:snapToGrid w:val="0"/>
                    <w:jc w:val="center"/>
                    <w:rPr>
                      <w:color w:val="auto"/>
                      <w:sz w:val="21"/>
                      <w:szCs w:val="21"/>
                    </w:rPr>
                  </w:pPr>
                  <w:r>
                    <w:rPr>
                      <w:color w:val="auto"/>
                      <w:sz w:val="21"/>
                      <w:szCs w:val="21"/>
                    </w:rPr>
                    <w:t>产生量</w:t>
                  </w:r>
                </w:p>
              </w:tc>
              <w:tc>
                <w:tcPr>
                  <w:tcW w:w="1491" w:type="pct"/>
                  <w:vAlign w:val="center"/>
                </w:tcPr>
                <w:p>
                  <w:pPr>
                    <w:adjustRightInd w:val="0"/>
                    <w:snapToGrid w:val="0"/>
                    <w:jc w:val="center"/>
                    <w:rPr>
                      <w:color w:val="auto"/>
                      <w:sz w:val="21"/>
                      <w:szCs w:val="21"/>
                    </w:rPr>
                  </w:pPr>
                  <w:r>
                    <w:rPr>
                      <w:color w:val="auto"/>
                      <w:sz w:val="21"/>
                      <w:szCs w:val="21"/>
                    </w:rPr>
                    <w:t>措施及控制效率排放量</w:t>
                  </w:r>
                </w:p>
              </w:tc>
              <w:tc>
                <w:tcPr>
                  <w:tcW w:w="610" w:type="pct"/>
                  <w:vAlign w:val="center"/>
                </w:tcPr>
                <w:p>
                  <w:pPr>
                    <w:adjustRightInd w:val="0"/>
                    <w:snapToGrid w:val="0"/>
                    <w:jc w:val="center"/>
                    <w:rPr>
                      <w:color w:val="auto"/>
                      <w:sz w:val="21"/>
                      <w:szCs w:val="21"/>
                    </w:rPr>
                  </w:pPr>
                  <w:r>
                    <w:rPr>
                      <w:color w:val="auto"/>
                      <w:sz w:val="21"/>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3" w:type="pct"/>
                  <w:vAlign w:val="center"/>
                </w:tcPr>
                <w:p>
                  <w:pPr>
                    <w:adjustRightInd w:val="0"/>
                    <w:snapToGrid w:val="0"/>
                    <w:jc w:val="center"/>
                    <w:rPr>
                      <w:color w:val="auto"/>
                      <w:szCs w:val="21"/>
                    </w:rPr>
                  </w:pPr>
                  <w:r>
                    <w:rPr>
                      <w:color w:val="auto"/>
                      <w:szCs w:val="21"/>
                    </w:rPr>
                    <w:t>无组织</w:t>
                  </w:r>
                </w:p>
              </w:tc>
              <w:tc>
                <w:tcPr>
                  <w:tcW w:w="717" w:type="pct"/>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粘土</w:t>
                  </w:r>
                </w:p>
              </w:tc>
              <w:tc>
                <w:tcPr>
                  <w:tcW w:w="804"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装卸过程及粘土堆棚</w:t>
                  </w:r>
                </w:p>
              </w:tc>
              <w:tc>
                <w:tcPr>
                  <w:tcW w:w="653" w:type="pct"/>
                  <w:vAlign w:val="center"/>
                </w:tcPr>
                <w:p>
                  <w:pPr>
                    <w:adjustRightInd w:val="0"/>
                    <w:snapToGrid w:val="0"/>
                    <w:jc w:val="center"/>
                    <w:rPr>
                      <w:color w:val="auto"/>
                      <w:szCs w:val="21"/>
                    </w:rPr>
                  </w:pPr>
                  <w:r>
                    <w:rPr>
                      <w:rFonts w:hint="eastAsia"/>
                      <w:color w:val="auto"/>
                      <w:szCs w:val="21"/>
                      <w:lang w:val="en-US" w:eastAsia="zh-CN"/>
                    </w:rPr>
                    <w:t>39.63</w:t>
                  </w:r>
                  <w:r>
                    <w:rPr>
                      <w:color w:val="auto"/>
                      <w:szCs w:val="21"/>
                    </w:rPr>
                    <w:t>t/a</w:t>
                  </w:r>
                </w:p>
              </w:tc>
              <w:tc>
                <w:tcPr>
                  <w:tcW w:w="1491" w:type="pct"/>
                  <w:vAlign w:val="center"/>
                </w:tcPr>
                <w:p>
                  <w:pPr>
                    <w:adjustRightInd w:val="0"/>
                    <w:snapToGrid w:val="0"/>
                    <w:jc w:val="center"/>
                    <w:rPr>
                      <w:color w:val="auto"/>
                      <w:szCs w:val="21"/>
                    </w:rPr>
                  </w:pPr>
                  <w:r>
                    <w:rPr>
                      <w:rFonts w:hint="eastAsia"/>
                      <w:color w:val="auto"/>
                    </w:rPr>
                    <w:t>洒水74</w:t>
                  </w:r>
                  <w:r>
                    <w:rPr>
                      <w:color w:val="auto"/>
                    </w:rPr>
                    <w:t>%</w:t>
                  </w:r>
                  <w:r>
                    <w:rPr>
                      <w:rFonts w:hint="eastAsia"/>
                      <w:color w:val="auto"/>
                    </w:rPr>
                    <w:t>；</w:t>
                  </w:r>
                  <w:r>
                    <w:rPr>
                      <w:rFonts w:hint="eastAsia"/>
                      <w:color w:val="auto"/>
                      <w:lang w:val="en-US" w:eastAsia="zh-CN"/>
                    </w:rPr>
                    <w:t>喷雾74</w:t>
                  </w:r>
                  <w:r>
                    <w:rPr>
                      <w:color w:val="auto"/>
                    </w:rPr>
                    <w:t>%</w:t>
                  </w:r>
                  <w:r>
                    <w:rPr>
                      <w:rFonts w:hint="eastAsia"/>
                      <w:color w:val="auto"/>
                    </w:rPr>
                    <w:t>；</w:t>
                  </w:r>
                  <w:r>
                    <w:rPr>
                      <w:rFonts w:hint="eastAsia"/>
                      <w:color w:val="auto"/>
                      <w:lang w:val="en-US" w:eastAsia="zh-CN"/>
                    </w:rPr>
                    <w:t>全</w:t>
                  </w:r>
                  <w:r>
                    <w:rPr>
                      <w:rFonts w:hint="eastAsia"/>
                      <w:color w:val="auto"/>
                    </w:rPr>
                    <w:t>封闭式</w:t>
                  </w:r>
                  <w:r>
                    <w:rPr>
                      <w:rFonts w:hint="eastAsia"/>
                      <w:color w:val="auto"/>
                      <w:lang w:val="en-US" w:eastAsia="zh-CN"/>
                    </w:rPr>
                    <w:t>99</w:t>
                  </w:r>
                  <w:r>
                    <w:rPr>
                      <w:color w:val="auto"/>
                    </w:rPr>
                    <w:t>%</w:t>
                  </w:r>
                </w:p>
              </w:tc>
              <w:tc>
                <w:tcPr>
                  <w:tcW w:w="610" w:type="pct"/>
                  <w:vAlign w:val="center"/>
                </w:tcPr>
                <w:p>
                  <w:pPr>
                    <w:adjustRightInd w:val="0"/>
                    <w:snapToGrid w:val="0"/>
                    <w:jc w:val="center"/>
                    <w:rPr>
                      <w:color w:val="auto"/>
                      <w:szCs w:val="21"/>
                    </w:rPr>
                  </w:pPr>
                  <w:r>
                    <w:rPr>
                      <w:rFonts w:hint="eastAsia"/>
                      <w:color w:val="auto"/>
                      <w:szCs w:val="21"/>
                    </w:rPr>
                    <w:t>0.</w:t>
                  </w:r>
                  <w:r>
                    <w:rPr>
                      <w:rFonts w:hint="eastAsia"/>
                      <w:color w:val="auto"/>
                      <w:szCs w:val="21"/>
                      <w:lang w:val="en-US" w:eastAsia="zh-CN"/>
                    </w:rPr>
                    <w:t>027</w:t>
                  </w:r>
                  <w:r>
                    <w:rPr>
                      <w:color w:val="auto"/>
                      <w:szCs w:val="21"/>
                    </w:rPr>
                    <w:t>t/a</w:t>
                  </w:r>
                </w:p>
              </w:tc>
            </w:tr>
          </w:tbl>
          <w:p>
            <w:pPr>
              <w:pStyle w:val="60"/>
              <w:ind w:firstLine="42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运输车辆动力起尘</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车辆行驶产生的扬尘，在道路完全干燥的情况下，可按下列经验公式计算：</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Q=0.123(V/5)(W/6.8)</w:t>
            </w:r>
            <w:r>
              <w:rPr>
                <w:rFonts w:hint="default" w:ascii="Times New Roman" w:hAnsi="Times New Roman" w:eastAsia="宋体" w:cs="Times New Roman"/>
                <w:color w:val="auto"/>
                <w:sz w:val="24"/>
                <w:szCs w:val="24"/>
                <w:vertAlign w:val="superscript"/>
              </w:rPr>
              <w:t>0.85</w:t>
            </w:r>
            <w:r>
              <w:rPr>
                <w:rFonts w:hint="default" w:ascii="Times New Roman" w:hAnsi="Times New Roman" w:eastAsia="宋体" w:cs="Times New Roman"/>
                <w:color w:val="auto"/>
                <w:sz w:val="24"/>
                <w:szCs w:val="24"/>
              </w:rPr>
              <w:t>(P/0.5)</w:t>
            </w:r>
            <w:r>
              <w:rPr>
                <w:rFonts w:hint="default" w:ascii="Times New Roman" w:hAnsi="Times New Roman" w:eastAsia="宋体" w:cs="Times New Roman"/>
                <w:color w:val="auto"/>
                <w:sz w:val="24"/>
                <w:szCs w:val="24"/>
                <w:vertAlign w:val="superscript"/>
              </w:rPr>
              <w:t>0.75</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式中：Q：汽车行驶时的扬尘，kg/km·辆；</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V：汽车速度，km/h；</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W：汽车载重量，吨；</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P：道路表面粉尘量，kg/m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本项目车辆在厂区内行驶距离按</w:t>
            </w:r>
            <w:r>
              <w:rPr>
                <w:rFonts w:hint="eastAsia" w:ascii="Times New Roman" w:hAnsi="Times New Roman" w:eastAsia="宋体" w:cs="Times New Roman"/>
                <w:color w:val="auto"/>
                <w:sz w:val="24"/>
                <w:szCs w:val="24"/>
                <w:lang w:val="en-US" w:eastAsia="zh-CN"/>
              </w:rPr>
              <w:t>200</w:t>
            </w:r>
            <w:r>
              <w:rPr>
                <w:rFonts w:hint="default" w:ascii="Times New Roman" w:hAnsi="Times New Roman" w:eastAsia="宋体" w:cs="Times New Roman"/>
                <w:color w:val="auto"/>
                <w:sz w:val="24"/>
                <w:szCs w:val="24"/>
              </w:rPr>
              <w:t>m计，平均每天发车空、重载各</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辆次；空车重约10.0t，重车重约</w:t>
            </w:r>
            <w:r>
              <w:rPr>
                <w:rFonts w:hint="eastAsia" w:ascii="Times New Roman" w:hAnsi="Times New Roman" w:eastAsia="宋体" w:cs="Times New Roman"/>
                <w:color w:val="auto"/>
                <w:sz w:val="24"/>
                <w:szCs w:val="24"/>
                <w:lang w:val="en-US" w:eastAsia="zh-CN"/>
              </w:rPr>
              <w:t>40.0</w:t>
            </w:r>
            <w:r>
              <w:rPr>
                <w:rFonts w:hint="default" w:ascii="Times New Roman" w:hAnsi="Times New Roman" w:eastAsia="宋体" w:cs="Times New Roman"/>
                <w:color w:val="auto"/>
                <w:sz w:val="24"/>
                <w:szCs w:val="24"/>
              </w:rPr>
              <w:t>t，以速度20km/h行驶，其在不同路面清洁度情况下的扬尘量如下表：</w:t>
            </w:r>
          </w:p>
          <w:p>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color w:val="auto"/>
              </w:rPr>
            </w:pPr>
            <w:r>
              <w:rPr>
                <w:rFonts w:hint="default"/>
                <w:b/>
                <w:bCs/>
                <w:color w:val="auto"/>
              </w:rPr>
              <w:t>表4-</w:t>
            </w:r>
            <w:r>
              <w:rPr>
                <w:rFonts w:hint="eastAsia"/>
                <w:b/>
                <w:bCs/>
                <w:color w:val="auto"/>
                <w:lang w:val="en-US" w:eastAsia="zh-CN"/>
              </w:rPr>
              <w:t>7</w:t>
            </w:r>
            <w:r>
              <w:rPr>
                <w:rFonts w:hint="default"/>
                <w:b/>
                <w:bCs/>
                <w:color w:val="auto"/>
              </w:rPr>
              <w:t xml:space="preserve">   车辆行驶扬尘量     单位：kg/d</w:t>
            </w:r>
          </w:p>
          <w:tbl>
            <w:tblPr>
              <w:tblStyle w:val="28"/>
              <w:tblW w:w="80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1"/>
              <w:gridCol w:w="1145"/>
              <w:gridCol w:w="1145"/>
              <w:gridCol w:w="1145"/>
              <w:gridCol w:w="1145"/>
              <w:gridCol w:w="1145"/>
              <w:gridCol w:w="11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7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color w:val="auto"/>
                    </w:rPr>
                  </w:pPr>
                  <w:r>
                    <w:rPr>
                      <w:rFonts w:hint="default"/>
                      <w:color w:val="auto"/>
                    </w:rPr>
                    <w:t>路况</w:t>
                  </w:r>
                </w:p>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color w:val="auto"/>
                    </w:rPr>
                  </w:pPr>
                  <w:r>
                    <w:rPr>
                      <w:rFonts w:hint="default"/>
                      <w:color w:val="auto"/>
                    </w:rPr>
                    <w:t>车况</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0.1（kg/m</w:t>
                  </w:r>
                  <w:r>
                    <w:rPr>
                      <w:rFonts w:hint="default"/>
                      <w:color w:val="auto"/>
                      <w:vertAlign w:val="superscript"/>
                    </w:rPr>
                    <w:t>2</w:t>
                  </w:r>
                  <w:r>
                    <w:rPr>
                      <w:rFonts w:hint="default"/>
                      <w:color w:val="auto"/>
                    </w:rPr>
                    <w:t>）</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0.2（kg/m</w:t>
                  </w:r>
                  <w:r>
                    <w:rPr>
                      <w:rFonts w:hint="default"/>
                      <w:color w:val="auto"/>
                      <w:vertAlign w:val="superscript"/>
                    </w:rPr>
                    <w:t>2</w:t>
                  </w:r>
                  <w:r>
                    <w:rPr>
                      <w:rFonts w:hint="default"/>
                      <w:color w:val="auto"/>
                    </w:rPr>
                    <w:t>）</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0.3（kg/m</w:t>
                  </w:r>
                  <w:r>
                    <w:rPr>
                      <w:rFonts w:hint="default"/>
                      <w:color w:val="auto"/>
                      <w:vertAlign w:val="superscript"/>
                    </w:rPr>
                    <w:t>2</w:t>
                  </w:r>
                  <w:r>
                    <w:rPr>
                      <w:rFonts w:hint="default"/>
                      <w:color w:val="auto"/>
                    </w:rPr>
                    <w:t>）</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0.4（kg/m</w:t>
                  </w:r>
                  <w:r>
                    <w:rPr>
                      <w:rFonts w:hint="default"/>
                      <w:color w:val="auto"/>
                      <w:vertAlign w:val="superscript"/>
                    </w:rPr>
                    <w:t>2</w:t>
                  </w:r>
                  <w:r>
                    <w:rPr>
                      <w:rFonts w:hint="default"/>
                      <w:color w:val="auto"/>
                    </w:rPr>
                    <w:t>）</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0.5（kg/m</w:t>
                  </w:r>
                  <w:r>
                    <w:rPr>
                      <w:rFonts w:hint="default"/>
                      <w:color w:val="auto"/>
                      <w:vertAlign w:val="superscript"/>
                    </w:rPr>
                    <w:t>2</w:t>
                  </w:r>
                  <w:r>
                    <w:rPr>
                      <w:rFonts w:hint="default"/>
                      <w:color w:val="auto"/>
                    </w:rPr>
                    <w:t>）</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0.6（kg/m</w:t>
                  </w:r>
                  <w:r>
                    <w:rPr>
                      <w:rFonts w:hint="default"/>
                      <w:color w:val="auto"/>
                      <w:vertAlign w:val="superscript"/>
                    </w:rPr>
                    <w:t>2</w:t>
                  </w:r>
                  <w:r>
                    <w:rPr>
                      <w:rFonts w:hint="default"/>
                      <w:color w:val="auto"/>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空车</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3.06</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5.15</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6.99</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8.66</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10.24</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11.75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重车</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7.79</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13.11</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17.77</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22.04</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26.06</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29.89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合计</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10.85</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18.26</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24.76</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30.7</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36.30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rPr>
                  </w:pPr>
                  <w:r>
                    <w:rPr>
                      <w:rFonts w:hint="default"/>
                      <w:color w:val="auto"/>
                    </w:rPr>
                    <w:t>41.64</w:t>
                  </w:r>
                </w:p>
              </w:tc>
            </w:tr>
          </w:tbl>
          <w:p>
            <w:pPr>
              <w:pStyle w:val="60"/>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color w:val="auto"/>
                <w:sz w:val="24"/>
                <w:szCs w:val="24"/>
              </w:rPr>
            </w:pPr>
            <w:r>
              <w:rPr>
                <w:rFonts w:hint="default"/>
                <w:color w:val="auto"/>
                <w:sz w:val="24"/>
                <w:szCs w:val="24"/>
              </w:rPr>
              <w:t>根据本项目的情况，要求项目建设方对厂区内地面定期派专人进行路面清扫、洒水，以减少道路扬尘。基于这种情况，本环评对道路路况以0.2kg/m</w:t>
            </w:r>
            <w:r>
              <w:rPr>
                <w:rFonts w:hint="default"/>
                <w:color w:val="auto"/>
                <w:sz w:val="24"/>
                <w:szCs w:val="24"/>
                <w:vertAlign w:val="superscript"/>
              </w:rPr>
              <w:t>2</w:t>
            </w:r>
            <w:r>
              <w:rPr>
                <w:rFonts w:hint="default"/>
                <w:color w:val="auto"/>
                <w:sz w:val="24"/>
                <w:szCs w:val="24"/>
              </w:rPr>
              <w:t>计，则经计算，项目汽车动力起尘量为</w:t>
            </w:r>
            <w:r>
              <w:rPr>
                <w:rFonts w:hint="eastAsia"/>
                <w:color w:val="auto"/>
                <w:sz w:val="24"/>
                <w:szCs w:val="24"/>
                <w:lang w:val="en-US" w:eastAsia="zh-CN"/>
              </w:rPr>
              <w:t>1.41</w:t>
            </w:r>
            <w:r>
              <w:rPr>
                <w:rFonts w:hint="default"/>
                <w:color w:val="auto"/>
                <w:sz w:val="24"/>
                <w:szCs w:val="24"/>
              </w:rPr>
              <w:t>t/a。</w:t>
            </w:r>
          </w:p>
          <w:p>
            <w:pPr>
              <w:pStyle w:val="60"/>
              <w:keepNext w:val="0"/>
              <w:keepLines w:val="0"/>
              <w:pageBreakBefore w:val="0"/>
              <w:widowControl w:val="0"/>
              <w:kinsoku/>
              <w:wordWrap/>
              <w:overflowPunct/>
              <w:topLinePunct w:val="0"/>
              <w:autoSpaceDE/>
              <w:autoSpaceDN/>
              <w:bidi w:val="0"/>
              <w:adjustRightInd/>
              <w:snapToGrid/>
              <w:ind w:firstLine="420"/>
              <w:textAlignment w:val="auto"/>
              <w:rPr>
                <w:rFonts w:hint="default"/>
                <w:color w:val="auto"/>
                <w:sz w:val="24"/>
                <w:szCs w:val="24"/>
                <w:lang w:val="en-US"/>
              </w:rPr>
            </w:pPr>
            <w:r>
              <w:rPr>
                <w:rFonts w:hint="default"/>
                <w:color w:val="auto"/>
                <w:sz w:val="24"/>
                <w:szCs w:val="24"/>
              </w:rPr>
              <w:t>一般情况下，道路扬尘散逸量与交通量及车速有关。本项目运输车辆均在硬化后的道路行驶，可以有效防止运输过程产生的扬尘。为了减少运输车辆行驶在路面道路上的逸散尘埃，环评建议运输车厂内行驶时，车速控制在10km/h以下、路面硬化</w:t>
            </w:r>
            <w:r>
              <w:rPr>
                <w:rFonts w:hint="eastAsia"/>
                <w:color w:val="auto"/>
                <w:sz w:val="24"/>
                <w:szCs w:val="24"/>
                <w:lang w:val="en-US" w:eastAsia="zh-CN"/>
              </w:rPr>
              <w:t>可降低60%的扬尘</w:t>
            </w:r>
            <w:r>
              <w:rPr>
                <w:rFonts w:hint="default"/>
                <w:color w:val="auto"/>
                <w:sz w:val="24"/>
                <w:szCs w:val="24"/>
              </w:rPr>
              <w:t>、车辆清扫并采取洒水措施</w:t>
            </w:r>
            <w:r>
              <w:rPr>
                <w:rFonts w:hint="eastAsia"/>
                <w:color w:val="auto"/>
                <w:sz w:val="24"/>
                <w:szCs w:val="24"/>
                <w:lang w:val="en-US" w:eastAsia="zh-CN"/>
              </w:rPr>
              <w:t>可降低74%的扬尘，则项目车辆动力起尘量为0.147t/a（0.163kg/h）。</w:t>
            </w:r>
          </w:p>
          <w:p>
            <w:pPr>
              <w:spacing w:line="360" w:lineRule="auto"/>
              <w:ind w:firstLine="480" w:firstLineChars="200"/>
              <w:rPr>
                <w:sz w:val="24"/>
              </w:rPr>
            </w:pPr>
            <w:r>
              <w:rPr>
                <w:sz w:val="24"/>
              </w:rPr>
              <w:t>（</w:t>
            </w:r>
            <w:r>
              <w:rPr>
                <w:rFonts w:hint="eastAsia"/>
                <w:sz w:val="24"/>
                <w:lang w:val="en-US" w:eastAsia="zh-CN"/>
              </w:rPr>
              <w:t>4</w:t>
            </w:r>
            <w:r>
              <w:rPr>
                <w:sz w:val="24"/>
              </w:rPr>
              <w:t>）</w:t>
            </w:r>
            <w:r>
              <w:rPr>
                <w:rFonts w:hint="eastAsia"/>
                <w:sz w:val="24"/>
              </w:rPr>
              <w:t>煤矸石</w:t>
            </w:r>
            <w:r>
              <w:rPr>
                <w:sz w:val="24"/>
              </w:rPr>
              <w:t>卸料起尘及排放</w:t>
            </w:r>
          </w:p>
          <w:p>
            <w:pPr>
              <w:pStyle w:val="60"/>
              <w:ind w:firstLine="480"/>
              <w:rPr>
                <w:sz w:val="24"/>
              </w:rPr>
            </w:pPr>
            <w:r>
              <w:rPr>
                <w:sz w:val="24"/>
              </w:rPr>
              <w:t>本项目煤矸石卸料起尘和物料堆放起尘根据《第二次全国污染源普查工业污染源产排污系数手册》（2021年6月11日发布）附表2：固体物料堆存颗粒物产排污核算系数手册，内容中工业企业固体物料堆存颗粒物包括装卸</w:t>
            </w:r>
            <w:r>
              <w:rPr>
                <w:rFonts w:hint="eastAsia"/>
                <w:sz w:val="24"/>
                <w:lang w:val="en-US" w:eastAsia="zh-CN"/>
              </w:rPr>
              <w:t>扬</w:t>
            </w:r>
            <w:r>
              <w:rPr>
                <w:sz w:val="24"/>
              </w:rPr>
              <w:t>尘和风蚀扬尘，颗粒物产生量核算公式如下：</w:t>
            </w:r>
          </w:p>
          <w:p>
            <w:pPr>
              <w:spacing w:line="360" w:lineRule="auto"/>
              <w:ind w:left="1078" w:leftChars="300" w:hanging="448" w:hangingChars="187"/>
              <w:jc w:val="center"/>
              <w:rPr>
                <w:sz w:val="24"/>
              </w:rPr>
            </w:pPr>
            <m:oMath>
              <m:r>
                <m:rPr>
                  <m:nor/>
                  <m:sty m:val="p"/>
                </m:rPr>
                <w:rPr>
                  <w:rFonts w:ascii="Cambria Math" w:hAnsi="Cambria Math"/>
                  <w:b w:val="0"/>
                  <w:i w:val="0"/>
                  <w:sz w:val="24"/>
                </w:rPr>
                <m:t>P</m:t>
              </m:r>
              <m:r>
                <m:rPr>
                  <m:nor/>
                  <m:sty m:val="p"/>
                </m:rPr>
                <w:rPr>
                  <w:b w:val="0"/>
                  <w:i w:val="0"/>
                  <w:sz w:val="24"/>
                </w:rPr>
                <m:t>=</m:t>
              </m:r>
              <m:r>
                <m:rPr>
                  <m:nor/>
                  <m:sty m:val="p"/>
                </m:rPr>
                <w:rPr>
                  <w:rFonts w:ascii="Cambria Math" w:hAnsi="Cambria Math"/>
                  <w:b w:val="0"/>
                  <w:i w:val="0"/>
                  <w:sz w:val="24"/>
                </w:rPr>
                <m:t>ZCy+FCy={Nc</m:t>
              </m:r>
              <m:r>
                <m:rPr>
                  <m:nor/>
                  <m:sty m:val="p"/>
                </m:rPr>
                <w:rPr>
                  <w:b w:val="0"/>
                  <w:i w:val="0"/>
                  <w:sz w:val="24"/>
                </w:rPr>
                <m:t>×</m:t>
              </m:r>
            </m:oMath>
            <w:r>
              <w:rPr>
                <w:rFonts w:hint="eastAsia"/>
                <w:sz w:val="24"/>
              </w:rPr>
              <w:t>D</w:t>
            </w:r>
            <m:oMath>
              <m:r>
                <m:rPr>
                  <m:nor/>
                  <m:sty m:val="p"/>
                </m:rPr>
                <w:rPr>
                  <w:b w:val="0"/>
                  <w:i w:val="0"/>
                  <w:sz w:val="24"/>
                </w:rPr>
                <m:t>×</m:t>
              </m:r>
            </m:oMath>
            <w:r>
              <w:rPr>
                <w:rFonts w:hint="eastAsia"/>
                <w:sz w:val="24"/>
              </w:rPr>
              <w:t>(a/b)+2</w:t>
            </w:r>
            <m:oMath>
              <m:r>
                <m:rPr>
                  <m:nor/>
                  <m:sty m:val="p"/>
                </m:rPr>
                <w:rPr>
                  <w:b w:val="0"/>
                  <w:i w:val="0"/>
                  <w:sz w:val="24"/>
                </w:rPr>
                <m:t>×</m:t>
              </m:r>
            </m:oMath>
            <w:r>
              <w:rPr>
                <w:rFonts w:hint="eastAsia"/>
                <w:sz w:val="24"/>
              </w:rPr>
              <w:t>E</w:t>
            </w:r>
            <w:r>
              <w:rPr>
                <w:rFonts w:hint="eastAsia"/>
                <w:sz w:val="24"/>
                <w:vertAlign w:val="subscript"/>
              </w:rPr>
              <w:t>f</w:t>
            </w:r>
            <m:oMath>
              <m:r>
                <m:rPr>
                  <m:nor/>
                  <m:sty m:val="p"/>
                </m:rPr>
                <w:rPr>
                  <w:b w:val="0"/>
                  <w:i w:val="0"/>
                  <w:sz w:val="24"/>
                </w:rPr>
                <m:t>×</m:t>
              </m:r>
            </m:oMath>
            <w:r>
              <w:rPr>
                <w:rFonts w:hint="eastAsia"/>
                <w:sz w:val="24"/>
              </w:rPr>
              <w:t>S}</w:t>
            </w:r>
            <m:oMath>
              <m:r>
                <m:rPr>
                  <m:nor/>
                  <m:sty m:val="p"/>
                </m:rPr>
                <w:rPr>
                  <w:b w:val="0"/>
                  <w:i w:val="0"/>
                  <w:sz w:val="24"/>
                </w:rPr>
                <m:t>×</m:t>
              </m:r>
            </m:oMath>
            <w:r>
              <w:rPr>
                <w:rFonts w:hint="eastAsia"/>
                <w:sz w:val="24"/>
              </w:rPr>
              <w:t>10</w:t>
            </w:r>
            <w:r>
              <w:rPr>
                <w:rFonts w:hint="eastAsia"/>
                <w:sz w:val="24"/>
                <w:vertAlign w:val="superscript"/>
              </w:rPr>
              <w:t>-3</w:t>
            </w:r>
          </w:p>
          <w:p>
            <w:pPr>
              <w:pStyle w:val="60"/>
              <w:ind w:firstLine="480"/>
              <w:rPr>
                <w:sz w:val="24"/>
              </w:rPr>
            </w:pPr>
            <w:r>
              <w:rPr>
                <w:sz w:val="24"/>
              </w:rPr>
              <w:t>中：P 指颗粒物产生量（单位：吨）；</w:t>
            </w:r>
          </w:p>
          <w:p>
            <w:pPr>
              <w:pStyle w:val="60"/>
              <w:ind w:firstLine="960" w:firstLineChars="400"/>
              <w:rPr>
                <w:sz w:val="24"/>
              </w:rPr>
            </w:pPr>
            <w:r>
              <w:rPr>
                <w:sz w:val="24"/>
              </w:rPr>
              <w:t>ZCy指装卸扬尘产生量（单位：吨）；</w:t>
            </w:r>
          </w:p>
          <w:p>
            <w:pPr>
              <w:pStyle w:val="60"/>
              <w:ind w:firstLine="960" w:firstLineChars="400"/>
              <w:rPr>
                <w:sz w:val="24"/>
              </w:rPr>
            </w:pPr>
            <w:r>
              <w:rPr>
                <w:sz w:val="24"/>
              </w:rPr>
              <w:t>FCy指风蚀扬尘产生量（单位：吨）；</w:t>
            </w:r>
          </w:p>
          <w:p>
            <w:pPr>
              <w:pStyle w:val="60"/>
              <w:ind w:firstLine="960" w:firstLineChars="400"/>
              <w:rPr>
                <w:sz w:val="24"/>
              </w:rPr>
            </w:pPr>
            <w:r>
              <w:rPr>
                <w:sz w:val="24"/>
              </w:rPr>
              <w:t>Nc指年物料运载车次（单位：车）；</w:t>
            </w:r>
          </w:p>
          <w:p>
            <w:pPr>
              <w:pStyle w:val="60"/>
              <w:ind w:firstLine="960" w:firstLineChars="400"/>
              <w:rPr>
                <w:sz w:val="24"/>
              </w:rPr>
            </w:pPr>
            <w:r>
              <w:rPr>
                <w:sz w:val="24"/>
              </w:rPr>
              <w:t>D指单车平均运载量（单位：吨/车）；</w:t>
            </w:r>
          </w:p>
          <w:p>
            <w:pPr>
              <w:pStyle w:val="60"/>
              <w:ind w:firstLine="960" w:firstLineChars="400"/>
              <w:rPr>
                <w:sz w:val="24"/>
              </w:rPr>
            </w:pPr>
            <w:r>
              <w:rPr>
                <w:sz w:val="24"/>
              </w:rPr>
              <w:t>(a/b)指装卸扬尘概化系数（单位：千克/吨），a指各省风速概化系数，见附录1（甘肃省</w:t>
            </w:r>
            <w:r>
              <w:rPr>
                <w:rFonts w:hint="eastAsia"/>
                <w:sz w:val="24"/>
              </w:rPr>
              <w:t>0.0011</w:t>
            </w:r>
            <w:r>
              <w:rPr>
                <w:sz w:val="24"/>
              </w:rPr>
              <w:t>），b指物料含水率概化系数，见附录 2（煤矸石含水率</w:t>
            </w:r>
            <w:r>
              <w:rPr>
                <w:rFonts w:hint="eastAsia"/>
                <w:sz w:val="24"/>
              </w:rPr>
              <w:t>2.1，</w:t>
            </w:r>
            <w:r>
              <w:rPr>
                <w:sz w:val="24"/>
              </w:rPr>
              <w:t>b</w:t>
            </w:r>
            <w:r>
              <w:rPr>
                <w:rFonts w:hint="eastAsia"/>
                <w:sz w:val="24"/>
              </w:rPr>
              <w:t>值0.0017）；</w:t>
            </w:r>
          </w:p>
          <w:p>
            <w:pPr>
              <w:pStyle w:val="60"/>
              <w:ind w:firstLine="960" w:firstLineChars="400"/>
              <w:rPr>
                <w:sz w:val="24"/>
              </w:rPr>
            </w:pPr>
            <w:r>
              <w:rPr>
                <w:sz w:val="24"/>
              </w:rPr>
              <w:t>E</w:t>
            </w:r>
            <w:r>
              <w:rPr>
                <w:sz w:val="24"/>
                <w:vertAlign w:val="subscript"/>
              </w:rPr>
              <w:t>f</w:t>
            </w:r>
            <w:r>
              <w:rPr>
                <w:sz w:val="24"/>
              </w:rPr>
              <w:t>指堆场风蚀扬尘概化系数，见附录3（单位：千克/平方米）（煤矸石11.7366）；</w:t>
            </w:r>
          </w:p>
          <w:p>
            <w:pPr>
              <w:pStyle w:val="60"/>
              <w:ind w:firstLine="960" w:firstLineChars="400"/>
              <w:rPr>
                <w:sz w:val="24"/>
              </w:rPr>
            </w:pPr>
            <w:r>
              <w:rPr>
                <w:sz w:val="24"/>
              </w:rPr>
              <w:t>S 指堆场占地面积（单位：平方米，本项目原料堆棚占地</w:t>
            </w:r>
            <w:r>
              <w:rPr>
                <w:rFonts w:hint="eastAsia"/>
                <w:sz w:val="24"/>
              </w:rPr>
              <w:t>面积为300m</w:t>
            </w:r>
            <w:r>
              <w:rPr>
                <w:rFonts w:hint="eastAsia"/>
                <w:sz w:val="24"/>
                <w:vertAlign w:val="superscript"/>
              </w:rPr>
              <w:t>2</w:t>
            </w:r>
            <w:r>
              <w:rPr>
                <w:sz w:val="24"/>
              </w:rPr>
              <w:t>）。</w:t>
            </w:r>
          </w:p>
          <w:p>
            <w:pPr>
              <w:pStyle w:val="60"/>
              <w:ind w:firstLine="960" w:firstLineChars="400"/>
              <w:rPr>
                <w:sz w:val="24"/>
              </w:rPr>
            </w:pPr>
            <w:r>
              <w:rPr>
                <w:sz w:val="24"/>
              </w:rPr>
              <w:t>项目使用煤矸石约</w:t>
            </w:r>
            <w:r>
              <w:rPr>
                <w:rFonts w:hint="eastAsia"/>
                <w:sz w:val="24"/>
              </w:rPr>
              <w:t>30360</w:t>
            </w:r>
            <w:r>
              <w:rPr>
                <w:sz w:val="24"/>
              </w:rPr>
              <w:t>t/a，用40t卡车可拉运</w:t>
            </w:r>
            <w:r>
              <w:rPr>
                <w:rFonts w:hint="eastAsia"/>
                <w:sz w:val="24"/>
              </w:rPr>
              <w:t>759</w:t>
            </w:r>
            <w:r>
              <w:rPr>
                <w:sz w:val="24"/>
              </w:rPr>
              <w:t>次，根据上公式计算，煤矸石卸料起尘和堆放起尘总量约</w:t>
            </w:r>
            <w:r>
              <w:rPr>
                <w:rFonts w:hint="eastAsia"/>
                <w:sz w:val="24"/>
              </w:rPr>
              <w:t>48.76</w:t>
            </w:r>
            <w:r>
              <w:rPr>
                <w:sz w:val="24"/>
              </w:rPr>
              <w:t>t/a。</w:t>
            </w:r>
          </w:p>
          <w:p>
            <w:pPr>
              <w:pStyle w:val="60"/>
              <w:ind w:firstLine="480"/>
              <w:rPr>
                <w:sz w:val="24"/>
              </w:rPr>
            </w:pPr>
            <w:r>
              <w:rPr>
                <w:sz w:val="24"/>
              </w:rPr>
              <w:t>工业企业固体物料堆场颗粒物排放量核算公式如下：</w:t>
            </w:r>
          </w:p>
          <w:p>
            <w:pPr>
              <w:spacing w:line="360" w:lineRule="auto"/>
              <w:ind w:firstLine="1231" w:firstLineChars="513"/>
              <w:rPr>
                <w:sz w:val="24"/>
              </w:rPr>
            </w:pPr>
            <m:oMathPara>
              <m:oMath>
                <m:r>
                  <m:rPr>
                    <m:sty m:val="p"/>
                  </m:rPr>
                  <w:rPr>
                    <w:rFonts w:ascii="Cambria Math" w:hAnsi="Cambria Math"/>
                    <w:sz w:val="24"/>
                  </w:rPr>
                  <m:t>Uc=P×(1−Cm)×(1−Tm)</m:t>
                </m:r>
              </m:oMath>
            </m:oMathPara>
          </w:p>
          <w:p>
            <w:pPr>
              <w:pStyle w:val="60"/>
              <w:ind w:firstLine="480"/>
              <w:rPr>
                <w:sz w:val="24"/>
              </w:rPr>
            </w:pPr>
            <w:r>
              <w:rPr>
                <w:sz w:val="24"/>
              </w:rPr>
              <w:t>式中：P 指颗粒物产生量（单位：吨）；</w:t>
            </w:r>
          </w:p>
          <w:p>
            <w:pPr>
              <w:pStyle w:val="60"/>
              <w:ind w:firstLine="1200" w:firstLineChars="500"/>
              <w:rPr>
                <w:sz w:val="24"/>
              </w:rPr>
            </w:pPr>
            <w:r>
              <w:rPr>
                <w:sz w:val="24"/>
              </w:rPr>
              <w:t>Uc指颗粒物排放量（单位：吨）；</w:t>
            </w:r>
          </w:p>
          <w:p>
            <w:pPr>
              <w:pStyle w:val="60"/>
              <w:ind w:firstLine="1200" w:firstLineChars="500"/>
              <w:rPr>
                <w:sz w:val="24"/>
              </w:rPr>
            </w:pPr>
            <w:r>
              <w:rPr>
                <w:sz w:val="24"/>
              </w:rPr>
              <w:t>Cm指颗粒物控制措施控制效率（单位：%），见附录4；</w:t>
            </w:r>
          </w:p>
          <w:p>
            <w:pPr>
              <w:pStyle w:val="60"/>
              <w:ind w:firstLine="1200" w:firstLineChars="500"/>
              <w:rPr>
                <w:color w:val="auto"/>
                <w:sz w:val="24"/>
              </w:rPr>
            </w:pPr>
            <w:r>
              <w:rPr>
                <w:color w:val="auto"/>
                <w:sz w:val="24"/>
              </w:rPr>
              <w:t>Tm指堆场类型控制效率（单位：%），见附录5。</w:t>
            </w:r>
          </w:p>
          <w:p>
            <w:pPr>
              <w:pStyle w:val="60"/>
              <w:ind w:firstLine="480"/>
              <w:rPr>
                <w:rFonts w:hint="eastAsia"/>
                <w:color w:val="auto"/>
                <w:sz w:val="24"/>
              </w:rPr>
            </w:pPr>
            <w:r>
              <w:rPr>
                <w:color w:val="auto"/>
                <w:sz w:val="24"/>
              </w:rPr>
              <w:t>项目煤矸石堆棚均采用</w:t>
            </w:r>
            <w:r>
              <w:rPr>
                <w:rFonts w:hint="eastAsia"/>
                <w:color w:val="auto"/>
                <w:sz w:val="24"/>
              </w:rPr>
              <w:t>洒水</w:t>
            </w:r>
            <w:r>
              <w:rPr>
                <w:rFonts w:hint="eastAsia"/>
                <w:color w:val="auto"/>
                <w:sz w:val="24"/>
                <w:lang w:val="en-US" w:eastAsia="zh-CN"/>
              </w:rPr>
              <w:t>+全</w:t>
            </w:r>
            <w:r>
              <w:rPr>
                <w:color w:val="auto"/>
                <w:sz w:val="24"/>
              </w:rPr>
              <w:t>封闭式</w:t>
            </w:r>
            <w:r>
              <w:rPr>
                <w:rFonts w:hint="eastAsia"/>
                <w:color w:val="auto"/>
                <w:sz w:val="24"/>
              </w:rPr>
              <w:t>堆棚</w:t>
            </w:r>
            <w:r>
              <w:rPr>
                <w:color w:val="auto"/>
                <w:sz w:val="24"/>
              </w:rPr>
              <w:t>措施，根据《工业源固体物料堆场颗粒物核算系数手册》附录4和附录5，</w:t>
            </w:r>
            <w:r>
              <w:rPr>
                <w:rFonts w:hint="eastAsia"/>
                <w:color w:val="auto"/>
                <w:sz w:val="24"/>
              </w:rPr>
              <w:t>洒水</w:t>
            </w:r>
            <w:r>
              <w:rPr>
                <w:color w:val="auto"/>
                <w:sz w:val="24"/>
              </w:rPr>
              <w:t>的控制效率为</w:t>
            </w:r>
            <w:r>
              <w:rPr>
                <w:rFonts w:hint="eastAsia"/>
                <w:color w:val="auto"/>
                <w:sz w:val="24"/>
              </w:rPr>
              <w:t>74</w:t>
            </w:r>
            <w:r>
              <w:rPr>
                <w:color w:val="auto"/>
                <w:sz w:val="24"/>
              </w:rPr>
              <w:t>%</w:t>
            </w:r>
            <w:r>
              <w:rPr>
                <w:rFonts w:hint="eastAsia"/>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%。由上公式计算得出煤矸石的颗粒物排放量为</w:t>
            </w:r>
            <w:r>
              <w:rPr>
                <w:rFonts w:hint="eastAsia"/>
                <w:color w:val="auto"/>
                <w:sz w:val="24"/>
              </w:rPr>
              <w:t>0.</w:t>
            </w:r>
            <w:r>
              <w:rPr>
                <w:rFonts w:hint="eastAsia"/>
                <w:color w:val="auto"/>
                <w:sz w:val="24"/>
                <w:lang w:val="en-US" w:eastAsia="zh-CN"/>
              </w:rPr>
              <w:t>12</w:t>
            </w:r>
            <w:r>
              <w:rPr>
                <w:color w:val="auto"/>
                <w:sz w:val="24"/>
              </w:rPr>
              <w:t>t/a</w:t>
            </w:r>
            <w:r>
              <w:rPr>
                <w:rFonts w:hint="eastAsia"/>
                <w:color w:val="auto"/>
                <w:sz w:val="24"/>
              </w:rPr>
              <w:t>（0.</w:t>
            </w:r>
            <w:r>
              <w:rPr>
                <w:rFonts w:hint="eastAsia"/>
                <w:color w:val="auto"/>
                <w:sz w:val="24"/>
                <w:lang w:val="en-US" w:eastAsia="zh-CN"/>
              </w:rPr>
              <w:t>133</w:t>
            </w:r>
            <w:r>
              <w:rPr>
                <w:rFonts w:hint="eastAsia"/>
                <w:color w:val="auto"/>
                <w:sz w:val="24"/>
              </w:rPr>
              <w:t>kg/h）。</w:t>
            </w:r>
          </w:p>
          <w:p>
            <w:pPr>
              <w:pStyle w:val="60"/>
              <w:spacing w:line="240" w:lineRule="auto"/>
              <w:ind w:left="0" w:leftChars="0" w:firstLine="0" w:firstLineChars="0"/>
              <w:jc w:val="center"/>
              <w:rPr>
                <w:b/>
                <w:bCs/>
                <w:color w:val="auto"/>
              </w:rPr>
            </w:pPr>
            <w:r>
              <w:rPr>
                <w:b/>
                <w:bCs/>
                <w:color w:val="auto"/>
              </w:rPr>
              <w:t>表4-</w:t>
            </w:r>
            <w:r>
              <w:rPr>
                <w:rFonts w:hint="eastAsia"/>
                <w:b/>
                <w:bCs/>
                <w:color w:val="auto"/>
                <w:lang w:val="en-US" w:eastAsia="zh-CN"/>
              </w:rPr>
              <w:t>8</w:t>
            </w:r>
            <w:r>
              <w:rPr>
                <w:b/>
                <w:bCs/>
                <w:color w:val="auto"/>
              </w:rPr>
              <w:t xml:space="preserve">  </w:t>
            </w:r>
            <w:r>
              <w:rPr>
                <w:rFonts w:hint="eastAsia"/>
                <w:b/>
                <w:bCs/>
                <w:color w:val="auto"/>
                <w:lang w:val="en-US" w:eastAsia="zh-CN"/>
              </w:rPr>
              <w:t xml:space="preserve"> </w:t>
            </w:r>
            <w:r>
              <w:rPr>
                <w:b/>
                <w:bCs/>
                <w:color w:val="auto"/>
              </w:rPr>
              <w:t>厂区堆场起尘量及排放量核算</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138"/>
              <w:gridCol w:w="1276"/>
              <w:gridCol w:w="1036"/>
              <w:gridCol w:w="236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3" w:type="pct"/>
                  <w:vAlign w:val="center"/>
                </w:tcPr>
                <w:p>
                  <w:pPr>
                    <w:adjustRightInd w:val="0"/>
                    <w:snapToGrid w:val="0"/>
                    <w:jc w:val="center"/>
                    <w:rPr>
                      <w:color w:val="auto"/>
                      <w:szCs w:val="21"/>
                    </w:rPr>
                  </w:pPr>
                  <w:r>
                    <w:rPr>
                      <w:color w:val="auto"/>
                      <w:szCs w:val="21"/>
                    </w:rPr>
                    <w:t>排放形式</w:t>
                  </w:r>
                </w:p>
              </w:tc>
              <w:tc>
                <w:tcPr>
                  <w:tcW w:w="717" w:type="pct"/>
                  <w:vAlign w:val="center"/>
                </w:tcPr>
                <w:p>
                  <w:pPr>
                    <w:adjustRightInd w:val="0"/>
                    <w:snapToGrid w:val="0"/>
                    <w:jc w:val="center"/>
                    <w:rPr>
                      <w:color w:val="auto"/>
                      <w:szCs w:val="21"/>
                    </w:rPr>
                  </w:pPr>
                  <w:r>
                    <w:rPr>
                      <w:color w:val="auto"/>
                      <w:szCs w:val="21"/>
                    </w:rPr>
                    <w:t>物料名称</w:t>
                  </w:r>
                </w:p>
              </w:tc>
              <w:tc>
                <w:tcPr>
                  <w:tcW w:w="804" w:type="pct"/>
                  <w:vAlign w:val="center"/>
                </w:tcPr>
                <w:p>
                  <w:pPr>
                    <w:adjustRightInd w:val="0"/>
                    <w:snapToGrid w:val="0"/>
                    <w:jc w:val="center"/>
                    <w:rPr>
                      <w:color w:val="auto"/>
                      <w:szCs w:val="21"/>
                    </w:rPr>
                  </w:pPr>
                  <w:r>
                    <w:rPr>
                      <w:color w:val="auto"/>
                      <w:szCs w:val="21"/>
                    </w:rPr>
                    <w:t>产生位置</w:t>
                  </w:r>
                </w:p>
              </w:tc>
              <w:tc>
                <w:tcPr>
                  <w:tcW w:w="653" w:type="pct"/>
                  <w:vAlign w:val="center"/>
                </w:tcPr>
                <w:p>
                  <w:pPr>
                    <w:adjustRightInd w:val="0"/>
                    <w:snapToGrid w:val="0"/>
                    <w:jc w:val="center"/>
                    <w:rPr>
                      <w:color w:val="auto"/>
                      <w:szCs w:val="21"/>
                    </w:rPr>
                  </w:pPr>
                  <w:r>
                    <w:rPr>
                      <w:color w:val="auto"/>
                      <w:szCs w:val="21"/>
                    </w:rPr>
                    <w:t>产生量</w:t>
                  </w:r>
                </w:p>
              </w:tc>
              <w:tc>
                <w:tcPr>
                  <w:tcW w:w="1490" w:type="pct"/>
                  <w:vAlign w:val="center"/>
                </w:tcPr>
                <w:p>
                  <w:pPr>
                    <w:adjustRightInd w:val="0"/>
                    <w:snapToGrid w:val="0"/>
                    <w:jc w:val="center"/>
                    <w:rPr>
                      <w:color w:val="auto"/>
                      <w:szCs w:val="21"/>
                    </w:rPr>
                  </w:pPr>
                  <w:r>
                    <w:rPr>
                      <w:color w:val="auto"/>
                      <w:szCs w:val="21"/>
                    </w:rPr>
                    <w:t>措施及控制效率排放量</w:t>
                  </w:r>
                </w:p>
              </w:tc>
              <w:tc>
                <w:tcPr>
                  <w:tcW w:w="610" w:type="pct"/>
                  <w:vAlign w:val="center"/>
                </w:tcPr>
                <w:p>
                  <w:pPr>
                    <w:adjustRightInd w:val="0"/>
                    <w:snapToGrid w:val="0"/>
                    <w:jc w:val="center"/>
                    <w:rPr>
                      <w:color w:val="auto"/>
                      <w:szCs w:val="21"/>
                    </w:rPr>
                  </w:pPr>
                  <w:r>
                    <w:rPr>
                      <w:color w:val="auto"/>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3" w:type="pct"/>
                  <w:vAlign w:val="center"/>
                </w:tcPr>
                <w:p>
                  <w:pPr>
                    <w:adjustRightInd w:val="0"/>
                    <w:snapToGrid w:val="0"/>
                    <w:jc w:val="center"/>
                    <w:rPr>
                      <w:color w:val="auto"/>
                      <w:szCs w:val="21"/>
                    </w:rPr>
                  </w:pPr>
                  <w:r>
                    <w:rPr>
                      <w:color w:val="auto"/>
                      <w:szCs w:val="21"/>
                    </w:rPr>
                    <w:t>无组织</w:t>
                  </w:r>
                </w:p>
              </w:tc>
              <w:tc>
                <w:tcPr>
                  <w:tcW w:w="717" w:type="pct"/>
                  <w:vAlign w:val="center"/>
                </w:tcPr>
                <w:p>
                  <w:pPr>
                    <w:adjustRightInd w:val="0"/>
                    <w:snapToGrid w:val="0"/>
                    <w:jc w:val="center"/>
                    <w:rPr>
                      <w:color w:val="auto"/>
                      <w:szCs w:val="21"/>
                    </w:rPr>
                  </w:pPr>
                  <w:r>
                    <w:rPr>
                      <w:color w:val="auto"/>
                      <w:szCs w:val="21"/>
                    </w:rPr>
                    <w:t>煤矸石</w:t>
                  </w:r>
                </w:p>
              </w:tc>
              <w:tc>
                <w:tcPr>
                  <w:tcW w:w="804" w:type="pct"/>
                  <w:vAlign w:val="center"/>
                </w:tcPr>
                <w:p>
                  <w:pPr>
                    <w:adjustRightInd w:val="0"/>
                    <w:snapToGrid w:val="0"/>
                    <w:jc w:val="center"/>
                    <w:rPr>
                      <w:color w:val="auto"/>
                      <w:szCs w:val="21"/>
                    </w:rPr>
                  </w:pPr>
                  <w:r>
                    <w:rPr>
                      <w:rFonts w:hint="eastAsia"/>
                      <w:color w:val="auto"/>
                      <w:szCs w:val="21"/>
                    </w:rPr>
                    <w:t>原料</w:t>
                  </w:r>
                  <w:r>
                    <w:rPr>
                      <w:color w:val="auto"/>
                      <w:szCs w:val="21"/>
                    </w:rPr>
                    <w:t>堆棚</w:t>
                  </w:r>
                </w:p>
              </w:tc>
              <w:tc>
                <w:tcPr>
                  <w:tcW w:w="653" w:type="pct"/>
                  <w:vAlign w:val="center"/>
                </w:tcPr>
                <w:p>
                  <w:pPr>
                    <w:adjustRightInd w:val="0"/>
                    <w:snapToGrid w:val="0"/>
                    <w:jc w:val="center"/>
                    <w:rPr>
                      <w:color w:val="auto"/>
                      <w:szCs w:val="21"/>
                    </w:rPr>
                  </w:pPr>
                  <w:r>
                    <w:rPr>
                      <w:rFonts w:hint="eastAsia"/>
                      <w:color w:val="auto"/>
                      <w:szCs w:val="21"/>
                    </w:rPr>
                    <w:t>48.76</w:t>
                  </w:r>
                  <w:r>
                    <w:rPr>
                      <w:color w:val="auto"/>
                      <w:szCs w:val="21"/>
                    </w:rPr>
                    <w:t>t/a</w:t>
                  </w:r>
                </w:p>
              </w:tc>
              <w:tc>
                <w:tcPr>
                  <w:tcW w:w="1490" w:type="pct"/>
                  <w:vAlign w:val="center"/>
                </w:tcPr>
                <w:p>
                  <w:pPr>
                    <w:adjustRightInd w:val="0"/>
                    <w:snapToGrid w:val="0"/>
                    <w:jc w:val="center"/>
                    <w:rPr>
                      <w:color w:val="auto"/>
                      <w:szCs w:val="21"/>
                    </w:rPr>
                  </w:pPr>
                  <w:r>
                    <w:rPr>
                      <w:rFonts w:hint="eastAsia"/>
                      <w:color w:val="auto"/>
                    </w:rPr>
                    <w:t>洒水74</w:t>
                  </w:r>
                  <w:r>
                    <w:rPr>
                      <w:color w:val="auto"/>
                    </w:rPr>
                    <w:t>%</w:t>
                  </w:r>
                  <w:r>
                    <w:rPr>
                      <w:rFonts w:hint="eastAsia"/>
                      <w:color w:val="auto"/>
                    </w:rPr>
                    <w:t>；</w:t>
                  </w:r>
                  <w:r>
                    <w:rPr>
                      <w:rFonts w:hint="eastAsia"/>
                      <w:color w:val="auto"/>
                      <w:lang w:val="en-US" w:eastAsia="zh-CN"/>
                    </w:rPr>
                    <w:t>全</w:t>
                  </w:r>
                  <w:r>
                    <w:rPr>
                      <w:rFonts w:hint="eastAsia"/>
                      <w:color w:val="auto"/>
                    </w:rPr>
                    <w:t>封闭式</w:t>
                  </w:r>
                  <w:r>
                    <w:rPr>
                      <w:rFonts w:hint="eastAsia"/>
                      <w:color w:val="auto"/>
                      <w:lang w:val="en-US" w:eastAsia="zh-CN"/>
                    </w:rPr>
                    <w:t>99</w:t>
                  </w:r>
                  <w:r>
                    <w:rPr>
                      <w:color w:val="auto"/>
                    </w:rPr>
                    <w:t>%</w:t>
                  </w:r>
                </w:p>
              </w:tc>
              <w:tc>
                <w:tcPr>
                  <w:tcW w:w="610" w:type="pct"/>
                  <w:vAlign w:val="center"/>
                </w:tcPr>
                <w:p>
                  <w:pPr>
                    <w:adjustRightInd w:val="0"/>
                    <w:snapToGrid w:val="0"/>
                    <w:jc w:val="center"/>
                    <w:rPr>
                      <w:color w:val="auto"/>
                      <w:szCs w:val="21"/>
                    </w:rPr>
                  </w:pPr>
                  <w:r>
                    <w:rPr>
                      <w:rFonts w:hint="eastAsia"/>
                      <w:color w:val="auto"/>
                      <w:szCs w:val="21"/>
                    </w:rPr>
                    <w:t>0.</w:t>
                  </w:r>
                  <w:r>
                    <w:rPr>
                      <w:rFonts w:hint="eastAsia"/>
                      <w:color w:val="auto"/>
                      <w:szCs w:val="21"/>
                      <w:lang w:val="en-US" w:eastAsia="zh-CN"/>
                    </w:rPr>
                    <w:t>12</w:t>
                  </w:r>
                  <w:r>
                    <w:rPr>
                      <w:color w:val="auto"/>
                      <w:szCs w:val="21"/>
                    </w:rPr>
                    <w:t>t/a</w:t>
                  </w:r>
                </w:p>
              </w:tc>
            </w:tr>
          </w:tbl>
          <w:p>
            <w:pPr>
              <w:pStyle w:val="60"/>
              <w:keepNext w:val="0"/>
              <w:keepLines w:val="0"/>
              <w:pageBreakBefore w:val="0"/>
              <w:widowControl w:val="0"/>
              <w:kinsoku/>
              <w:wordWrap/>
              <w:overflowPunct/>
              <w:topLinePunct w:val="0"/>
              <w:autoSpaceDE/>
              <w:autoSpaceDN/>
              <w:bidi w:val="0"/>
              <w:adjustRightInd/>
              <w:snapToGrid/>
              <w:ind w:firstLine="420"/>
              <w:textAlignment w:val="auto"/>
              <w:rPr>
                <w:color w:val="auto"/>
                <w:sz w:val="24"/>
                <w:szCs w:val="24"/>
              </w:rPr>
            </w:pPr>
            <w:r>
              <w:rPr>
                <w:color w:val="auto"/>
                <w:sz w:val="24"/>
                <w:szCs w:val="24"/>
              </w:rPr>
              <w:t>（</w:t>
            </w:r>
            <w:r>
              <w:rPr>
                <w:rFonts w:hint="eastAsia"/>
                <w:color w:val="auto"/>
                <w:sz w:val="24"/>
                <w:szCs w:val="24"/>
                <w:lang w:val="en-US" w:eastAsia="zh-CN"/>
              </w:rPr>
              <w:t>5</w:t>
            </w:r>
            <w:r>
              <w:rPr>
                <w:color w:val="auto"/>
                <w:sz w:val="24"/>
                <w:szCs w:val="24"/>
              </w:rPr>
              <w:t>）破碎、筛分粉尘</w:t>
            </w:r>
          </w:p>
          <w:p>
            <w:pPr>
              <w:pStyle w:val="60"/>
              <w:ind w:firstLine="420"/>
              <w:rPr>
                <w:color w:val="auto"/>
                <w:sz w:val="24"/>
                <w:szCs w:val="24"/>
              </w:rPr>
            </w:pPr>
            <w:r>
              <w:rPr>
                <w:color w:val="auto"/>
                <w:sz w:val="24"/>
                <w:szCs w:val="24"/>
              </w:rPr>
              <w:t>项目运营期烧结砖生产过程中，由于煤矸石为块状，需要对其进行破碎和筛分，确保其料径达到生产要求。本项目使用的原料煤矸石在破碎、筛分工序中将产生一定量的工业粉尘。参考《排放源统计调查产排污核算方法和系数手册》（303砖瓦、石材等建筑材料制造行业系数手册）中破碎、筛分、成型干燥等工艺过程产排污系数，粉尘产生量按1.23kg/万块标砖计，本项目生产规模为</w:t>
            </w:r>
            <w:r>
              <w:rPr>
                <w:rFonts w:hint="eastAsia"/>
                <w:color w:val="auto"/>
                <w:sz w:val="24"/>
                <w:szCs w:val="24"/>
                <w:lang w:val="en-US" w:eastAsia="zh-CN"/>
              </w:rPr>
              <w:t>6</w:t>
            </w:r>
            <w:r>
              <w:rPr>
                <w:color w:val="auto"/>
                <w:sz w:val="24"/>
                <w:szCs w:val="24"/>
              </w:rPr>
              <w:t>000万块标砖，则破碎</w:t>
            </w:r>
            <w:r>
              <w:rPr>
                <w:rFonts w:hint="eastAsia"/>
                <w:color w:val="auto"/>
                <w:sz w:val="24"/>
                <w:szCs w:val="24"/>
                <w:lang w:eastAsia="zh-CN"/>
              </w:rPr>
              <w:t>、</w:t>
            </w:r>
            <w:r>
              <w:rPr>
                <w:color w:val="auto"/>
                <w:sz w:val="24"/>
                <w:szCs w:val="24"/>
              </w:rPr>
              <w:t>筛分粉尘产生量为</w:t>
            </w:r>
            <w:r>
              <w:rPr>
                <w:rFonts w:hint="eastAsia"/>
                <w:color w:val="auto"/>
                <w:sz w:val="24"/>
                <w:szCs w:val="24"/>
                <w:lang w:val="en-US" w:eastAsia="zh-CN"/>
              </w:rPr>
              <w:t>7.38</w:t>
            </w:r>
            <w:r>
              <w:rPr>
                <w:color w:val="auto"/>
                <w:sz w:val="24"/>
                <w:szCs w:val="24"/>
              </w:rPr>
              <w:t>t/a。</w:t>
            </w:r>
            <w:r>
              <w:rPr>
                <w:color w:val="auto"/>
                <w:sz w:val="24"/>
              </w:rPr>
              <w:t>项目原料破碎和筛分在</w:t>
            </w:r>
            <w:r>
              <w:rPr>
                <w:rFonts w:hint="eastAsia"/>
                <w:color w:val="auto"/>
                <w:sz w:val="24"/>
              </w:rPr>
              <w:t>原料库</w:t>
            </w:r>
            <w:r>
              <w:rPr>
                <w:color w:val="auto"/>
                <w:sz w:val="24"/>
              </w:rPr>
              <w:t>内进行，给料机、筛分及破碎设备上方</w:t>
            </w:r>
            <w:r>
              <w:rPr>
                <w:rFonts w:hint="eastAsia"/>
                <w:color w:val="auto"/>
                <w:sz w:val="24"/>
                <w:lang w:val="en-US" w:eastAsia="zh-CN"/>
              </w:rPr>
              <w:t>各</w:t>
            </w:r>
            <w:r>
              <w:rPr>
                <w:color w:val="auto"/>
                <w:sz w:val="24"/>
              </w:rPr>
              <w:t>安装</w:t>
            </w:r>
            <w:r>
              <w:rPr>
                <w:rFonts w:hint="eastAsia"/>
                <w:color w:val="auto"/>
                <w:sz w:val="24"/>
                <w:lang w:val="en-US" w:eastAsia="zh-CN"/>
              </w:rPr>
              <w:t>1个</w:t>
            </w:r>
            <w:r>
              <w:rPr>
                <w:color w:val="auto"/>
                <w:sz w:val="24"/>
              </w:rPr>
              <w:t>集气罩（集尘效率不低于90%）对产生粉尘进行收集，收集的粉尘通过管道引至布袋除尘器（除尘效率9</w:t>
            </w:r>
            <w:r>
              <w:rPr>
                <w:rFonts w:hint="eastAsia"/>
                <w:color w:val="auto"/>
                <w:sz w:val="24"/>
              </w:rPr>
              <w:t>8</w:t>
            </w:r>
            <w:r>
              <w:rPr>
                <w:color w:val="auto"/>
                <w:sz w:val="24"/>
              </w:rPr>
              <w:t>%），</w:t>
            </w:r>
            <w:r>
              <w:rPr>
                <w:rFonts w:hint="eastAsia"/>
                <w:color w:val="auto"/>
                <w:sz w:val="24"/>
                <w:lang w:val="en-US" w:eastAsia="zh-CN"/>
              </w:rPr>
              <w:t>项目布袋除尘器自带的</w:t>
            </w:r>
            <w:r>
              <w:rPr>
                <w:color w:val="auto"/>
                <w:sz w:val="24"/>
              </w:rPr>
              <w:t>风机风量</w:t>
            </w:r>
            <w:r>
              <w:rPr>
                <w:rFonts w:hint="eastAsia"/>
                <w:color w:val="auto"/>
                <w:sz w:val="24"/>
                <w:lang w:val="en-US" w:eastAsia="zh-CN"/>
              </w:rPr>
              <w:t>为8000</w:t>
            </w:r>
            <w:r>
              <w:rPr>
                <w:color w:val="auto"/>
                <w:sz w:val="24"/>
              </w:rPr>
              <w:t>m</w:t>
            </w:r>
            <w:r>
              <w:rPr>
                <w:color w:val="auto"/>
                <w:sz w:val="24"/>
                <w:vertAlign w:val="superscript"/>
              </w:rPr>
              <w:t>3</w:t>
            </w:r>
            <w:r>
              <w:rPr>
                <w:color w:val="auto"/>
                <w:sz w:val="24"/>
              </w:rPr>
              <w:t>/h，破碎及筛分设备运行时间</w:t>
            </w:r>
            <w:r>
              <w:rPr>
                <w:rFonts w:hint="eastAsia"/>
                <w:color w:val="auto"/>
                <w:sz w:val="24"/>
                <w:lang w:val="en-US" w:eastAsia="zh-CN"/>
              </w:rPr>
              <w:t>900</w:t>
            </w:r>
            <w:r>
              <w:rPr>
                <w:color w:val="auto"/>
                <w:sz w:val="24"/>
              </w:rPr>
              <w:t>h/a，除尘尾气通过15m高排气筒</w:t>
            </w:r>
            <w:r>
              <w:rPr>
                <w:rFonts w:hint="eastAsia"/>
                <w:color w:val="auto"/>
                <w:sz w:val="24"/>
              </w:rPr>
              <w:t>（DA</w:t>
            </w:r>
            <w:r>
              <w:rPr>
                <w:color w:val="auto"/>
                <w:sz w:val="24"/>
              </w:rPr>
              <w:t>001</w:t>
            </w:r>
            <w:r>
              <w:rPr>
                <w:rFonts w:hint="eastAsia"/>
                <w:color w:val="auto"/>
                <w:sz w:val="24"/>
              </w:rPr>
              <w:t>）</w:t>
            </w:r>
            <w:r>
              <w:rPr>
                <w:color w:val="auto"/>
                <w:sz w:val="24"/>
              </w:rPr>
              <w:t>排放</w:t>
            </w:r>
            <w:r>
              <w:rPr>
                <w:rFonts w:hint="eastAsia"/>
                <w:color w:val="auto"/>
                <w:sz w:val="24"/>
                <w:lang w:eastAsia="zh-CN"/>
              </w:rPr>
              <w:t>，</w:t>
            </w:r>
            <w:r>
              <w:rPr>
                <w:color w:val="auto"/>
                <w:sz w:val="24"/>
              </w:rPr>
              <w:t>则项目破碎</w:t>
            </w:r>
            <w:r>
              <w:rPr>
                <w:rFonts w:hint="eastAsia"/>
                <w:color w:val="auto"/>
                <w:sz w:val="24"/>
              </w:rPr>
              <w:t>及</w:t>
            </w:r>
            <w:r>
              <w:rPr>
                <w:color w:val="auto"/>
                <w:sz w:val="24"/>
              </w:rPr>
              <w:t>筛分过程有组织粉尘排放量为</w:t>
            </w:r>
            <w:r>
              <w:rPr>
                <w:rFonts w:hint="eastAsia"/>
                <w:color w:val="auto"/>
                <w:sz w:val="24"/>
              </w:rPr>
              <w:t>0.133</w:t>
            </w:r>
            <w:r>
              <w:rPr>
                <w:color w:val="auto"/>
                <w:sz w:val="24"/>
              </w:rPr>
              <w:t>t/a，</w:t>
            </w:r>
            <w:r>
              <w:rPr>
                <w:rFonts w:hint="eastAsia"/>
                <w:color w:val="auto"/>
                <w:sz w:val="24"/>
              </w:rPr>
              <w:t>排放速率为0.</w:t>
            </w:r>
            <w:r>
              <w:rPr>
                <w:rFonts w:hint="eastAsia"/>
                <w:color w:val="auto"/>
                <w:sz w:val="24"/>
                <w:lang w:val="en-US" w:eastAsia="zh-CN"/>
              </w:rPr>
              <w:t>147</w:t>
            </w:r>
            <w:r>
              <w:rPr>
                <w:rFonts w:hint="eastAsia"/>
                <w:color w:val="auto"/>
                <w:sz w:val="24"/>
              </w:rPr>
              <w:t>kg/h，</w:t>
            </w:r>
            <w:r>
              <w:rPr>
                <w:color w:val="auto"/>
                <w:sz w:val="24"/>
              </w:rPr>
              <w:t>排放浓度</w:t>
            </w:r>
            <w:r>
              <w:rPr>
                <w:rFonts w:hint="eastAsia"/>
                <w:color w:val="auto"/>
                <w:sz w:val="24"/>
                <w:lang w:val="en-US" w:eastAsia="zh-CN"/>
              </w:rPr>
              <w:t>18.5</w:t>
            </w:r>
            <w:r>
              <w:rPr>
                <w:color w:val="auto"/>
                <w:sz w:val="24"/>
              </w:rPr>
              <w:t>mg/m</w:t>
            </w:r>
            <w:r>
              <w:rPr>
                <w:color w:val="auto"/>
                <w:sz w:val="24"/>
                <w:vertAlign w:val="superscript"/>
              </w:rPr>
              <w:t>3</w:t>
            </w:r>
            <w:r>
              <w:rPr>
                <w:color w:val="auto"/>
                <w:sz w:val="24"/>
              </w:rPr>
              <w:t>；无组织</w:t>
            </w:r>
            <w:r>
              <w:rPr>
                <w:rFonts w:hint="eastAsia"/>
                <w:color w:val="auto"/>
                <w:sz w:val="24"/>
              </w:rPr>
              <w:t>产生量</w:t>
            </w:r>
            <w:r>
              <w:rPr>
                <w:color w:val="auto"/>
                <w:sz w:val="24"/>
              </w:rPr>
              <w:t>为</w:t>
            </w:r>
            <w:r>
              <w:rPr>
                <w:rFonts w:hint="eastAsia"/>
                <w:color w:val="auto"/>
                <w:sz w:val="24"/>
              </w:rPr>
              <w:t>0.738</w:t>
            </w:r>
            <w:r>
              <w:rPr>
                <w:color w:val="auto"/>
                <w:sz w:val="24"/>
              </w:rPr>
              <w:t>t/a</w:t>
            </w:r>
            <w:r>
              <w:rPr>
                <w:rFonts w:hint="eastAsia"/>
                <w:color w:val="auto"/>
                <w:sz w:val="24"/>
              </w:rPr>
              <w:t>（0.154kg/h）</w:t>
            </w:r>
            <w:r>
              <w:rPr>
                <w:color w:val="auto"/>
                <w:sz w:val="24"/>
              </w:rPr>
              <w:t>，破碎及筛分工序在密闭车间进行，经车间沉降（沉降率80%）后排放量0.</w:t>
            </w:r>
            <w:r>
              <w:rPr>
                <w:rFonts w:hint="eastAsia"/>
                <w:color w:val="auto"/>
                <w:sz w:val="24"/>
              </w:rPr>
              <w:t>148</w:t>
            </w:r>
            <w:r>
              <w:rPr>
                <w:color w:val="auto"/>
                <w:sz w:val="24"/>
              </w:rPr>
              <w:t>t/a</w:t>
            </w:r>
            <w:r>
              <w:rPr>
                <w:rFonts w:hint="eastAsia"/>
                <w:color w:val="auto"/>
                <w:sz w:val="24"/>
              </w:rPr>
              <w:t>（0.</w:t>
            </w:r>
            <w:r>
              <w:rPr>
                <w:rFonts w:hint="eastAsia"/>
                <w:color w:val="auto"/>
                <w:sz w:val="24"/>
                <w:lang w:val="en-US" w:eastAsia="zh-CN"/>
              </w:rPr>
              <w:t>164</w:t>
            </w:r>
            <w:r>
              <w:rPr>
                <w:rFonts w:hint="eastAsia"/>
                <w:color w:val="auto"/>
                <w:sz w:val="24"/>
              </w:rPr>
              <w:t>kg/h）</w:t>
            </w:r>
            <w:r>
              <w:rPr>
                <w:color w:val="auto"/>
                <w:sz w:val="24"/>
                <w:szCs w:val="24"/>
              </w:rPr>
              <w:t>。</w:t>
            </w:r>
          </w:p>
          <w:p>
            <w:pPr>
              <w:pStyle w:val="60"/>
              <w:ind w:firstLine="420"/>
              <w:rPr>
                <w:color w:val="auto"/>
                <w:sz w:val="24"/>
                <w:szCs w:val="24"/>
              </w:rPr>
            </w:pPr>
            <w:r>
              <w:rPr>
                <w:color w:val="auto"/>
                <w:sz w:val="24"/>
                <w:szCs w:val="24"/>
              </w:rPr>
              <w:t>（</w:t>
            </w:r>
            <w:r>
              <w:rPr>
                <w:rFonts w:hint="eastAsia"/>
                <w:color w:val="auto"/>
                <w:sz w:val="24"/>
                <w:szCs w:val="24"/>
                <w:lang w:val="en-US" w:eastAsia="zh-CN"/>
              </w:rPr>
              <w:t>6</w:t>
            </w:r>
            <w:r>
              <w:rPr>
                <w:color w:val="auto"/>
                <w:sz w:val="24"/>
                <w:szCs w:val="24"/>
              </w:rPr>
              <w:t>）隧道窑烟气</w:t>
            </w:r>
          </w:p>
          <w:p>
            <w:pPr>
              <w:pStyle w:val="60"/>
              <w:ind w:firstLine="420"/>
              <w:rPr>
                <w:color w:val="auto"/>
                <w:sz w:val="24"/>
                <w:szCs w:val="24"/>
              </w:rPr>
            </w:pPr>
            <w:r>
              <w:rPr>
                <w:color w:val="auto"/>
                <w:sz w:val="24"/>
              </w:rPr>
              <w:t>本项目采用内燃法生产工艺，初始阶段需要用点火煤进行点火</w:t>
            </w:r>
            <w:r>
              <w:rPr>
                <w:rFonts w:hint="eastAsia"/>
                <w:color w:val="auto"/>
                <w:sz w:val="24"/>
                <w:lang w:eastAsia="zh-CN"/>
              </w:rPr>
              <w:t>，</w:t>
            </w:r>
            <w:r>
              <w:rPr>
                <w:rFonts w:hint="eastAsia"/>
                <w:color w:val="auto"/>
                <w:sz w:val="24"/>
                <w:lang w:val="en-US" w:eastAsia="zh-CN"/>
              </w:rPr>
              <w:t>点火过程不使用燃油，煤用麦草引燃</w:t>
            </w:r>
            <w:r>
              <w:rPr>
                <w:color w:val="auto"/>
                <w:sz w:val="24"/>
              </w:rPr>
              <w:t>；焙烧阶段主要依靠原料（煤矸石）自身燃烧产生的热量进行焙烧。燃料燃烧产生的污染物情况分为点火阶段和煤矸石自燃阶段，</w:t>
            </w:r>
            <w:r>
              <w:rPr>
                <w:rFonts w:hint="eastAsia"/>
                <w:color w:val="auto"/>
                <w:sz w:val="24"/>
                <w:lang w:val="en-US" w:eastAsia="zh-CN"/>
              </w:rPr>
              <w:t>点火阶段运行时间短，污染物排放量大按照非正常工况进行分析，项目煤矸石自燃阶段废气污染物分析如下</w:t>
            </w:r>
            <w:r>
              <w:rPr>
                <w:color w:val="auto"/>
                <w:sz w:val="24"/>
                <w:szCs w:val="24"/>
              </w:rPr>
              <w:t>：</w:t>
            </w:r>
          </w:p>
          <w:p>
            <w:pPr>
              <w:pStyle w:val="60"/>
              <w:ind w:firstLine="420"/>
              <w:rPr>
                <w:color w:val="auto"/>
                <w:sz w:val="24"/>
                <w:szCs w:val="24"/>
              </w:rPr>
            </w:pPr>
            <w:r>
              <w:rPr>
                <w:color w:val="auto"/>
                <w:sz w:val="24"/>
                <w:szCs w:val="24"/>
              </w:rPr>
              <w:t>项目煤矸石用量</w:t>
            </w:r>
            <w:r>
              <w:rPr>
                <w:rFonts w:hint="eastAsia" w:cs="Times New Roman"/>
                <w:color w:val="auto"/>
                <w:sz w:val="24"/>
                <w:szCs w:val="24"/>
                <w:lang w:val="en-US" w:eastAsia="zh-CN"/>
              </w:rPr>
              <w:t>30360</w:t>
            </w:r>
            <w:r>
              <w:rPr>
                <w:color w:val="auto"/>
                <w:sz w:val="24"/>
                <w:szCs w:val="24"/>
              </w:rPr>
              <w:t>t/a，焙烧过程中温度可高达1050℃，产生SO</w:t>
            </w:r>
            <w:r>
              <w:rPr>
                <w:color w:val="auto"/>
                <w:sz w:val="24"/>
                <w:szCs w:val="24"/>
                <w:vertAlign w:val="subscript"/>
              </w:rPr>
              <w:t>2</w:t>
            </w:r>
            <w:r>
              <w:rPr>
                <w:color w:val="auto"/>
                <w:sz w:val="24"/>
                <w:szCs w:val="24"/>
              </w:rPr>
              <w:t>、NO</w:t>
            </w:r>
            <w:r>
              <w:rPr>
                <w:i/>
                <w:iCs/>
                <w:color w:val="auto"/>
                <w:sz w:val="24"/>
                <w:szCs w:val="24"/>
              </w:rPr>
              <w:t>x</w:t>
            </w:r>
            <w:r>
              <w:rPr>
                <w:color w:val="auto"/>
                <w:sz w:val="24"/>
                <w:szCs w:val="24"/>
              </w:rPr>
              <w:t>、烟尘、氟化物等有害气体。</w:t>
            </w:r>
          </w:p>
          <w:p>
            <w:pPr>
              <w:pStyle w:val="60"/>
              <w:ind w:firstLine="42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rPr>
              <w:t>焙烧</w:t>
            </w:r>
            <w:r>
              <w:rPr>
                <w:rFonts w:hint="default" w:ascii="Times New Roman" w:hAnsi="Times New Roman" w:cs="Times New Roman"/>
                <w:color w:val="auto"/>
                <w:sz w:val="24"/>
                <w:szCs w:val="24"/>
                <w:highlight w:val="none"/>
              </w:rPr>
              <w:t>过程烟尘产量依据《第二次全国污染源普查工业污染源产排污系数手册》（2021年6月11日）（中册：303砖瓦、石材等建筑材料制造行业系数手册）中产排污系数，见下表。</w:t>
            </w:r>
          </w:p>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 xml:space="preserve">8  </w:t>
            </w:r>
            <w:r>
              <w:rPr>
                <w:rFonts w:hint="default" w:ascii="Times New Roman" w:hAnsi="Times New Roman" w:cs="Times New Roman"/>
                <w:b/>
                <w:bCs/>
                <w:color w:val="auto"/>
                <w:highlight w:val="none"/>
              </w:rPr>
              <w:t xml:space="preserve"> 烧结类砖瓦及建筑砌块制造业产排污系数表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2"/>
              <w:gridCol w:w="682"/>
              <w:gridCol w:w="926"/>
              <w:gridCol w:w="927"/>
              <w:gridCol w:w="920"/>
              <w:gridCol w:w="1392"/>
              <w:gridCol w:w="155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产品名称</w:t>
                  </w:r>
                </w:p>
              </w:tc>
              <w:tc>
                <w:tcPr>
                  <w:tcW w:w="430"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燃料名称</w:t>
                  </w:r>
                </w:p>
              </w:tc>
              <w:tc>
                <w:tcPr>
                  <w:tcW w:w="583"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原料名称</w:t>
                  </w:r>
                </w:p>
              </w:tc>
              <w:tc>
                <w:tcPr>
                  <w:tcW w:w="584"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工艺名称</w:t>
                  </w:r>
                </w:p>
              </w:tc>
              <w:tc>
                <w:tcPr>
                  <w:tcW w:w="579"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规模等级</w:t>
                  </w:r>
                </w:p>
              </w:tc>
              <w:tc>
                <w:tcPr>
                  <w:tcW w:w="876"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污染物指标</w:t>
                  </w:r>
                </w:p>
              </w:tc>
              <w:tc>
                <w:tcPr>
                  <w:tcW w:w="977"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单位</w:t>
                  </w:r>
                </w:p>
              </w:tc>
              <w:tc>
                <w:tcPr>
                  <w:tcW w:w="625"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3" w:hRule="atLeast"/>
                <w:jc w:val="center"/>
              </w:trPr>
              <w:tc>
                <w:tcPr>
                  <w:tcW w:w="342" w:type="pct"/>
                  <w:vMerge w:val="restar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烧结类砖瓦及建筑砌块</w:t>
                  </w:r>
                </w:p>
              </w:tc>
              <w:tc>
                <w:tcPr>
                  <w:tcW w:w="430" w:type="pct"/>
                  <w:vMerge w:val="restar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煤矸石</w:t>
                  </w:r>
                </w:p>
              </w:tc>
              <w:tc>
                <w:tcPr>
                  <w:tcW w:w="583" w:type="pct"/>
                  <w:vMerge w:val="restar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煤矸石、</w:t>
                  </w:r>
                  <w:r>
                    <w:rPr>
                      <w:rFonts w:hint="eastAsia" w:ascii="Times New Roman" w:hAnsi="Times New Roman" w:cs="Times New Roman"/>
                      <w:color w:val="auto"/>
                      <w:sz w:val="21"/>
                      <w:szCs w:val="21"/>
                      <w:highlight w:val="none"/>
                      <w:lang w:val="en-US" w:eastAsia="zh-CN"/>
                    </w:rPr>
                    <w:t>粘土</w:t>
                  </w:r>
                </w:p>
              </w:tc>
              <w:tc>
                <w:tcPr>
                  <w:tcW w:w="584" w:type="pct"/>
                  <w:vMerge w:val="restar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砖瓦工业焙烧窑炉</w:t>
                  </w:r>
                </w:p>
              </w:tc>
              <w:tc>
                <w:tcPr>
                  <w:tcW w:w="579" w:type="pct"/>
                  <w:vMerge w:val="restar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≥5000万块标砖/a</w:t>
                  </w:r>
                </w:p>
              </w:tc>
              <w:tc>
                <w:tcPr>
                  <w:tcW w:w="876"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工业废气量</w:t>
                  </w:r>
                </w:p>
              </w:tc>
              <w:tc>
                <w:tcPr>
                  <w:tcW w:w="977"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/万块-标砖</w:t>
                  </w:r>
                </w:p>
              </w:tc>
              <w:tc>
                <w:tcPr>
                  <w:tcW w:w="625"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430"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583"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584"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579"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876"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烟尘</w:t>
                  </w:r>
                </w:p>
              </w:tc>
              <w:tc>
                <w:tcPr>
                  <w:tcW w:w="977"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kg/万块-标砖</w:t>
                  </w:r>
                </w:p>
              </w:tc>
              <w:tc>
                <w:tcPr>
                  <w:tcW w:w="625"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430"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583"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584"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579"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876"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二氧化硫</w:t>
                  </w:r>
                </w:p>
              </w:tc>
              <w:tc>
                <w:tcPr>
                  <w:tcW w:w="977"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kg/万块-标砖</w:t>
                  </w:r>
                </w:p>
              </w:tc>
              <w:tc>
                <w:tcPr>
                  <w:tcW w:w="625"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430"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583"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584"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579" w:type="pct"/>
                  <w:vMerge w:val="continue"/>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p>
              </w:tc>
              <w:tc>
                <w:tcPr>
                  <w:tcW w:w="876"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氮氧化物</w:t>
                  </w:r>
                </w:p>
              </w:tc>
              <w:tc>
                <w:tcPr>
                  <w:tcW w:w="977"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kg/万块-标砖</w:t>
                  </w:r>
                </w:p>
              </w:tc>
              <w:tc>
                <w:tcPr>
                  <w:tcW w:w="625" w:type="pct"/>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w:t>
                  </w:r>
                </w:p>
              </w:tc>
            </w:tr>
          </w:tbl>
          <w:p>
            <w:pPr>
              <w:pStyle w:val="60"/>
              <w:ind w:firstLine="42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本项目规模为年产</w:t>
            </w:r>
            <w:r>
              <w:rPr>
                <w:rFonts w:hint="eastAsia" w:cs="Times New Roman"/>
                <w:color w:val="auto"/>
                <w:sz w:val="24"/>
                <w:szCs w:val="24"/>
                <w:highlight w:val="none"/>
                <w:lang w:val="en-US" w:eastAsia="zh-CN"/>
              </w:rPr>
              <w:t>6</w:t>
            </w:r>
            <w:r>
              <w:rPr>
                <w:rFonts w:hint="eastAsia" w:ascii="Times New Roman" w:hAnsi="Times New Roman" w:cs="Times New Roman"/>
                <w:color w:val="auto"/>
                <w:sz w:val="24"/>
                <w:szCs w:val="24"/>
                <w:highlight w:val="none"/>
                <w:lang w:val="en-US" w:eastAsia="zh-CN"/>
              </w:rPr>
              <w:t>000</w:t>
            </w:r>
            <w:r>
              <w:rPr>
                <w:rFonts w:hint="default" w:ascii="Times New Roman" w:hAnsi="Times New Roman" w:cs="Times New Roman"/>
                <w:color w:val="auto"/>
                <w:sz w:val="24"/>
                <w:szCs w:val="24"/>
                <w:highlight w:val="none"/>
              </w:rPr>
              <w:t>万块标砖，</w:t>
            </w:r>
            <w:r>
              <w:rPr>
                <w:rFonts w:hint="eastAsia" w:cs="Times New Roman"/>
                <w:color w:val="auto"/>
                <w:sz w:val="24"/>
                <w:szCs w:val="24"/>
                <w:highlight w:val="none"/>
                <w:lang w:val="en-US" w:eastAsia="zh-CN"/>
              </w:rPr>
              <w:t>则</w:t>
            </w:r>
            <w:r>
              <w:rPr>
                <w:rFonts w:hint="default" w:ascii="Times New Roman" w:hAnsi="Times New Roman" w:cs="Times New Roman"/>
                <w:color w:val="auto"/>
                <w:sz w:val="24"/>
                <w:szCs w:val="24"/>
                <w:highlight w:val="none"/>
              </w:rPr>
              <w:t>烟尘产生量为</w:t>
            </w:r>
            <w:r>
              <w:rPr>
                <w:rFonts w:hint="eastAsia" w:cs="Times New Roman"/>
                <w:color w:val="auto"/>
                <w:sz w:val="24"/>
                <w:szCs w:val="24"/>
                <w:highlight w:val="none"/>
                <w:lang w:val="en-US" w:eastAsia="zh-CN"/>
              </w:rPr>
              <w:t>28.38</w:t>
            </w:r>
            <w:r>
              <w:rPr>
                <w:rFonts w:hint="default" w:ascii="Times New Roman" w:hAnsi="Times New Roman" w:cs="Times New Roman"/>
                <w:color w:val="auto"/>
                <w:sz w:val="24"/>
                <w:szCs w:val="24"/>
                <w:highlight w:val="none"/>
              </w:rPr>
              <w:t>t/a、二氧化硫产生量为</w:t>
            </w:r>
            <w:r>
              <w:rPr>
                <w:rFonts w:hint="eastAsia" w:cs="Times New Roman"/>
                <w:color w:val="auto"/>
                <w:sz w:val="24"/>
                <w:szCs w:val="24"/>
                <w:highlight w:val="none"/>
                <w:lang w:val="en-US" w:eastAsia="zh-CN"/>
              </w:rPr>
              <w:t>88.8</w:t>
            </w:r>
            <w:r>
              <w:rPr>
                <w:rFonts w:hint="default" w:ascii="Times New Roman" w:hAnsi="Times New Roman" w:cs="Times New Roman"/>
                <w:color w:val="auto"/>
                <w:sz w:val="24"/>
                <w:szCs w:val="24"/>
                <w:highlight w:val="none"/>
              </w:rPr>
              <w:t>t/a、氮氧化物产生量为</w:t>
            </w:r>
            <w:r>
              <w:rPr>
                <w:rFonts w:hint="eastAsia" w:cs="Times New Roman"/>
                <w:color w:val="auto"/>
                <w:sz w:val="24"/>
                <w:szCs w:val="24"/>
                <w:highlight w:val="none"/>
                <w:lang w:val="en-US" w:eastAsia="zh-CN"/>
              </w:rPr>
              <w:t>9.6</w:t>
            </w:r>
            <w:r>
              <w:rPr>
                <w:rFonts w:hint="default" w:ascii="Times New Roman" w:hAnsi="Times New Roman" w:cs="Times New Roman"/>
                <w:color w:val="auto"/>
                <w:sz w:val="24"/>
                <w:szCs w:val="24"/>
                <w:highlight w:val="none"/>
              </w:rPr>
              <w:t>t/a。</w:t>
            </w:r>
          </w:p>
          <w:p>
            <w:pPr>
              <w:pStyle w:val="60"/>
              <w:ind w:firstLine="420"/>
              <w:rPr>
                <w:color w:val="auto"/>
                <w:sz w:val="24"/>
                <w:szCs w:val="24"/>
              </w:rPr>
            </w:pPr>
            <w:r>
              <w:rPr>
                <w:rFonts w:hint="eastAsia"/>
                <w:color w:val="auto"/>
                <w:sz w:val="24"/>
                <w:szCs w:val="24"/>
              </w:rPr>
              <w:t>氟化物产生量</w:t>
            </w:r>
          </w:p>
          <w:p>
            <w:pPr>
              <w:pStyle w:val="60"/>
              <w:ind w:firstLine="420"/>
              <w:rPr>
                <w:rFonts w:hint="eastAsia"/>
                <w:color w:val="auto"/>
                <w:sz w:val="24"/>
                <w:szCs w:val="24"/>
              </w:rPr>
            </w:pPr>
            <w:r>
              <w:rPr>
                <w:rFonts w:hint="eastAsia"/>
                <w:color w:val="auto"/>
                <w:sz w:val="24"/>
                <w:szCs w:val="24"/>
              </w:rPr>
              <w:t>技改项目隧道窑尾气中氟化物主要来源于煤矸石和粘土，高温焙烧时会有部分氟化物挥发。项目原材料中粘土用量为</w:t>
            </w:r>
            <w:r>
              <w:rPr>
                <w:rFonts w:hint="eastAsia"/>
                <w:color w:val="auto"/>
                <w:sz w:val="24"/>
                <w:szCs w:val="24"/>
                <w:lang w:val="en-US" w:eastAsia="zh-CN"/>
              </w:rPr>
              <w:t>144417</w:t>
            </w:r>
            <w:r>
              <w:rPr>
                <w:rFonts w:hint="eastAsia"/>
                <w:color w:val="auto"/>
                <w:sz w:val="24"/>
                <w:szCs w:val="24"/>
              </w:rPr>
              <w:t>t/a、煤矸石用量</w:t>
            </w:r>
            <w:r>
              <w:rPr>
                <w:rFonts w:hint="eastAsia" w:cs="Times New Roman"/>
                <w:color w:val="auto"/>
                <w:sz w:val="24"/>
                <w:szCs w:val="24"/>
                <w:lang w:val="en-US" w:eastAsia="zh-CN"/>
              </w:rPr>
              <w:t>30360</w:t>
            </w:r>
            <w:r>
              <w:rPr>
                <w:rFonts w:hint="eastAsia"/>
                <w:color w:val="auto"/>
                <w:sz w:val="24"/>
                <w:szCs w:val="24"/>
              </w:rPr>
              <w:t>t/a。</w:t>
            </w:r>
          </w:p>
          <w:p>
            <w:pPr>
              <w:pStyle w:val="60"/>
              <w:ind w:left="0" w:leftChars="0" w:firstLine="480" w:firstLineChars="200"/>
              <w:rPr>
                <w:rFonts w:hint="eastAsia"/>
                <w:color w:val="auto"/>
                <w:sz w:val="24"/>
                <w:szCs w:val="24"/>
                <w:lang w:eastAsia="zh-CN"/>
              </w:rPr>
            </w:pPr>
            <w:r>
              <w:rPr>
                <w:rFonts w:hint="eastAsia"/>
                <w:color w:val="auto"/>
                <w:sz w:val="24"/>
                <w:szCs w:val="24"/>
              </w:rPr>
              <w:t>根据土壤现状检测数据，项目所用原料粘土矿中</w:t>
            </w:r>
            <w:r>
              <w:rPr>
                <w:rFonts w:hint="eastAsia"/>
                <w:color w:val="auto"/>
                <w:sz w:val="24"/>
                <w:szCs w:val="24"/>
                <w:lang w:val="en-US" w:eastAsia="zh-CN"/>
              </w:rPr>
              <w:t>氟化物未检出。</w:t>
            </w:r>
            <w:r>
              <w:rPr>
                <w:rFonts w:hint="eastAsia"/>
                <w:color w:val="auto"/>
                <w:sz w:val="24"/>
                <w:szCs w:val="24"/>
              </w:rPr>
              <w:t>煤矸石氟含量约为0.008%。隧道窑焙烧废气中氟化物主要来源于煤矸石中氟元素反应产生的HF、SiF</w:t>
            </w:r>
            <w:r>
              <w:rPr>
                <w:rFonts w:hint="eastAsia"/>
                <w:color w:val="auto"/>
                <w:sz w:val="24"/>
                <w:szCs w:val="24"/>
                <w:vertAlign w:val="subscript"/>
              </w:rPr>
              <w:t>4</w:t>
            </w:r>
            <w:r>
              <w:rPr>
                <w:rFonts w:hint="eastAsia"/>
                <w:color w:val="auto"/>
                <w:sz w:val="24"/>
                <w:szCs w:val="24"/>
              </w:rPr>
              <w:t>等。根据《杨林军等.钙基物料在砖坯烧制过程中固氟特性的研究[J].环境科学学报，2002年5月，第22卷第3期》和《杨林军等烧结砖生产中氟的逸出及钙基废渣固氟特性研究[J]重庆环境科学，2002年8月，第24卷第4期》，砖坯烧制过程中，氟逸出的初始温度约为600℃，大部分氟在约800℃至砖坯发生明显烧结的温度内逸出，逸出的氟化物以HF为主（占90%以上），SiF</w:t>
            </w:r>
            <w:r>
              <w:rPr>
                <w:rFonts w:hint="eastAsia"/>
                <w:color w:val="auto"/>
                <w:sz w:val="24"/>
                <w:szCs w:val="24"/>
                <w:vertAlign w:val="subscript"/>
              </w:rPr>
              <w:t>4</w:t>
            </w:r>
            <w:r>
              <w:rPr>
                <w:rFonts w:hint="eastAsia"/>
                <w:color w:val="auto"/>
                <w:sz w:val="24"/>
                <w:szCs w:val="24"/>
              </w:rPr>
              <w:t>主要由形成的HF再与含硅成分反应产生。在烧结砖生产中，焙烧段产生的含氟烟气通常先流向干燥段干燥预热砖坯，此处的砖坯可吸附烟气中的氟化物；一般被吸附的氟化物（以HF为主）会与砖坯中CaO反应生成CaF</w:t>
            </w:r>
            <w:r>
              <w:rPr>
                <w:rFonts w:hint="eastAsia"/>
                <w:color w:val="auto"/>
                <w:sz w:val="24"/>
                <w:szCs w:val="24"/>
                <w:vertAlign w:val="subscript"/>
              </w:rPr>
              <w:t>2</w:t>
            </w:r>
            <w:r>
              <w:rPr>
                <w:rFonts w:hint="eastAsia"/>
                <w:color w:val="auto"/>
                <w:sz w:val="24"/>
                <w:szCs w:val="24"/>
              </w:rPr>
              <w:t>，当砖坯进入焙烧带、保温带烧制时，仅有极少数CaF</w:t>
            </w:r>
            <w:r>
              <w:rPr>
                <w:rFonts w:hint="eastAsia"/>
                <w:color w:val="auto"/>
                <w:sz w:val="24"/>
                <w:szCs w:val="24"/>
                <w:vertAlign w:val="subscript"/>
              </w:rPr>
              <w:t>2</w:t>
            </w:r>
            <w:r>
              <w:rPr>
                <w:rFonts w:hint="eastAsia"/>
                <w:color w:val="auto"/>
                <w:sz w:val="24"/>
                <w:szCs w:val="24"/>
              </w:rPr>
              <w:t>分</w:t>
            </w:r>
            <w:r>
              <w:rPr>
                <w:rFonts w:hint="eastAsia"/>
                <w:color w:val="auto"/>
                <w:sz w:val="24"/>
                <w:szCs w:val="24"/>
                <w:lang w:val="en-US" w:eastAsia="zh-CN"/>
              </w:rPr>
              <w:t>解析</w:t>
            </w:r>
            <w:r>
              <w:rPr>
                <w:rFonts w:hint="eastAsia"/>
                <w:color w:val="auto"/>
                <w:sz w:val="24"/>
                <w:szCs w:val="24"/>
              </w:rPr>
              <w:t>出HF，其余部分则存留于砖中（特别是砖的表层）。生石灰等钙基物料固氟效果较好，可使砖坯存氟率由约25%-30%增至70%以上，且不影响砖制品质量。本项目煤矸石原料中CaO、MgO、SiO</w:t>
            </w:r>
            <w:r>
              <w:rPr>
                <w:rFonts w:hint="eastAsia"/>
                <w:color w:val="auto"/>
                <w:sz w:val="24"/>
                <w:szCs w:val="24"/>
                <w:vertAlign w:val="subscript"/>
              </w:rPr>
              <w:t>2</w:t>
            </w:r>
            <w:r>
              <w:rPr>
                <w:rFonts w:hint="eastAsia"/>
                <w:color w:val="auto"/>
                <w:sz w:val="24"/>
                <w:szCs w:val="24"/>
              </w:rPr>
              <w:t>等碱性物质，可以起到较好的固氟作用，本评价砖坯</w:t>
            </w:r>
            <w:r>
              <w:rPr>
                <w:rFonts w:hint="eastAsia"/>
                <w:color w:val="auto"/>
                <w:sz w:val="24"/>
                <w:szCs w:val="24"/>
                <w:lang w:val="en-US" w:eastAsia="zh-CN"/>
              </w:rPr>
              <w:t>固</w:t>
            </w:r>
            <w:r>
              <w:rPr>
                <w:rFonts w:hint="eastAsia"/>
                <w:color w:val="auto"/>
                <w:sz w:val="24"/>
                <w:szCs w:val="24"/>
              </w:rPr>
              <w:t>氟率按70%计算。经核算，隧道窑废气中氟化物（以F计）产生量为</w:t>
            </w:r>
            <w:r>
              <w:rPr>
                <w:rFonts w:hint="eastAsia"/>
                <w:color w:val="auto"/>
                <w:sz w:val="24"/>
                <w:szCs w:val="24"/>
                <w:lang w:val="en-US" w:eastAsia="zh-CN"/>
              </w:rPr>
              <w:t>0.73</w:t>
            </w:r>
            <w:r>
              <w:rPr>
                <w:rFonts w:hint="eastAsia"/>
                <w:color w:val="auto"/>
                <w:sz w:val="24"/>
                <w:szCs w:val="24"/>
              </w:rPr>
              <w:t>t/a</w:t>
            </w:r>
            <w:r>
              <w:rPr>
                <w:rFonts w:hint="eastAsia"/>
                <w:color w:val="auto"/>
                <w:sz w:val="24"/>
                <w:szCs w:val="24"/>
                <w:lang w:eastAsia="zh-CN"/>
              </w:rPr>
              <w:t>（</w:t>
            </w:r>
            <w:r>
              <w:rPr>
                <w:rFonts w:hint="eastAsia"/>
                <w:color w:val="auto"/>
                <w:sz w:val="24"/>
                <w:szCs w:val="24"/>
                <w:lang w:val="en-US" w:eastAsia="zh-CN"/>
              </w:rPr>
              <w:t>0.101</w:t>
            </w:r>
            <w:r>
              <w:rPr>
                <w:rFonts w:hint="eastAsia"/>
                <w:color w:val="auto"/>
                <w:sz w:val="24"/>
                <w:szCs w:val="24"/>
              </w:rPr>
              <w:t>kg/h</w:t>
            </w:r>
            <w:r>
              <w:rPr>
                <w:rFonts w:hint="eastAsia"/>
                <w:color w:val="auto"/>
                <w:sz w:val="24"/>
                <w:szCs w:val="24"/>
                <w:lang w:eastAsia="zh-CN"/>
              </w:rPr>
              <w:t>）</w:t>
            </w:r>
            <w:r>
              <w:rPr>
                <w:rFonts w:hint="eastAsia"/>
                <w:color w:val="auto"/>
                <w:sz w:val="24"/>
                <w:szCs w:val="24"/>
              </w:rPr>
              <w:t>，</w:t>
            </w:r>
            <w:r>
              <w:rPr>
                <w:rFonts w:hint="eastAsia"/>
                <w:color w:val="auto"/>
                <w:sz w:val="24"/>
                <w:szCs w:val="24"/>
                <w:lang w:val="en-US" w:eastAsia="zh-CN"/>
              </w:rPr>
              <w:t>项目SNCR脱硝+袋式除尘+湿法脱硫烟气处理设施</w:t>
            </w:r>
            <w:r>
              <w:rPr>
                <w:rFonts w:hint="eastAsia"/>
                <w:color w:val="auto"/>
                <w:sz w:val="24"/>
                <w:szCs w:val="24"/>
              </w:rPr>
              <w:t>协同去除氟化物的效率为</w:t>
            </w:r>
            <w:r>
              <w:rPr>
                <w:rFonts w:hint="eastAsia"/>
                <w:color w:val="auto"/>
                <w:sz w:val="24"/>
                <w:szCs w:val="24"/>
                <w:lang w:val="en-US" w:eastAsia="zh-CN"/>
              </w:rPr>
              <w:t>70</w:t>
            </w:r>
            <w:r>
              <w:rPr>
                <w:rFonts w:hint="eastAsia"/>
                <w:color w:val="auto"/>
                <w:sz w:val="24"/>
                <w:szCs w:val="24"/>
              </w:rPr>
              <w:t>%，则最终排气筒出口氟化物（以F计）排放量为</w:t>
            </w:r>
            <w:r>
              <w:rPr>
                <w:rFonts w:hint="eastAsia"/>
                <w:color w:val="auto"/>
                <w:sz w:val="24"/>
                <w:szCs w:val="24"/>
                <w:lang w:val="en-US" w:eastAsia="zh-CN"/>
              </w:rPr>
              <w:t>0.219</w:t>
            </w:r>
            <w:r>
              <w:rPr>
                <w:rFonts w:hint="eastAsia"/>
                <w:color w:val="auto"/>
                <w:sz w:val="24"/>
                <w:szCs w:val="24"/>
              </w:rPr>
              <w:t>t/a</w:t>
            </w:r>
            <w:r>
              <w:rPr>
                <w:rFonts w:hint="eastAsia"/>
                <w:color w:val="auto"/>
                <w:sz w:val="24"/>
                <w:szCs w:val="24"/>
                <w:lang w:eastAsia="zh-CN"/>
              </w:rPr>
              <w:t>（</w:t>
            </w:r>
            <w:r>
              <w:rPr>
                <w:rFonts w:hint="eastAsia"/>
                <w:color w:val="auto"/>
                <w:sz w:val="24"/>
                <w:szCs w:val="24"/>
                <w:lang w:val="en-US" w:eastAsia="zh-CN"/>
              </w:rPr>
              <w:t>0.03</w:t>
            </w:r>
            <w:r>
              <w:rPr>
                <w:rFonts w:hint="eastAsia"/>
                <w:color w:val="auto"/>
                <w:sz w:val="24"/>
                <w:szCs w:val="24"/>
              </w:rPr>
              <w:t>kg/h</w:t>
            </w:r>
            <w:r>
              <w:rPr>
                <w:rFonts w:hint="eastAsia"/>
                <w:color w:val="auto"/>
                <w:sz w:val="24"/>
                <w:szCs w:val="24"/>
                <w:lang w:eastAsia="zh-CN"/>
              </w:rPr>
              <w:t>）。</w:t>
            </w:r>
          </w:p>
          <w:p>
            <w:pPr>
              <w:pStyle w:val="60"/>
              <w:ind w:firstLine="420"/>
              <w:rPr>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3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③</w:t>
            </w:r>
            <w:r>
              <w:rPr>
                <w:rFonts w:hint="default" w:ascii="Times New Roman" w:hAnsi="Times New Roman" w:cs="Times New Roman"/>
                <w:color w:val="auto"/>
                <w:sz w:val="24"/>
                <w:szCs w:val="24"/>
              </w:rPr>
              <w:fldChar w:fldCharType="end"/>
            </w:r>
            <w:r>
              <w:rPr>
                <w:color w:val="auto"/>
                <w:sz w:val="24"/>
                <w:szCs w:val="24"/>
              </w:rPr>
              <w:t>废气排放情况</w:t>
            </w:r>
          </w:p>
          <w:p>
            <w:pPr>
              <w:pStyle w:val="60"/>
              <w:ind w:firstLine="420"/>
              <w:rPr>
                <w:color w:val="auto"/>
                <w:sz w:val="24"/>
                <w:szCs w:val="24"/>
              </w:rPr>
            </w:pPr>
            <w:r>
              <w:rPr>
                <w:color w:val="auto"/>
                <w:sz w:val="24"/>
                <w:szCs w:val="24"/>
              </w:rPr>
              <w:t>项目隧道窑焙烧烟气</w:t>
            </w:r>
            <w:r>
              <w:rPr>
                <w:rFonts w:hint="eastAsia"/>
                <w:color w:val="auto"/>
                <w:sz w:val="24"/>
                <w:szCs w:val="24"/>
                <w:lang w:val="en-US" w:eastAsia="zh-CN"/>
              </w:rPr>
              <w:t>由引风机送至废气处理设施进行处理，</w:t>
            </w:r>
            <w:r>
              <w:rPr>
                <w:color w:val="auto"/>
                <w:sz w:val="24"/>
              </w:rPr>
              <w:t>隧道窑废气拟采用1套</w:t>
            </w:r>
            <w:r>
              <w:rPr>
                <w:rFonts w:hint="eastAsia"/>
                <w:color w:val="auto"/>
                <w:sz w:val="24"/>
                <w:lang w:val="en-US" w:eastAsia="zh-CN"/>
              </w:rPr>
              <w:t>SNCR脱硝+袋式除尘+</w:t>
            </w:r>
            <w:r>
              <w:rPr>
                <w:color w:val="auto"/>
                <w:sz w:val="24"/>
              </w:rPr>
              <w:t>湿</w:t>
            </w:r>
            <w:r>
              <w:rPr>
                <w:rFonts w:hint="eastAsia"/>
                <w:color w:val="auto"/>
                <w:sz w:val="24"/>
                <w:lang w:val="en-US" w:eastAsia="zh-CN"/>
              </w:rPr>
              <w:t>法</w:t>
            </w:r>
            <w:r>
              <w:rPr>
                <w:rFonts w:hint="eastAsia"/>
                <w:color w:val="auto"/>
                <w:sz w:val="24"/>
                <w:lang w:eastAsia="zh-CN"/>
              </w:rPr>
              <w:t>（</w:t>
            </w:r>
            <w:r>
              <w:rPr>
                <w:rFonts w:hint="eastAsia"/>
                <w:color w:val="auto"/>
                <w:sz w:val="24"/>
                <w:lang w:val="en-US" w:eastAsia="zh-CN"/>
              </w:rPr>
              <w:t>喷淋</w:t>
            </w:r>
            <w:r>
              <w:rPr>
                <w:rFonts w:hint="eastAsia"/>
                <w:color w:val="auto"/>
                <w:sz w:val="24"/>
                <w:lang w:eastAsia="zh-CN"/>
              </w:rPr>
              <w:t>）</w:t>
            </w:r>
            <w:r>
              <w:rPr>
                <w:color w:val="auto"/>
                <w:sz w:val="24"/>
              </w:rPr>
              <w:t>脱硫</w:t>
            </w:r>
            <w:r>
              <w:rPr>
                <w:rFonts w:hint="eastAsia"/>
                <w:color w:val="auto"/>
                <w:sz w:val="24"/>
                <w:lang w:val="en-US" w:eastAsia="zh-CN"/>
              </w:rPr>
              <w:t>并协同脱氟</w:t>
            </w:r>
            <w:r>
              <w:rPr>
                <w:color w:val="auto"/>
                <w:sz w:val="24"/>
              </w:rPr>
              <w:t>装置处理</w:t>
            </w:r>
            <w:r>
              <w:rPr>
                <w:rFonts w:hint="default" w:ascii="Times New Roman" w:hAnsi="Times New Roman" w:cs="Times New Roman"/>
                <w:color w:val="auto"/>
                <w:sz w:val="24"/>
                <w:szCs w:val="24"/>
                <w:highlight w:val="none"/>
                <w:lang w:eastAsia="zh-CN"/>
              </w:rPr>
              <w:t>。该治理工艺</w:t>
            </w:r>
            <w:r>
              <w:rPr>
                <w:rFonts w:hint="default" w:ascii="Times New Roman" w:hAnsi="Times New Roman" w:cs="Times New Roman"/>
                <w:color w:val="auto"/>
                <w:sz w:val="24"/>
                <w:szCs w:val="24"/>
                <w:highlight w:val="none"/>
              </w:rPr>
              <w:t>除硫效率为</w:t>
            </w:r>
            <w:r>
              <w:rPr>
                <w:rFonts w:hint="eastAsia" w:cs="Times New Roman"/>
                <w:color w:val="auto"/>
                <w:sz w:val="24"/>
                <w:szCs w:val="24"/>
                <w:highlight w:val="none"/>
                <w:lang w:val="en-US" w:eastAsia="zh-CN"/>
              </w:rPr>
              <w:t>95</w:t>
            </w:r>
            <w:r>
              <w:rPr>
                <w:rFonts w:hint="default" w:ascii="Times New Roman" w:hAnsi="Times New Roman" w:cs="Times New Roman"/>
                <w:color w:val="auto"/>
                <w:sz w:val="24"/>
                <w:szCs w:val="24"/>
                <w:highlight w:val="none"/>
              </w:rPr>
              <w:t>%、除尘效率为</w:t>
            </w:r>
            <w:r>
              <w:rPr>
                <w:rFonts w:hint="eastAsia" w:ascii="Times New Roman" w:hAnsi="Times New Roman" w:cs="Times New Roman"/>
                <w:color w:val="auto"/>
                <w:sz w:val="24"/>
                <w:szCs w:val="24"/>
                <w:highlight w:val="none"/>
                <w:lang w:val="en-US" w:eastAsia="zh-CN"/>
              </w:rPr>
              <w:t>98</w:t>
            </w:r>
            <w:r>
              <w:rPr>
                <w:rFonts w:hint="default" w:ascii="Times New Roman" w:hAnsi="Times New Roman" w:cs="Times New Roman"/>
                <w:color w:val="auto"/>
                <w:sz w:val="24"/>
                <w:szCs w:val="24"/>
                <w:highlight w:val="none"/>
              </w:rPr>
              <w:t>%、脱硝效率为</w:t>
            </w:r>
            <w:r>
              <w:rPr>
                <w:rFonts w:hint="eastAsia" w:cs="Times New Roman"/>
                <w:color w:val="auto"/>
                <w:sz w:val="24"/>
                <w:szCs w:val="24"/>
                <w:highlight w:val="none"/>
                <w:lang w:eastAsia="zh-CN"/>
              </w:rPr>
              <w:t>50%</w:t>
            </w:r>
            <w:r>
              <w:rPr>
                <w:rFonts w:hint="default" w:ascii="Times New Roman" w:hAnsi="Times New Roman" w:cs="Times New Roman"/>
                <w:color w:val="auto"/>
                <w:sz w:val="24"/>
                <w:szCs w:val="24"/>
                <w:highlight w:val="none"/>
              </w:rPr>
              <w:t>、湿法脱氟法对氟化物脱除效率为</w:t>
            </w:r>
            <w:r>
              <w:rPr>
                <w:rFonts w:hint="eastAsia" w:cs="Times New Roman"/>
                <w:color w:val="auto"/>
                <w:sz w:val="24"/>
                <w:szCs w:val="24"/>
                <w:highlight w:val="none"/>
                <w:lang w:val="en-US" w:eastAsia="zh-CN"/>
              </w:rPr>
              <w:t>70</w:t>
            </w:r>
            <w:r>
              <w:rPr>
                <w:rFonts w:hint="default" w:ascii="Times New Roman" w:hAnsi="Times New Roman" w:cs="Times New Roman"/>
                <w:color w:val="auto"/>
                <w:sz w:val="24"/>
                <w:szCs w:val="24"/>
                <w:highlight w:val="none"/>
              </w:rPr>
              <w:t>%以上。</w:t>
            </w:r>
            <w:r>
              <w:rPr>
                <w:color w:val="auto"/>
                <w:sz w:val="24"/>
                <w:szCs w:val="24"/>
              </w:rPr>
              <w:t>处理后的烟气经</w:t>
            </w:r>
            <w:r>
              <w:rPr>
                <w:rFonts w:hint="eastAsia"/>
                <w:color w:val="auto"/>
                <w:sz w:val="24"/>
                <w:szCs w:val="24"/>
                <w:lang w:val="en-US" w:eastAsia="zh-CN"/>
              </w:rPr>
              <w:t>33</w:t>
            </w:r>
            <w:r>
              <w:rPr>
                <w:color w:val="auto"/>
                <w:sz w:val="24"/>
                <w:szCs w:val="24"/>
              </w:rPr>
              <w:t>m排气筒</w:t>
            </w:r>
            <w:r>
              <w:rPr>
                <w:rFonts w:hint="eastAsia"/>
                <w:color w:val="auto"/>
                <w:sz w:val="24"/>
                <w:szCs w:val="24"/>
              </w:rPr>
              <w:t>（DA</w:t>
            </w:r>
            <w:r>
              <w:rPr>
                <w:color w:val="auto"/>
                <w:sz w:val="24"/>
                <w:szCs w:val="24"/>
              </w:rPr>
              <w:t>002</w:t>
            </w:r>
            <w:r>
              <w:rPr>
                <w:rFonts w:hint="eastAsia"/>
                <w:color w:val="auto"/>
                <w:sz w:val="24"/>
                <w:szCs w:val="24"/>
              </w:rPr>
              <w:t>）</w:t>
            </w:r>
            <w:r>
              <w:rPr>
                <w:color w:val="auto"/>
                <w:sz w:val="24"/>
                <w:szCs w:val="24"/>
              </w:rPr>
              <w:t>排放。</w:t>
            </w:r>
          </w:p>
          <w:p>
            <w:pPr>
              <w:pStyle w:val="60"/>
              <w:ind w:firstLine="420"/>
              <w:rPr>
                <w:color w:val="auto"/>
                <w:sz w:val="24"/>
                <w:szCs w:val="24"/>
              </w:rPr>
            </w:pPr>
            <w:r>
              <w:rPr>
                <w:color w:val="auto"/>
                <w:sz w:val="24"/>
                <w:szCs w:val="24"/>
              </w:rPr>
              <w:t>根据《排放源统计调查产排污核算方法和系数手册》（303砖瓦、石材等建筑材料制造行业系数手册）</w:t>
            </w:r>
            <w:r>
              <w:rPr>
                <w:color w:val="auto"/>
                <w:sz w:val="24"/>
              </w:rPr>
              <w:t>，</w:t>
            </w:r>
            <w:r>
              <w:rPr>
                <w:rFonts w:hint="eastAsia"/>
                <w:color w:val="auto"/>
                <w:sz w:val="24"/>
                <w:lang w:val="en-US" w:eastAsia="zh-CN"/>
              </w:rPr>
              <w:t>SNCR</w:t>
            </w:r>
            <w:r>
              <w:rPr>
                <w:color w:val="auto"/>
                <w:sz w:val="24"/>
              </w:rPr>
              <w:t>脱硝对NO</w:t>
            </w:r>
            <w:r>
              <w:rPr>
                <w:i/>
                <w:iCs/>
                <w:color w:val="auto"/>
                <w:sz w:val="24"/>
              </w:rPr>
              <w:t>x</w:t>
            </w:r>
            <w:r>
              <w:rPr>
                <w:color w:val="auto"/>
                <w:sz w:val="24"/>
              </w:rPr>
              <w:t>去除效率为</w:t>
            </w:r>
            <w:r>
              <w:rPr>
                <w:rFonts w:hint="eastAsia"/>
                <w:color w:val="auto"/>
                <w:sz w:val="24"/>
                <w:lang w:val="en-US" w:eastAsia="zh-CN"/>
              </w:rPr>
              <w:t>60</w:t>
            </w:r>
            <w:r>
              <w:rPr>
                <w:rFonts w:hint="eastAsia"/>
                <w:color w:val="auto"/>
                <w:sz w:val="24"/>
              </w:rPr>
              <w:t>%</w:t>
            </w:r>
            <w:r>
              <w:rPr>
                <w:rFonts w:hint="eastAsia"/>
                <w:color w:val="auto"/>
                <w:sz w:val="24"/>
                <w:lang w:eastAsia="zh-CN"/>
              </w:rPr>
              <w:t>、</w:t>
            </w:r>
            <w:r>
              <w:rPr>
                <w:rFonts w:hint="eastAsia"/>
                <w:color w:val="auto"/>
                <w:sz w:val="24"/>
                <w:lang w:val="en-US" w:eastAsia="zh-CN"/>
              </w:rPr>
              <w:t>袋式除尘效率为98%、湿法（喷淋）脱硫</w:t>
            </w:r>
            <w:r>
              <w:rPr>
                <w:color w:val="auto"/>
                <w:sz w:val="24"/>
              </w:rPr>
              <w:t>对SO</w:t>
            </w:r>
            <w:r>
              <w:rPr>
                <w:color w:val="auto"/>
                <w:sz w:val="24"/>
                <w:vertAlign w:val="subscript"/>
              </w:rPr>
              <w:t>2</w:t>
            </w:r>
            <w:r>
              <w:rPr>
                <w:color w:val="auto"/>
                <w:sz w:val="24"/>
              </w:rPr>
              <w:t>去除效率为</w:t>
            </w:r>
            <w:r>
              <w:rPr>
                <w:rFonts w:hint="eastAsia"/>
                <w:color w:val="auto"/>
                <w:sz w:val="24"/>
              </w:rPr>
              <w:t>95%同时对氟化物去除效率可达7</w:t>
            </w:r>
            <w:r>
              <w:rPr>
                <w:color w:val="auto"/>
                <w:sz w:val="24"/>
              </w:rPr>
              <w:t>0</w:t>
            </w:r>
            <w:r>
              <w:rPr>
                <w:rFonts w:hint="eastAsia"/>
                <w:color w:val="auto"/>
                <w:sz w:val="24"/>
              </w:rPr>
              <w:t>%，</w:t>
            </w:r>
            <w:r>
              <w:rPr>
                <w:rFonts w:hint="eastAsia"/>
                <w:color w:val="auto"/>
                <w:sz w:val="24"/>
                <w:lang w:val="en-US" w:eastAsia="zh-CN"/>
              </w:rPr>
              <w:t>本项目脱硫塔风机风量为16320m</w:t>
            </w:r>
            <w:r>
              <w:rPr>
                <w:rFonts w:hint="eastAsia"/>
                <w:color w:val="auto"/>
                <w:sz w:val="24"/>
                <w:vertAlign w:val="superscript"/>
                <w:lang w:val="en-US" w:eastAsia="zh-CN"/>
              </w:rPr>
              <w:t>3</w:t>
            </w:r>
            <w:r>
              <w:rPr>
                <w:rFonts w:hint="eastAsia"/>
                <w:color w:val="auto"/>
                <w:sz w:val="24"/>
                <w:lang w:val="en-US" w:eastAsia="zh-CN"/>
              </w:rPr>
              <w:t>/h，袋式</w:t>
            </w:r>
            <w:r>
              <w:rPr>
                <w:rFonts w:hint="eastAsia"/>
                <w:color w:val="auto"/>
                <w:sz w:val="24"/>
              </w:rPr>
              <w:t>除尘</w:t>
            </w:r>
            <w:r>
              <w:rPr>
                <w:color w:val="auto"/>
                <w:sz w:val="24"/>
              </w:rPr>
              <w:t>对颗粒物去除效率为</w:t>
            </w:r>
            <w:r>
              <w:rPr>
                <w:rFonts w:hint="eastAsia"/>
                <w:color w:val="auto"/>
                <w:sz w:val="24"/>
              </w:rPr>
              <w:t>98</w:t>
            </w:r>
            <w:r>
              <w:rPr>
                <w:color w:val="auto"/>
                <w:sz w:val="24"/>
              </w:rPr>
              <w:t>%；则处理后隧道窑烟气污染物排放情况</w:t>
            </w:r>
            <w:r>
              <w:rPr>
                <w:rFonts w:hint="eastAsia"/>
                <w:color w:val="auto"/>
                <w:sz w:val="24"/>
              </w:rPr>
              <w:t>为</w:t>
            </w:r>
            <w:r>
              <w:rPr>
                <w:color w:val="auto"/>
                <w:sz w:val="24"/>
              </w:rPr>
              <w:t>SO</w:t>
            </w:r>
            <w:r>
              <w:rPr>
                <w:color w:val="auto"/>
                <w:sz w:val="24"/>
                <w:vertAlign w:val="subscript"/>
              </w:rPr>
              <w:t>2</w:t>
            </w:r>
            <w:r>
              <w:rPr>
                <w:rFonts w:hint="eastAsia"/>
                <w:color w:val="auto"/>
                <w:sz w:val="24"/>
                <w:vertAlign w:val="baseline"/>
                <w:lang w:val="en-US" w:eastAsia="zh-CN"/>
              </w:rPr>
              <w:t>4.44</w:t>
            </w:r>
            <w:r>
              <w:rPr>
                <w:rFonts w:hint="eastAsia"/>
                <w:color w:val="auto"/>
                <w:sz w:val="24"/>
              </w:rPr>
              <w:t>t/a、0.61</w:t>
            </w:r>
            <w:r>
              <w:rPr>
                <w:rFonts w:hint="eastAsia"/>
                <w:color w:val="auto"/>
                <w:sz w:val="24"/>
                <w:lang w:val="en-US" w:eastAsia="zh-CN"/>
              </w:rPr>
              <w:t>6</w:t>
            </w:r>
            <w:r>
              <w:rPr>
                <w:rFonts w:hint="eastAsia"/>
                <w:color w:val="auto"/>
                <w:sz w:val="24"/>
              </w:rPr>
              <w:t>kg/h、</w:t>
            </w:r>
            <w:r>
              <w:rPr>
                <w:rFonts w:hint="eastAsia"/>
                <w:color w:val="auto"/>
                <w:sz w:val="24"/>
                <w:lang w:val="en-US" w:eastAsia="zh-CN"/>
              </w:rPr>
              <w:t>37.75</w:t>
            </w:r>
            <w:r>
              <w:rPr>
                <w:rFonts w:hint="eastAsia"/>
                <w:color w:val="auto"/>
                <w:sz w:val="24"/>
              </w:rPr>
              <w:t>mg/m</w:t>
            </w:r>
            <w:r>
              <w:rPr>
                <w:rFonts w:hint="eastAsia"/>
                <w:color w:val="auto"/>
                <w:sz w:val="24"/>
                <w:vertAlign w:val="superscript"/>
              </w:rPr>
              <w:t>3</w:t>
            </w:r>
            <w:r>
              <w:rPr>
                <w:rFonts w:hint="eastAsia"/>
                <w:color w:val="auto"/>
                <w:sz w:val="24"/>
              </w:rPr>
              <w:t>；</w:t>
            </w:r>
            <w:r>
              <w:rPr>
                <w:color w:val="auto"/>
                <w:sz w:val="24"/>
              </w:rPr>
              <w:t>NO</w:t>
            </w:r>
            <w:r>
              <w:rPr>
                <w:i/>
                <w:iCs/>
                <w:color w:val="auto"/>
                <w:sz w:val="24"/>
              </w:rPr>
              <w:t>x</w:t>
            </w:r>
            <w:r>
              <w:rPr>
                <w:rFonts w:hint="eastAsia"/>
                <w:color w:val="auto"/>
                <w:sz w:val="24"/>
                <w:lang w:val="en-US" w:eastAsia="zh-CN"/>
              </w:rPr>
              <w:t>3.84</w:t>
            </w:r>
            <w:r>
              <w:rPr>
                <w:rFonts w:hint="eastAsia"/>
                <w:color w:val="auto"/>
                <w:sz w:val="24"/>
              </w:rPr>
              <w:t>t/a、0.</w:t>
            </w:r>
            <w:r>
              <w:rPr>
                <w:rFonts w:hint="eastAsia"/>
                <w:color w:val="auto"/>
                <w:sz w:val="24"/>
                <w:lang w:val="en-US" w:eastAsia="zh-CN"/>
              </w:rPr>
              <w:t>53</w:t>
            </w:r>
            <w:r>
              <w:rPr>
                <w:rFonts w:hint="eastAsia"/>
                <w:color w:val="auto"/>
                <w:sz w:val="24"/>
              </w:rPr>
              <w:t>kg/h、</w:t>
            </w:r>
            <w:r>
              <w:rPr>
                <w:rFonts w:hint="eastAsia"/>
                <w:color w:val="auto"/>
                <w:sz w:val="24"/>
                <w:lang w:val="en-US" w:eastAsia="zh-CN"/>
              </w:rPr>
              <w:t>32.48</w:t>
            </w:r>
            <w:r>
              <w:rPr>
                <w:rFonts w:hint="eastAsia"/>
                <w:color w:val="auto"/>
                <w:sz w:val="24"/>
              </w:rPr>
              <w:t>mg/m</w:t>
            </w:r>
            <w:r>
              <w:rPr>
                <w:rFonts w:hint="eastAsia"/>
                <w:color w:val="auto"/>
                <w:sz w:val="24"/>
                <w:vertAlign w:val="superscript"/>
              </w:rPr>
              <w:t>3</w:t>
            </w:r>
            <w:r>
              <w:rPr>
                <w:rFonts w:hint="eastAsia"/>
                <w:color w:val="auto"/>
                <w:sz w:val="24"/>
              </w:rPr>
              <w:t>；</w:t>
            </w:r>
            <w:r>
              <w:rPr>
                <w:color w:val="auto"/>
                <w:sz w:val="24"/>
              </w:rPr>
              <w:t>烟尘</w:t>
            </w:r>
            <w:r>
              <w:rPr>
                <w:rFonts w:hint="eastAsia"/>
                <w:color w:val="auto"/>
                <w:sz w:val="24"/>
              </w:rPr>
              <w:t>0.5</w:t>
            </w:r>
            <w:r>
              <w:rPr>
                <w:rFonts w:hint="eastAsia"/>
                <w:color w:val="auto"/>
                <w:sz w:val="24"/>
                <w:lang w:val="en-US" w:eastAsia="zh-CN"/>
              </w:rPr>
              <w:t>68</w:t>
            </w:r>
            <w:r>
              <w:rPr>
                <w:rFonts w:hint="eastAsia"/>
                <w:color w:val="auto"/>
                <w:sz w:val="24"/>
              </w:rPr>
              <w:t>/a、0.0</w:t>
            </w:r>
            <w:r>
              <w:rPr>
                <w:rFonts w:hint="eastAsia"/>
                <w:color w:val="auto"/>
                <w:sz w:val="24"/>
                <w:lang w:val="en-US" w:eastAsia="zh-CN"/>
              </w:rPr>
              <w:t>79</w:t>
            </w:r>
            <w:r>
              <w:rPr>
                <w:rFonts w:hint="eastAsia"/>
                <w:color w:val="auto"/>
                <w:sz w:val="24"/>
              </w:rPr>
              <w:t>kg/h、</w:t>
            </w:r>
            <w:r>
              <w:rPr>
                <w:rFonts w:hint="eastAsia"/>
                <w:color w:val="auto"/>
                <w:sz w:val="24"/>
                <w:lang w:val="en-US" w:eastAsia="zh-CN"/>
              </w:rPr>
              <w:t>4.84</w:t>
            </w:r>
            <w:r>
              <w:rPr>
                <w:rFonts w:hint="eastAsia"/>
                <w:color w:val="auto"/>
                <w:sz w:val="24"/>
              </w:rPr>
              <w:t>mg/m</w:t>
            </w:r>
            <w:r>
              <w:rPr>
                <w:rFonts w:hint="eastAsia"/>
                <w:color w:val="auto"/>
                <w:sz w:val="24"/>
                <w:vertAlign w:val="superscript"/>
              </w:rPr>
              <w:t>3</w:t>
            </w:r>
            <w:r>
              <w:rPr>
                <w:rFonts w:hint="eastAsia"/>
                <w:color w:val="auto"/>
                <w:sz w:val="24"/>
              </w:rPr>
              <w:t>；氟化物0.219t/a、0.03kg/h、</w:t>
            </w:r>
            <w:r>
              <w:rPr>
                <w:rFonts w:hint="eastAsia"/>
                <w:color w:val="auto"/>
                <w:sz w:val="24"/>
                <w:lang w:val="en-US" w:eastAsia="zh-CN"/>
              </w:rPr>
              <w:t>1.84</w:t>
            </w:r>
            <w:r>
              <w:rPr>
                <w:rFonts w:hint="eastAsia"/>
                <w:color w:val="auto"/>
                <w:sz w:val="24"/>
              </w:rPr>
              <w:t>mg/m</w:t>
            </w:r>
            <w:r>
              <w:rPr>
                <w:rFonts w:hint="eastAsia"/>
                <w:color w:val="auto"/>
                <w:sz w:val="24"/>
                <w:vertAlign w:val="superscript"/>
              </w:rPr>
              <w:t>3</w:t>
            </w:r>
            <w:r>
              <w:rPr>
                <w:rFonts w:hint="eastAsia"/>
                <w:color w:val="auto"/>
                <w:sz w:val="24"/>
              </w:rPr>
              <w:t>本项目废气产排情况见下表</w:t>
            </w:r>
            <w:r>
              <w:rPr>
                <w:color w:val="auto"/>
                <w:sz w:val="24"/>
                <w:szCs w:val="24"/>
              </w:rPr>
              <w:t>。</w:t>
            </w:r>
          </w:p>
          <w:p>
            <w:pPr>
              <w:pStyle w:val="14"/>
              <w:keepNext/>
              <w:spacing w:line="240" w:lineRule="auto"/>
              <w:rPr>
                <w:rFonts w:cs="Times New Roman"/>
                <w:color w:val="auto"/>
              </w:rPr>
            </w:pPr>
            <w:r>
              <w:rPr>
                <w:rFonts w:eastAsia="宋体" w:cs="Times New Roman"/>
                <w:color w:val="auto"/>
              </w:rPr>
              <w:t>表</w:t>
            </w:r>
            <w:r>
              <w:rPr>
                <w:rFonts w:hint="eastAsia" w:eastAsia="宋体" w:cs="Times New Roman"/>
                <w:color w:val="auto"/>
                <w:lang w:val="en-US" w:eastAsia="zh-CN"/>
              </w:rPr>
              <w:t>4-9   本项目废气</w:t>
            </w:r>
            <w:r>
              <w:rPr>
                <w:rFonts w:eastAsia="宋体" w:cs="Times New Roman"/>
                <w:color w:val="auto"/>
              </w:rPr>
              <w:t>产排情况一览表</w:t>
            </w:r>
          </w:p>
          <w:tbl>
            <w:tblPr>
              <w:tblStyle w:val="30"/>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700"/>
              <w:gridCol w:w="762"/>
              <w:gridCol w:w="919"/>
              <w:gridCol w:w="906"/>
              <w:gridCol w:w="1013"/>
              <w:gridCol w:w="775"/>
              <w:gridCol w:w="862"/>
              <w:gridCol w:w="75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14" w:type="dxa"/>
                  <w:gridSpan w:val="2"/>
                  <w:noWrap/>
                  <w:vAlign w:val="center"/>
                </w:tcPr>
                <w:p>
                  <w:pPr>
                    <w:pStyle w:val="57"/>
                    <w:rPr>
                      <w:color w:val="auto"/>
                    </w:rPr>
                  </w:pPr>
                  <w:r>
                    <w:rPr>
                      <w:rFonts w:hint="eastAsia"/>
                      <w:color w:val="auto"/>
                    </w:rPr>
                    <w:t>项目类别</w:t>
                  </w:r>
                </w:p>
              </w:tc>
              <w:tc>
                <w:tcPr>
                  <w:tcW w:w="762" w:type="dxa"/>
                  <w:noWrap/>
                  <w:vAlign w:val="center"/>
                </w:tcPr>
                <w:p>
                  <w:pPr>
                    <w:pStyle w:val="57"/>
                    <w:rPr>
                      <w:color w:val="auto"/>
                    </w:rPr>
                  </w:pPr>
                  <w:r>
                    <w:rPr>
                      <w:color w:val="auto"/>
                    </w:rPr>
                    <w:t>污染物</w:t>
                  </w:r>
                </w:p>
              </w:tc>
              <w:tc>
                <w:tcPr>
                  <w:tcW w:w="919" w:type="dxa"/>
                  <w:noWrap/>
                  <w:vAlign w:val="center"/>
                </w:tcPr>
                <w:p>
                  <w:pPr>
                    <w:pStyle w:val="57"/>
                    <w:rPr>
                      <w:color w:val="auto"/>
                    </w:rPr>
                  </w:pPr>
                  <w:r>
                    <w:rPr>
                      <w:color w:val="auto"/>
                    </w:rPr>
                    <w:t>产生量（t/a）</w:t>
                  </w:r>
                </w:p>
              </w:tc>
              <w:tc>
                <w:tcPr>
                  <w:tcW w:w="906" w:type="dxa"/>
                  <w:noWrap/>
                  <w:vAlign w:val="center"/>
                </w:tcPr>
                <w:p>
                  <w:pPr>
                    <w:pStyle w:val="57"/>
                    <w:rPr>
                      <w:color w:val="auto"/>
                    </w:rPr>
                  </w:pPr>
                  <w:r>
                    <w:rPr>
                      <w:rFonts w:hint="eastAsia"/>
                      <w:color w:val="auto"/>
                    </w:rPr>
                    <w:t>产生</w:t>
                  </w:r>
                </w:p>
                <w:p>
                  <w:pPr>
                    <w:pStyle w:val="57"/>
                    <w:rPr>
                      <w:color w:val="auto"/>
                    </w:rPr>
                  </w:pPr>
                  <w:r>
                    <w:rPr>
                      <w:rFonts w:hint="eastAsia"/>
                      <w:color w:val="auto"/>
                    </w:rPr>
                    <w:t>速率（kg/h）</w:t>
                  </w:r>
                </w:p>
              </w:tc>
              <w:tc>
                <w:tcPr>
                  <w:tcW w:w="1013" w:type="dxa"/>
                  <w:noWrap/>
                  <w:vAlign w:val="center"/>
                </w:tcPr>
                <w:p>
                  <w:pPr>
                    <w:pStyle w:val="57"/>
                    <w:rPr>
                      <w:color w:val="auto"/>
                    </w:rPr>
                  </w:pPr>
                  <w:r>
                    <w:rPr>
                      <w:color w:val="auto"/>
                    </w:rPr>
                    <w:t>产生浓度（mg/m</w:t>
                  </w:r>
                  <w:r>
                    <w:rPr>
                      <w:color w:val="auto"/>
                      <w:vertAlign w:val="superscript"/>
                    </w:rPr>
                    <w:t>3</w:t>
                  </w:r>
                  <w:r>
                    <w:rPr>
                      <w:color w:val="auto"/>
                    </w:rPr>
                    <w:t>）</w:t>
                  </w:r>
                </w:p>
              </w:tc>
              <w:tc>
                <w:tcPr>
                  <w:tcW w:w="775" w:type="dxa"/>
                  <w:vAlign w:val="center"/>
                </w:tcPr>
                <w:p>
                  <w:pPr>
                    <w:pStyle w:val="57"/>
                    <w:rPr>
                      <w:color w:val="auto"/>
                    </w:rPr>
                  </w:pPr>
                  <w:r>
                    <w:rPr>
                      <w:color w:val="auto"/>
                    </w:rPr>
                    <w:t>控制措施</w:t>
                  </w:r>
                </w:p>
              </w:tc>
              <w:tc>
                <w:tcPr>
                  <w:tcW w:w="862" w:type="dxa"/>
                  <w:noWrap/>
                  <w:vAlign w:val="center"/>
                </w:tcPr>
                <w:p>
                  <w:pPr>
                    <w:pStyle w:val="57"/>
                    <w:rPr>
                      <w:color w:val="auto"/>
                    </w:rPr>
                  </w:pPr>
                  <w:r>
                    <w:rPr>
                      <w:color w:val="auto"/>
                    </w:rPr>
                    <w:t>排放量（t/a）</w:t>
                  </w:r>
                </w:p>
              </w:tc>
              <w:tc>
                <w:tcPr>
                  <w:tcW w:w="750" w:type="dxa"/>
                  <w:noWrap/>
                  <w:vAlign w:val="center"/>
                </w:tcPr>
                <w:p>
                  <w:pPr>
                    <w:pStyle w:val="57"/>
                    <w:rPr>
                      <w:color w:val="auto"/>
                    </w:rPr>
                  </w:pPr>
                  <w:r>
                    <w:rPr>
                      <w:rFonts w:hint="eastAsia"/>
                      <w:color w:val="auto"/>
                    </w:rPr>
                    <w:t>排放速率（kg/h）</w:t>
                  </w:r>
                </w:p>
              </w:tc>
              <w:tc>
                <w:tcPr>
                  <w:tcW w:w="893" w:type="dxa"/>
                  <w:noWrap/>
                  <w:vAlign w:val="center"/>
                </w:tcPr>
                <w:p>
                  <w:pPr>
                    <w:pStyle w:val="57"/>
                    <w:rPr>
                      <w:color w:val="auto"/>
                    </w:rPr>
                  </w:pPr>
                  <w:r>
                    <w:rPr>
                      <w:color w:val="auto"/>
                    </w:rPr>
                    <w:t>排放浓度（mg/m</w:t>
                  </w:r>
                  <w:r>
                    <w:rPr>
                      <w:color w:val="auto"/>
                      <w:vertAlign w:val="superscript"/>
                    </w:rPr>
                    <w:t>3</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14" w:type="dxa"/>
                  <w:vMerge w:val="restart"/>
                  <w:noWrap/>
                  <w:vAlign w:val="center"/>
                </w:tcPr>
                <w:p>
                  <w:pPr>
                    <w:pStyle w:val="57"/>
                    <w:rPr>
                      <w:color w:val="auto"/>
                    </w:rPr>
                  </w:pPr>
                  <w:r>
                    <w:rPr>
                      <w:rFonts w:hint="eastAsia"/>
                      <w:color w:val="auto"/>
                    </w:rPr>
                    <w:t>有组织废气</w:t>
                  </w:r>
                </w:p>
              </w:tc>
              <w:tc>
                <w:tcPr>
                  <w:tcW w:w="700" w:type="dxa"/>
                  <w:vMerge w:val="restart"/>
                  <w:noWrap/>
                  <w:vAlign w:val="center"/>
                </w:tcPr>
                <w:p>
                  <w:pPr>
                    <w:pStyle w:val="57"/>
                    <w:rPr>
                      <w:color w:val="auto"/>
                    </w:rPr>
                  </w:pPr>
                  <w:r>
                    <w:rPr>
                      <w:rFonts w:hint="eastAsia"/>
                      <w:color w:val="auto"/>
                    </w:rPr>
                    <w:t>隧道窑烟气</w:t>
                  </w:r>
                </w:p>
              </w:tc>
              <w:tc>
                <w:tcPr>
                  <w:tcW w:w="762" w:type="dxa"/>
                  <w:noWrap/>
                  <w:vAlign w:val="center"/>
                </w:tcPr>
                <w:p>
                  <w:pPr>
                    <w:pStyle w:val="57"/>
                    <w:rPr>
                      <w:color w:val="auto"/>
                    </w:rPr>
                  </w:pPr>
                  <w:r>
                    <w:rPr>
                      <w:color w:val="auto"/>
                    </w:rPr>
                    <w:t>SO</w:t>
                  </w:r>
                  <w:r>
                    <w:rPr>
                      <w:color w:val="auto"/>
                      <w:vertAlign w:val="subscript"/>
                    </w:rPr>
                    <w:t>2</w:t>
                  </w:r>
                </w:p>
              </w:tc>
              <w:tc>
                <w:tcPr>
                  <w:tcW w:w="919" w:type="dxa"/>
                  <w:noWrap/>
                  <w:vAlign w:val="center"/>
                </w:tcPr>
                <w:p>
                  <w:pPr>
                    <w:pStyle w:val="57"/>
                    <w:rPr>
                      <w:rFonts w:hint="default" w:eastAsia="宋体"/>
                      <w:color w:val="auto"/>
                      <w:lang w:val="en-US" w:eastAsia="zh-CN"/>
                    </w:rPr>
                  </w:pPr>
                  <w:r>
                    <w:rPr>
                      <w:rFonts w:hint="eastAsia"/>
                      <w:color w:val="auto"/>
                      <w:lang w:val="en-US" w:eastAsia="zh-CN"/>
                    </w:rPr>
                    <w:t>88.8</w:t>
                  </w:r>
                </w:p>
              </w:tc>
              <w:tc>
                <w:tcPr>
                  <w:tcW w:w="906" w:type="dxa"/>
                  <w:noWrap/>
                  <w:vAlign w:val="center"/>
                </w:tcPr>
                <w:p>
                  <w:pPr>
                    <w:pStyle w:val="57"/>
                    <w:rPr>
                      <w:rFonts w:hint="default" w:eastAsia="宋体"/>
                      <w:color w:val="auto"/>
                      <w:lang w:val="en-US" w:eastAsia="zh-CN"/>
                    </w:rPr>
                  </w:pPr>
                  <w:r>
                    <w:rPr>
                      <w:rFonts w:hint="eastAsia"/>
                      <w:color w:val="auto"/>
                      <w:lang w:val="en-US" w:eastAsia="zh-CN"/>
                    </w:rPr>
                    <w:t>12.33</w:t>
                  </w:r>
                </w:p>
              </w:tc>
              <w:tc>
                <w:tcPr>
                  <w:tcW w:w="1013" w:type="dxa"/>
                  <w:noWrap/>
                  <w:vAlign w:val="center"/>
                </w:tcPr>
                <w:p>
                  <w:pPr>
                    <w:pStyle w:val="57"/>
                    <w:rPr>
                      <w:rFonts w:hint="default" w:eastAsia="宋体"/>
                      <w:color w:val="auto"/>
                      <w:lang w:val="en-US" w:eastAsia="zh-CN"/>
                    </w:rPr>
                  </w:pPr>
                  <w:r>
                    <w:rPr>
                      <w:rFonts w:hint="eastAsia"/>
                      <w:color w:val="auto"/>
                      <w:lang w:val="en-US" w:eastAsia="zh-CN"/>
                    </w:rPr>
                    <w:t>755.52</w:t>
                  </w:r>
                </w:p>
              </w:tc>
              <w:tc>
                <w:tcPr>
                  <w:tcW w:w="775" w:type="dxa"/>
                  <w:vMerge w:val="restart"/>
                  <w:vAlign w:val="center"/>
                </w:tcPr>
                <w:p>
                  <w:pPr>
                    <w:pStyle w:val="57"/>
                    <w:rPr>
                      <w:rFonts w:hint="default" w:eastAsia="宋体"/>
                      <w:color w:val="auto"/>
                      <w:lang w:val="en-US" w:eastAsia="zh-CN"/>
                    </w:rPr>
                  </w:pPr>
                  <w:r>
                    <w:rPr>
                      <w:rFonts w:hint="eastAsia"/>
                      <w:color w:val="auto"/>
                      <w:lang w:val="en-US" w:eastAsia="zh-CN"/>
                    </w:rPr>
                    <w:t>SNCR脱硝+袋式除尘+湿法（喷淋）脱硫并协同脱氟</w:t>
                  </w:r>
                </w:p>
              </w:tc>
              <w:tc>
                <w:tcPr>
                  <w:tcW w:w="862" w:type="dxa"/>
                  <w:noWrap/>
                  <w:vAlign w:val="center"/>
                </w:tcPr>
                <w:p>
                  <w:pPr>
                    <w:pStyle w:val="57"/>
                    <w:rPr>
                      <w:rFonts w:hint="default" w:eastAsia="宋体"/>
                      <w:color w:val="auto"/>
                      <w:lang w:val="en-US" w:eastAsia="zh-CN"/>
                    </w:rPr>
                  </w:pPr>
                  <w:r>
                    <w:rPr>
                      <w:rFonts w:hint="eastAsia"/>
                      <w:color w:val="auto"/>
                      <w:lang w:val="en-US" w:eastAsia="zh-CN"/>
                    </w:rPr>
                    <w:t>4.44</w:t>
                  </w:r>
                </w:p>
              </w:tc>
              <w:tc>
                <w:tcPr>
                  <w:tcW w:w="750" w:type="dxa"/>
                  <w:noWrap/>
                  <w:vAlign w:val="center"/>
                </w:tcPr>
                <w:p>
                  <w:pPr>
                    <w:pStyle w:val="57"/>
                    <w:rPr>
                      <w:rFonts w:hint="default" w:eastAsia="宋体"/>
                      <w:color w:val="auto"/>
                      <w:lang w:val="en-US" w:eastAsia="zh-CN"/>
                    </w:rPr>
                  </w:pPr>
                  <w:r>
                    <w:rPr>
                      <w:rFonts w:hint="eastAsia"/>
                      <w:color w:val="auto"/>
                      <w:lang w:val="en-US" w:eastAsia="zh-CN"/>
                    </w:rPr>
                    <w:t>0.616</w:t>
                  </w:r>
                </w:p>
              </w:tc>
              <w:tc>
                <w:tcPr>
                  <w:tcW w:w="893" w:type="dxa"/>
                  <w:noWrap/>
                  <w:vAlign w:val="center"/>
                </w:tcPr>
                <w:p>
                  <w:pPr>
                    <w:pStyle w:val="57"/>
                    <w:rPr>
                      <w:rFonts w:hint="default" w:eastAsia="宋体"/>
                      <w:color w:val="auto"/>
                      <w:lang w:val="en-US" w:eastAsia="zh-CN"/>
                    </w:rPr>
                  </w:pPr>
                  <w:r>
                    <w:rPr>
                      <w:rFonts w:hint="eastAsia"/>
                      <w:color w:val="auto"/>
                      <w:lang w:val="en-US" w:eastAsia="zh-CN"/>
                    </w:rPr>
                    <w:t>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4" w:type="dxa"/>
                  <w:vMerge w:val="continue"/>
                  <w:noWrap/>
                  <w:vAlign w:val="center"/>
                </w:tcPr>
                <w:p>
                  <w:pPr>
                    <w:pStyle w:val="57"/>
                    <w:rPr>
                      <w:color w:val="auto"/>
                    </w:rPr>
                  </w:pPr>
                </w:p>
              </w:tc>
              <w:tc>
                <w:tcPr>
                  <w:tcW w:w="700" w:type="dxa"/>
                  <w:vMerge w:val="continue"/>
                  <w:noWrap/>
                  <w:vAlign w:val="center"/>
                </w:tcPr>
                <w:p>
                  <w:pPr>
                    <w:pStyle w:val="57"/>
                    <w:rPr>
                      <w:color w:val="auto"/>
                    </w:rPr>
                  </w:pPr>
                </w:p>
              </w:tc>
              <w:tc>
                <w:tcPr>
                  <w:tcW w:w="762" w:type="dxa"/>
                  <w:noWrap/>
                  <w:vAlign w:val="center"/>
                </w:tcPr>
                <w:p>
                  <w:pPr>
                    <w:pStyle w:val="57"/>
                    <w:rPr>
                      <w:color w:val="auto"/>
                    </w:rPr>
                  </w:pPr>
                  <w:r>
                    <w:rPr>
                      <w:color w:val="auto"/>
                    </w:rPr>
                    <w:t>NO</w:t>
                  </w:r>
                  <w:r>
                    <w:rPr>
                      <w:i/>
                      <w:iCs/>
                      <w:color w:val="auto"/>
                    </w:rPr>
                    <w:t>x</w:t>
                  </w:r>
                </w:p>
              </w:tc>
              <w:tc>
                <w:tcPr>
                  <w:tcW w:w="919" w:type="dxa"/>
                  <w:noWrap/>
                  <w:vAlign w:val="center"/>
                </w:tcPr>
                <w:p>
                  <w:pPr>
                    <w:pStyle w:val="57"/>
                    <w:rPr>
                      <w:rFonts w:hint="default" w:eastAsia="宋体"/>
                      <w:color w:val="auto"/>
                      <w:lang w:val="en-US" w:eastAsia="zh-CN"/>
                    </w:rPr>
                  </w:pPr>
                  <w:r>
                    <w:rPr>
                      <w:rFonts w:hint="eastAsia"/>
                      <w:color w:val="auto"/>
                      <w:lang w:val="en-US" w:eastAsia="zh-CN"/>
                    </w:rPr>
                    <w:t>9.6</w:t>
                  </w:r>
                </w:p>
              </w:tc>
              <w:tc>
                <w:tcPr>
                  <w:tcW w:w="906" w:type="dxa"/>
                  <w:noWrap/>
                  <w:vAlign w:val="center"/>
                </w:tcPr>
                <w:p>
                  <w:pPr>
                    <w:pStyle w:val="57"/>
                    <w:rPr>
                      <w:rFonts w:hint="default" w:eastAsia="宋体"/>
                      <w:color w:val="auto"/>
                      <w:lang w:val="en-US" w:eastAsia="zh-CN"/>
                    </w:rPr>
                  </w:pPr>
                  <w:r>
                    <w:rPr>
                      <w:rFonts w:hint="eastAsia"/>
                      <w:color w:val="auto"/>
                      <w:lang w:val="en-US" w:eastAsia="zh-CN"/>
                    </w:rPr>
                    <w:t>1.33</w:t>
                  </w:r>
                </w:p>
              </w:tc>
              <w:tc>
                <w:tcPr>
                  <w:tcW w:w="1013" w:type="dxa"/>
                  <w:noWrap/>
                  <w:vAlign w:val="center"/>
                </w:tcPr>
                <w:p>
                  <w:pPr>
                    <w:pStyle w:val="57"/>
                    <w:rPr>
                      <w:rFonts w:hint="default" w:eastAsia="宋体"/>
                      <w:color w:val="auto"/>
                      <w:lang w:val="en-US" w:eastAsia="zh-CN"/>
                    </w:rPr>
                  </w:pPr>
                  <w:r>
                    <w:rPr>
                      <w:rFonts w:hint="eastAsia"/>
                      <w:color w:val="auto"/>
                      <w:lang w:val="en-US" w:eastAsia="zh-CN"/>
                    </w:rPr>
                    <w:t>81.5</w:t>
                  </w:r>
                </w:p>
              </w:tc>
              <w:tc>
                <w:tcPr>
                  <w:tcW w:w="775" w:type="dxa"/>
                  <w:vMerge w:val="continue"/>
                  <w:vAlign w:val="center"/>
                </w:tcPr>
                <w:p>
                  <w:pPr>
                    <w:pStyle w:val="57"/>
                    <w:rPr>
                      <w:color w:val="auto"/>
                    </w:rPr>
                  </w:pPr>
                </w:p>
              </w:tc>
              <w:tc>
                <w:tcPr>
                  <w:tcW w:w="862" w:type="dxa"/>
                  <w:noWrap/>
                  <w:vAlign w:val="center"/>
                </w:tcPr>
                <w:p>
                  <w:pPr>
                    <w:pStyle w:val="57"/>
                    <w:rPr>
                      <w:rFonts w:hint="default" w:eastAsia="宋体"/>
                      <w:color w:val="auto"/>
                      <w:lang w:val="en-US" w:eastAsia="zh-CN"/>
                    </w:rPr>
                  </w:pPr>
                  <w:r>
                    <w:rPr>
                      <w:rFonts w:hint="eastAsia"/>
                      <w:color w:val="auto"/>
                      <w:lang w:val="en-US" w:eastAsia="zh-CN"/>
                    </w:rPr>
                    <w:t>3.84</w:t>
                  </w:r>
                </w:p>
              </w:tc>
              <w:tc>
                <w:tcPr>
                  <w:tcW w:w="750" w:type="dxa"/>
                  <w:noWrap/>
                  <w:vAlign w:val="center"/>
                </w:tcPr>
                <w:p>
                  <w:pPr>
                    <w:pStyle w:val="57"/>
                    <w:rPr>
                      <w:rFonts w:hint="default" w:eastAsia="宋体"/>
                      <w:color w:val="auto"/>
                      <w:lang w:val="en-US" w:eastAsia="zh-CN"/>
                    </w:rPr>
                  </w:pPr>
                  <w:r>
                    <w:rPr>
                      <w:rFonts w:hint="eastAsia"/>
                      <w:color w:val="auto"/>
                      <w:lang w:val="en-US" w:eastAsia="zh-CN"/>
                    </w:rPr>
                    <w:t>0.53</w:t>
                  </w:r>
                </w:p>
              </w:tc>
              <w:tc>
                <w:tcPr>
                  <w:tcW w:w="893" w:type="dxa"/>
                  <w:noWrap/>
                  <w:vAlign w:val="center"/>
                </w:tcPr>
                <w:p>
                  <w:pPr>
                    <w:pStyle w:val="57"/>
                    <w:rPr>
                      <w:rFonts w:hint="default" w:eastAsia="宋体"/>
                      <w:color w:val="auto"/>
                      <w:lang w:val="en-US" w:eastAsia="zh-CN"/>
                    </w:rPr>
                  </w:pPr>
                  <w:r>
                    <w:rPr>
                      <w:rFonts w:hint="eastAsia"/>
                      <w:color w:val="auto"/>
                      <w:lang w:val="en-US" w:eastAsia="zh-CN"/>
                    </w:rPr>
                    <w:t>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4" w:type="dxa"/>
                  <w:vMerge w:val="continue"/>
                  <w:noWrap/>
                  <w:vAlign w:val="center"/>
                </w:tcPr>
                <w:p>
                  <w:pPr>
                    <w:pStyle w:val="57"/>
                    <w:rPr>
                      <w:color w:val="auto"/>
                    </w:rPr>
                  </w:pPr>
                </w:p>
              </w:tc>
              <w:tc>
                <w:tcPr>
                  <w:tcW w:w="700" w:type="dxa"/>
                  <w:vMerge w:val="continue"/>
                  <w:noWrap/>
                  <w:vAlign w:val="center"/>
                </w:tcPr>
                <w:p>
                  <w:pPr>
                    <w:pStyle w:val="57"/>
                    <w:rPr>
                      <w:color w:val="auto"/>
                    </w:rPr>
                  </w:pPr>
                </w:p>
              </w:tc>
              <w:tc>
                <w:tcPr>
                  <w:tcW w:w="762" w:type="dxa"/>
                  <w:noWrap/>
                  <w:vAlign w:val="center"/>
                </w:tcPr>
                <w:p>
                  <w:pPr>
                    <w:pStyle w:val="57"/>
                    <w:rPr>
                      <w:color w:val="auto"/>
                    </w:rPr>
                  </w:pPr>
                  <w:r>
                    <w:rPr>
                      <w:color w:val="auto"/>
                    </w:rPr>
                    <w:t>烟尘</w:t>
                  </w:r>
                </w:p>
              </w:tc>
              <w:tc>
                <w:tcPr>
                  <w:tcW w:w="919" w:type="dxa"/>
                  <w:noWrap/>
                  <w:vAlign w:val="center"/>
                </w:tcPr>
                <w:p>
                  <w:pPr>
                    <w:pStyle w:val="57"/>
                    <w:rPr>
                      <w:rFonts w:hint="default" w:eastAsia="宋体"/>
                      <w:color w:val="auto"/>
                      <w:lang w:val="en-US" w:eastAsia="zh-CN"/>
                    </w:rPr>
                  </w:pPr>
                  <w:r>
                    <w:rPr>
                      <w:rFonts w:hint="eastAsia"/>
                      <w:color w:val="auto"/>
                      <w:lang w:val="en-US" w:eastAsia="zh-CN"/>
                    </w:rPr>
                    <w:t>28.38</w:t>
                  </w:r>
                </w:p>
              </w:tc>
              <w:tc>
                <w:tcPr>
                  <w:tcW w:w="906" w:type="dxa"/>
                  <w:noWrap/>
                  <w:vAlign w:val="center"/>
                </w:tcPr>
                <w:p>
                  <w:pPr>
                    <w:pStyle w:val="57"/>
                    <w:rPr>
                      <w:rFonts w:hint="default" w:eastAsia="宋体"/>
                      <w:color w:val="auto"/>
                      <w:lang w:val="en-US" w:eastAsia="zh-CN"/>
                    </w:rPr>
                  </w:pPr>
                  <w:r>
                    <w:rPr>
                      <w:rFonts w:hint="eastAsia"/>
                      <w:color w:val="auto"/>
                      <w:lang w:val="en-US" w:eastAsia="zh-CN"/>
                    </w:rPr>
                    <w:t>3.942</w:t>
                  </w:r>
                </w:p>
              </w:tc>
              <w:tc>
                <w:tcPr>
                  <w:tcW w:w="1013" w:type="dxa"/>
                  <w:noWrap/>
                  <w:vAlign w:val="center"/>
                </w:tcPr>
                <w:p>
                  <w:pPr>
                    <w:pStyle w:val="57"/>
                    <w:rPr>
                      <w:rFonts w:hint="default" w:eastAsia="宋体"/>
                      <w:color w:val="auto"/>
                      <w:lang w:val="en-US" w:eastAsia="zh-CN"/>
                    </w:rPr>
                  </w:pPr>
                  <w:r>
                    <w:rPr>
                      <w:rFonts w:hint="eastAsia"/>
                      <w:color w:val="auto"/>
                      <w:lang w:val="en-US" w:eastAsia="zh-CN"/>
                    </w:rPr>
                    <w:t>241.51</w:t>
                  </w:r>
                </w:p>
              </w:tc>
              <w:tc>
                <w:tcPr>
                  <w:tcW w:w="775" w:type="dxa"/>
                  <w:vMerge w:val="continue"/>
                  <w:vAlign w:val="center"/>
                </w:tcPr>
                <w:p>
                  <w:pPr>
                    <w:pStyle w:val="57"/>
                    <w:rPr>
                      <w:color w:val="auto"/>
                    </w:rPr>
                  </w:pPr>
                </w:p>
              </w:tc>
              <w:tc>
                <w:tcPr>
                  <w:tcW w:w="862" w:type="dxa"/>
                  <w:noWrap/>
                  <w:vAlign w:val="center"/>
                </w:tcPr>
                <w:p>
                  <w:pPr>
                    <w:pStyle w:val="57"/>
                    <w:rPr>
                      <w:rFonts w:hint="default" w:eastAsia="宋体"/>
                      <w:color w:val="auto"/>
                      <w:lang w:val="en-US" w:eastAsia="zh-CN"/>
                    </w:rPr>
                  </w:pPr>
                  <w:r>
                    <w:rPr>
                      <w:rFonts w:hint="eastAsia"/>
                      <w:color w:val="auto"/>
                      <w:lang w:val="en-US" w:eastAsia="zh-CN"/>
                    </w:rPr>
                    <w:t>0.568</w:t>
                  </w:r>
                </w:p>
              </w:tc>
              <w:tc>
                <w:tcPr>
                  <w:tcW w:w="750" w:type="dxa"/>
                  <w:noWrap/>
                  <w:vAlign w:val="center"/>
                </w:tcPr>
                <w:p>
                  <w:pPr>
                    <w:pStyle w:val="57"/>
                    <w:rPr>
                      <w:rFonts w:hint="default" w:eastAsia="宋体"/>
                      <w:color w:val="auto"/>
                      <w:lang w:val="en-US" w:eastAsia="zh-CN"/>
                    </w:rPr>
                  </w:pPr>
                  <w:r>
                    <w:rPr>
                      <w:rFonts w:hint="eastAsia"/>
                      <w:color w:val="auto"/>
                      <w:lang w:val="en-US" w:eastAsia="zh-CN"/>
                    </w:rPr>
                    <w:t>0.079</w:t>
                  </w:r>
                </w:p>
              </w:tc>
              <w:tc>
                <w:tcPr>
                  <w:tcW w:w="893" w:type="dxa"/>
                  <w:noWrap/>
                  <w:vAlign w:val="center"/>
                </w:tcPr>
                <w:p>
                  <w:pPr>
                    <w:pStyle w:val="57"/>
                    <w:rPr>
                      <w:rFonts w:hint="default" w:eastAsia="宋体"/>
                      <w:color w:val="auto"/>
                      <w:lang w:val="en-US" w:eastAsia="zh-CN"/>
                    </w:rPr>
                  </w:pPr>
                  <w:r>
                    <w:rPr>
                      <w:rFonts w:hint="eastAsia"/>
                      <w:color w:val="auto"/>
                      <w:lang w:val="en-US" w:eastAsia="zh-CN"/>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4" w:type="dxa"/>
                  <w:vMerge w:val="continue"/>
                  <w:noWrap/>
                  <w:vAlign w:val="center"/>
                </w:tcPr>
                <w:p>
                  <w:pPr>
                    <w:pStyle w:val="57"/>
                    <w:rPr>
                      <w:color w:val="auto"/>
                    </w:rPr>
                  </w:pPr>
                </w:p>
              </w:tc>
              <w:tc>
                <w:tcPr>
                  <w:tcW w:w="700" w:type="dxa"/>
                  <w:vMerge w:val="continue"/>
                  <w:noWrap/>
                  <w:vAlign w:val="center"/>
                </w:tcPr>
                <w:p>
                  <w:pPr>
                    <w:pStyle w:val="57"/>
                    <w:rPr>
                      <w:color w:val="auto"/>
                    </w:rPr>
                  </w:pPr>
                </w:p>
              </w:tc>
              <w:tc>
                <w:tcPr>
                  <w:tcW w:w="762" w:type="dxa"/>
                  <w:noWrap/>
                  <w:vAlign w:val="center"/>
                </w:tcPr>
                <w:p>
                  <w:pPr>
                    <w:pStyle w:val="57"/>
                    <w:rPr>
                      <w:color w:val="auto"/>
                    </w:rPr>
                  </w:pPr>
                  <w:r>
                    <w:rPr>
                      <w:rFonts w:hint="eastAsia"/>
                      <w:color w:val="auto"/>
                    </w:rPr>
                    <w:t>氟化物</w:t>
                  </w:r>
                </w:p>
              </w:tc>
              <w:tc>
                <w:tcPr>
                  <w:tcW w:w="919" w:type="dxa"/>
                  <w:noWrap/>
                  <w:vAlign w:val="center"/>
                </w:tcPr>
                <w:p>
                  <w:pPr>
                    <w:pStyle w:val="57"/>
                    <w:rPr>
                      <w:rFonts w:hint="default" w:eastAsia="宋体"/>
                      <w:color w:val="auto"/>
                      <w:lang w:val="en-US" w:eastAsia="zh-CN"/>
                    </w:rPr>
                  </w:pPr>
                  <w:r>
                    <w:rPr>
                      <w:rFonts w:hint="eastAsia"/>
                      <w:color w:val="auto"/>
                      <w:lang w:val="en-US" w:eastAsia="zh-CN"/>
                    </w:rPr>
                    <w:t>0.73</w:t>
                  </w:r>
                </w:p>
              </w:tc>
              <w:tc>
                <w:tcPr>
                  <w:tcW w:w="906" w:type="dxa"/>
                  <w:noWrap/>
                  <w:vAlign w:val="center"/>
                </w:tcPr>
                <w:p>
                  <w:pPr>
                    <w:pStyle w:val="57"/>
                    <w:rPr>
                      <w:rFonts w:hint="default" w:eastAsia="宋体"/>
                      <w:color w:val="auto"/>
                      <w:lang w:val="en-US" w:eastAsia="zh-CN"/>
                    </w:rPr>
                  </w:pPr>
                  <w:r>
                    <w:rPr>
                      <w:rFonts w:hint="eastAsia"/>
                      <w:color w:val="auto"/>
                      <w:lang w:val="en-US" w:eastAsia="zh-CN"/>
                    </w:rPr>
                    <w:t>0.101</w:t>
                  </w:r>
                </w:p>
              </w:tc>
              <w:tc>
                <w:tcPr>
                  <w:tcW w:w="1013" w:type="dxa"/>
                  <w:noWrap/>
                  <w:vAlign w:val="center"/>
                </w:tcPr>
                <w:p>
                  <w:pPr>
                    <w:pStyle w:val="57"/>
                    <w:rPr>
                      <w:rFonts w:hint="default" w:eastAsia="宋体"/>
                      <w:color w:val="auto"/>
                      <w:lang w:val="en-US" w:eastAsia="zh-CN"/>
                    </w:rPr>
                  </w:pPr>
                  <w:r>
                    <w:rPr>
                      <w:rFonts w:hint="eastAsia"/>
                      <w:color w:val="auto"/>
                      <w:lang w:val="en-US" w:eastAsia="zh-CN"/>
                    </w:rPr>
                    <w:t>6.189</w:t>
                  </w:r>
                </w:p>
              </w:tc>
              <w:tc>
                <w:tcPr>
                  <w:tcW w:w="775" w:type="dxa"/>
                  <w:vMerge w:val="continue"/>
                  <w:vAlign w:val="center"/>
                </w:tcPr>
                <w:p>
                  <w:pPr>
                    <w:pStyle w:val="57"/>
                    <w:rPr>
                      <w:color w:val="auto"/>
                    </w:rPr>
                  </w:pPr>
                </w:p>
              </w:tc>
              <w:tc>
                <w:tcPr>
                  <w:tcW w:w="862" w:type="dxa"/>
                  <w:noWrap/>
                  <w:vAlign w:val="center"/>
                </w:tcPr>
                <w:p>
                  <w:pPr>
                    <w:pStyle w:val="57"/>
                    <w:rPr>
                      <w:rFonts w:hint="default" w:eastAsia="宋体"/>
                      <w:color w:val="auto"/>
                      <w:lang w:val="en-US" w:eastAsia="zh-CN"/>
                    </w:rPr>
                  </w:pPr>
                  <w:r>
                    <w:rPr>
                      <w:rFonts w:hint="eastAsia"/>
                      <w:color w:val="auto"/>
                      <w:lang w:val="en-US" w:eastAsia="zh-CN"/>
                    </w:rPr>
                    <w:t>0.219</w:t>
                  </w:r>
                </w:p>
              </w:tc>
              <w:tc>
                <w:tcPr>
                  <w:tcW w:w="750" w:type="dxa"/>
                  <w:noWrap/>
                  <w:vAlign w:val="center"/>
                </w:tcPr>
                <w:p>
                  <w:pPr>
                    <w:pStyle w:val="57"/>
                    <w:rPr>
                      <w:rFonts w:hint="default" w:eastAsia="宋体"/>
                      <w:color w:val="auto"/>
                      <w:lang w:val="en-US" w:eastAsia="zh-CN"/>
                    </w:rPr>
                  </w:pPr>
                  <w:r>
                    <w:rPr>
                      <w:rFonts w:hint="eastAsia"/>
                      <w:color w:val="auto"/>
                      <w:lang w:val="en-US" w:eastAsia="zh-CN"/>
                    </w:rPr>
                    <w:t>0.03</w:t>
                  </w:r>
                </w:p>
              </w:tc>
              <w:tc>
                <w:tcPr>
                  <w:tcW w:w="893" w:type="dxa"/>
                  <w:noWrap/>
                  <w:vAlign w:val="center"/>
                </w:tcPr>
                <w:p>
                  <w:pPr>
                    <w:pStyle w:val="57"/>
                    <w:rPr>
                      <w:rFonts w:hint="default" w:eastAsia="宋体"/>
                      <w:color w:val="auto"/>
                      <w:lang w:val="en-US" w:eastAsia="zh-CN"/>
                    </w:rPr>
                  </w:pPr>
                  <w:r>
                    <w:rPr>
                      <w:rFonts w:hint="eastAsia"/>
                      <w:color w:val="auto"/>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rPr>
                      <w:color w:val="auto"/>
                    </w:rPr>
                  </w:pPr>
                </w:p>
              </w:tc>
              <w:tc>
                <w:tcPr>
                  <w:tcW w:w="700" w:type="dxa"/>
                  <w:noWrap/>
                  <w:vAlign w:val="center"/>
                </w:tcPr>
                <w:p>
                  <w:pPr>
                    <w:pStyle w:val="57"/>
                    <w:rPr>
                      <w:color w:val="auto"/>
                    </w:rPr>
                  </w:pPr>
                  <w:r>
                    <w:rPr>
                      <w:rFonts w:hint="eastAsia"/>
                      <w:color w:val="auto"/>
                    </w:rPr>
                    <w:t>破碎、筛分粉尘</w:t>
                  </w:r>
                </w:p>
              </w:tc>
              <w:tc>
                <w:tcPr>
                  <w:tcW w:w="762" w:type="dxa"/>
                  <w:noWrap/>
                  <w:vAlign w:val="center"/>
                </w:tcPr>
                <w:p>
                  <w:pPr>
                    <w:pStyle w:val="57"/>
                    <w:rPr>
                      <w:color w:val="auto"/>
                    </w:rPr>
                  </w:pPr>
                  <w:r>
                    <w:rPr>
                      <w:rFonts w:hint="eastAsia"/>
                      <w:color w:val="auto"/>
                    </w:rPr>
                    <w:t>颗粒物</w:t>
                  </w:r>
                </w:p>
              </w:tc>
              <w:tc>
                <w:tcPr>
                  <w:tcW w:w="919" w:type="dxa"/>
                  <w:noWrap/>
                  <w:vAlign w:val="center"/>
                </w:tcPr>
                <w:p>
                  <w:pPr>
                    <w:pStyle w:val="57"/>
                    <w:rPr>
                      <w:color w:val="auto"/>
                    </w:rPr>
                  </w:pPr>
                  <w:r>
                    <w:rPr>
                      <w:rFonts w:hint="eastAsia"/>
                      <w:color w:val="auto"/>
                    </w:rPr>
                    <w:t>6.642</w:t>
                  </w:r>
                </w:p>
              </w:tc>
              <w:tc>
                <w:tcPr>
                  <w:tcW w:w="906" w:type="dxa"/>
                  <w:noWrap/>
                  <w:vAlign w:val="center"/>
                </w:tcPr>
                <w:p>
                  <w:pPr>
                    <w:pStyle w:val="57"/>
                    <w:rPr>
                      <w:rFonts w:hint="default" w:eastAsia="宋体"/>
                      <w:color w:val="auto"/>
                      <w:lang w:val="en-US" w:eastAsia="zh-CN"/>
                    </w:rPr>
                  </w:pPr>
                  <w:r>
                    <w:rPr>
                      <w:rFonts w:hint="eastAsia"/>
                      <w:color w:val="auto"/>
                      <w:lang w:val="en-US" w:eastAsia="zh-CN"/>
                    </w:rPr>
                    <w:t>7.38</w:t>
                  </w:r>
                </w:p>
              </w:tc>
              <w:tc>
                <w:tcPr>
                  <w:tcW w:w="1013" w:type="dxa"/>
                  <w:noWrap/>
                  <w:vAlign w:val="center"/>
                </w:tcPr>
                <w:p>
                  <w:pPr>
                    <w:pStyle w:val="57"/>
                    <w:rPr>
                      <w:rFonts w:hint="default" w:eastAsia="宋体"/>
                      <w:color w:val="auto"/>
                      <w:lang w:val="en-US" w:eastAsia="zh-CN"/>
                    </w:rPr>
                  </w:pPr>
                  <w:r>
                    <w:rPr>
                      <w:rFonts w:hint="eastAsia"/>
                      <w:color w:val="auto"/>
                      <w:lang w:val="en-US" w:eastAsia="zh-CN"/>
                    </w:rPr>
                    <w:t>922.5</w:t>
                  </w:r>
                </w:p>
              </w:tc>
              <w:tc>
                <w:tcPr>
                  <w:tcW w:w="775" w:type="dxa"/>
                  <w:vAlign w:val="center"/>
                </w:tcPr>
                <w:p>
                  <w:pPr>
                    <w:pStyle w:val="57"/>
                    <w:rPr>
                      <w:color w:val="auto"/>
                    </w:rPr>
                  </w:pPr>
                  <w:r>
                    <w:rPr>
                      <w:rFonts w:hint="eastAsia"/>
                      <w:color w:val="auto"/>
                    </w:rPr>
                    <w:t>集气罩+袋式除尘</w:t>
                  </w:r>
                </w:p>
              </w:tc>
              <w:tc>
                <w:tcPr>
                  <w:tcW w:w="862" w:type="dxa"/>
                  <w:noWrap/>
                  <w:vAlign w:val="center"/>
                </w:tcPr>
                <w:p>
                  <w:pPr>
                    <w:pStyle w:val="57"/>
                    <w:rPr>
                      <w:color w:val="auto"/>
                    </w:rPr>
                  </w:pPr>
                  <w:r>
                    <w:rPr>
                      <w:rFonts w:hint="eastAsia"/>
                      <w:color w:val="auto"/>
                    </w:rPr>
                    <w:t>0.133</w:t>
                  </w:r>
                </w:p>
              </w:tc>
              <w:tc>
                <w:tcPr>
                  <w:tcW w:w="750"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148</w:t>
                  </w:r>
                </w:p>
              </w:tc>
              <w:tc>
                <w:tcPr>
                  <w:tcW w:w="893" w:type="dxa"/>
                  <w:noWrap/>
                  <w:vAlign w:val="center"/>
                </w:tcPr>
                <w:p>
                  <w:pPr>
                    <w:pStyle w:val="57"/>
                    <w:rPr>
                      <w:rFonts w:hint="default" w:eastAsia="宋体"/>
                      <w:color w:val="auto"/>
                      <w:lang w:val="en-US" w:eastAsia="zh-CN"/>
                    </w:rPr>
                  </w:pPr>
                  <w:r>
                    <w:rPr>
                      <w:rFonts w:hint="eastAsia"/>
                      <w:color w:val="auto"/>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restart"/>
                  <w:noWrap/>
                  <w:vAlign w:val="center"/>
                </w:tcPr>
                <w:p>
                  <w:pPr>
                    <w:pStyle w:val="57"/>
                  </w:pPr>
                  <w:r>
                    <w:rPr>
                      <w:rFonts w:hint="eastAsia"/>
                    </w:rPr>
                    <w:t>无组织废气</w:t>
                  </w:r>
                </w:p>
              </w:tc>
              <w:tc>
                <w:tcPr>
                  <w:tcW w:w="700" w:type="dxa"/>
                  <w:noWrap/>
                  <w:vAlign w:val="center"/>
                </w:tcPr>
                <w:p>
                  <w:pPr>
                    <w:pStyle w:val="57"/>
                    <w:rPr>
                      <w:rFonts w:hint="default" w:eastAsia="宋体"/>
                      <w:color w:val="auto"/>
                      <w:lang w:val="en-US" w:eastAsia="zh-CN"/>
                    </w:rPr>
                  </w:pPr>
                  <w:r>
                    <w:rPr>
                      <w:rFonts w:hint="eastAsia"/>
                      <w:color w:val="auto"/>
                      <w:lang w:val="en-US" w:eastAsia="zh-CN"/>
                    </w:rPr>
                    <w:t>粘土开采扬尘</w:t>
                  </w:r>
                </w:p>
              </w:tc>
              <w:tc>
                <w:tcPr>
                  <w:tcW w:w="762" w:type="dxa"/>
                  <w:noWrap/>
                  <w:vAlign w:val="center"/>
                </w:tcPr>
                <w:p>
                  <w:pPr>
                    <w:pStyle w:val="57"/>
                    <w:rPr>
                      <w:color w:val="auto"/>
                    </w:rPr>
                  </w:pPr>
                  <w:r>
                    <w:rPr>
                      <w:rFonts w:hint="eastAsia"/>
                      <w:color w:val="auto"/>
                    </w:rPr>
                    <w:t>颗粒物</w:t>
                  </w:r>
                </w:p>
              </w:tc>
              <w:tc>
                <w:tcPr>
                  <w:tcW w:w="919" w:type="dxa"/>
                  <w:noWrap/>
                  <w:vAlign w:val="center"/>
                </w:tcPr>
                <w:p>
                  <w:pPr>
                    <w:pStyle w:val="57"/>
                    <w:rPr>
                      <w:color w:val="auto"/>
                    </w:rPr>
                  </w:pPr>
                  <w:r>
                    <w:rPr>
                      <w:rFonts w:hint="eastAsia"/>
                      <w:color w:val="auto"/>
                    </w:rPr>
                    <w:t>11.84</w:t>
                  </w:r>
                </w:p>
              </w:tc>
              <w:tc>
                <w:tcPr>
                  <w:tcW w:w="906" w:type="dxa"/>
                  <w:noWrap/>
                  <w:vAlign w:val="center"/>
                </w:tcPr>
                <w:p>
                  <w:pPr>
                    <w:pStyle w:val="57"/>
                    <w:rPr>
                      <w:rFonts w:hint="default" w:eastAsia="宋体"/>
                      <w:color w:val="auto"/>
                      <w:lang w:val="en-US" w:eastAsia="zh-CN"/>
                    </w:rPr>
                  </w:pPr>
                  <w:r>
                    <w:rPr>
                      <w:rFonts w:hint="eastAsia"/>
                      <w:color w:val="auto"/>
                      <w:lang w:val="en-US" w:eastAsia="zh-CN"/>
                    </w:rPr>
                    <w:t>13.16</w:t>
                  </w:r>
                </w:p>
              </w:tc>
              <w:tc>
                <w:tcPr>
                  <w:tcW w:w="1013" w:type="dxa"/>
                  <w:noWrap/>
                  <w:vAlign w:val="center"/>
                </w:tcPr>
                <w:p>
                  <w:pPr>
                    <w:pStyle w:val="57"/>
                    <w:rPr>
                      <w:color w:val="auto"/>
                    </w:rPr>
                  </w:pPr>
                  <w:r>
                    <w:rPr>
                      <w:rFonts w:hint="eastAsia"/>
                      <w:color w:val="auto"/>
                    </w:rPr>
                    <w:t>/</w:t>
                  </w:r>
                </w:p>
              </w:tc>
              <w:tc>
                <w:tcPr>
                  <w:tcW w:w="775" w:type="dxa"/>
                  <w:vAlign w:val="center"/>
                </w:tcPr>
                <w:p>
                  <w:pPr>
                    <w:pStyle w:val="57"/>
                    <w:rPr>
                      <w:rFonts w:hint="default" w:eastAsia="宋体"/>
                      <w:color w:val="auto"/>
                      <w:lang w:val="en-US" w:eastAsia="zh-CN"/>
                    </w:rPr>
                  </w:pPr>
                  <w:r>
                    <w:rPr>
                      <w:color w:val="auto"/>
                    </w:rPr>
                    <w:t>洒水</w:t>
                  </w:r>
                  <w:r>
                    <w:rPr>
                      <w:rFonts w:hint="eastAsia"/>
                      <w:color w:val="auto"/>
                      <w:lang w:val="en-US" w:eastAsia="zh-CN"/>
                    </w:rPr>
                    <w:t>+喷雾</w:t>
                  </w:r>
                </w:p>
              </w:tc>
              <w:tc>
                <w:tcPr>
                  <w:tcW w:w="862" w:type="dxa"/>
                  <w:noWrap/>
                  <w:vAlign w:val="center"/>
                </w:tcPr>
                <w:p>
                  <w:pPr>
                    <w:pStyle w:val="57"/>
                    <w:rPr>
                      <w:color w:val="auto"/>
                    </w:rPr>
                  </w:pPr>
                  <w:r>
                    <w:rPr>
                      <w:rFonts w:hint="eastAsia"/>
                      <w:color w:val="auto"/>
                    </w:rPr>
                    <w:t>0.8</w:t>
                  </w:r>
                </w:p>
              </w:tc>
              <w:tc>
                <w:tcPr>
                  <w:tcW w:w="750"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89</w:t>
                  </w:r>
                </w:p>
              </w:tc>
              <w:tc>
                <w:tcPr>
                  <w:tcW w:w="893" w:type="dxa"/>
                  <w:noWrap/>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rPr>
                      <w:rFonts w:hint="eastAsia"/>
                    </w:rPr>
                  </w:pPr>
                </w:p>
              </w:tc>
              <w:tc>
                <w:tcPr>
                  <w:tcW w:w="700" w:type="dxa"/>
                  <w:noWrap/>
                  <w:vAlign w:val="center"/>
                </w:tcPr>
                <w:p>
                  <w:pPr>
                    <w:pStyle w:val="57"/>
                    <w:rPr>
                      <w:rFonts w:hint="default" w:eastAsia="宋体"/>
                      <w:color w:val="auto"/>
                      <w:lang w:val="en-US" w:eastAsia="zh-CN"/>
                    </w:rPr>
                  </w:pPr>
                  <w:r>
                    <w:rPr>
                      <w:rFonts w:hint="eastAsia"/>
                      <w:color w:val="auto"/>
                      <w:lang w:val="en-US" w:eastAsia="zh-CN"/>
                    </w:rPr>
                    <w:t>粘土装卸及堆放粉尘</w:t>
                  </w:r>
                </w:p>
              </w:tc>
              <w:tc>
                <w:tcPr>
                  <w:tcW w:w="762" w:type="dxa"/>
                  <w:noWrap/>
                  <w:vAlign w:val="center"/>
                </w:tcPr>
                <w:p>
                  <w:pPr>
                    <w:pStyle w:val="57"/>
                    <w:rPr>
                      <w:rFonts w:hint="eastAsia"/>
                      <w:color w:val="auto"/>
                    </w:rPr>
                  </w:pPr>
                  <w:r>
                    <w:rPr>
                      <w:rFonts w:hint="eastAsia"/>
                      <w:color w:val="auto"/>
                    </w:rPr>
                    <w:t>颗粒物</w:t>
                  </w:r>
                </w:p>
              </w:tc>
              <w:tc>
                <w:tcPr>
                  <w:tcW w:w="919" w:type="dxa"/>
                  <w:noWrap/>
                  <w:vAlign w:val="center"/>
                </w:tcPr>
                <w:p>
                  <w:pPr>
                    <w:pStyle w:val="57"/>
                    <w:rPr>
                      <w:rFonts w:hint="default" w:eastAsia="宋体"/>
                      <w:color w:val="auto"/>
                      <w:lang w:val="en-US" w:eastAsia="zh-CN"/>
                    </w:rPr>
                  </w:pPr>
                  <w:r>
                    <w:rPr>
                      <w:rFonts w:hint="eastAsia"/>
                      <w:color w:val="auto"/>
                      <w:lang w:val="en-US" w:eastAsia="zh-CN"/>
                    </w:rPr>
                    <w:t>39.63</w:t>
                  </w:r>
                </w:p>
              </w:tc>
              <w:tc>
                <w:tcPr>
                  <w:tcW w:w="906" w:type="dxa"/>
                  <w:noWrap/>
                  <w:vAlign w:val="center"/>
                </w:tcPr>
                <w:p>
                  <w:pPr>
                    <w:pStyle w:val="57"/>
                    <w:rPr>
                      <w:rFonts w:hint="default"/>
                      <w:color w:val="auto"/>
                      <w:lang w:val="en-US" w:eastAsia="zh-CN"/>
                    </w:rPr>
                  </w:pPr>
                  <w:r>
                    <w:rPr>
                      <w:rFonts w:hint="eastAsia"/>
                      <w:color w:val="auto"/>
                      <w:lang w:val="en-US" w:eastAsia="zh-CN"/>
                    </w:rPr>
                    <w:t>44.03</w:t>
                  </w:r>
                </w:p>
              </w:tc>
              <w:tc>
                <w:tcPr>
                  <w:tcW w:w="1013" w:type="dxa"/>
                  <w:noWrap/>
                  <w:vAlign w:val="center"/>
                </w:tcPr>
                <w:p>
                  <w:pPr>
                    <w:pStyle w:val="57"/>
                    <w:rPr>
                      <w:rFonts w:hint="eastAsia" w:eastAsia="宋体"/>
                      <w:color w:val="auto"/>
                      <w:lang w:val="en-US" w:eastAsia="zh-CN"/>
                    </w:rPr>
                  </w:pPr>
                  <w:r>
                    <w:rPr>
                      <w:rFonts w:hint="eastAsia"/>
                      <w:color w:val="auto"/>
                      <w:lang w:val="en-US" w:eastAsia="zh-CN"/>
                    </w:rPr>
                    <w:t>/</w:t>
                  </w:r>
                </w:p>
              </w:tc>
              <w:tc>
                <w:tcPr>
                  <w:tcW w:w="775" w:type="dxa"/>
                  <w:vAlign w:val="center"/>
                </w:tcPr>
                <w:p>
                  <w:pPr>
                    <w:pStyle w:val="57"/>
                    <w:rPr>
                      <w:rFonts w:hint="default" w:eastAsia="宋体"/>
                      <w:color w:val="auto"/>
                      <w:lang w:val="en-US" w:eastAsia="zh-CN"/>
                    </w:rPr>
                  </w:pPr>
                  <w:r>
                    <w:rPr>
                      <w:rFonts w:hint="eastAsia"/>
                      <w:color w:val="auto"/>
                      <w:lang w:val="en-US" w:eastAsia="zh-CN"/>
                    </w:rPr>
                    <w:t>洒水+喷雾+封闭式堆棚</w:t>
                  </w:r>
                </w:p>
              </w:tc>
              <w:tc>
                <w:tcPr>
                  <w:tcW w:w="862" w:type="dxa"/>
                  <w:noWrap/>
                  <w:vAlign w:val="center"/>
                </w:tcPr>
                <w:p>
                  <w:pPr>
                    <w:pStyle w:val="57"/>
                    <w:rPr>
                      <w:rFonts w:hint="default" w:eastAsia="宋体"/>
                      <w:color w:val="auto"/>
                      <w:lang w:val="en-US" w:eastAsia="zh-CN"/>
                    </w:rPr>
                  </w:pPr>
                  <w:r>
                    <w:rPr>
                      <w:rFonts w:hint="eastAsia"/>
                      <w:color w:val="auto"/>
                      <w:lang w:val="en-US" w:eastAsia="zh-CN"/>
                    </w:rPr>
                    <w:t>0.027</w:t>
                  </w:r>
                </w:p>
              </w:tc>
              <w:tc>
                <w:tcPr>
                  <w:tcW w:w="750" w:type="dxa"/>
                  <w:noWrap/>
                  <w:vAlign w:val="center"/>
                </w:tcPr>
                <w:p>
                  <w:pPr>
                    <w:pStyle w:val="57"/>
                    <w:rPr>
                      <w:rFonts w:hint="default" w:eastAsia="宋体"/>
                      <w:color w:val="auto"/>
                      <w:lang w:val="en-US" w:eastAsia="zh-CN"/>
                    </w:rPr>
                  </w:pPr>
                  <w:r>
                    <w:rPr>
                      <w:rFonts w:hint="eastAsia"/>
                      <w:color w:val="auto"/>
                      <w:lang w:val="en-US" w:eastAsia="zh-CN"/>
                    </w:rPr>
                    <w:t>0.03</w:t>
                  </w:r>
                </w:p>
              </w:tc>
              <w:tc>
                <w:tcPr>
                  <w:tcW w:w="893" w:type="dxa"/>
                  <w:noWrap/>
                  <w:vAlign w:val="center"/>
                </w:tcPr>
                <w:p>
                  <w:pPr>
                    <w:jc w:val="center"/>
                    <w:rPr>
                      <w:rFonts w:hint="eastAsia"/>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pPr>
                </w:p>
              </w:tc>
              <w:tc>
                <w:tcPr>
                  <w:tcW w:w="700" w:type="dxa"/>
                  <w:noWrap/>
                  <w:vAlign w:val="center"/>
                </w:tcPr>
                <w:p>
                  <w:pPr>
                    <w:pStyle w:val="57"/>
                    <w:rPr>
                      <w:color w:val="auto"/>
                    </w:rPr>
                  </w:pPr>
                  <w:r>
                    <w:rPr>
                      <w:rFonts w:hint="eastAsia"/>
                      <w:color w:val="auto"/>
                    </w:rPr>
                    <w:t>煤矸石堆棚粉尘</w:t>
                  </w:r>
                </w:p>
              </w:tc>
              <w:tc>
                <w:tcPr>
                  <w:tcW w:w="762" w:type="dxa"/>
                  <w:noWrap/>
                  <w:vAlign w:val="center"/>
                </w:tcPr>
                <w:p>
                  <w:pPr>
                    <w:jc w:val="center"/>
                    <w:rPr>
                      <w:color w:val="auto"/>
                    </w:rPr>
                  </w:pPr>
                  <w:r>
                    <w:rPr>
                      <w:rFonts w:hint="eastAsia"/>
                      <w:color w:val="auto"/>
                    </w:rPr>
                    <w:t>颗粒物</w:t>
                  </w:r>
                </w:p>
              </w:tc>
              <w:tc>
                <w:tcPr>
                  <w:tcW w:w="919" w:type="dxa"/>
                  <w:noWrap/>
                  <w:vAlign w:val="center"/>
                </w:tcPr>
                <w:p>
                  <w:pPr>
                    <w:pStyle w:val="57"/>
                    <w:rPr>
                      <w:color w:val="auto"/>
                    </w:rPr>
                  </w:pPr>
                  <w:r>
                    <w:rPr>
                      <w:rFonts w:hint="eastAsia"/>
                      <w:color w:val="auto"/>
                    </w:rPr>
                    <w:t>48.76</w:t>
                  </w:r>
                </w:p>
              </w:tc>
              <w:tc>
                <w:tcPr>
                  <w:tcW w:w="906" w:type="dxa"/>
                  <w:noWrap/>
                  <w:vAlign w:val="center"/>
                </w:tcPr>
                <w:p>
                  <w:pPr>
                    <w:pStyle w:val="57"/>
                    <w:rPr>
                      <w:rFonts w:hint="default" w:eastAsia="宋体"/>
                      <w:color w:val="auto"/>
                      <w:lang w:val="en-US" w:eastAsia="zh-CN"/>
                    </w:rPr>
                  </w:pPr>
                  <w:r>
                    <w:rPr>
                      <w:rFonts w:hint="eastAsia"/>
                      <w:color w:val="auto"/>
                      <w:lang w:val="en-US" w:eastAsia="zh-CN"/>
                    </w:rPr>
                    <w:t>54.18</w:t>
                  </w:r>
                </w:p>
              </w:tc>
              <w:tc>
                <w:tcPr>
                  <w:tcW w:w="1013" w:type="dxa"/>
                  <w:noWrap/>
                  <w:vAlign w:val="center"/>
                </w:tcPr>
                <w:p>
                  <w:pPr>
                    <w:pStyle w:val="57"/>
                    <w:rPr>
                      <w:color w:val="auto"/>
                    </w:rPr>
                  </w:pPr>
                  <w:r>
                    <w:rPr>
                      <w:rFonts w:hint="eastAsia"/>
                      <w:color w:val="auto"/>
                    </w:rPr>
                    <w:t>/</w:t>
                  </w:r>
                </w:p>
              </w:tc>
              <w:tc>
                <w:tcPr>
                  <w:tcW w:w="775" w:type="dxa"/>
                  <w:vAlign w:val="center"/>
                </w:tcPr>
                <w:p>
                  <w:pPr>
                    <w:adjustRightInd w:val="0"/>
                    <w:snapToGrid w:val="0"/>
                    <w:jc w:val="center"/>
                    <w:rPr>
                      <w:rFonts w:hint="default" w:eastAsia="宋体"/>
                      <w:color w:val="auto"/>
                      <w:lang w:val="en-US" w:eastAsia="zh-CN"/>
                    </w:rPr>
                  </w:pPr>
                  <w:r>
                    <w:rPr>
                      <w:rFonts w:hint="eastAsia"/>
                      <w:color w:val="auto"/>
                    </w:rPr>
                    <w:t>洒水+</w:t>
                  </w:r>
                  <w:r>
                    <w:rPr>
                      <w:rFonts w:hint="eastAsia"/>
                      <w:color w:val="auto"/>
                      <w:lang w:val="en-US" w:eastAsia="zh-CN"/>
                    </w:rPr>
                    <w:t>全封闭堆棚</w:t>
                  </w:r>
                </w:p>
              </w:tc>
              <w:tc>
                <w:tcPr>
                  <w:tcW w:w="862"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12</w:t>
                  </w:r>
                </w:p>
              </w:tc>
              <w:tc>
                <w:tcPr>
                  <w:tcW w:w="750" w:type="dxa"/>
                  <w:noWrap/>
                  <w:vAlign w:val="center"/>
                </w:tcPr>
                <w:p>
                  <w:pPr>
                    <w:pStyle w:val="57"/>
                    <w:rPr>
                      <w:rFonts w:hint="default" w:eastAsia="宋体"/>
                      <w:color w:val="auto"/>
                      <w:lang w:val="en-US" w:eastAsia="zh-CN"/>
                    </w:rPr>
                  </w:pPr>
                  <w:r>
                    <w:rPr>
                      <w:rFonts w:hint="eastAsia"/>
                      <w:color w:val="auto"/>
                      <w:lang w:val="en-US" w:eastAsia="zh-CN"/>
                    </w:rPr>
                    <w:t>0.133</w:t>
                  </w:r>
                </w:p>
              </w:tc>
              <w:tc>
                <w:tcPr>
                  <w:tcW w:w="893" w:type="dxa"/>
                  <w:noWrap/>
                  <w:vAlign w:val="center"/>
                </w:tcPr>
                <w:p>
                  <w:pPr>
                    <w:pStyle w:val="57"/>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pPr>
                </w:p>
              </w:tc>
              <w:tc>
                <w:tcPr>
                  <w:tcW w:w="700" w:type="dxa"/>
                  <w:noWrap/>
                  <w:vAlign w:val="center"/>
                </w:tcPr>
                <w:p>
                  <w:pPr>
                    <w:pStyle w:val="57"/>
                    <w:rPr>
                      <w:color w:val="auto"/>
                    </w:rPr>
                  </w:pPr>
                  <w:r>
                    <w:rPr>
                      <w:rFonts w:hint="eastAsia"/>
                      <w:color w:val="auto"/>
                    </w:rPr>
                    <w:t>运输车辆起尘</w:t>
                  </w:r>
                </w:p>
              </w:tc>
              <w:tc>
                <w:tcPr>
                  <w:tcW w:w="762" w:type="dxa"/>
                  <w:noWrap/>
                  <w:vAlign w:val="center"/>
                </w:tcPr>
                <w:p>
                  <w:pPr>
                    <w:jc w:val="center"/>
                    <w:rPr>
                      <w:color w:val="auto"/>
                    </w:rPr>
                  </w:pPr>
                  <w:r>
                    <w:rPr>
                      <w:rFonts w:hint="eastAsia"/>
                      <w:color w:val="auto"/>
                    </w:rPr>
                    <w:t>颗粒物</w:t>
                  </w:r>
                </w:p>
              </w:tc>
              <w:tc>
                <w:tcPr>
                  <w:tcW w:w="919" w:type="dxa"/>
                  <w:noWrap/>
                  <w:vAlign w:val="center"/>
                </w:tcPr>
                <w:p>
                  <w:pPr>
                    <w:pStyle w:val="57"/>
                    <w:rPr>
                      <w:color w:val="auto"/>
                    </w:rPr>
                  </w:pPr>
                  <w:r>
                    <w:rPr>
                      <w:rFonts w:hint="eastAsia"/>
                      <w:color w:val="auto"/>
                    </w:rPr>
                    <w:t>1.41</w:t>
                  </w:r>
                </w:p>
              </w:tc>
              <w:tc>
                <w:tcPr>
                  <w:tcW w:w="906" w:type="dxa"/>
                  <w:noWrap/>
                  <w:vAlign w:val="center"/>
                </w:tcPr>
                <w:p>
                  <w:pPr>
                    <w:pStyle w:val="57"/>
                    <w:rPr>
                      <w:color w:val="auto"/>
                    </w:rPr>
                  </w:pPr>
                  <w:r>
                    <w:rPr>
                      <w:rFonts w:hint="eastAsia"/>
                      <w:color w:val="auto"/>
                    </w:rPr>
                    <w:t>0.59</w:t>
                  </w:r>
                </w:p>
              </w:tc>
              <w:tc>
                <w:tcPr>
                  <w:tcW w:w="1013" w:type="dxa"/>
                  <w:noWrap/>
                  <w:vAlign w:val="center"/>
                </w:tcPr>
                <w:p>
                  <w:pPr>
                    <w:jc w:val="center"/>
                    <w:rPr>
                      <w:color w:val="auto"/>
                    </w:rPr>
                  </w:pPr>
                  <w:r>
                    <w:rPr>
                      <w:rFonts w:hint="eastAsia"/>
                      <w:color w:val="auto"/>
                    </w:rPr>
                    <w:t>/</w:t>
                  </w:r>
                </w:p>
              </w:tc>
              <w:tc>
                <w:tcPr>
                  <w:tcW w:w="775" w:type="dxa"/>
                  <w:vAlign w:val="center"/>
                </w:tcPr>
                <w:p>
                  <w:pPr>
                    <w:pStyle w:val="57"/>
                    <w:rPr>
                      <w:color w:val="auto"/>
                    </w:rPr>
                  </w:pPr>
                  <w:r>
                    <w:rPr>
                      <w:rFonts w:hint="eastAsia"/>
                      <w:color w:val="auto"/>
                    </w:rPr>
                    <w:t>洒水抑尘</w:t>
                  </w:r>
                </w:p>
              </w:tc>
              <w:tc>
                <w:tcPr>
                  <w:tcW w:w="862" w:type="dxa"/>
                  <w:noWrap/>
                  <w:vAlign w:val="center"/>
                </w:tcPr>
                <w:p>
                  <w:pPr>
                    <w:pStyle w:val="57"/>
                    <w:rPr>
                      <w:color w:val="auto"/>
                    </w:rPr>
                  </w:pPr>
                  <w:r>
                    <w:rPr>
                      <w:rFonts w:hint="eastAsia"/>
                      <w:color w:val="auto"/>
                    </w:rPr>
                    <w:t>0.147</w:t>
                  </w:r>
                </w:p>
              </w:tc>
              <w:tc>
                <w:tcPr>
                  <w:tcW w:w="750" w:type="dxa"/>
                  <w:noWrap/>
                  <w:vAlign w:val="center"/>
                </w:tcPr>
                <w:p>
                  <w:pPr>
                    <w:pStyle w:val="57"/>
                    <w:rPr>
                      <w:color w:val="auto"/>
                    </w:rPr>
                  </w:pPr>
                  <w:r>
                    <w:rPr>
                      <w:rFonts w:hint="eastAsia"/>
                      <w:color w:val="auto"/>
                    </w:rPr>
                    <w:t>0.06</w:t>
                  </w:r>
                </w:p>
              </w:tc>
              <w:tc>
                <w:tcPr>
                  <w:tcW w:w="893" w:type="dxa"/>
                  <w:noWrap/>
                  <w:vAlign w:val="center"/>
                </w:tcPr>
                <w:p>
                  <w:pPr>
                    <w:pStyle w:val="57"/>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pPr>
                </w:p>
              </w:tc>
              <w:tc>
                <w:tcPr>
                  <w:tcW w:w="700" w:type="dxa"/>
                  <w:noWrap/>
                  <w:vAlign w:val="center"/>
                </w:tcPr>
                <w:p>
                  <w:pPr>
                    <w:pStyle w:val="57"/>
                    <w:rPr>
                      <w:color w:val="auto"/>
                    </w:rPr>
                  </w:pPr>
                  <w:r>
                    <w:rPr>
                      <w:rFonts w:hint="eastAsia"/>
                      <w:color w:val="auto"/>
                    </w:rPr>
                    <w:t>破碎筛分粉尘</w:t>
                  </w:r>
                </w:p>
              </w:tc>
              <w:tc>
                <w:tcPr>
                  <w:tcW w:w="762" w:type="dxa"/>
                  <w:noWrap/>
                  <w:vAlign w:val="center"/>
                </w:tcPr>
                <w:p>
                  <w:pPr>
                    <w:jc w:val="center"/>
                    <w:rPr>
                      <w:color w:val="auto"/>
                    </w:rPr>
                  </w:pPr>
                  <w:r>
                    <w:rPr>
                      <w:rFonts w:hint="eastAsia"/>
                      <w:color w:val="auto"/>
                    </w:rPr>
                    <w:t>颗粒物</w:t>
                  </w:r>
                </w:p>
              </w:tc>
              <w:tc>
                <w:tcPr>
                  <w:tcW w:w="919" w:type="dxa"/>
                  <w:noWrap/>
                  <w:vAlign w:val="center"/>
                </w:tcPr>
                <w:p>
                  <w:pPr>
                    <w:pStyle w:val="57"/>
                    <w:rPr>
                      <w:color w:val="auto"/>
                    </w:rPr>
                  </w:pPr>
                  <w:r>
                    <w:rPr>
                      <w:rFonts w:hint="eastAsia"/>
                      <w:color w:val="auto"/>
                    </w:rPr>
                    <w:t>0.738</w:t>
                  </w:r>
                </w:p>
              </w:tc>
              <w:tc>
                <w:tcPr>
                  <w:tcW w:w="906"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82</w:t>
                  </w:r>
                </w:p>
              </w:tc>
              <w:tc>
                <w:tcPr>
                  <w:tcW w:w="1013" w:type="dxa"/>
                  <w:noWrap/>
                  <w:vAlign w:val="center"/>
                </w:tcPr>
                <w:p>
                  <w:pPr>
                    <w:jc w:val="center"/>
                    <w:rPr>
                      <w:color w:val="auto"/>
                    </w:rPr>
                  </w:pPr>
                  <w:r>
                    <w:rPr>
                      <w:rFonts w:hint="eastAsia"/>
                      <w:color w:val="auto"/>
                    </w:rPr>
                    <w:t>/</w:t>
                  </w:r>
                </w:p>
              </w:tc>
              <w:tc>
                <w:tcPr>
                  <w:tcW w:w="775" w:type="dxa"/>
                  <w:vAlign w:val="center"/>
                </w:tcPr>
                <w:p>
                  <w:pPr>
                    <w:pStyle w:val="57"/>
                    <w:rPr>
                      <w:color w:val="auto"/>
                    </w:rPr>
                  </w:pPr>
                  <w:r>
                    <w:rPr>
                      <w:rFonts w:hint="eastAsia"/>
                      <w:color w:val="auto"/>
                    </w:rPr>
                    <w:t>车间沉降</w:t>
                  </w:r>
                </w:p>
              </w:tc>
              <w:tc>
                <w:tcPr>
                  <w:tcW w:w="862" w:type="dxa"/>
                  <w:noWrap/>
                  <w:vAlign w:val="center"/>
                </w:tcPr>
                <w:p>
                  <w:pPr>
                    <w:pStyle w:val="57"/>
                    <w:rPr>
                      <w:color w:val="auto"/>
                    </w:rPr>
                  </w:pPr>
                  <w:r>
                    <w:rPr>
                      <w:rFonts w:hint="eastAsia"/>
                      <w:color w:val="auto"/>
                    </w:rPr>
                    <w:t>0.148</w:t>
                  </w:r>
                </w:p>
              </w:tc>
              <w:tc>
                <w:tcPr>
                  <w:tcW w:w="750"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164</w:t>
                  </w:r>
                </w:p>
              </w:tc>
              <w:tc>
                <w:tcPr>
                  <w:tcW w:w="893" w:type="dxa"/>
                  <w:noWrap/>
                  <w:vAlign w:val="center"/>
                </w:tcPr>
                <w:p>
                  <w:pPr>
                    <w:pStyle w:val="57"/>
                    <w:rPr>
                      <w:color w:val="auto"/>
                    </w:rPr>
                  </w:pPr>
                  <w:r>
                    <w:rPr>
                      <w:rFonts w:hint="eastAsia"/>
                      <w:color w:val="auto"/>
                    </w:rPr>
                    <w:t>/</w:t>
                  </w:r>
                </w:p>
              </w:tc>
            </w:tr>
          </w:tbl>
          <w:p>
            <w:pPr>
              <w:pStyle w:val="60"/>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b/>
                <w:bCs/>
                <w:color w:val="auto"/>
                <w:sz w:val="24"/>
                <w:szCs w:val="24"/>
              </w:rPr>
            </w:pPr>
            <w:r>
              <w:rPr>
                <w:rFonts w:hint="eastAsia"/>
                <w:b/>
                <w:bCs/>
                <w:color w:val="auto"/>
                <w:sz w:val="24"/>
                <w:szCs w:val="24"/>
                <w:lang w:val="en-US" w:eastAsia="zh-CN"/>
              </w:rPr>
              <w:t>1</w:t>
            </w:r>
            <w:r>
              <w:rPr>
                <w:b/>
                <w:bCs/>
                <w:color w:val="auto"/>
                <w:sz w:val="24"/>
                <w:szCs w:val="24"/>
              </w:rPr>
              <w:t>.2废气污染防治措施</w:t>
            </w:r>
          </w:p>
          <w:p>
            <w:pPr>
              <w:pStyle w:val="60"/>
              <w:ind w:left="0" w:leftChars="0" w:firstLine="0" w:firstLineChars="0"/>
              <w:rPr>
                <w:rFonts w:hint="default" w:eastAsia="宋体"/>
                <w:b/>
                <w:bCs/>
                <w:color w:val="auto"/>
                <w:sz w:val="24"/>
                <w:szCs w:val="24"/>
                <w:lang w:val="en-US" w:eastAsia="zh-CN"/>
              </w:rPr>
            </w:pPr>
            <w:r>
              <w:rPr>
                <w:rFonts w:hint="eastAsia"/>
                <w:b/>
                <w:bCs/>
                <w:color w:val="auto"/>
                <w:sz w:val="24"/>
                <w:szCs w:val="24"/>
                <w:lang w:val="en-US" w:eastAsia="zh-CN"/>
              </w:rPr>
              <w:t>1.2.1</w:t>
            </w:r>
            <w:r>
              <w:rPr>
                <w:b/>
                <w:bCs/>
                <w:color w:val="auto"/>
                <w:sz w:val="24"/>
                <w:szCs w:val="24"/>
              </w:rPr>
              <w:t>有组织废气防治措施</w:t>
            </w:r>
          </w:p>
          <w:p>
            <w:pPr>
              <w:pStyle w:val="60"/>
              <w:ind w:firstLine="420"/>
              <w:rPr>
                <w:color w:val="auto"/>
                <w:sz w:val="24"/>
                <w:szCs w:val="24"/>
              </w:rPr>
            </w:pPr>
            <w:r>
              <w:rPr>
                <w:color w:val="auto"/>
                <w:sz w:val="24"/>
                <w:szCs w:val="24"/>
              </w:rPr>
              <w:t>（1）破碎、筛分有组织废气防治措施</w:t>
            </w:r>
          </w:p>
          <w:p>
            <w:pPr>
              <w:pStyle w:val="60"/>
              <w:ind w:firstLine="420"/>
              <w:rPr>
                <w:color w:val="auto"/>
                <w:sz w:val="24"/>
                <w:szCs w:val="24"/>
              </w:rPr>
            </w:pPr>
            <w:r>
              <w:rPr>
                <w:color w:val="auto"/>
                <w:sz w:val="24"/>
                <w:szCs w:val="24"/>
              </w:rPr>
              <w:t>项目破碎工序给料机、筛分及破碎设备上方安装集气罩对产生粉尘进行收集，收集的粉尘通过管道引至布袋除尘器处理达标后通过15m高排气筒（DA001）</w:t>
            </w:r>
            <w:r>
              <w:rPr>
                <w:rFonts w:hint="eastAsia"/>
                <w:color w:val="auto"/>
                <w:sz w:val="24"/>
                <w:szCs w:val="24"/>
                <w:lang w:val="en-US" w:eastAsia="zh-CN"/>
              </w:rPr>
              <w:t>排放</w:t>
            </w:r>
            <w:r>
              <w:rPr>
                <w:color w:val="auto"/>
                <w:sz w:val="24"/>
                <w:szCs w:val="24"/>
              </w:rPr>
              <w:t>；集气罩集尘效率90%，布袋除尘器除尘效率9</w:t>
            </w:r>
            <w:r>
              <w:rPr>
                <w:rFonts w:hint="eastAsia"/>
                <w:color w:val="auto"/>
                <w:sz w:val="24"/>
                <w:szCs w:val="24"/>
                <w:lang w:val="en-US" w:eastAsia="zh-CN"/>
              </w:rPr>
              <w:t>8</w:t>
            </w:r>
            <w:r>
              <w:rPr>
                <w:color w:val="auto"/>
                <w:sz w:val="24"/>
                <w:szCs w:val="24"/>
              </w:rPr>
              <w:t>%，经处理后排放浓度满足《砖瓦工业大气污染物排放标准》（GB29620-2013）表2</w:t>
            </w:r>
            <w:r>
              <w:rPr>
                <w:rFonts w:hint="eastAsia"/>
                <w:color w:val="auto"/>
                <w:sz w:val="24"/>
                <w:szCs w:val="24"/>
                <w:lang w:val="en-US" w:eastAsia="zh-CN"/>
              </w:rPr>
              <w:t>排放</w:t>
            </w:r>
            <w:r>
              <w:rPr>
                <w:color w:val="auto"/>
                <w:sz w:val="24"/>
                <w:szCs w:val="24"/>
              </w:rPr>
              <w:t>限值。</w:t>
            </w:r>
          </w:p>
          <w:p>
            <w:pPr>
              <w:pStyle w:val="60"/>
              <w:ind w:firstLine="42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color w:val="auto"/>
                <w:sz w:val="24"/>
                <w:szCs w:val="24"/>
              </w:rPr>
              <w:t>隧道窑有组织废气防治措施</w:t>
            </w:r>
          </w:p>
          <w:p>
            <w:pPr>
              <w:pStyle w:val="60"/>
              <w:ind w:firstLine="480"/>
              <w:rPr>
                <w:rFonts w:hint="default" w:eastAsia="宋体"/>
                <w:color w:val="auto"/>
                <w:sz w:val="24"/>
                <w:lang w:val="en-US" w:eastAsia="zh-CN"/>
              </w:rPr>
            </w:pPr>
            <w:r>
              <w:rPr>
                <w:rFonts w:hint="eastAsia"/>
                <w:color w:val="auto"/>
                <w:sz w:val="24"/>
                <w:lang w:val="en-US" w:eastAsia="zh-CN"/>
              </w:rPr>
              <w:t>①</w:t>
            </w:r>
            <w:r>
              <w:rPr>
                <w:color w:val="auto"/>
                <w:sz w:val="24"/>
              </w:rPr>
              <w:t>项目隧道窑干燥、焙烧废气经</w:t>
            </w:r>
            <w:r>
              <w:rPr>
                <w:rFonts w:hint="eastAsia"/>
                <w:color w:val="auto"/>
                <w:sz w:val="24"/>
              </w:rPr>
              <w:t>引风机送至</w:t>
            </w:r>
            <w:r>
              <w:rPr>
                <w:rFonts w:hint="eastAsia"/>
                <w:color w:val="auto"/>
                <w:sz w:val="24"/>
                <w:lang w:val="en-US" w:eastAsia="zh-CN"/>
              </w:rPr>
              <w:t>SNCR</w:t>
            </w:r>
            <w:r>
              <w:rPr>
                <w:color w:val="auto"/>
                <w:sz w:val="24"/>
              </w:rPr>
              <w:t>脱硝</w:t>
            </w:r>
            <w:r>
              <w:rPr>
                <w:rFonts w:hint="eastAsia"/>
                <w:color w:val="auto"/>
                <w:sz w:val="24"/>
                <w:lang w:val="en-US" w:eastAsia="zh-CN"/>
              </w:rPr>
              <w:t>+袋式除尘</w:t>
            </w:r>
            <w:r>
              <w:rPr>
                <w:color w:val="auto"/>
                <w:sz w:val="24"/>
              </w:rPr>
              <w:t>+</w:t>
            </w:r>
            <w:r>
              <w:rPr>
                <w:rFonts w:hint="eastAsia"/>
                <w:color w:val="auto"/>
                <w:sz w:val="24"/>
              </w:rPr>
              <w:t>湿法</w:t>
            </w:r>
            <w:r>
              <w:rPr>
                <w:rFonts w:hint="eastAsia"/>
                <w:color w:val="auto"/>
                <w:sz w:val="24"/>
                <w:lang w:eastAsia="zh-CN"/>
              </w:rPr>
              <w:t>（</w:t>
            </w:r>
            <w:r>
              <w:rPr>
                <w:rFonts w:hint="eastAsia"/>
                <w:color w:val="auto"/>
                <w:sz w:val="24"/>
                <w:lang w:val="en-US" w:eastAsia="zh-CN"/>
              </w:rPr>
              <w:t>喷淋</w:t>
            </w:r>
            <w:r>
              <w:rPr>
                <w:rFonts w:hint="eastAsia"/>
                <w:color w:val="auto"/>
                <w:sz w:val="24"/>
                <w:lang w:eastAsia="zh-CN"/>
              </w:rPr>
              <w:t>）</w:t>
            </w:r>
            <w:r>
              <w:rPr>
                <w:rFonts w:hint="eastAsia"/>
                <w:color w:val="auto"/>
                <w:sz w:val="24"/>
                <w:lang w:val="en-US" w:eastAsia="zh-CN"/>
              </w:rPr>
              <w:t>脱硫并协同脱氟</w:t>
            </w:r>
            <w:r>
              <w:rPr>
                <w:color w:val="auto"/>
                <w:sz w:val="24"/>
              </w:rPr>
              <w:t>处理系统处理后经</w:t>
            </w:r>
            <w:r>
              <w:rPr>
                <w:rFonts w:hint="eastAsia"/>
                <w:color w:val="auto"/>
                <w:sz w:val="24"/>
                <w:lang w:val="en-US" w:eastAsia="zh-CN"/>
              </w:rPr>
              <w:t>33</w:t>
            </w:r>
            <w:r>
              <w:rPr>
                <w:color w:val="auto"/>
                <w:sz w:val="24"/>
              </w:rPr>
              <w:t>m高排气筒</w:t>
            </w:r>
            <w:r>
              <w:rPr>
                <w:rFonts w:hint="eastAsia"/>
                <w:color w:val="auto"/>
                <w:sz w:val="24"/>
              </w:rPr>
              <w:t>（DA</w:t>
            </w:r>
            <w:r>
              <w:rPr>
                <w:color w:val="auto"/>
                <w:sz w:val="24"/>
              </w:rPr>
              <w:t>002</w:t>
            </w:r>
            <w:r>
              <w:rPr>
                <w:rFonts w:hint="eastAsia"/>
                <w:color w:val="auto"/>
                <w:sz w:val="24"/>
              </w:rPr>
              <w:t>）</w:t>
            </w:r>
            <w:r>
              <w:rPr>
                <w:color w:val="auto"/>
                <w:sz w:val="24"/>
              </w:rPr>
              <w:t>排放</w:t>
            </w:r>
            <w:r>
              <w:rPr>
                <w:rFonts w:hint="eastAsia"/>
                <w:color w:val="auto"/>
                <w:sz w:val="24"/>
                <w:lang w:eastAsia="zh-CN"/>
              </w:rPr>
              <w:t>，</w:t>
            </w:r>
            <w:r>
              <w:rPr>
                <w:rFonts w:hint="eastAsia"/>
                <w:color w:val="auto"/>
                <w:sz w:val="24"/>
                <w:lang w:val="en-US" w:eastAsia="zh-CN"/>
              </w:rPr>
              <w:t>排放浓度满足</w:t>
            </w:r>
            <w:r>
              <w:rPr>
                <w:color w:val="auto"/>
                <w:sz w:val="24"/>
              </w:rPr>
              <w:t>《砖瓦工业大气污染物排放标准》（GB29620-2013）表2</w:t>
            </w:r>
            <w:r>
              <w:rPr>
                <w:rFonts w:hint="eastAsia"/>
                <w:color w:val="auto"/>
                <w:sz w:val="24"/>
                <w:lang w:val="en-US" w:eastAsia="zh-CN"/>
              </w:rPr>
              <w:t>及修改单中的排放限值。</w:t>
            </w:r>
          </w:p>
          <w:p>
            <w:pPr>
              <w:pStyle w:val="60"/>
              <w:ind w:firstLine="480"/>
              <w:rPr>
                <w:color w:val="FF0000"/>
                <w:sz w:val="24"/>
              </w:rPr>
            </w:pPr>
            <w:r>
              <w:rPr>
                <w:rFonts w:hint="eastAsia"/>
                <w:color w:val="FF0000"/>
                <w:sz w:val="24"/>
                <w:lang w:val="en-US" w:eastAsia="zh-CN"/>
              </w:rPr>
              <w:t>②根据《</w:t>
            </w:r>
            <w:r>
              <w:rPr>
                <w:rFonts w:hint="eastAsia"/>
                <w:color w:val="FF0000"/>
                <w:sz w:val="24"/>
              </w:rPr>
              <w:t>工业炉窑大气污染综合治理方案</w:t>
            </w:r>
            <w:r>
              <w:rPr>
                <w:rFonts w:hint="eastAsia"/>
                <w:color w:val="FF0000"/>
                <w:sz w:val="24"/>
                <w:lang w:val="en-US" w:eastAsia="zh-CN"/>
              </w:rPr>
              <w:t>》</w:t>
            </w:r>
            <w:r>
              <w:rPr>
                <w:rFonts w:hint="eastAsia"/>
                <w:color w:val="FF0000"/>
                <w:sz w:val="24"/>
              </w:rPr>
              <w:t>（环大气[2019]56号）</w:t>
            </w:r>
            <w:r>
              <w:rPr>
                <w:rFonts w:hint="eastAsia"/>
                <w:color w:val="FF0000"/>
                <w:sz w:val="24"/>
                <w:lang w:val="en-US" w:eastAsia="zh-CN"/>
              </w:rPr>
              <w:t>的要求，项目建成后将安装在线自动监测设备对隧道窑烟气中污染物进行实时监测</w:t>
            </w:r>
            <w:r>
              <w:rPr>
                <w:rFonts w:hint="eastAsia"/>
                <w:color w:val="FF0000"/>
                <w:sz w:val="24"/>
              </w:rPr>
              <w:t>。</w:t>
            </w:r>
          </w:p>
          <w:p>
            <w:pPr>
              <w:pStyle w:val="60"/>
              <w:ind w:firstLine="420"/>
              <w:rPr>
                <w:color w:val="auto"/>
                <w:sz w:val="24"/>
                <w:szCs w:val="24"/>
              </w:rPr>
            </w:pPr>
            <w:r>
              <w:rPr>
                <w:rFonts w:hint="eastAsia"/>
                <w:color w:val="auto"/>
                <w:sz w:val="24"/>
              </w:rPr>
              <w:t>根据分析，</w:t>
            </w:r>
            <w:r>
              <w:rPr>
                <w:color w:val="auto"/>
                <w:sz w:val="24"/>
              </w:rPr>
              <w:t>本次采用的SNCR脱硝</w:t>
            </w:r>
            <w:r>
              <w:rPr>
                <w:rFonts w:hint="eastAsia"/>
                <w:color w:val="auto"/>
                <w:sz w:val="24"/>
                <w:lang w:eastAsia="zh-CN"/>
              </w:rPr>
              <w:t>、</w:t>
            </w:r>
            <w:r>
              <w:rPr>
                <w:rFonts w:hint="eastAsia"/>
                <w:color w:val="auto"/>
                <w:sz w:val="24"/>
                <w:lang w:val="en-US" w:eastAsia="zh-CN"/>
              </w:rPr>
              <w:t>袋式除尘、湿法脱硫</w:t>
            </w:r>
            <w:r>
              <w:rPr>
                <w:color w:val="auto"/>
                <w:sz w:val="24"/>
              </w:rPr>
              <w:t>技术为成熟的烟气</w:t>
            </w:r>
            <w:r>
              <w:rPr>
                <w:rFonts w:hint="eastAsia"/>
                <w:color w:val="auto"/>
                <w:sz w:val="24"/>
                <w:lang w:val="en-US" w:eastAsia="zh-CN"/>
              </w:rPr>
              <w:t>处理</w:t>
            </w:r>
            <w:r>
              <w:rPr>
                <w:color w:val="auto"/>
                <w:sz w:val="24"/>
              </w:rPr>
              <w:t>技术，技术可行。项目废气治理设施可行性分析见下表</w:t>
            </w:r>
            <w:r>
              <w:rPr>
                <w:color w:val="auto"/>
                <w:sz w:val="24"/>
                <w:szCs w:val="24"/>
              </w:rPr>
              <w:t>。</w:t>
            </w:r>
          </w:p>
          <w:p>
            <w:pPr>
              <w:pStyle w:val="14"/>
              <w:keepNext/>
              <w:spacing w:line="240" w:lineRule="auto"/>
              <w:rPr>
                <w:rFonts w:hint="eastAsia" w:eastAsia="宋体" w:cs="Times New Roman"/>
                <w:color w:val="auto"/>
                <w:lang w:val="en-US" w:eastAsia="zh-CN"/>
              </w:rPr>
            </w:pPr>
            <w:r>
              <w:rPr>
                <w:rFonts w:eastAsia="宋体" w:cs="Times New Roman"/>
                <w:color w:val="auto"/>
              </w:rPr>
              <w:t>表</w:t>
            </w:r>
            <w:r>
              <w:rPr>
                <w:rFonts w:hint="eastAsia" w:eastAsia="宋体" w:cs="Times New Roman"/>
                <w:color w:val="auto"/>
                <w:lang w:val="en-US" w:eastAsia="zh-CN"/>
              </w:rPr>
              <w:t xml:space="preserve">4-10   </w:t>
            </w:r>
            <w:r>
              <w:rPr>
                <w:rFonts w:eastAsia="宋体" w:cs="Times New Roman"/>
                <w:color w:val="auto"/>
              </w:rPr>
              <w:t>有组织废气治理措施可行性分析</w:t>
            </w:r>
            <w:r>
              <w:rPr>
                <w:rFonts w:hint="eastAsia" w:eastAsia="宋体" w:cs="Times New Roman"/>
                <w:color w:val="auto"/>
                <w:lang w:val="en-US" w:eastAsia="zh-CN"/>
              </w:rPr>
              <w:t>表</w:t>
            </w:r>
          </w:p>
          <w:tbl>
            <w:tblPr>
              <w:tblStyle w:val="30"/>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51"/>
              <w:gridCol w:w="1151"/>
              <w:gridCol w:w="1725"/>
              <w:gridCol w:w="192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Align w:val="center"/>
                </w:tcPr>
                <w:p>
                  <w:pPr>
                    <w:pStyle w:val="57"/>
                    <w:rPr>
                      <w:color w:val="auto"/>
                    </w:rPr>
                  </w:pPr>
                  <w:r>
                    <w:rPr>
                      <w:color w:val="auto"/>
                    </w:rPr>
                    <w:t>规范</w:t>
                  </w:r>
                </w:p>
              </w:tc>
              <w:tc>
                <w:tcPr>
                  <w:tcW w:w="1151" w:type="dxa"/>
                  <w:vAlign w:val="center"/>
                </w:tcPr>
                <w:p>
                  <w:pPr>
                    <w:pStyle w:val="57"/>
                    <w:rPr>
                      <w:color w:val="auto"/>
                    </w:rPr>
                  </w:pPr>
                  <w:r>
                    <w:rPr>
                      <w:color w:val="auto"/>
                    </w:rPr>
                    <w:t>排放口</w:t>
                  </w:r>
                </w:p>
              </w:tc>
              <w:tc>
                <w:tcPr>
                  <w:tcW w:w="1151" w:type="dxa"/>
                  <w:vAlign w:val="center"/>
                </w:tcPr>
                <w:p>
                  <w:pPr>
                    <w:pStyle w:val="57"/>
                    <w:rPr>
                      <w:color w:val="auto"/>
                    </w:rPr>
                  </w:pPr>
                  <w:r>
                    <w:rPr>
                      <w:color w:val="auto"/>
                    </w:rPr>
                    <w:t>污染物</w:t>
                  </w:r>
                </w:p>
              </w:tc>
              <w:tc>
                <w:tcPr>
                  <w:tcW w:w="1725" w:type="dxa"/>
                  <w:vAlign w:val="center"/>
                </w:tcPr>
                <w:p>
                  <w:pPr>
                    <w:pStyle w:val="57"/>
                    <w:rPr>
                      <w:color w:val="auto"/>
                    </w:rPr>
                  </w:pPr>
                  <w:r>
                    <w:rPr>
                      <w:color w:val="auto"/>
                    </w:rPr>
                    <w:t>可行技术</w:t>
                  </w:r>
                </w:p>
              </w:tc>
              <w:tc>
                <w:tcPr>
                  <w:tcW w:w="1924" w:type="dxa"/>
                  <w:vAlign w:val="center"/>
                </w:tcPr>
                <w:p>
                  <w:pPr>
                    <w:pStyle w:val="57"/>
                    <w:rPr>
                      <w:color w:val="auto"/>
                    </w:rPr>
                  </w:pPr>
                  <w:r>
                    <w:rPr>
                      <w:color w:val="auto"/>
                    </w:rPr>
                    <w:t>本项目废气治理</w:t>
                  </w:r>
                </w:p>
                <w:p>
                  <w:pPr>
                    <w:pStyle w:val="57"/>
                    <w:rPr>
                      <w:color w:val="auto"/>
                    </w:rPr>
                  </w:pPr>
                  <w:r>
                    <w:rPr>
                      <w:color w:val="auto"/>
                    </w:rPr>
                    <w:t>技术</w:t>
                  </w:r>
                </w:p>
              </w:tc>
              <w:tc>
                <w:tcPr>
                  <w:tcW w:w="917" w:type="dxa"/>
                  <w:vAlign w:val="center"/>
                </w:tcPr>
                <w:p>
                  <w:pPr>
                    <w:pStyle w:val="57"/>
                    <w:rPr>
                      <w:color w:val="auto"/>
                    </w:rPr>
                  </w:pPr>
                  <w:r>
                    <w:rPr>
                      <w:color w:val="auto"/>
                    </w:rPr>
                    <w:t>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restart"/>
                  <w:vAlign w:val="center"/>
                </w:tcPr>
                <w:p>
                  <w:pPr>
                    <w:pStyle w:val="57"/>
                    <w:rPr>
                      <w:color w:val="auto"/>
                    </w:rPr>
                  </w:pPr>
                  <w:r>
                    <w:rPr>
                      <w:color w:val="auto"/>
                    </w:rPr>
                    <w:t>《排污许可证申请与核发技术规范陶瓷砖瓦工业》（HJ954-2018）表29砖瓦工业废气排污单位废气污染防治可行技术</w:t>
                  </w:r>
                </w:p>
              </w:tc>
              <w:tc>
                <w:tcPr>
                  <w:tcW w:w="1151" w:type="dxa"/>
                  <w:vMerge w:val="restart"/>
                  <w:vAlign w:val="center"/>
                </w:tcPr>
                <w:p>
                  <w:pPr>
                    <w:pStyle w:val="57"/>
                    <w:rPr>
                      <w:color w:val="auto"/>
                    </w:rPr>
                  </w:pPr>
                  <w:r>
                    <w:rPr>
                      <w:rFonts w:hint="eastAsia"/>
                      <w:color w:val="auto"/>
                    </w:rPr>
                    <w:t>隧道窑烟气排气筒</w:t>
                  </w:r>
                </w:p>
              </w:tc>
              <w:tc>
                <w:tcPr>
                  <w:tcW w:w="1151" w:type="dxa"/>
                  <w:vAlign w:val="center"/>
                </w:tcPr>
                <w:p>
                  <w:pPr>
                    <w:pStyle w:val="57"/>
                    <w:rPr>
                      <w:color w:val="auto"/>
                    </w:rPr>
                  </w:pPr>
                  <w:r>
                    <w:rPr>
                      <w:color w:val="auto"/>
                    </w:rPr>
                    <w:t>颗粒物</w:t>
                  </w:r>
                </w:p>
              </w:tc>
              <w:tc>
                <w:tcPr>
                  <w:tcW w:w="1725" w:type="dxa"/>
                  <w:vAlign w:val="center"/>
                </w:tcPr>
                <w:p>
                  <w:pPr>
                    <w:pStyle w:val="57"/>
                    <w:jc w:val="both"/>
                    <w:rPr>
                      <w:color w:val="auto"/>
                    </w:rPr>
                  </w:pPr>
                  <w:r>
                    <w:rPr>
                      <w:color w:val="auto"/>
                    </w:rPr>
                    <w:t>袋式除尘、电除尘、电袋复合除尘、湿式电除尘等技术，可根据需要采取多级除尘</w:t>
                  </w:r>
                </w:p>
              </w:tc>
              <w:tc>
                <w:tcPr>
                  <w:tcW w:w="1924" w:type="dxa"/>
                  <w:vAlign w:val="center"/>
                </w:tcPr>
                <w:p>
                  <w:pPr>
                    <w:pStyle w:val="57"/>
                    <w:rPr>
                      <w:color w:val="auto"/>
                    </w:rPr>
                  </w:pPr>
                  <w:r>
                    <w:rPr>
                      <w:color w:val="auto"/>
                    </w:rPr>
                    <w:t>隧道窑废气烟尘</w:t>
                  </w:r>
                  <w:r>
                    <w:rPr>
                      <w:rFonts w:hint="eastAsia"/>
                      <w:color w:val="auto"/>
                      <w:lang w:val="en-US" w:eastAsia="zh-CN"/>
                    </w:rPr>
                    <w:t>采用袋式</w:t>
                  </w:r>
                  <w:r>
                    <w:rPr>
                      <w:color w:val="auto"/>
                    </w:rPr>
                    <w:t>除尘</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color w:val="auto"/>
                    </w:rPr>
                    <w:t>二氧化硫</w:t>
                  </w:r>
                </w:p>
              </w:tc>
              <w:tc>
                <w:tcPr>
                  <w:tcW w:w="1725" w:type="dxa"/>
                  <w:vAlign w:val="center"/>
                </w:tcPr>
                <w:p>
                  <w:pPr>
                    <w:pStyle w:val="57"/>
                    <w:rPr>
                      <w:color w:val="auto"/>
                    </w:rPr>
                  </w:pPr>
                  <w:r>
                    <w:rPr>
                      <w:color w:val="auto"/>
                    </w:rPr>
                    <w:t>湿法脱硫技术、干法/半干法脱硫技术等</w:t>
                  </w:r>
                </w:p>
              </w:tc>
              <w:tc>
                <w:tcPr>
                  <w:tcW w:w="1924" w:type="dxa"/>
                  <w:vAlign w:val="center"/>
                </w:tcPr>
                <w:p>
                  <w:pPr>
                    <w:pStyle w:val="57"/>
                    <w:rPr>
                      <w:color w:val="auto"/>
                    </w:rPr>
                  </w:pPr>
                  <w:r>
                    <w:rPr>
                      <w:color w:val="auto"/>
                    </w:rPr>
                    <w:t>隧道窑废气二氧化硫废气采用湿</w:t>
                  </w:r>
                  <w:r>
                    <w:rPr>
                      <w:rFonts w:hint="eastAsia"/>
                      <w:color w:val="auto"/>
                      <w:lang w:val="en-US" w:eastAsia="zh-CN"/>
                    </w:rPr>
                    <w:t>法</w:t>
                  </w:r>
                  <w:r>
                    <w:rPr>
                      <w:rFonts w:hint="eastAsia"/>
                      <w:color w:val="auto"/>
                      <w:lang w:eastAsia="zh-CN"/>
                    </w:rPr>
                    <w:t>（</w:t>
                  </w:r>
                  <w:r>
                    <w:rPr>
                      <w:rFonts w:hint="eastAsia"/>
                      <w:color w:val="auto"/>
                      <w:lang w:val="en-US" w:eastAsia="zh-CN"/>
                    </w:rPr>
                    <w:t>喷淋</w:t>
                  </w:r>
                  <w:r>
                    <w:rPr>
                      <w:rFonts w:hint="eastAsia"/>
                      <w:color w:val="auto"/>
                      <w:lang w:eastAsia="zh-CN"/>
                    </w:rPr>
                    <w:t>）</w:t>
                  </w:r>
                  <w:r>
                    <w:rPr>
                      <w:color w:val="auto"/>
                    </w:rPr>
                    <w:t>脱硫</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color w:val="auto"/>
                    </w:rPr>
                    <w:t>氮氧化物</w:t>
                  </w:r>
                </w:p>
              </w:tc>
              <w:tc>
                <w:tcPr>
                  <w:tcW w:w="1725" w:type="dxa"/>
                  <w:vAlign w:val="center"/>
                </w:tcPr>
                <w:p>
                  <w:pPr>
                    <w:pStyle w:val="57"/>
                    <w:rPr>
                      <w:color w:val="auto"/>
                    </w:rPr>
                  </w:pPr>
                  <w:r>
                    <w:rPr>
                      <w:color w:val="auto"/>
                    </w:rPr>
                    <w:t>低氮燃烧技术，其它组合降氮技术</w:t>
                  </w:r>
                </w:p>
              </w:tc>
              <w:tc>
                <w:tcPr>
                  <w:tcW w:w="1924" w:type="dxa"/>
                  <w:vAlign w:val="center"/>
                </w:tcPr>
                <w:p>
                  <w:pPr>
                    <w:pStyle w:val="57"/>
                    <w:rPr>
                      <w:color w:val="auto"/>
                    </w:rPr>
                  </w:pPr>
                  <w:r>
                    <w:rPr>
                      <w:color w:val="auto"/>
                    </w:rPr>
                    <w:t>隧道窑废气氮氧化物废气采用SNCR脱硝</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rFonts w:hint="eastAsia"/>
                      <w:color w:val="auto"/>
                    </w:rPr>
                    <w:t>氟化物</w:t>
                  </w:r>
                </w:p>
              </w:tc>
              <w:tc>
                <w:tcPr>
                  <w:tcW w:w="1725" w:type="dxa"/>
                  <w:vAlign w:val="center"/>
                </w:tcPr>
                <w:p>
                  <w:pPr>
                    <w:pStyle w:val="57"/>
                    <w:rPr>
                      <w:color w:val="auto"/>
                    </w:rPr>
                  </w:pPr>
                  <w:r>
                    <w:rPr>
                      <w:rFonts w:hint="eastAsia"/>
                      <w:color w:val="auto"/>
                    </w:rPr>
                    <w:t>/</w:t>
                  </w:r>
                </w:p>
              </w:tc>
              <w:tc>
                <w:tcPr>
                  <w:tcW w:w="1924" w:type="dxa"/>
                  <w:vAlign w:val="center"/>
                </w:tcPr>
                <w:p>
                  <w:pPr>
                    <w:pStyle w:val="57"/>
                    <w:rPr>
                      <w:rFonts w:hint="default" w:eastAsia="宋体"/>
                      <w:color w:val="auto"/>
                      <w:lang w:val="en-US" w:eastAsia="zh-CN"/>
                    </w:rPr>
                  </w:pPr>
                  <w:r>
                    <w:rPr>
                      <w:rFonts w:hint="eastAsia"/>
                      <w:color w:val="auto"/>
                    </w:rPr>
                    <w:t>隧道</w:t>
                  </w:r>
                  <w:r>
                    <w:rPr>
                      <w:rFonts w:hint="eastAsia"/>
                      <w:color w:val="auto"/>
                      <w:lang w:val="en-US" w:eastAsia="zh-CN"/>
                    </w:rPr>
                    <w:t>烟气处理设施协同脱氟</w:t>
                  </w:r>
                </w:p>
              </w:tc>
              <w:tc>
                <w:tcPr>
                  <w:tcW w:w="917" w:type="dxa"/>
                  <w:vAlign w:val="center"/>
                </w:tcPr>
                <w:p>
                  <w:pPr>
                    <w:pStyle w:val="57"/>
                    <w:rPr>
                      <w:color w:val="auto"/>
                    </w:rPr>
                  </w:pPr>
                  <w:r>
                    <w:rPr>
                      <w:rFonts w:hint="eastAsia"/>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Align w:val="center"/>
                </w:tcPr>
                <w:p>
                  <w:pPr>
                    <w:pStyle w:val="57"/>
                    <w:jc w:val="center"/>
                    <w:rPr>
                      <w:color w:val="auto"/>
                    </w:rPr>
                  </w:pPr>
                  <w:r>
                    <w:rPr>
                      <w:color w:val="auto"/>
                    </w:rPr>
                    <w:t>生产过程中原料制备</w:t>
                  </w:r>
                </w:p>
              </w:tc>
              <w:tc>
                <w:tcPr>
                  <w:tcW w:w="1151" w:type="dxa"/>
                  <w:vAlign w:val="center"/>
                </w:tcPr>
                <w:p>
                  <w:pPr>
                    <w:pStyle w:val="57"/>
                    <w:rPr>
                      <w:color w:val="auto"/>
                    </w:rPr>
                  </w:pPr>
                  <w:r>
                    <w:rPr>
                      <w:color w:val="auto"/>
                    </w:rPr>
                    <w:t>颗粒物</w:t>
                  </w:r>
                </w:p>
              </w:tc>
              <w:tc>
                <w:tcPr>
                  <w:tcW w:w="1725" w:type="dxa"/>
                  <w:vAlign w:val="center"/>
                </w:tcPr>
                <w:p>
                  <w:pPr>
                    <w:pStyle w:val="57"/>
                    <w:rPr>
                      <w:color w:val="auto"/>
                    </w:rPr>
                  </w:pPr>
                  <w:r>
                    <w:rPr>
                      <w:color w:val="auto"/>
                    </w:rPr>
                    <w:t>袋式除尘</w:t>
                  </w:r>
                </w:p>
              </w:tc>
              <w:tc>
                <w:tcPr>
                  <w:tcW w:w="1924" w:type="dxa"/>
                  <w:vAlign w:val="center"/>
                </w:tcPr>
                <w:p>
                  <w:pPr>
                    <w:pStyle w:val="57"/>
                    <w:rPr>
                      <w:color w:val="auto"/>
                    </w:rPr>
                  </w:pPr>
                  <w:r>
                    <w:rPr>
                      <w:color w:val="auto"/>
                    </w:rPr>
                    <w:t>破碎、筛分工序粉尘采用</w:t>
                  </w:r>
                  <w:r>
                    <w:rPr>
                      <w:rFonts w:hint="eastAsia"/>
                      <w:color w:val="auto"/>
                      <w:lang w:val="en-US" w:eastAsia="zh-CN"/>
                    </w:rPr>
                    <w:t>袋式</w:t>
                  </w:r>
                  <w:r>
                    <w:rPr>
                      <w:color w:val="auto"/>
                    </w:rPr>
                    <w:t>除尘</w:t>
                  </w:r>
                </w:p>
              </w:tc>
              <w:tc>
                <w:tcPr>
                  <w:tcW w:w="917" w:type="dxa"/>
                  <w:vAlign w:val="center"/>
                </w:tcPr>
                <w:p>
                  <w:pPr>
                    <w:pStyle w:val="57"/>
                    <w:rPr>
                      <w:color w:val="auto"/>
                    </w:rPr>
                  </w:pPr>
                  <w:r>
                    <w:rPr>
                      <w:color w:val="auto"/>
                    </w:rPr>
                    <w:t>可行</w:t>
                  </w:r>
                </w:p>
              </w:tc>
            </w:tr>
          </w:tbl>
          <w:p>
            <w:pPr>
              <w:pStyle w:val="60"/>
              <w:ind w:left="0" w:leftChars="0" w:firstLine="0" w:firstLineChars="0"/>
              <w:rPr>
                <w:b/>
                <w:bCs/>
                <w:color w:val="auto"/>
                <w:sz w:val="24"/>
                <w:szCs w:val="24"/>
              </w:rPr>
            </w:pPr>
            <w:r>
              <w:rPr>
                <w:rFonts w:hint="eastAsia"/>
                <w:b/>
                <w:bCs/>
                <w:color w:val="auto"/>
                <w:sz w:val="24"/>
                <w:szCs w:val="24"/>
                <w:lang w:val="en-US" w:eastAsia="zh-CN"/>
              </w:rPr>
              <w:t>1.2.2</w:t>
            </w:r>
            <w:r>
              <w:rPr>
                <w:b/>
                <w:bCs/>
                <w:color w:val="auto"/>
                <w:sz w:val="24"/>
                <w:szCs w:val="24"/>
              </w:rPr>
              <w:t>无组织废气防治措施</w:t>
            </w:r>
          </w:p>
          <w:p>
            <w:pPr>
              <w:pStyle w:val="60"/>
              <w:ind w:firstLine="420"/>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olor w:val="auto"/>
                <w:sz w:val="24"/>
                <w:szCs w:val="24"/>
              </w:rPr>
              <w:t>①</w:t>
            </w:r>
            <w:r>
              <w:rPr>
                <w:color w:val="auto"/>
                <w:sz w:val="24"/>
                <w:szCs w:val="24"/>
              </w:rPr>
              <w:fldChar w:fldCharType="end"/>
            </w:r>
            <w:r>
              <w:rPr>
                <w:color w:val="auto"/>
                <w:sz w:val="24"/>
                <w:szCs w:val="24"/>
              </w:rPr>
              <w:t>粘土矿区扬尘防治措施</w:t>
            </w:r>
          </w:p>
          <w:p>
            <w:pPr>
              <w:pStyle w:val="60"/>
              <w:ind w:firstLine="420"/>
              <w:rPr>
                <w:color w:val="auto"/>
                <w:sz w:val="24"/>
                <w:szCs w:val="24"/>
              </w:rPr>
            </w:pPr>
            <w:r>
              <w:rPr>
                <w:color w:val="auto"/>
                <w:sz w:val="24"/>
                <w:szCs w:val="24"/>
              </w:rPr>
              <w:t>项目粘土矿区采取</w:t>
            </w:r>
            <w:r>
              <w:rPr>
                <w:rFonts w:hint="eastAsia"/>
                <w:color w:val="auto"/>
                <w:sz w:val="24"/>
                <w:szCs w:val="24"/>
                <w:lang w:val="en-US" w:eastAsia="zh-CN"/>
              </w:rPr>
              <w:t>取土前洒水（降低74%以上扬尘）及取土过程喷雾降尘（74%以上扬尘）</w:t>
            </w:r>
            <w:r>
              <w:rPr>
                <w:color w:val="auto"/>
                <w:sz w:val="24"/>
                <w:szCs w:val="24"/>
              </w:rPr>
              <w:t>方式降低扬尘排放，粘土矿区扬尘排放量为</w:t>
            </w:r>
            <w:r>
              <w:rPr>
                <w:rFonts w:hint="eastAsia"/>
                <w:color w:val="auto"/>
                <w:sz w:val="24"/>
                <w:szCs w:val="24"/>
                <w:lang w:val="en-US" w:eastAsia="zh-CN"/>
              </w:rPr>
              <w:t>0.8</w:t>
            </w:r>
            <w:r>
              <w:rPr>
                <w:color w:val="auto"/>
                <w:sz w:val="24"/>
                <w:szCs w:val="24"/>
              </w:rPr>
              <w:t>t/a</w:t>
            </w:r>
            <w:r>
              <w:rPr>
                <w:rFonts w:hint="eastAsia"/>
                <w:color w:val="auto"/>
                <w:sz w:val="24"/>
                <w:szCs w:val="24"/>
                <w:lang w:eastAsia="zh-CN"/>
              </w:rPr>
              <w:t>（</w:t>
            </w:r>
            <w:r>
              <w:rPr>
                <w:rFonts w:hint="eastAsia"/>
                <w:color w:val="auto"/>
                <w:sz w:val="24"/>
                <w:szCs w:val="24"/>
                <w:lang w:val="en-US" w:eastAsia="zh-CN"/>
              </w:rPr>
              <w:t>0.89kg/h</w:t>
            </w:r>
            <w:r>
              <w:rPr>
                <w:rFonts w:hint="eastAsia"/>
                <w:color w:val="auto"/>
                <w:sz w:val="24"/>
                <w:szCs w:val="24"/>
                <w:lang w:eastAsia="zh-CN"/>
              </w:rPr>
              <w:t>）</w:t>
            </w:r>
            <w:r>
              <w:rPr>
                <w:color w:val="auto"/>
                <w:sz w:val="24"/>
                <w:szCs w:val="24"/>
              </w:rPr>
              <w:t>。</w:t>
            </w:r>
          </w:p>
          <w:p>
            <w:pPr>
              <w:pStyle w:val="60"/>
              <w:ind w:firstLine="480"/>
              <w:rPr>
                <w:rFonts w:hint="default" w:eastAsia="宋体"/>
                <w:sz w:val="24"/>
                <w:lang w:val="en-US" w:eastAsia="zh-CN"/>
              </w:rPr>
            </w:pPr>
            <w:r>
              <w:rPr>
                <w:rFonts w:hint="eastAsia"/>
                <w:sz w:val="24"/>
                <w:lang w:val="en-US" w:eastAsia="zh-CN"/>
              </w:rPr>
              <w:t>②粘土装卸及堆放粉尘防治措施</w:t>
            </w:r>
          </w:p>
          <w:p>
            <w:pPr>
              <w:pStyle w:val="60"/>
              <w:ind w:firstLine="480"/>
              <w:rPr>
                <w:rFonts w:hint="eastAsia" w:eastAsia="宋体"/>
                <w:color w:val="auto"/>
                <w:sz w:val="24"/>
                <w:lang w:eastAsia="zh-CN"/>
              </w:rPr>
            </w:pPr>
            <w:r>
              <w:rPr>
                <w:color w:val="auto"/>
                <w:sz w:val="24"/>
              </w:rPr>
              <w:t>项目</w:t>
            </w:r>
            <w:r>
              <w:rPr>
                <w:rFonts w:hint="eastAsia"/>
                <w:color w:val="auto"/>
                <w:sz w:val="24"/>
                <w:lang w:val="en-US" w:eastAsia="zh-CN"/>
              </w:rPr>
              <w:t>粘土开采区采用开采前洒水、开采过程中雾炮喷雾及堆放在全封闭式车间内等</w:t>
            </w:r>
            <w:r>
              <w:rPr>
                <w:color w:val="auto"/>
                <w:sz w:val="24"/>
              </w:rPr>
              <w:t>措施，根据《工业源固体物料堆场颗粒物核算系数手册》附录4和附录5，</w:t>
            </w:r>
            <w:r>
              <w:rPr>
                <w:rFonts w:hint="eastAsia"/>
                <w:color w:val="auto"/>
                <w:sz w:val="24"/>
              </w:rPr>
              <w:t>洒水</w:t>
            </w:r>
            <w:r>
              <w:rPr>
                <w:rFonts w:hint="eastAsia"/>
                <w:color w:val="auto"/>
                <w:sz w:val="24"/>
                <w:lang w:val="en-US" w:eastAsia="zh-CN"/>
              </w:rPr>
              <w:t>及喷雾</w:t>
            </w:r>
            <w:r>
              <w:rPr>
                <w:color w:val="auto"/>
                <w:sz w:val="24"/>
              </w:rPr>
              <w:t>的控制效率为</w:t>
            </w:r>
            <w:r>
              <w:rPr>
                <w:rFonts w:hint="eastAsia"/>
                <w:color w:val="auto"/>
                <w:sz w:val="24"/>
              </w:rPr>
              <w:t>74</w:t>
            </w:r>
            <w:r>
              <w:rPr>
                <w:color w:val="auto"/>
                <w:sz w:val="24"/>
              </w:rPr>
              <w:t>%</w:t>
            </w:r>
            <w:r>
              <w:rPr>
                <w:rFonts w:hint="eastAsia"/>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w:t>
            </w:r>
            <w:r>
              <w:rPr>
                <w:rFonts w:hint="eastAsia"/>
                <w:color w:val="auto"/>
                <w:sz w:val="24"/>
                <w:lang w:val="en-US" w:eastAsia="zh-CN"/>
              </w:rPr>
              <w:t>粘土装卸及堆放过程无组织粉尘</w:t>
            </w:r>
            <w:r>
              <w:rPr>
                <w:color w:val="auto"/>
                <w:sz w:val="24"/>
              </w:rPr>
              <w:t>排放量为</w:t>
            </w:r>
            <w:r>
              <w:rPr>
                <w:rFonts w:hint="eastAsia"/>
                <w:color w:val="auto"/>
                <w:sz w:val="24"/>
              </w:rPr>
              <w:t>0.</w:t>
            </w:r>
            <w:r>
              <w:rPr>
                <w:rFonts w:hint="eastAsia"/>
                <w:color w:val="auto"/>
                <w:sz w:val="24"/>
                <w:lang w:val="en-US" w:eastAsia="zh-CN"/>
              </w:rPr>
              <w:t>027</w:t>
            </w:r>
            <w:r>
              <w:rPr>
                <w:color w:val="auto"/>
                <w:sz w:val="24"/>
              </w:rPr>
              <w:t>t/a</w:t>
            </w:r>
            <w:r>
              <w:rPr>
                <w:rFonts w:hint="eastAsia"/>
                <w:color w:val="auto"/>
                <w:sz w:val="24"/>
              </w:rPr>
              <w:t>（0.</w:t>
            </w:r>
            <w:r>
              <w:rPr>
                <w:rFonts w:hint="eastAsia"/>
                <w:color w:val="auto"/>
                <w:sz w:val="24"/>
                <w:lang w:val="en-US" w:eastAsia="zh-CN"/>
              </w:rPr>
              <w:t>0</w:t>
            </w:r>
            <w:r>
              <w:rPr>
                <w:rFonts w:hint="eastAsia"/>
                <w:color w:val="auto"/>
                <w:sz w:val="24"/>
              </w:rPr>
              <w:t>3kg/h）</w:t>
            </w:r>
            <w:r>
              <w:rPr>
                <w:rFonts w:hint="eastAsia"/>
                <w:color w:val="auto"/>
                <w:sz w:val="24"/>
                <w:lang w:eastAsia="zh-CN"/>
              </w:rPr>
              <w:t>。</w:t>
            </w:r>
          </w:p>
          <w:p>
            <w:pPr>
              <w:pStyle w:val="60"/>
              <w:ind w:firstLine="480"/>
              <w:rPr>
                <w:color w:val="auto"/>
                <w:sz w:val="24"/>
              </w:rPr>
            </w:pPr>
            <w:r>
              <w:rPr>
                <w:rFonts w:hint="eastAsia"/>
                <w:color w:val="auto"/>
                <w:sz w:val="24"/>
                <w:lang w:val="en-US" w:eastAsia="zh-CN"/>
              </w:rPr>
              <w:t>③煤矸石堆棚</w:t>
            </w:r>
            <w:r>
              <w:rPr>
                <w:color w:val="auto"/>
                <w:sz w:val="24"/>
              </w:rPr>
              <w:t>粉尘</w:t>
            </w:r>
          </w:p>
          <w:p>
            <w:pPr>
              <w:pStyle w:val="60"/>
              <w:ind w:firstLine="420"/>
              <w:rPr>
                <w:rFonts w:hint="eastAsia" w:eastAsia="宋体"/>
                <w:color w:val="auto"/>
                <w:sz w:val="24"/>
                <w:szCs w:val="24"/>
                <w:lang w:eastAsia="zh-CN"/>
              </w:rPr>
            </w:pPr>
            <w:r>
              <w:rPr>
                <w:color w:val="auto"/>
                <w:sz w:val="24"/>
              </w:rPr>
              <w:t>项目</w:t>
            </w:r>
            <w:r>
              <w:rPr>
                <w:rFonts w:hint="eastAsia"/>
                <w:color w:val="auto"/>
                <w:sz w:val="24"/>
                <w:lang w:val="en-US" w:eastAsia="zh-CN"/>
              </w:rPr>
              <w:t>煤矸石卸料</w:t>
            </w:r>
            <w:r>
              <w:rPr>
                <w:color w:val="auto"/>
                <w:sz w:val="24"/>
              </w:rPr>
              <w:t>过程在</w:t>
            </w:r>
            <w:r>
              <w:rPr>
                <w:rFonts w:hint="eastAsia"/>
                <w:color w:val="auto"/>
                <w:sz w:val="24"/>
                <w:lang w:val="en-US" w:eastAsia="zh-CN"/>
              </w:rPr>
              <w:t>全</w:t>
            </w:r>
            <w:r>
              <w:rPr>
                <w:color w:val="auto"/>
                <w:sz w:val="24"/>
              </w:rPr>
              <w:t>封闭储棚内进行，项目煤矸石堆棚均采用</w:t>
            </w:r>
            <w:r>
              <w:rPr>
                <w:rFonts w:hint="eastAsia"/>
                <w:color w:val="auto"/>
                <w:sz w:val="24"/>
              </w:rPr>
              <w:t>洒水+</w:t>
            </w:r>
            <w:r>
              <w:rPr>
                <w:rFonts w:hint="eastAsia"/>
                <w:color w:val="auto"/>
                <w:sz w:val="24"/>
                <w:lang w:val="en-US" w:eastAsia="zh-CN"/>
              </w:rPr>
              <w:t>全</w:t>
            </w:r>
            <w:r>
              <w:rPr>
                <w:color w:val="auto"/>
                <w:sz w:val="24"/>
              </w:rPr>
              <w:t>封闭式措施，</w:t>
            </w:r>
            <w:r>
              <w:rPr>
                <w:rFonts w:hint="eastAsia"/>
                <w:color w:val="auto"/>
                <w:sz w:val="24"/>
              </w:rPr>
              <w:t>本项目</w:t>
            </w:r>
            <w:r>
              <w:rPr>
                <w:color w:val="auto"/>
                <w:sz w:val="24"/>
              </w:rPr>
              <w:t>根据《工业源固体物料堆场颗粒物核算系数手册》附录4和附录5，</w:t>
            </w:r>
            <w:r>
              <w:rPr>
                <w:rFonts w:hint="eastAsia"/>
                <w:color w:val="auto"/>
                <w:sz w:val="24"/>
              </w:rPr>
              <w:t>通过洒水</w:t>
            </w:r>
            <w:r>
              <w:rPr>
                <w:color w:val="auto"/>
                <w:sz w:val="24"/>
              </w:rPr>
              <w:t>的控制效率为</w:t>
            </w:r>
            <w:r>
              <w:rPr>
                <w:rFonts w:hint="eastAsia"/>
                <w:color w:val="auto"/>
                <w:sz w:val="24"/>
              </w:rPr>
              <w:t>74</w:t>
            </w:r>
            <w:r>
              <w:rPr>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w:t>
            </w:r>
            <w:r>
              <w:rPr>
                <w:rFonts w:hint="eastAsia"/>
                <w:color w:val="auto"/>
                <w:sz w:val="24"/>
              </w:rPr>
              <w:t>的控制措施降低原料堆场粉尘</w:t>
            </w:r>
            <w:r>
              <w:rPr>
                <w:rFonts w:hint="eastAsia"/>
                <w:color w:val="auto"/>
                <w:sz w:val="24"/>
                <w:lang w:eastAsia="zh-CN"/>
              </w:rPr>
              <w:t>，</w:t>
            </w:r>
            <w:r>
              <w:rPr>
                <w:rFonts w:hint="eastAsia"/>
                <w:color w:val="auto"/>
                <w:sz w:val="24"/>
                <w:lang w:val="en-US" w:eastAsia="zh-CN"/>
              </w:rPr>
              <w:t>则</w:t>
            </w:r>
            <w:r>
              <w:rPr>
                <w:color w:val="auto"/>
                <w:sz w:val="24"/>
              </w:rPr>
              <w:t>煤矸石</w:t>
            </w:r>
            <w:r>
              <w:rPr>
                <w:rFonts w:hint="eastAsia"/>
                <w:color w:val="auto"/>
                <w:sz w:val="24"/>
                <w:lang w:val="en-US" w:eastAsia="zh-CN"/>
              </w:rPr>
              <w:t>卸料及堆放过程</w:t>
            </w:r>
            <w:r>
              <w:rPr>
                <w:color w:val="auto"/>
                <w:sz w:val="24"/>
              </w:rPr>
              <w:t>的</w:t>
            </w:r>
            <w:r>
              <w:rPr>
                <w:rFonts w:hint="eastAsia"/>
                <w:color w:val="auto"/>
                <w:sz w:val="24"/>
                <w:lang w:val="en-US" w:eastAsia="zh-CN"/>
              </w:rPr>
              <w:t>无组织粉尘</w:t>
            </w:r>
            <w:r>
              <w:rPr>
                <w:color w:val="auto"/>
                <w:sz w:val="24"/>
              </w:rPr>
              <w:t>排放量为</w:t>
            </w:r>
            <w:r>
              <w:rPr>
                <w:rFonts w:hint="eastAsia"/>
                <w:color w:val="auto"/>
                <w:sz w:val="24"/>
              </w:rPr>
              <w:t>0.</w:t>
            </w:r>
            <w:r>
              <w:rPr>
                <w:rFonts w:hint="eastAsia"/>
                <w:color w:val="auto"/>
                <w:sz w:val="24"/>
                <w:lang w:val="en-US" w:eastAsia="zh-CN"/>
              </w:rPr>
              <w:t>12</w:t>
            </w:r>
            <w:r>
              <w:rPr>
                <w:color w:val="auto"/>
                <w:sz w:val="24"/>
              </w:rPr>
              <w:t>t/a</w:t>
            </w:r>
            <w:r>
              <w:rPr>
                <w:rFonts w:hint="eastAsia"/>
                <w:color w:val="auto"/>
                <w:sz w:val="24"/>
              </w:rPr>
              <w:t>（0.</w:t>
            </w:r>
            <w:r>
              <w:rPr>
                <w:rFonts w:hint="eastAsia"/>
                <w:color w:val="auto"/>
                <w:sz w:val="24"/>
                <w:lang w:val="en-US" w:eastAsia="zh-CN"/>
              </w:rPr>
              <w:t>133</w:t>
            </w:r>
            <w:r>
              <w:rPr>
                <w:rFonts w:hint="eastAsia"/>
                <w:color w:val="auto"/>
                <w:sz w:val="24"/>
              </w:rPr>
              <w:t>kg/h）</w:t>
            </w:r>
            <w:r>
              <w:rPr>
                <w:rFonts w:hint="eastAsia"/>
                <w:color w:val="auto"/>
                <w:sz w:val="24"/>
                <w:lang w:eastAsia="zh-CN"/>
              </w:rPr>
              <w:t>。</w:t>
            </w:r>
          </w:p>
          <w:p>
            <w:pPr>
              <w:pStyle w:val="60"/>
              <w:ind w:firstLine="480"/>
              <w:rPr>
                <w:sz w:val="24"/>
              </w:rPr>
            </w:pPr>
            <w:r>
              <w:rPr>
                <w:rFonts w:hint="eastAsia"/>
                <w:sz w:val="24"/>
              </w:rPr>
              <w:t>④运输车辆动力起尘</w:t>
            </w:r>
          </w:p>
          <w:p>
            <w:pPr>
              <w:pStyle w:val="60"/>
              <w:ind w:firstLine="480"/>
              <w:rPr>
                <w:rFonts w:hint="eastAsia" w:eastAsia="宋体"/>
                <w:sz w:val="24"/>
                <w:lang w:eastAsia="zh-CN"/>
              </w:rPr>
            </w:pPr>
            <w:r>
              <w:rPr>
                <w:sz w:val="24"/>
              </w:rPr>
              <w:t>项目汽车动力起尘量为</w:t>
            </w:r>
            <w:r>
              <w:rPr>
                <w:rFonts w:hint="eastAsia"/>
                <w:sz w:val="24"/>
              </w:rPr>
              <w:t>1.41</w:t>
            </w:r>
            <w:r>
              <w:rPr>
                <w:sz w:val="24"/>
              </w:rPr>
              <w:t>t/a。环评建议运输车厂内行驶时，车速控制在10km/h以下、路面硬化、车辆清扫并采取洒水措施</w:t>
            </w:r>
            <w:r>
              <w:rPr>
                <w:rFonts w:hint="eastAsia"/>
                <w:sz w:val="24"/>
              </w:rPr>
              <w:t>可降低60%的扬尘，则其排放量为0.147t/a（0.</w:t>
            </w:r>
            <w:r>
              <w:rPr>
                <w:rFonts w:hint="eastAsia"/>
                <w:sz w:val="24"/>
                <w:lang w:val="en-US" w:eastAsia="zh-CN"/>
              </w:rPr>
              <w:t>163</w:t>
            </w:r>
            <w:r>
              <w:rPr>
                <w:rFonts w:hint="eastAsia"/>
                <w:sz w:val="24"/>
              </w:rPr>
              <w:t>kg/h）</w:t>
            </w:r>
            <w:r>
              <w:rPr>
                <w:rFonts w:hint="eastAsia"/>
                <w:sz w:val="24"/>
                <w:lang w:eastAsia="zh-CN"/>
              </w:rPr>
              <w:t>。</w:t>
            </w:r>
          </w:p>
          <w:p>
            <w:pPr>
              <w:pStyle w:val="60"/>
              <w:ind w:firstLine="480"/>
              <w:rPr>
                <w:sz w:val="24"/>
              </w:rPr>
            </w:pPr>
            <w:r>
              <w:rPr>
                <w:rFonts w:hint="default" w:ascii="Times New Roman" w:hAnsi="Times New Roman" w:cs="Times New Roman"/>
                <w:sz w:val="24"/>
                <w:lang w:val="en-US" w:eastAsia="zh-CN"/>
              </w:rPr>
              <w:t>⑤</w:t>
            </w:r>
            <w:r>
              <w:rPr>
                <w:sz w:val="24"/>
              </w:rPr>
              <w:t>破碎、筛分粉尘</w:t>
            </w:r>
          </w:p>
          <w:p>
            <w:pPr>
              <w:pStyle w:val="60"/>
              <w:ind w:firstLine="420"/>
              <w:rPr>
                <w:rFonts w:hint="default"/>
                <w:color w:val="auto"/>
                <w:sz w:val="24"/>
                <w:szCs w:val="24"/>
                <w:lang w:val="en-US"/>
              </w:rPr>
            </w:pPr>
            <w:r>
              <w:rPr>
                <w:sz w:val="24"/>
              </w:rPr>
              <w:t>项目运营期原料煤矸石</w:t>
            </w:r>
            <w:r>
              <w:rPr>
                <w:rFonts w:hint="eastAsia"/>
                <w:sz w:val="24"/>
                <w:lang w:val="en-US" w:eastAsia="zh-CN"/>
              </w:rPr>
              <w:t>在</w:t>
            </w:r>
            <w:r>
              <w:rPr>
                <w:sz w:val="24"/>
              </w:rPr>
              <w:t>破碎、筛分工序在</w:t>
            </w:r>
            <w:r>
              <w:rPr>
                <w:rFonts w:hint="eastAsia"/>
                <w:sz w:val="24"/>
                <w:lang w:val="en-US" w:eastAsia="zh-CN"/>
              </w:rPr>
              <w:t>全</w:t>
            </w:r>
            <w:r>
              <w:rPr>
                <w:sz w:val="24"/>
              </w:rPr>
              <w:t>车间进行，集气罩未收集</w:t>
            </w:r>
            <w:r>
              <w:rPr>
                <w:rFonts w:hint="eastAsia"/>
                <w:sz w:val="24"/>
              </w:rPr>
              <w:t>（10%）</w:t>
            </w:r>
            <w:r>
              <w:rPr>
                <w:sz w:val="24"/>
              </w:rPr>
              <w:t>的</w:t>
            </w:r>
            <w:r>
              <w:rPr>
                <w:rFonts w:hint="eastAsia"/>
                <w:sz w:val="24"/>
              </w:rPr>
              <w:t>粉尘量为0.738t/a（0.154kg/h），</w:t>
            </w:r>
            <w:r>
              <w:rPr>
                <w:sz w:val="24"/>
              </w:rPr>
              <w:t>粉尘经车间沉降（沉降率80%）后排放量</w:t>
            </w:r>
            <w:r>
              <w:rPr>
                <w:rFonts w:hint="eastAsia"/>
                <w:sz w:val="24"/>
              </w:rPr>
              <w:t>0.148t/a（0.</w:t>
            </w:r>
            <w:r>
              <w:rPr>
                <w:rFonts w:hint="eastAsia"/>
                <w:sz w:val="24"/>
                <w:lang w:val="en-US" w:eastAsia="zh-CN"/>
              </w:rPr>
              <w:t>164</w:t>
            </w:r>
            <w:r>
              <w:rPr>
                <w:rFonts w:hint="eastAsia"/>
                <w:sz w:val="24"/>
              </w:rPr>
              <w:t>kg/h）</w:t>
            </w:r>
            <w:r>
              <w:rPr>
                <w:sz w:val="24"/>
              </w:rPr>
              <w:t>。</w:t>
            </w:r>
          </w:p>
          <w:p>
            <w:pPr>
              <w:pStyle w:val="60"/>
              <w:ind w:firstLine="420"/>
              <w:rPr>
                <w:color w:val="auto"/>
                <w:sz w:val="24"/>
                <w:szCs w:val="24"/>
              </w:rPr>
            </w:pPr>
            <w:r>
              <w:rPr>
                <w:color w:val="auto"/>
                <w:sz w:val="24"/>
                <w:szCs w:val="24"/>
              </w:rPr>
              <w:t>无组织废气治理设施见下表。</w:t>
            </w:r>
          </w:p>
          <w:p>
            <w:pPr>
              <w:pStyle w:val="14"/>
              <w:keepNext/>
              <w:spacing w:line="240" w:lineRule="auto"/>
              <w:rPr>
                <w:rFonts w:cs="Times New Roman"/>
                <w:color w:val="auto"/>
              </w:rPr>
            </w:pPr>
            <w:r>
              <w:rPr>
                <w:rFonts w:eastAsia="宋体" w:cs="Times New Roman"/>
                <w:color w:val="auto"/>
              </w:rPr>
              <w:t>表</w:t>
            </w:r>
            <w:r>
              <w:rPr>
                <w:rFonts w:cs="Times New Roman"/>
                <w:color w:val="auto"/>
              </w:rPr>
              <w:t xml:space="preserve"> </w:t>
            </w:r>
            <w:r>
              <w:rPr>
                <w:rFonts w:hint="eastAsia" w:eastAsia="宋体" w:cs="Times New Roman"/>
                <w:color w:val="auto"/>
                <w:lang w:val="en-US" w:eastAsia="zh-CN"/>
              </w:rPr>
              <w:t xml:space="preserve">4-11   </w:t>
            </w:r>
            <w:r>
              <w:rPr>
                <w:rFonts w:eastAsia="宋体" w:cs="Times New Roman"/>
                <w:color w:val="auto"/>
              </w:rPr>
              <w:t>无组织废气治理措施一览表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363"/>
              <w:gridCol w:w="1021"/>
              <w:gridCol w:w="2114"/>
              <w:gridCol w:w="147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noWrap/>
                  <w:vAlign w:val="center"/>
                </w:tcPr>
                <w:p>
                  <w:pPr>
                    <w:pStyle w:val="57"/>
                  </w:pPr>
                  <w:r>
                    <w:t>污染源</w:t>
                  </w:r>
                </w:p>
              </w:tc>
              <w:tc>
                <w:tcPr>
                  <w:tcW w:w="1364" w:type="dxa"/>
                  <w:noWrap/>
                  <w:vAlign w:val="center"/>
                </w:tcPr>
                <w:p>
                  <w:pPr>
                    <w:pStyle w:val="57"/>
                  </w:pPr>
                  <w:r>
                    <w:t>工序</w:t>
                  </w:r>
                </w:p>
              </w:tc>
              <w:tc>
                <w:tcPr>
                  <w:tcW w:w="1022" w:type="dxa"/>
                  <w:vAlign w:val="center"/>
                </w:tcPr>
                <w:p>
                  <w:pPr>
                    <w:pStyle w:val="57"/>
                  </w:pPr>
                  <w:r>
                    <w:t>污染物</w:t>
                  </w:r>
                </w:p>
              </w:tc>
              <w:tc>
                <w:tcPr>
                  <w:tcW w:w="2116" w:type="dxa"/>
                  <w:noWrap/>
                  <w:vAlign w:val="center"/>
                </w:tcPr>
                <w:p>
                  <w:pPr>
                    <w:pStyle w:val="57"/>
                  </w:pPr>
                  <w:r>
                    <w:t>处理措施或设施</w:t>
                  </w:r>
                </w:p>
              </w:tc>
              <w:tc>
                <w:tcPr>
                  <w:tcW w:w="1477" w:type="dxa"/>
                  <w:noWrap/>
                  <w:vAlign w:val="center"/>
                </w:tcPr>
                <w:p>
                  <w:pPr>
                    <w:pStyle w:val="57"/>
                  </w:pPr>
                  <w:r>
                    <w:t>处理效率（%）</w:t>
                  </w:r>
                </w:p>
              </w:tc>
              <w:tc>
                <w:tcPr>
                  <w:tcW w:w="946" w:type="dxa"/>
                  <w:noWrap/>
                  <w:vAlign w:val="center"/>
                </w:tcPr>
                <w:p>
                  <w:pPr>
                    <w:pStyle w:val="57"/>
                  </w:pPr>
                  <w:r>
                    <w:t>技术可行性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vAlign w:val="center"/>
                </w:tcPr>
                <w:p>
                  <w:pPr>
                    <w:pStyle w:val="57"/>
                    <w:rPr>
                      <w:rFonts w:hint="eastAsia" w:eastAsia="宋体"/>
                      <w:color w:val="auto"/>
                      <w:lang w:val="en-US" w:eastAsia="zh-CN"/>
                    </w:rPr>
                  </w:pPr>
                  <w:r>
                    <w:rPr>
                      <w:color w:val="auto"/>
                    </w:rPr>
                    <w:t>粘土</w:t>
                  </w:r>
                </w:p>
              </w:tc>
              <w:tc>
                <w:tcPr>
                  <w:tcW w:w="1364" w:type="dxa"/>
                  <w:noWrap/>
                  <w:vAlign w:val="center"/>
                </w:tcPr>
                <w:p>
                  <w:pPr>
                    <w:pStyle w:val="57"/>
                    <w:rPr>
                      <w:color w:val="auto"/>
                    </w:rPr>
                  </w:pPr>
                  <w:r>
                    <w:rPr>
                      <w:color w:val="auto"/>
                    </w:rPr>
                    <w:t>粘土开采</w:t>
                  </w:r>
                </w:p>
              </w:tc>
              <w:tc>
                <w:tcPr>
                  <w:tcW w:w="1022" w:type="dxa"/>
                  <w:vAlign w:val="center"/>
                </w:tcPr>
                <w:p>
                  <w:pPr>
                    <w:pStyle w:val="57"/>
                    <w:rPr>
                      <w:color w:val="auto"/>
                    </w:rPr>
                  </w:pPr>
                  <w:r>
                    <w:rPr>
                      <w:color w:val="auto"/>
                    </w:rPr>
                    <w:t>颗粒物</w:t>
                  </w:r>
                </w:p>
              </w:tc>
              <w:tc>
                <w:tcPr>
                  <w:tcW w:w="2116" w:type="dxa"/>
                  <w:vAlign w:val="center"/>
                </w:tcPr>
                <w:p>
                  <w:pPr>
                    <w:pStyle w:val="57"/>
                    <w:rPr>
                      <w:color w:val="auto"/>
                    </w:rPr>
                  </w:pPr>
                  <w:r>
                    <w:rPr>
                      <w:rFonts w:hint="eastAsia"/>
                      <w:color w:val="auto"/>
                    </w:rPr>
                    <w:t>取土前洒水+取土过程喷雾</w:t>
                  </w:r>
                  <w:r>
                    <w:rPr>
                      <w:color w:val="auto"/>
                    </w:rPr>
                    <w:t>抑尘</w:t>
                  </w:r>
                </w:p>
              </w:tc>
              <w:tc>
                <w:tcPr>
                  <w:tcW w:w="1477" w:type="dxa"/>
                  <w:noWrap/>
                  <w:vAlign w:val="center"/>
                </w:tcPr>
                <w:p>
                  <w:pPr>
                    <w:pStyle w:val="57"/>
                    <w:rPr>
                      <w:color w:val="auto"/>
                    </w:rPr>
                  </w:pPr>
                  <w:r>
                    <w:rPr>
                      <w:rFonts w:hint="eastAsia"/>
                      <w:color w:val="auto"/>
                    </w:rPr>
                    <w:t>74、74</w:t>
                  </w:r>
                </w:p>
              </w:tc>
              <w:tc>
                <w:tcPr>
                  <w:tcW w:w="946"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vAlign w:val="center"/>
                </w:tcPr>
                <w:p>
                  <w:pPr>
                    <w:pStyle w:val="57"/>
                    <w:rPr>
                      <w:rFonts w:hint="default" w:eastAsia="宋体"/>
                      <w:color w:val="auto"/>
                      <w:lang w:val="en-US" w:eastAsia="zh-CN"/>
                    </w:rPr>
                  </w:pPr>
                  <w:r>
                    <w:rPr>
                      <w:rFonts w:hint="eastAsia"/>
                      <w:color w:val="auto"/>
                      <w:lang w:val="en-US" w:eastAsia="zh-CN"/>
                    </w:rPr>
                    <w:t>粘土</w:t>
                  </w:r>
                </w:p>
              </w:tc>
              <w:tc>
                <w:tcPr>
                  <w:tcW w:w="1364" w:type="dxa"/>
                  <w:noWrap/>
                  <w:vAlign w:val="center"/>
                </w:tcPr>
                <w:p>
                  <w:pPr>
                    <w:pStyle w:val="57"/>
                    <w:rPr>
                      <w:color w:val="auto"/>
                    </w:rPr>
                  </w:pPr>
                  <w:r>
                    <w:rPr>
                      <w:rFonts w:hint="eastAsia"/>
                      <w:color w:val="auto"/>
                      <w:lang w:val="en-US" w:eastAsia="zh-CN"/>
                    </w:rPr>
                    <w:t>粘土装卸及堆放</w:t>
                  </w:r>
                </w:p>
              </w:tc>
              <w:tc>
                <w:tcPr>
                  <w:tcW w:w="1022" w:type="dxa"/>
                  <w:vAlign w:val="center"/>
                </w:tcPr>
                <w:p>
                  <w:pPr>
                    <w:pStyle w:val="57"/>
                    <w:rPr>
                      <w:color w:val="auto"/>
                    </w:rPr>
                  </w:pPr>
                  <w:r>
                    <w:rPr>
                      <w:color w:val="auto"/>
                    </w:rPr>
                    <w:t>颗粒物</w:t>
                  </w:r>
                </w:p>
              </w:tc>
              <w:tc>
                <w:tcPr>
                  <w:tcW w:w="2116" w:type="dxa"/>
                  <w:vAlign w:val="center"/>
                </w:tcPr>
                <w:p>
                  <w:pPr>
                    <w:pStyle w:val="57"/>
                    <w:rPr>
                      <w:rFonts w:hint="default" w:eastAsia="宋体"/>
                      <w:color w:val="auto"/>
                      <w:lang w:val="en-US" w:eastAsia="zh-CN"/>
                    </w:rPr>
                  </w:pPr>
                  <w:r>
                    <w:rPr>
                      <w:rFonts w:hint="eastAsia"/>
                      <w:color w:val="auto"/>
                    </w:rPr>
                    <w:t>取土前洒水+取土过程喷雾</w:t>
                  </w:r>
                  <w:r>
                    <w:rPr>
                      <w:color w:val="auto"/>
                    </w:rPr>
                    <w:t>抑尘</w:t>
                  </w:r>
                  <w:r>
                    <w:rPr>
                      <w:rFonts w:hint="eastAsia"/>
                      <w:color w:val="auto"/>
                      <w:lang w:val="en-US" w:eastAsia="zh-CN"/>
                    </w:rPr>
                    <w:t>+全封闭料棚</w:t>
                  </w:r>
                </w:p>
              </w:tc>
              <w:tc>
                <w:tcPr>
                  <w:tcW w:w="1477" w:type="dxa"/>
                  <w:noWrap/>
                  <w:vAlign w:val="center"/>
                </w:tcPr>
                <w:p>
                  <w:pPr>
                    <w:pStyle w:val="57"/>
                    <w:rPr>
                      <w:rFonts w:hint="default" w:eastAsia="宋体"/>
                      <w:color w:val="auto"/>
                      <w:lang w:val="en-US" w:eastAsia="zh-CN"/>
                    </w:rPr>
                  </w:pPr>
                  <w:r>
                    <w:rPr>
                      <w:rFonts w:hint="eastAsia"/>
                      <w:color w:val="auto"/>
                    </w:rPr>
                    <w:t>74、74</w:t>
                  </w:r>
                  <w:r>
                    <w:rPr>
                      <w:rFonts w:hint="eastAsia"/>
                      <w:color w:val="auto"/>
                      <w:lang w:eastAsia="zh-CN"/>
                    </w:rPr>
                    <w:t>、</w:t>
                  </w:r>
                  <w:r>
                    <w:rPr>
                      <w:rFonts w:hint="eastAsia"/>
                      <w:color w:val="auto"/>
                      <w:lang w:val="en-US" w:eastAsia="zh-CN"/>
                    </w:rPr>
                    <w:t>99</w:t>
                  </w:r>
                </w:p>
              </w:tc>
              <w:tc>
                <w:tcPr>
                  <w:tcW w:w="946"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noWrap/>
                  <w:vAlign w:val="center"/>
                </w:tcPr>
                <w:p>
                  <w:pPr>
                    <w:pStyle w:val="57"/>
                    <w:rPr>
                      <w:color w:val="auto"/>
                    </w:rPr>
                  </w:pPr>
                  <w:r>
                    <w:rPr>
                      <w:color w:val="auto"/>
                    </w:rPr>
                    <w:t>煤矸石</w:t>
                  </w:r>
                </w:p>
              </w:tc>
              <w:tc>
                <w:tcPr>
                  <w:tcW w:w="1364" w:type="dxa"/>
                  <w:noWrap/>
                  <w:vAlign w:val="center"/>
                </w:tcPr>
                <w:p>
                  <w:pPr>
                    <w:pStyle w:val="57"/>
                    <w:rPr>
                      <w:rFonts w:hint="eastAsia" w:eastAsia="宋体"/>
                      <w:color w:val="auto"/>
                      <w:lang w:val="en-US" w:eastAsia="zh-CN"/>
                    </w:rPr>
                  </w:pPr>
                  <w:r>
                    <w:rPr>
                      <w:rFonts w:hint="eastAsia"/>
                      <w:color w:val="auto"/>
                      <w:lang w:val="en-US" w:eastAsia="zh-CN"/>
                    </w:rPr>
                    <w:t>储存</w:t>
                  </w:r>
                  <w:r>
                    <w:rPr>
                      <w:color w:val="auto"/>
                    </w:rPr>
                    <w:t>、卸</w:t>
                  </w:r>
                  <w:r>
                    <w:rPr>
                      <w:rFonts w:hint="eastAsia"/>
                      <w:color w:val="auto"/>
                      <w:lang w:val="en-US" w:eastAsia="zh-CN"/>
                    </w:rPr>
                    <w:t>料</w:t>
                  </w:r>
                </w:p>
              </w:tc>
              <w:tc>
                <w:tcPr>
                  <w:tcW w:w="1022" w:type="dxa"/>
                  <w:vAlign w:val="center"/>
                </w:tcPr>
                <w:p>
                  <w:pPr>
                    <w:pStyle w:val="57"/>
                    <w:rPr>
                      <w:color w:val="auto"/>
                    </w:rPr>
                  </w:pPr>
                  <w:r>
                    <w:rPr>
                      <w:color w:val="auto"/>
                    </w:rPr>
                    <w:t>颗粒物</w:t>
                  </w:r>
                </w:p>
              </w:tc>
              <w:tc>
                <w:tcPr>
                  <w:tcW w:w="2116" w:type="dxa"/>
                  <w:noWrap/>
                  <w:vAlign w:val="center"/>
                </w:tcPr>
                <w:p>
                  <w:pPr>
                    <w:pStyle w:val="57"/>
                    <w:rPr>
                      <w:color w:val="auto"/>
                    </w:rPr>
                  </w:pPr>
                  <w:r>
                    <w:rPr>
                      <w:color w:val="auto"/>
                    </w:rPr>
                    <w:t>洒水</w:t>
                  </w:r>
                  <w:r>
                    <w:rPr>
                      <w:rFonts w:hint="eastAsia"/>
                      <w:color w:val="auto"/>
                    </w:rPr>
                    <w:t>+</w:t>
                  </w:r>
                  <w:r>
                    <w:rPr>
                      <w:rFonts w:hint="eastAsia"/>
                      <w:color w:val="auto"/>
                      <w:lang w:val="en-US" w:eastAsia="zh-CN"/>
                    </w:rPr>
                    <w:t>全</w:t>
                  </w:r>
                  <w:r>
                    <w:rPr>
                      <w:rFonts w:hint="eastAsia"/>
                      <w:color w:val="auto"/>
                    </w:rPr>
                    <w:t>封闭式</w:t>
                  </w:r>
                </w:p>
              </w:tc>
              <w:tc>
                <w:tcPr>
                  <w:tcW w:w="1477" w:type="dxa"/>
                  <w:noWrap/>
                  <w:vAlign w:val="center"/>
                </w:tcPr>
                <w:p>
                  <w:pPr>
                    <w:pStyle w:val="57"/>
                    <w:rPr>
                      <w:rFonts w:hint="default" w:eastAsia="宋体"/>
                      <w:color w:val="auto"/>
                      <w:lang w:val="en-US" w:eastAsia="zh-CN"/>
                    </w:rPr>
                  </w:pPr>
                  <w:r>
                    <w:rPr>
                      <w:rFonts w:hint="eastAsia"/>
                      <w:color w:val="auto"/>
                      <w:lang w:val="en-US" w:eastAsia="zh-CN"/>
                    </w:rPr>
                    <w:t>74</w:t>
                  </w:r>
                  <w:r>
                    <w:rPr>
                      <w:rFonts w:hint="eastAsia"/>
                      <w:color w:val="auto"/>
                    </w:rPr>
                    <w:t>；</w:t>
                  </w:r>
                  <w:r>
                    <w:rPr>
                      <w:rFonts w:hint="eastAsia"/>
                      <w:color w:val="auto"/>
                      <w:lang w:val="en-US" w:eastAsia="zh-CN"/>
                    </w:rPr>
                    <w:t>99</w:t>
                  </w:r>
                </w:p>
              </w:tc>
              <w:tc>
                <w:tcPr>
                  <w:tcW w:w="946"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noWrap/>
                  <w:vAlign w:val="center"/>
                </w:tcPr>
                <w:p>
                  <w:pPr>
                    <w:pStyle w:val="57"/>
                    <w:rPr>
                      <w:rFonts w:hint="default" w:eastAsia="宋体"/>
                      <w:color w:val="auto"/>
                      <w:lang w:val="en-US" w:eastAsia="zh-CN"/>
                    </w:rPr>
                  </w:pPr>
                  <w:r>
                    <w:rPr>
                      <w:rFonts w:hint="eastAsia"/>
                      <w:color w:val="auto"/>
                      <w:lang w:val="en-US" w:eastAsia="zh-CN"/>
                    </w:rPr>
                    <w:t>运输</w:t>
                  </w:r>
                </w:p>
              </w:tc>
              <w:tc>
                <w:tcPr>
                  <w:tcW w:w="1364" w:type="dxa"/>
                  <w:noWrap/>
                  <w:vAlign w:val="center"/>
                </w:tcPr>
                <w:p>
                  <w:pPr>
                    <w:pStyle w:val="57"/>
                    <w:rPr>
                      <w:rFonts w:hint="default" w:eastAsia="宋体"/>
                      <w:color w:val="auto"/>
                      <w:lang w:val="en-US" w:eastAsia="zh-CN"/>
                    </w:rPr>
                  </w:pPr>
                  <w:r>
                    <w:rPr>
                      <w:rFonts w:hint="eastAsia"/>
                      <w:color w:val="auto"/>
                      <w:lang w:val="en-US" w:eastAsia="zh-CN"/>
                    </w:rPr>
                    <w:t>动力起尘</w:t>
                  </w:r>
                </w:p>
              </w:tc>
              <w:tc>
                <w:tcPr>
                  <w:tcW w:w="1022" w:type="dxa"/>
                  <w:vAlign w:val="center"/>
                </w:tcPr>
                <w:p>
                  <w:pPr>
                    <w:pStyle w:val="57"/>
                    <w:rPr>
                      <w:rFonts w:hint="default" w:eastAsia="宋体"/>
                      <w:color w:val="auto"/>
                      <w:lang w:val="en-US" w:eastAsia="zh-CN"/>
                    </w:rPr>
                  </w:pPr>
                  <w:r>
                    <w:rPr>
                      <w:rFonts w:hint="eastAsia"/>
                      <w:color w:val="auto"/>
                      <w:lang w:val="en-US" w:eastAsia="zh-CN"/>
                    </w:rPr>
                    <w:t>颗粒物</w:t>
                  </w:r>
                </w:p>
              </w:tc>
              <w:tc>
                <w:tcPr>
                  <w:tcW w:w="2116" w:type="dxa"/>
                  <w:noWrap/>
                  <w:vAlign w:val="center"/>
                </w:tcPr>
                <w:p>
                  <w:pPr>
                    <w:pStyle w:val="57"/>
                    <w:rPr>
                      <w:rFonts w:hint="default" w:eastAsia="宋体"/>
                      <w:color w:val="auto"/>
                      <w:lang w:val="en-US" w:eastAsia="zh-CN"/>
                    </w:rPr>
                  </w:pPr>
                  <w:r>
                    <w:rPr>
                      <w:rFonts w:hint="eastAsia"/>
                      <w:color w:val="auto"/>
                      <w:lang w:val="en-US" w:eastAsia="zh-CN"/>
                    </w:rPr>
                    <w:t>路面硬化+车辆清洗及洒水</w:t>
                  </w:r>
                </w:p>
              </w:tc>
              <w:tc>
                <w:tcPr>
                  <w:tcW w:w="1477" w:type="dxa"/>
                  <w:noWrap/>
                  <w:vAlign w:val="center"/>
                </w:tcPr>
                <w:p>
                  <w:pPr>
                    <w:pStyle w:val="57"/>
                    <w:rPr>
                      <w:rFonts w:hint="default" w:eastAsia="宋体"/>
                      <w:color w:val="auto"/>
                      <w:lang w:val="en-US" w:eastAsia="zh-CN"/>
                    </w:rPr>
                  </w:pPr>
                  <w:r>
                    <w:rPr>
                      <w:rFonts w:hint="eastAsia"/>
                      <w:color w:val="auto"/>
                      <w:lang w:val="en-US" w:eastAsia="zh-CN"/>
                    </w:rPr>
                    <w:t>60、74</w:t>
                  </w:r>
                </w:p>
              </w:tc>
              <w:tc>
                <w:tcPr>
                  <w:tcW w:w="946"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8" w:type="dxa"/>
                  <w:noWrap/>
                  <w:vAlign w:val="center"/>
                </w:tcPr>
                <w:p>
                  <w:pPr>
                    <w:pStyle w:val="57"/>
                  </w:pPr>
                  <w:r>
                    <w:rPr>
                      <w:rFonts w:hint="eastAsia"/>
                    </w:rPr>
                    <w:t>原料库</w:t>
                  </w:r>
                </w:p>
              </w:tc>
              <w:tc>
                <w:tcPr>
                  <w:tcW w:w="1364" w:type="dxa"/>
                  <w:noWrap/>
                  <w:vAlign w:val="center"/>
                </w:tcPr>
                <w:p>
                  <w:pPr>
                    <w:pStyle w:val="57"/>
                  </w:pPr>
                  <w:r>
                    <w:t>破碎、筛分</w:t>
                  </w:r>
                </w:p>
              </w:tc>
              <w:tc>
                <w:tcPr>
                  <w:tcW w:w="1022" w:type="dxa"/>
                  <w:vAlign w:val="center"/>
                </w:tcPr>
                <w:p>
                  <w:pPr>
                    <w:pStyle w:val="57"/>
                  </w:pPr>
                  <w:r>
                    <w:t>颗粒物</w:t>
                  </w:r>
                </w:p>
              </w:tc>
              <w:tc>
                <w:tcPr>
                  <w:tcW w:w="2116" w:type="dxa"/>
                  <w:noWrap/>
                  <w:vAlign w:val="center"/>
                </w:tcPr>
                <w:p>
                  <w:pPr>
                    <w:pStyle w:val="57"/>
                  </w:pPr>
                  <w:r>
                    <w:t>车间沉降</w:t>
                  </w:r>
                </w:p>
              </w:tc>
              <w:tc>
                <w:tcPr>
                  <w:tcW w:w="1477" w:type="dxa"/>
                  <w:noWrap/>
                  <w:vAlign w:val="center"/>
                </w:tcPr>
                <w:p>
                  <w:pPr>
                    <w:pStyle w:val="57"/>
                  </w:pPr>
                  <w:r>
                    <w:t>80</w:t>
                  </w:r>
                </w:p>
              </w:tc>
              <w:tc>
                <w:tcPr>
                  <w:tcW w:w="946" w:type="dxa"/>
                  <w:vAlign w:val="center"/>
                </w:tcPr>
                <w:p>
                  <w:pPr>
                    <w:pStyle w:val="57"/>
                  </w:pPr>
                  <w:r>
                    <w:t>可行</w:t>
                  </w:r>
                </w:p>
              </w:tc>
            </w:tr>
          </w:tbl>
          <w:p>
            <w:pPr>
              <w:pStyle w:val="60"/>
              <w:ind w:left="0" w:leftChars="0" w:firstLine="0" w:firstLineChars="0"/>
              <w:rPr>
                <w:b/>
                <w:bCs/>
                <w:color w:val="auto"/>
                <w:sz w:val="24"/>
                <w:szCs w:val="24"/>
              </w:rPr>
            </w:pPr>
            <w:r>
              <w:rPr>
                <w:rFonts w:hint="eastAsia"/>
                <w:b/>
                <w:bCs/>
                <w:color w:val="auto"/>
                <w:sz w:val="24"/>
                <w:szCs w:val="24"/>
                <w:lang w:val="en-US" w:eastAsia="zh-CN"/>
              </w:rPr>
              <w:t>1.2</w:t>
            </w:r>
            <w:r>
              <w:rPr>
                <w:b/>
                <w:bCs/>
                <w:color w:val="auto"/>
                <w:sz w:val="24"/>
                <w:szCs w:val="24"/>
              </w:rPr>
              <w:t>.3废气排放口</w:t>
            </w:r>
          </w:p>
          <w:p>
            <w:pPr>
              <w:pStyle w:val="60"/>
              <w:ind w:firstLine="420"/>
              <w:rPr>
                <w:color w:val="auto"/>
                <w:sz w:val="24"/>
                <w:szCs w:val="24"/>
              </w:rPr>
            </w:pPr>
            <w:r>
              <w:rPr>
                <w:color w:val="auto"/>
                <w:sz w:val="24"/>
                <w:szCs w:val="24"/>
              </w:rPr>
              <w:t>项目废气污染源排放口情况见下表。</w:t>
            </w:r>
          </w:p>
          <w:p>
            <w:pPr>
              <w:pStyle w:val="14"/>
              <w:keepNext/>
              <w:spacing w:line="240" w:lineRule="auto"/>
              <w:rPr>
                <w:rFonts w:cs="Times New Roman"/>
                <w:color w:val="auto"/>
              </w:rPr>
            </w:pPr>
            <w:r>
              <w:rPr>
                <w:rFonts w:eastAsia="宋体" w:cs="Times New Roman"/>
                <w:color w:val="auto"/>
              </w:rPr>
              <w:t>表</w:t>
            </w:r>
            <w:r>
              <w:rPr>
                <w:rFonts w:cs="Times New Roman"/>
                <w:color w:val="auto"/>
              </w:rPr>
              <w:t xml:space="preserve"> </w:t>
            </w:r>
            <w:r>
              <w:rPr>
                <w:rFonts w:hint="eastAsia" w:eastAsia="宋体" w:cs="Times New Roman"/>
                <w:color w:val="auto"/>
                <w:lang w:val="en-US" w:eastAsia="zh-CN"/>
              </w:rPr>
              <w:t xml:space="preserve">4-12   </w:t>
            </w:r>
            <w:r>
              <w:rPr>
                <w:rFonts w:eastAsia="宋体" w:cs="Times New Roman"/>
                <w:color w:val="auto"/>
              </w:rPr>
              <w:t>有组织废气污染源排放口情况一览表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57"/>
              <w:gridCol w:w="791"/>
              <w:gridCol w:w="515"/>
              <w:gridCol w:w="820"/>
              <w:gridCol w:w="762"/>
              <w:gridCol w:w="556"/>
              <w:gridCol w:w="364"/>
              <w:gridCol w:w="366"/>
              <w:gridCol w:w="528"/>
              <w:gridCol w:w="358"/>
              <w:gridCol w:w="461"/>
              <w:gridCol w:w="427"/>
              <w:gridCol w:w="496"/>
              <w:gridCol w:w="474"/>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57" w:type="dxa"/>
                  <w:vMerge w:val="restart"/>
                  <w:vAlign w:val="center"/>
                </w:tcPr>
                <w:p>
                  <w:pPr>
                    <w:pStyle w:val="57"/>
                    <w:rPr>
                      <w:color w:val="auto"/>
                      <w:sz w:val="21"/>
                      <w:szCs w:val="21"/>
                    </w:rPr>
                  </w:pPr>
                  <w:r>
                    <w:rPr>
                      <w:color w:val="auto"/>
                      <w:sz w:val="21"/>
                      <w:szCs w:val="21"/>
                    </w:rPr>
                    <w:t>编号</w:t>
                  </w:r>
                </w:p>
              </w:tc>
              <w:tc>
                <w:tcPr>
                  <w:tcW w:w="791" w:type="dxa"/>
                  <w:vMerge w:val="restart"/>
                  <w:vAlign w:val="center"/>
                </w:tcPr>
                <w:p>
                  <w:pPr>
                    <w:pStyle w:val="57"/>
                    <w:rPr>
                      <w:color w:val="auto"/>
                      <w:sz w:val="21"/>
                      <w:szCs w:val="21"/>
                    </w:rPr>
                  </w:pPr>
                  <w:r>
                    <w:rPr>
                      <w:color w:val="auto"/>
                      <w:sz w:val="21"/>
                      <w:szCs w:val="21"/>
                    </w:rPr>
                    <w:t>名称</w:t>
                  </w:r>
                </w:p>
              </w:tc>
              <w:tc>
                <w:tcPr>
                  <w:tcW w:w="515" w:type="dxa"/>
                  <w:vMerge w:val="restart"/>
                  <w:vAlign w:val="center"/>
                </w:tcPr>
                <w:p>
                  <w:pPr>
                    <w:pStyle w:val="57"/>
                    <w:rPr>
                      <w:color w:val="auto"/>
                      <w:sz w:val="21"/>
                      <w:szCs w:val="21"/>
                    </w:rPr>
                  </w:pPr>
                  <w:r>
                    <w:rPr>
                      <w:color w:val="auto"/>
                      <w:sz w:val="21"/>
                      <w:szCs w:val="21"/>
                    </w:rPr>
                    <w:t>类型</w:t>
                  </w:r>
                </w:p>
              </w:tc>
              <w:tc>
                <w:tcPr>
                  <w:tcW w:w="1582" w:type="dxa"/>
                  <w:gridSpan w:val="2"/>
                  <w:vAlign w:val="center"/>
                </w:tcPr>
                <w:p>
                  <w:pPr>
                    <w:pStyle w:val="57"/>
                    <w:rPr>
                      <w:color w:val="auto"/>
                      <w:sz w:val="21"/>
                      <w:szCs w:val="21"/>
                    </w:rPr>
                  </w:pPr>
                  <w:r>
                    <w:rPr>
                      <w:color w:val="auto"/>
                      <w:sz w:val="21"/>
                      <w:szCs w:val="21"/>
                    </w:rPr>
                    <w:t>排气筒底部中心坐标/m</w:t>
                  </w:r>
                </w:p>
              </w:tc>
              <w:tc>
                <w:tcPr>
                  <w:tcW w:w="556" w:type="dxa"/>
                  <w:vAlign w:val="center"/>
                </w:tcPr>
                <w:p>
                  <w:pPr>
                    <w:pStyle w:val="57"/>
                    <w:rPr>
                      <w:color w:val="auto"/>
                      <w:sz w:val="21"/>
                      <w:szCs w:val="21"/>
                    </w:rPr>
                  </w:pPr>
                  <w:r>
                    <w:rPr>
                      <w:color w:val="auto"/>
                      <w:sz w:val="21"/>
                      <w:szCs w:val="21"/>
                    </w:rPr>
                    <w:t>排气筒底部海拔高度</w:t>
                  </w:r>
                </w:p>
              </w:tc>
              <w:tc>
                <w:tcPr>
                  <w:tcW w:w="364" w:type="dxa"/>
                  <w:vAlign w:val="center"/>
                </w:tcPr>
                <w:p>
                  <w:pPr>
                    <w:pStyle w:val="57"/>
                    <w:rPr>
                      <w:color w:val="auto"/>
                      <w:sz w:val="21"/>
                      <w:szCs w:val="21"/>
                    </w:rPr>
                  </w:pPr>
                  <w:r>
                    <w:rPr>
                      <w:color w:val="auto"/>
                      <w:sz w:val="21"/>
                      <w:szCs w:val="21"/>
                    </w:rPr>
                    <w:t>排气筒高度</w:t>
                  </w:r>
                </w:p>
              </w:tc>
              <w:tc>
                <w:tcPr>
                  <w:tcW w:w="366" w:type="dxa"/>
                  <w:vAlign w:val="center"/>
                </w:tcPr>
                <w:p>
                  <w:pPr>
                    <w:pStyle w:val="57"/>
                    <w:rPr>
                      <w:color w:val="auto"/>
                      <w:sz w:val="21"/>
                      <w:szCs w:val="21"/>
                    </w:rPr>
                  </w:pPr>
                  <w:r>
                    <w:rPr>
                      <w:color w:val="auto"/>
                      <w:sz w:val="21"/>
                      <w:szCs w:val="21"/>
                    </w:rPr>
                    <w:t>排气筒内径</w:t>
                  </w:r>
                </w:p>
              </w:tc>
              <w:tc>
                <w:tcPr>
                  <w:tcW w:w="528" w:type="dxa"/>
                  <w:vAlign w:val="center"/>
                </w:tcPr>
                <w:p>
                  <w:pPr>
                    <w:pStyle w:val="57"/>
                    <w:rPr>
                      <w:color w:val="auto"/>
                      <w:sz w:val="21"/>
                      <w:szCs w:val="21"/>
                    </w:rPr>
                  </w:pPr>
                  <w:r>
                    <w:rPr>
                      <w:color w:val="auto"/>
                      <w:sz w:val="21"/>
                      <w:szCs w:val="21"/>
                    </w:rPr>
                    <w:t>烟气流速</w:t>
                  </w:r>
                </w:p>
              </w:tc>
              <w:tc>
                <w:tcPr>
                  <w:tcW w:w="358" w:type="dxa"/>
                  <w:vAlign w:val="center"/>
                </w:tcPr>
                <w:p>
                  <w:pPr>
                    <w:pStyle w:val="57"/>
                    <w:rPr>
                      <w:color w:val="auto"/>
                      <w:sz w:val="21"/>
                      <w:szCs w:val="21"/>
                    </w:rPr>
                  </w:pPr>
                  <w:r>
                    <w:rPr>
                      <w:color w:val="auto"/>
                      <w:sz w:val="21"/>
                      <w:szCs w:val="21"/>
                    </w:rPr>
                    <w:t>烟气温度</w:t>
                  </w:r>
                </w:p>
              </w:tc>
              <w:tc>
                <w:tcPr>
                  <w:tcW w:w="461" w:type="dxa"/>
                  <w:vAlign w:val="center"/>
                </w:tcPr>
                <w:p>
                  <w:pPr>
                    <w:pStyle w:val="57"/>
                    <w:rPr>
                      <w:color w:val="auto"/>
                      <w:sz w:val="21"/>
                      <w:szCs w:val="21"/>
                    </w:rPr>
                  </w:pPr>
                  <w:r>
                    <w:rPr>
                      <w:color w:val="auto"/>
                      <w:sz w:val="21"/>
                      <w:szCs w:val="21"/>
                    </w:rPr>
                    <w:t>年排放小时数</w:t>
                  </w:r>
                </w:p>
              </w:tc>
              <w:tc>
                <w:tcPr>
                  <w:tcW w:w="1858" w:type="dxa"/>
                  <w:gridSpan w:val="4"/>
                  <w:vAlign w:val="center"/>
                </w:tcPr>
                <w:p>
                  <w:pPr>
                    <w:pStyle w:val="57"/>
                    <w:rPr>
                      <w:color w:val="auto"/>
                      <w:sz w:val="21"/>
                      <w:szCs w:val="21"/>
                    </w:rPr>
                  </w:pPr>
                  <w:r>
                    <w:rPr>
                      <w:color w:val="auto"/>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89" w:hRule="atLeast"/>
                <w:jc w:val="center"/>
              </w:trPr>
              <w:tc>
                <w:tcPr>
                  <w:tcW w:w="557" w:type="dxa"/>
                  <w:vMerge w:val="continue"/>
                  <w:vAlign w:val="center"/>
                </w:tcPr>
                <w:p>
                  <w:pPr>
                    <w:pStyle w:val="57"/>
                    <w:rPr>
                      <w:color w:val="auto"/>
                      <w:sz w:val="21"/>
                      <w:szCs w:val="21"/>
                    </w:rPr>
                  </w:pPr>
                </w:p>
              </w:tc>
              <w:tc>
                <w:tcPr>
                  <w:tcW w:w="791" w:type="dxa"/>
                  <w:vMerge w:val="continue"/>
                  <w:vAlign w:val="center"/>
                </w:tcPr>
                <w:p>
                  <w:pPr>
                    <w:pStyle w:val="57"/>
                    <w:rPr>
                      <w:color w:val="auto"/>
                      <w:sz w:val="21"/>
                      <w:szCs w:val="21"/>
                    </w:rPr>
                  </w:pPr>
                </w:p>
              </w:tc>
              <w:tc>
                <w:tcPr>
                  <w:tcW w:w="515" w:type="dxa"/>
                  <w:vMerge w:val="continue"/>
                  <w:vAlign w:val="center"/>
                </w:tcPr>
                <w:p>
                  <w:pPr>
                    <w:pStyle w:val="57"/>
                    <w:rPr>
                      <w:color w:val="auto"/>
                      <w:sz w:val="21"/>
                      <w:szCs w:val="21"/>
                    </w:rPr>
                  </w:pPr>
                </w:p>
              </w:tc>
              <w:tc>
                <w:tcPr>
                  <w:tcW w:w="820" w:type="dxa"/>
                  <w:vAlign w:val="center"/>
                </w:tcPr>
                <w:p>
                  <w:pPr>
                    <w:pStyle w:val="57"/>
                    <w:rPr>
                      <w:rFonts w:hint="eastAsia" w:eastAsia="宋体"/>
                      <w:color w:val="auto"/>
                      <w:sz w:val="21"/>
                      <w:szCs w:val="21"/>
                      <w:lang w:val="en-US" w:eastAsia="zh-CN"/>
                    </w:rPr>
                  </w:pPr>
                  <w:r>
                    <w:rPr>
                      <w:rFonts w:hint="eastAsia"/>
                      <w:color w:val="auto"/>
                      <w:sz w:val="21"/>
                      <w:szCs w:val="21"/>
                      <w:lang w:val="en-US" w:eastAsia="zh-CN"/>
                    </w:rPr>
                    <w:t>东经</w:t>
                  </w:r>
                </w:p>
              </w:tc>
              <w:tc>
                <w:tcPr>
                  <w:tcW w:w="762" w:type="dxa"/>
                  <w:vAlign w:val="center"/>
                </w:tcPr>
                <w:p>
                  <w:pPr>
                    <w:pStyle w:val="57"/>
                    <w:rPr>
                      <w:rFonts w:hint="eastAsia" w:eastAsia="宋体"/>
                      <w:color w:val="auto"/>
                      <w:sz w:val="21"/>
                      <w:szCs w:val="21"/>
                      <w:lang w:val="en-US" w:eastAsia="zh-CN"/>
                    </w:rPr>
                  </w:pPr>
                  <w:r>
                    <w:rPr>
                      <w:rFonts w:hint="eastAsia"/>
                      <w:color w:val="auto"/>
                      <w:sz w:val="21"/>
                      <w:szCs w:val="21"/>
                      <w:lang w:val="en-US" w:eastAsia="zh-CN"/>
                    </w:rPr>
                    <w:t>北纬</w:t>
                  </w:r>
                </w:p>
              </w:tc>
              <w:tc>
                <w:tcPr>
                  <w:tcW w:w="556" w:type="dxa"/>
                  <w:vAlign w:val="center"/>
                </w:tcPr>
                <w:p>
                  <w:pPr>
                    <w:pStyle w:val="57"/>
                    <w:rPr>
                      <w:color w:val="auto"/>
                      <w:sz w:val="21"/>
                      <w:szCs w:val="21"/>
                    </w:rPr>
                  </w:pPr>
                  <w:r>
                    <w:rPr>
                      <w:color w:val="auto"/>
                      <w:sz w:val="21"/>
                      <w:szCs w:val="21"/>
                    </w:rPr>
                    <w:t>m</w:t>
                  </w:r>
                </w:p>
              </w:tc>
              <w:tc>
                <w:tcPr>
                  <w:tcW w:w="364" w:type="dxa"/>
                  <w:vAlign w:val="center"/>
                </w:tcPr>
                <w:p>
                  <w:pPr>
                    <w:pStyle w:val="57"/>
                    <w:rPr>
                      <w:color w:val="auto"/>
                      <w:sz w:val="21"/>
                      <w:szCs w:val="21"/>
                    </w:rPr>
                  </w:pPr>
                  <w:r>
                    <w:rPr>
                      <w:color w:val="auto"/>
                      <w:sz w:val="21"/>
                      <w:szCs w:val="21"/>
                    </w:rPr>
                    <w:t>m</w:t>
                  </w:r>
                </w:p>
              </w:tc>
              <w:tc>
                <w:tcPr>
                  <w:tcW w:w="366" w:type="dxa"/>
                  <w:vAlign w:val="center"/>
                </w:tcPr>
                <w:p>
                  <w:pPr>
                    <w:pStyle w:val="57"/>
                    <w:rPr>
                      <w:color w:val="auto"/>
                      <w:sz w:val="21"/>
                      <w:szCs w:val="21"/>
                    </w:rPr>
                  </w:pPr>
                  <w:r>
                    <w:rPr>
                      <w:color w:val="auto"/>
                      <w:sz w:val="21"/>
                      <w:szCs w:val="21"/>
                    </w:rPr>
                    <w:t>m</w:t>
                  </w:r>
                </w:p>
              </w:tc>
              <w:tc>
                <w:tcPr>
                  <w:tcW w:w="528" w:type="dxa"/>
                  <w:vAlign w:val="center"/>
                </w:tcPr>
                <w:p>
                  <w:pPr>
                    <w:pStyle w:val="57"/>
                    <w:rPr>
                      <w:color w:val="auto"/>
                      <w:sz w:val="21"/>
                      <w:szCs w:val="21"/>
                    </w:rPr>
                  </w:pPr>
                  <w:r>
                    <w:rPr>
                      <w:color w:val="auto"/>
                      <w:sz w:val="21"/>
                      <w:szCs w:val="21"/>
                    </w:rPr>
                    <w:t>m/s</w:t>
                  </w:r>
                </w:p>
              </w:tc>
              <w:tc>
                <w:tcPr>
                  <w:tcW w:w="358" w:type="dxa"/>
                  <w:vAlign w:val="center"/>
                </w:tcPr>
                <w:p>
                  <w:pPr>
                    <w:pStyle w:val="57"/>
                    <w:rPr>
                      <w:color w:val="auto"/>
                      <w:sz w:val="21"/>
                      <w:szCs w:val="21"/>
                    </w:rPr>
                  </w:pPr>
                  <w:r>
                    <w:rPr>
                      <w:color w:val="auto"/>
                      <w:sz w:val="21"/>
                      <w:szCs w:val="21"/>
                    </w:rPr>
                    <w:t>℃</w:t>
                  </w:r>
                </w:p>
              </w:tc>
              <w:tc>
                <w:tcPr>
                  <w:tcW w:w="461" w:type="dxa"/>
                  <w:vAlign w:val="center"/>
                </w:tcPr>
                <w:p>
                  <w:pPr>
                    <w:pStyle w:val="57"/>
                    <w:rPr>
                      <w:color w:val="auto"/>
                      <w:sz w:val="21"/>
                      <w:szCs w:val="21"/>
                    </w:rPr>
                  </w:pPr>
                  <w:r>
                    <w:rPr>
                      <w:color w:val="auto"/>
                      <w:sz w:val="21"/>
                      <w:szCs w:val="21"/>
                    </w:rPr>
                    <w:t>h</w:t>
                  </w:r>
                </w:p>
              </w:tc>
              <w:tc>
                <w:tcPr>
                  <w:tcW w:w="427" w:type="dxa"/>
                  <w:vAlign w:val="center"/>
                </w:tcPr>
                <w:p>
                  <w:pPr>
                    <w:pStyle w:val="57"/>
                    <w:rPr>
                      <w:color w:val="auto"/>
                      <w:sz w:val="21"/>
                      <w:szCs w:val="21"/>
                    </w:rPr>
                  </w:pPr>
                  <w:r>
                    <w:rPr>
                      <w:color w:val="auto"/>
                      <w:sz w:val="21"/>
                      <w:szCs w:val="21"/>
                    </w:rPr>
                    <w:t>SO</w:t>
                  </w:r>
                  <w:r>
                    <w:rPr>
                      <w:color w:val="auto"/>
                      <w:sz w:val="21"/>
                      <w:szCs w:val="21"/>
                      <w:vertAlign w:val="subscript"/>
                    </w:rPr>
                    <w:t>2</w:t>
                  </w:r>
                </w:p>
              </w:tc>
              <w:tc>
                <w:tcPr>
                  <w:tcW w:w="496" w:type="dxa"/>
                  <w:vAlign w:val="center"/>
                </w:tcPr>
                <w:p>
                  <w:pPr>
                    <w:pStyle w:val="57"/>
                    <w:rPr>
                      <w:color w:val="auto"/>
                      <w:sz w:val="21"/>
                      <w:szCs w:val="21"/>
                    </w:rPr>
                  </w:pPr>
                  <w:r>
                    <w:rPr>
                      <w:color w:val="auto"/>
                      <w:sz w:val="21"/>
                      <w:szCs w:val="21"/>
                    </w:rPr>
                    <w:t>NO</w:t>
                  </w:r>
                  <w:r>
                    <w:rPr>
                      <w:i/>
                      <w:iCs/>
                      <w:color w:val="auto"/>
                      <w:sz w:val="21"/>
                      <w:szCs w:val="21"/>
                    </w:rPr>
                    <w:t>x</w:t>
                  </w:r>
                </w:p>
              </w:tc>
              <w:tc>
                <w:tcPr>
                  <w:tcW w:w="474" w:type="dxa"/>
                  <w:vAlign w:val="center"/>
                </w:tcPr>
                <w:p>
                  <w:pPr>
                    <w:pStyle w:val="57"/>
                    <w:rPr>
                      <w:color w:val="auto"/>
                      <w:sz w:val="21"/>
                      <w:szCs w:val="21"/>
                    </w:rPr>
                  </w:pPr>
                  <w:r>
                    <w:rPr>
                      <w:color w:val="auto"/>
                      <w:sz w:val="21"/>
                      <w:szCs w:val="21"/>
                    </w:rPr>
                    <w:t>PM</w:t>
                  </w:r>
                  <w:r>
                    <w:rPr>
                      <w:color w:val="auto"/>
                      <w:sz w:val="21"/>
                      <w:szCs w:val="21"/>
                      <w:vertAlign w:val="subscript"/>
                    </w:rPr>
                    <w:t>10</w:t>
                  </w:r>
                </w:p>
              </w:tc>
              <w:tc>
                <w:tcPr>
                  <w:tcW w:w="461" w:type="dxa"/>
                  <w:vAlign w:val="center"/>
                </w:tcPr>
                <w:p>
                  <w:pPr>
                    <w:pStyle w:val="57"/>
                    <w:rPr>
                      <w:color w:val="auto"/>
                      <w:sz w:val="21"/>
                      <w:szCs w:val="21"/>
                    </w:rPr>
                  </w:pPr>
                  <w:r>
                    <w:rPr>
                      <w:rFonts w:hint="eastAsia"/>
                      <w:color w:val="auto"/>
                      <w:sz w:val="21"/>
                      <w:szCs w:val="21"/>
                    </w:rPr>
                    <w:t>HF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57" w:type="dxa"/>
                  <w:vAlign w:val="center"/>
                </w:tcPr>
                <w:p>
                  <w:pPr>
                    <w:pStyle w:val="57"/>
                    <w:rPr>
                      <w:color w:val="auto"/>
                      <w:sz w:val="21"/>
                      <w:szCs w:val="21"/>
                    </w:rPr>
                  </w:pPr>
                  <w:r>
                    <w:rPr>
                      <w:color w:val="auto"/>
                      <w:sz w:val="21"/>
                      <w:szCs w:val="21"/>
                    </w:rPr>
                    <w:t>DA</w:t>
                  </w:r>
                </w:p>
                <w:p>
                  <w:pPr>
                    <w:pStyle w:val="57"/>
                    <w:rPr>
                      <w:color w:val="auto"/>
                      <w:sz w:val="21"/>
                      <w:szCs w:val="21"/>
                    </w:rPr>
                  </w:pPr>
                  <w:r>
                    <w:rPr>
                      <w:color w:val="auto"/>
                      <w:sz w:val="21"/>
                      <w:szCs w:val="21"/>
                    </w:rPr>
                    <w:t>001</w:t>
                  </w:r>
                </w:p>
              </w:tc>
              <w:tc>
                <w:tcPr>
                  <w:tcW w:w="791" w:type="dxa"/>
                  <w:vAlign w:val="center"/>
                </w:tcPr>
                <w:p>
                  <w:pPr>
                    <w:pStyle w:val="57"/>
                    <w:rPr>
                      <w:color w:val="auto"/>
                      <w:sz w:val="21"/>
                      <w:szCs w:val="21"/>
                    </w:rPr>
                  </w:pPr>
                  <w:r>
                    <w:rPr>
                      <w:color w:val="auto"/>
                      <w:sz w:val="21"/>
                      <w:szCs w:val="21"/>
                    </w:rPr>
                    <w:t>破碎筛分排气筒</w:t>
                  </w:r>
                </w:p>
              </w:tc>
              <w:tc>
                <w:tcPr>
                  <w:tcW w:w="515" w:type="dxa"/>
                  <w:vAlign w:val="center"/>
                </w:tcPr>
                <w:p>
                  <w:pPr>
                    <w:pStyle w:val="57"/>
                    <w:rPr>
                      <w:color w:val="auto"/>
                      <w:sz w:val="21"/>
                      <w:szCs w:val="21"/>
                    </w:rPr>
                  </w:pPr>
                  <w:r>
                    <w:rPr>
                      <w:color w:val="auto"/>
                      <w:sz w:val="21"/>
                      <w:szCs w:val="21"/>
                    </w:rPr>
                    <w:t>一般排放口</w:t>
                  </w:r>
                </w:p>
              </w:tc>
              <w:tc>
                <w:tcPr>
                  <w:tcW w:w="820" w:type="dxa"/>
                  <w:vAlign w:val="center"/>
                </w:tcPr>
                <w:p>
                  <w:pPr>
                    <w:pStyle w:val="57"/>
                    <w:rPr>
                      <w:rFonts w:hint="default" w:eastAsia="宋体"/>
                      <w:color w:val="auto"/>
                      <w:sz w:val="21"/>
                      <w:szCs w:val="21"/>
                      <w:highlight w:val="none"/>
                      <w:lang w:val="en-US" w:eastAsia="zh-CN"/>
                    </w:rPr>
                  </w:pPr>
                  <w:r>
                    <w:rPr>
                      <w:rFonts w:hint="eastAsia"/>
                      <w:color w:val="auto"/>
                      <w:sz w:val="21"/>
                      <w:szCs w:val="21"/>
                      <w:highlight w:val="none"/>
                      <w:lang w:val="en-US" w:eastAsia="zh-CN"/>
                    </w:rPr>
                    <w:t>108.003260</w:t>
                  </w:r>
                </w:p>
              </w:tc>
              <w:tc>
                <w:tcPr>
                  <w:tcW w:w="762" w:type="dxa"/>
                  <w:vAlign w:val="center"/>
                </w:tcPr>
                <w:p>
                  <w:pPr>
                    <w:pStyle w:val="57"/>
                    <w:rPr>
                      <w:rFonts w:hint="default" w:eastAsia="宋体"/>
                      <w:color w:val="auto"/>
                      <w:sz w:val="21"/>
                      <w:szCs w:val="21"/>
                      <w:highlight w:val="none"/>
                      <w:lang w:val="en-US" w:eastAsia="zh-CN"/>
                    </w:rPr>
                  </w:pPr>
                  <w:r>
                    <w:rPr>
                      <w:rFonts w:hint="eastAsia"/>
                      <w:color w:val="auto"/>
                      <w:sz w:val="21"/>
                      <w:szCs w:val="21"/>
                      <w:highlight w:val="none"/>
                      <w:lang w:val="en-US" w:eastAsia="zh-CN"/>
                    </w:rPr>
                    <w:t>35.203315</w:t>
                  </w:r>
                </w:p>
              </w:tc>
              <w:tc>
                <w:tcPr>
                  <w:tcW w:w="556" w:type="dxa"/>
                  <w:vAlign w:val="center"/>
                </w:tcPr>
                <w:p>
                  <w:pPr>
                    <w:pStyle w:val="57"/>
                    <w:rPr>
                      <w:rFonts w:hint="default" w:eastAsia="宋体"/>
                      <w:color w:val="auto"/>
                      <w:sz w:val="21"/>
                      <w:szCs w:val="21"/>
                      <w:highlight w:val="none"/>
                      <w:lang w:val="en-US" w:eastAsia="zh-CN"/>
                    </w:rPr>
                  </w:pPr>
                  <w:r>
                    <w:rPr>
                      <w:rFonts w:hint="eastAsia"/>
                      <w:color w:val="auto"/>
                      <w:sz w:val="21"/>
                      <w:szCs w:val="21"/>
                      <w:highlight w:val="none"/>
                      <w:lang w:val="en-US" w:eastAsia="zh-CN"/>
                    </w:rPr>
                    <w:t>1216</w:t>
                  </w:r>
                </w:p>
              </w:tc>
              <w:tc>
                <w:tcPr>
                  <w:tcW w:w="364" w:type="dxa"/>
                  <w:vAlign w:val="center"/>
                </w:tcPr>
                <w:p>
                  <w:pPr>
                    <w:pStyle w:val="57"/>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c>
                <w:tcPr>
                  <w:tcW w:w="366" w:type="dxa"/>
                  <w:vAlign w:val="center"/>
                </w:tcPr>
                <w:p>
                  <w:pPr>
                    <w:pStyle w:val="57"/>
                    <w:rPr>
                      <w:color w:val="auto"/>
                      <w:sz w:val="21"/>
                      <w:szCs w:val="21"/>
                    </w:rPr>
                  </w:pPr>
                  <w:r>
                    <w:rPr>
                      <w:color w:val="auto"/>
                      <w:sz w:val="21"/>
                      <w:szCs w:val="21"/>
                    </w:rPr>
                    <w:t>0.3</w:t>
                  </w:r>
                </w:p>
              </w:tc>
              <w:tc>
                <w:tcPr>
                  <w:tcW w:w="528" w:type="dxa"/>
                  <w:vAlign w:val="center"/>
                </w:tcPr>
                <w:p>
                  <w:pPr>
                    <w:pStyle w:val="57"/>
                    <w:rPr>
                      <w:color w:val="auto"/>
                      <w:sz w:val="21"/>
                      <w:szCs w:val="21"/>
                    </w:rPr>
                  </w:pPr>
                  <w:r>
                    <w:rPr>
                      <w:color w:val="auto"/>
                      <w:sz w:val="21"/>
                      <w:szCs w:val="21"/>
                    </w:rPr>
                    <w:t>12.87</w:t>
                  </w:r>
                </w:p>
              </w:tc>
              <w:tc>
                <w:tcPr>
                  <w:tcW w:w="358" w:type="dxa"/>
                  <w:vAlign w:val="center"/>
                </w:tcPr>
                <w:p>
                  <w:pPr>
                    <w:pStyle w:val="57"/>
                    <w:rPr>
                      <w:color w:val="auto"/>
                      <w:sz w:val="21"/>
                      <w:szCs w:val="21"/>
                    </w:rPr>
                  </w:pPr>
                  <w:r>
                    <w:rPr>
                      <w:color w:val="auto"/>
                      <w:sz w:val="21"/>
                      <w:szCs w:val="21"/>
                    </w:rPr>
                    <w:t>25</w:t>
                  </w:r>
                </w:p>
              </w:tc>
              <w:tc>
                <w:tcPr>
                  <w:tcW w:w="461" w:type="dxa"/>
                  <w:vAlign w:val="center"/>
                </w:tcPr>
                <w:p>
                  <w:pPr>
                    <w:pStyle w:val="57"/>
                    <w:rPr>
                      <w:rFonts w:hint="default" w:eastAsia="宋体"/>
                      <w:color w:val="auto"/>
                      <w:sz w:val="21"/>
                      <w:szCs w:val="21"/>
                      <w:lang w:val="en-US" w:eastAsia="zh-CN"/>
                    </w:rPr>
                  </w:pPr>
                  <w:r>
                    <w:rPr>
                      <w:rFonts w:hint="eastAsia"/>
                      <w:color w:val="auto"/>
                      <w:szCs w:val="21"/>
                      <w:lang w:val="en-US" w:eastAsia="zh-CN"/>
                    </w:rPr>
                    <w:t>900</w:t>
                  </w:r>
                </w:p>
              </w:tc>
              <w:tc>
                <w:tcPr>
                  <w:tcW w:w="427" w:type="dxa"/>
                  <w:noWrap/>
                  <w:vAlign w:val="center"/>
                </w:tcPr>
                <w:p>
                  <w:pPr>
                    <w:pStyle w:val="57"/>
                    <w:rPr>
                      <w:color w:val="auto"/>
                      <w:sz w:val="21"/>
                      <w:szCs w:val="21"/>
                    </w:rPr>
                  </w:pPr>
                  <w:r>
                    <w:rPr>
                      <w:color w:val="auto"/>
                      <w:szCs w:val="21"/>
                    </w:rPr>
                    <w:t>/</w:t>
                  </w:r>
                </w:p>
              </w:tc>
              <w:tc>
                <w:tcPr>
                  <w:tcW w:w="496" w:type="dxa"/>
                  <w:noWrap/>
                  <w:vAlign w:val="center"/>
                </w:tcPr>
                <w:p>
                  <w:pPr>
                    <w:pStyle w:val="57"/>
                    <w:rPr>
                      <w:color w:val="auto"/>
                      <w:sz w:val="21"/>
                      <w:szCs w:val="21"/>
                    </w:rPr>
                  </w:pPr>
                  <w:r>
                    <w:rPr>
                      <w:color w:val="auto"/>
                      <w:szCs w:val="21"/>
                    </w:rPr>
                    <w:t>/</w:t>
                  </w:r>
                </w:p>
              </w:tc>
              <w:tc>
                <w:tcPr>
                  <w:tcW w:w="474" w:type="dxa"/>
                  <w:noWrap/>
                  <w:vAlign w:val="center"/>
                </w:tcPr>
                <w:p>
                  <w:pPr>
                    <w:pStyle w:val="57"/>
                    <w:rPr>
                      <w:rFonts w:hint="default" w:eastAsia="宋体"/>
                      <w:color w:val="auto"/>
                      <w:sz w:val="21"/>
                      <w:szCs w:val="21"/>
                      <w:lang w:val="en-US" w:eastAsia="zh-CN"/>
                    </w:rPr>
                  </w:pPr>
                  <w:r>
                    <w:rPr>
                      <w:rFonts w:hint="eastAsia"/>
                      <w:color w:val="auto"/>
                      <w:szCs w:val="21"/>
                    </w:rPr>
                    <w:t>0.</w:t>
                  </w:r>
                  <w:r>
                    <w:rPr>
                      <w:rFonts w:hint="eastAsia"/>
                      <w:color w:val="auto"/>
                      <w:szCs w:val="21"/>
                      <w:lang w:val="en-US" w:eastAsia="zh-CN"/>
                    </w:rPr>
                    <w:t>148</w:t>
                  </w:r>
                </w:p>
              </w:tc>
              <w:tc>
                <w:tcPr>
                  <w:tcW w:w="461" w:type="dxa"/>
                  <w:vAlign w:val="center"/>
                </w:tcPr>
                <w:p>
                  <w:pPr>
                    <w:pStyle w:val="57"/>
                    <w:rPr>
                      <w:color w:val="auto"/>
                      <w:sz w:val="21"/>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57" w:type="dxa"/>
                  <w:vAlign w:val="center"/>
                </w:tcPr>
                <w:p>
                  <w:pPr>
                    <w:pStyle w:val="57"/>
                    <w:rPr>
                      <w:color w:val="auto"/>
                      <w:sz w:val="21"/>
                      <w:szCs w:val="21"/>
                    </w:rPr>
                  </w:pPr>
                  <w:r>
                    <w:rPr>
                      <w:color w:val="auto"/>
                      <w:sz w:val="21"/>
                      <w:szCs w:val="21"/>
                    </w:rPr>
                    <w:t>DA</w:t>
                  </w:r>
                </w:p>
                <w:p>
                  <w:pPr>
                    <w:pStyle w:val="57"/>
                    <w:rPr>
                      <w:color w:val="auto"/>
                      <w:sz w:val="21"/>
                      <w:szCs w:val="21"/>
                    </w:rPr>
                  </w:pPr>
                  <w:r>
                    <w:rPr>
                      <w:color w:val="auto"/>
                      <w:sz w:val="21"/>
                      <w:szCs w:val="21"/>
                    </w:rPr>
                    <w:t>002</w:t>
                  </w:r>
                </w:p>
              </w:tc>
              <w:tc>
                <w:tcPr>
                  <w:tcW w:w="791" w:type="dxa"/>
                  <w:noWrap/>
                  <w:vAlign w:val="center"/>
                </w:tcPr>
                <w:p>
                  <w:pPr>
                    <w:pStyle w:val="57"/>
                    <w:rPr>
                      <w:color w:val="auto"/>
                      <w:sz w:val="21"/>
                      <w:szCs w:val="21"/>
                    </w:rPr>
                  </w:pPr>
                  <w:r>
                    <w:rPr>
                      <w:color w:val="auto"/>
                      <w:sz w:val="21"/>
                      <w:szCs w:val="21"/>
                    </w:rPr>
                    <w:t>隧道窑排气筒</w:t>
                  </w:r>
                </w:p>
              </w:tc>
              <w:tc>
                <w:tcPr>
                  <w:tcW w:w="515" w:type="dxa"/>
                  <w:vAlign w:val="center"/>
                </w:tcPr>
                <w:p>
                  <w:pPr>
                    <w:pStyle w:val="57"/>
                    <w:rPr>
                      <w:color w:val="auto"/>
                      <w:sz w:val="21"/>
                      <w:szCs w:val="21"/>
                    </w:rPr>
                  </w:pPr>
                  <w:r>
                    <w:rPr>
                      <w:color w:val="auto"/>
                      <w:sz w:val="21"/>
                      <w:szCs w:val="21"/>
                    </w:rPr>
                    <w:t>一般排放口</w:t>
                  </w:r>
                </w:p>
              </w:tc>
              <w:tc>
                <w:tcPr>
                  <w:tcW w:w="820" w:type="dxa"/>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108.003391</w:t>
                  </w:r>
                </w:p>
              </w:tc>
              <w:tc>
                <w:tcPr>
                  <w:tcW w:w="762" w:type="dxa"/>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35.203537</w:t>
                  </w:r>
                </w:p>
              </w:tc>
              <w:tc>
                <w:tcPr>
                  <w:tcW w:w="556" w:type="dxa"/>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1216</w:t>
                  </w:r>
                </w:p>
              </w:tc>
              <w:tc>
                <w:tcPr>
                  <w:tcW w:w="364" w:type="dxa"/>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33</w:t>
                  </w:r>
                </w:p>
              </w:tc>
              <w:tc>
                <w:tcPr>
                  <w:tcW w:w="366" w:type="dxa"/>
                  <w:vAlign w:val="center"/>
                </w:tcPr>
                <w:p>
                  <w:pPr>
                    <w:pStyle w:val="57"/>
                    <w:rPr>
                      <w:rFonts w:hint="eastAsia" w:eastAsia="宋体"/>
                      <w:color w:val="auto"/>
                      <w:sz w:val="21"/>
                      <w:szCs w:val="21"/>
                      <w:lang w:val="en-US" w:eastAsia="zh-CN"/>
                    </w:rPr>
                  </w:pPr>
                  <w:r>
                    <w:rPr>
                      <w:rFonts w:hint="eastAsia"/>
                      <w:color w:val="auto"/>
                      <w:sz w:val="21"/>
                      <w:szCs w:val="21"/>
                      <w:lang w:val="en-US" w:eastAsia="zh-CN"/>
                    </w:rPr>
                    <w:t>3</w:t>
                  </w:r>
                  <w:r>
                    <w:rPr>
                      <w:color w:val="auto"/>
                      <w:sz w:val="21"/>
                      <w:szCs w:val="21"/>
                    </w:rPr>
                    <w:t>.</w:t>
                  </w:r>
                  <w:r>
                    <w:rPr>
                      <w:rFonts w:hint="eastAsia"/>
                      <w:color w:val="auto"/>
                      <w:sz w:val="21"/>
                      <w:szCs w:val="21"/>
                      <w:lang w:val="en-US" w:eastAsia="zh-CN"/>
                    </w:rPr>
                    <w:t>5</w:t>
                  </w:r>
                </w:p>
              </w:tc>
              <w:tc>
                <w:tcPr>
                  <w:tcW w:w="528" w:type="dxa"/>
                  <w:vAlign w:val="center"/>
                </w:tcPr>
                <w:p>
                  <w:pPr>
                    <w:pStyle w:val="57"/>
                    <w:rPr>
                      <w:color w:val="auto"/>
                      <w:sz w:val="21"/>
                      <w:szCs w:val="21"/>
                    </w:rPr>
                  </w:pPr>
                  <w:r>
                    <w:rPr>
                      <w:color w:val="auto"/>
                      <w:sz w:val="21"/>
                      <w:szCs w:val="21"/>
                    </w:rPr>
                    <w:t>8.04</w:t>
                  </w:r>
                </w:p>
              </w:tc>
              <w:tc>
                <w:tcPr>
                  <w:tcW w:w="358" w:type="dxa"/>
                  <w:vAlign w:val="center"/>
                </w:tcPr>
                <w:p>
                  <w:pPr>
                    <w:pStyle w:val="57"/>
                    <w:rPr>
                      <w:color w:val="auto"/>
                      <w:sz w:val="21"/>
                      <w:szCs w:val="21"/>
                    </w:rPr>
                  </w:pPr>
                  <w:r>
                    <w:rPr>
                      <w:color w:val="auto"/>
                      <w:sz w:val="21"/>
                      <w:szCs w:val="21"/>
                    </w:rPr>
                    <w:t>80</w:t>
                  </w:r>
                </w:p>
              </w:tc>
              <w:tc>
                <w:tcPr>
                  <w:tcW w:w="461" w:type="dxa"/>
                  <w:vAlign w:val="center"/>
                </w:tcPr>
                <w:p>
                  <w:pPr>
                    <w:pStyle w:val="57"/>
                    <w:rPr>
                      <w:rFonts w:hint="default" w:eastAsia="宋体"/>
                      <w:color w:val="auto"/>
                      <w:sz w:val="21"/>
                      <w:szCs w:val="21"/>
                      <w:lang w:val="en-US" w:eastAsia="zh-CN"/>
                    </w:rPr>
                  </w:pPr>
                  <w:r>
                    <w:rPr>
                      <w:rFonts w:hint="eastAsia"/>
                      <w:szCs w:val="21"/>
                    </w:rPr>
                    <w:t>7200</w:t>
                  </w:r>
                </w:p>
              </w:tc>
              <w:tc>
                <w:tcPr>
                  <w:tcW w:w="427" w:type="dxa"/>
                  <w:noWrap/>
                  <w:vAlign w:val="center"/>
                </w:tcPr>
                <w:p>
                  <w:pPr>
                    <w:pStyle w:val="57"/>
                    <w:rPr>
                      <w:rFonts w:hint="default" w:eastAsia="宋体"/>
                      <w:color w:val="auto"/>
                      <w:sz w:val="21"/>
                      <w:szCs w:val="21"/>
                      <w:lang w:val="en-US" w:eastAsia="zh-CN"/>
                    </w:rPr>
                  </w:pPr>
                  <w:r>
                    <w:rPr>
                      <w:rFonts w:hint="eastAsia"/>
                      <w:color w:val="auto"/>
                      <w:szCs w:val="21"/>
                      <w:lang w:val="en-US" w:eastAsia="zh-CN"/>
                    </w:rPr>
                    <w:t>0.616</w:t>
                  </w:r>
                </w:p>
              </w:tc>
              <w:tc>
                <w:tcPr>
                  <w:tcW w:w="496" w:type="dxa"/>
                  <w:noWrap/>
                  <w:vAlign w:val="center"/>
                </w:tcPr>
                <w:p>
                  <w:pPr>
                    <w:pStyle w:val="57"/>
                    <w:rPr>
                      <w:rFonts w:hint="default" w:eastAsia="宋体"/>
                      <w:color w:val="auto"/>
                      <w:sz w:val="21"/>
                      <w:szCs w:val="21"/>
                      <w:lang w:val="en-US" w:eastAsia="zh-CN"/>
                    </w:rPr>
                  </w:pPr>
                  <w:r>
                    <w:rPr>
                      <w:rFonts w:hint="eastAsia"/>
                      <w:color w:val="auto"/>
                      <w:szCs w:val="21"/>
                      <w:lang w:val="en-US" w:eastAsia="zh-CN"/>
                    </w:rPr>
                    <w:t>0.53</w:t>
                  </w:r>
                </w:p>
              </w:tc>
              <w:tc>
                <w:tcPr>
                  <w:tcW w:w="474" w:type="dxa"/>
                  <w:noWrap/>
                  <w:vAlign w:val="center"/>
                </w:tcPr>
                <w:p>
                  <w:pPr>
                    <w:pStyle w:val="57"/>
                    <w:rPr>
                      <w:rFonts w:hint="default" w:eastAsia="宋体"/>
                      <w:color w:val="auto"/>
                      <w:sz w:val="21"/>
                      <w:szCs w:val="21"/>
                      <w:lang w:val="en-US" w:eastAsia="zh-CN"/>
                    </w:rPr>
                  </w:pPr>
                  <w:r>
                    <w:rPr>
                      <w:rFonts w:hint="eastAsia"/>
                      <w:color w:val="auto"/>
                      <w:szCs w:val="21"/>
                      <w:lang w:val="en-US" w:eastAsia="zh-CN"/>
                    </w:rPr>
                    <w:t>0.079</w:t>
                  </w:r>
                </w:p>
              </w:tc>
              <w:tc>
                <w:tcPr>
                  <w:tcW w:w="461" w:type="dxa"/>
                  <w:vAlign w:val="center"/>
                </w:tcPr>
                <w:p>
                  <w:pPr>
                    <w:pStyle w:val="57"/>
                    <w:rPr>
                      <w:rFonts w:hint="default" w:eastAsia="宋体"/>
                      <w:color w:val="auto"/>
                      <w:sz w:val="21"/>
                      <w:szCs w:val="21"/>
                      <w:lang w:val="en-US" w:eastAsia="zh-CN"/>
                    </w:rPr>
                  </w:pPr>
                  <w:r>
                    <w:rPr>
                      <w:rFonts w:hint="eastAsia"/>
                      <w:color w:val="auto"/>
                      <w:szCs w:val="21"/>
                      <w:lang w:val="en-US" w:eastAsia="zh-CN"/>
                    </w:rPr>
                    <w:t>0.03</w:t>
                  </w:r>
                </w:p>
              </w:tc>
            </w:tr>
          </w:tbl>
          <w:p>
            <w:pPr>
              <w:pStyle w:val="14"/>
              <w:keepNext/>
              <w:keepLines w:val="0"/>
              <w:pageBreakBefore w:val="0"/>
              <w:widowControl w:val="0"/>
              <w:kinsoku/>
              <w:wordWrap/>
              <w:overflowPunct/>
              <w:topLinePunct w:val="0"/>
              <w:autoSpaceDE/>
              <w:autoSpaceDN/>
              <w:bidi w:val="0"/>
              <w:adjustRightInd/>
              <w:snapToGrid/>
              <w:spacing w:before="126" w:beforeLines="40" w:line="240" w:lineRule="auto"/>
              <w:textAlignment w:val="auto"/>
              <w:rPr>
                <w:rFonts w:cs="Times New Roman"/>
                <w:color w:val="auto"/>
              </w:rPr>
            </w:pPr>
            <w:r>
              <w:rPr>
                <w:rFonts w:eastAsia="宋体" w:cs="Times New Roman"/>
                <w:color w:val="auto"/>
              </w:rPr>
              <w:t>表</w:t>
            </w:r>
            <w:r>
              <w:rPr>
                <w:rFonts w:cs="Times New Roman"/>
                <w:color w:val="auto"/>
              </w:rPr>
              <w:t xml:space="preserve"> </w:t>
            </w:r>
            <w:r>
              <w:rPr>
                <w:rFonts w:hint="eastAsia" w:eastAsia="宋体" w:cs="Times New Roman"/>
                <w:color w:val="auto"/>
                <w:lang w:val="en-US" w:eastAsia="zh-CN"/>
              </w:rPr>
              <w:t xml:space="preserve">4-13   </w:t>
            </w:r>
            <w:r>
              <w:rPr>
                <w:rFonts w:eastAsia="宋体" w:cs="Times New Roman"/>
                <w:color w:val="auto"/>
              </w:rPr>
              <w:t>无组织废气污染源排放口情况一览表</w:t>
            </w:r>
          </w:p>
          <w:tbl>
            <w:tblPr>
              <w:tblStyle w:val="29"/>
              <w:tblW w:w="7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791"/>
              <w:gridCol w:w="791"/>
              <w:gridCol w:w="777"/>
              <w:gridCol w:w="696"/>
              <w:gridCol w:w="914"/>
              <w:gridCol w:w="872"/>
              <w:gridCol w:w="1037"/>
              <w:gridCol w:w="70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Merge w:val="restart"/>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编号</w:t>
                  </w:r>
                </w:p>
              </w:tc>
              <w:tc>
                <w:tcPr>
                  <w:tcW w:w="791" w:type="dxa"/>
                  <w:vMerge w:val="restart"/>
                  <w:vAlign w:val="center"/>
                </w:tcPr>
                <w:p>
                  <w:pPr>
                    <w:pStyle w:val="57"/>
                    <w:rPr>
                      <w:rFonts w:hint="default" w:ascii="Times New Roman" w:hAnsi="Times New Roman" w:eastAsia="宋体" w:cs="Times New Roman"/>
                      <w:b w:val="0"/>
                      <w:bCs w:val="0"/>
                      <w:color w:val="auto"/>
                      <w:sz w:val="21"/>
                      <w:szCs w:val="21"/>
                      <w:vertAlign w:val="baseline"/>
                    </w:rPr>
                  </w:pPr>
                  <w:r>
                    <w:rPr>
                      <w:szCs w:val="21"/>
                    </w:rPr>
                    <w:t>名称</w:t>
                  </w:r>
                </w:p>
              </w:tc>
              <w:tc>
                <w:tcPr>
                  <w:tcW w:w="5796" w:type="dxa"/>
                  <w:gridSpan w:val="7"/>
                  <w:vAlign w:val="center"/>
                </w:tcPr>
                <w:p>
                  <w:pPr>
                    <w:pStyle w:val="57"/>
                    <w:rPr>
                      <w:rFonts w:hint="default" w:ascii="Times New Roman" w:hAnsi="Times New Roman" w:eastAsia="宋体" w:cs="Times New Roman"/>
                      <w:kern w:val="2"/>
                      <w:sz w:val="21"/>
                      <w:szCs w:val="21"/>
                      <w:lang w:val="en-US" w:eastAsia="zh-CN" w:bidi="ar-SA"/>
                    </w:rPr>
                  </w:pPr>
                  <w:r>
                    <w:rPr>
                      <w:szCs w:val="21"/>
                    </w:rPr>
                    <w:t>矩形面源</w:t>
                  </w:r>
                </w:p>
              </w:tc>
              <w:tc>
                <w:tcPr>
                  <w:tcW w:w="962" w:type="dxa"/>
                  <w:vAlign w:val="center"/>
                </w:tcPr>
                <w:p>
                  <w:pPr>
                    <w:pStyle w:val="57"/>
                    <w:rPr>
                      <w:rFonts w:hint="default" w:ascii="Times New Roman" w:hAnsi="Times New Roman" w:eastAsia="宋体" w:cs="Times New Roman"/>
                      <w:kern w:val="2"/>
                      <w:sz w:val="21"/>
                      <w:szCs w:val="21"/>
                      <w:lang w:val="en-US" w:eastAsia="zh-CN" w:bidi="ar-SA"/>
                    </w:rPr>
                  </w:pPr>
                  <w:r>
                    <w:rPr>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791"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szCs w:val="21"/>
                    </w:rPr>
                    <w:t>海拔/m</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szCs w:val="21"/>
                    </w:rPr>
                    <w:t>长度/m</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szCs w:val="21"/>
                    </w:rPr>
                    <w:t>宽度/m</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szCs w:val="21"/>
                    </w:rPr>
                    <w:t>与正北夹角/°</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szCs w:val="21"/>
                    </w:rPr>
                    <w:t>有效高度/m</w:t>
                  </w:r>
                </w:p>
              </w:tc>
              <w:tc>
                <w:tcPr>
                  <w:tcW w:w="1037" w:type="dxa"/>
                  <w:vAlign w:val="center"/>
                </w:tcPr>
                <w:p>
                  <w:pPr>
                    <w:pStyle w:val="57"/>
                    <w:rPr>
                      <w:rFonts w:hint="default" w:ascii="Times New Roman" w:hAnsi="Times New Roman" w:eastAsia="宋体" w:cs="Times New Roman"/>
                      <w:kern w:val="2"/>
                      <w:sz w:val="21"/>
                      <w:szCs w:val="21"/>
                      <w:lang w:val="en-US" w:eastAsia="zh-CN" w:bidi="ar-SA"/>
                    </w:rPr>
                  </w:pPr>
                  <w:r>
                    <w:rPr>
                      <w:szCs w:val="21"/>
                    </w:rPr>
                    <w:t>年排放小时数/h</w:t>
                  </w:r>
                </w:p>
              </w:tc>
              <w:tc>
                <w:tcPr>
                  <w:tcW w:w="709" w:type="dxa"/>
                  <w:vAlign w:val="center"/>
                </w:tcPr>
                <w:p>
                  <w:pPr>
                    <w:pStyle w:val="57"/>
                    <w:rPr>
                      <w:rFonts w:hint="default" w:ascii="Times New Roman" w:hAnsi="Times New Roman" w:eastAsia="宋体" w:cs="Times New Roman"/>
                      <w:kern w:val="2"/>
                      <w:sz w:val="21"/>
                      <w:szCs w:val="21"/>
                      <w:lang w:val="en-US" w:eastAsia="zh-CN" w:bidi="ar-SA"/>
                    </w:rPr>
                  </w:pPr>
                  <w:r>
                    <w:rPr>
                      <w:szCs w:val="21"/>
                    </w:rPr>
                    <w:t>排放工况</w:t>
                  </w:r>
                </w:p>
              </w:tc>
              <w:tc>
                <w:tcPr>
                  <w:tcW w:w="962" w:type="dxa"/>
                  <w:vAlign w:val="center"/>
                </w:tcPr>
                <w:p>
                  <w:pPr>
                    <w:pStyle w:val="57"/>
                    <w:rPr>
                      <w:rFonts w:hint="default" w:ascii="Times New Roman" w:hAnsi="Times New Roman" w:eastAsia="宋体" w:cs="Times New Roman"/>
                      <w:kern w:val="2"/>
                      <w:sz w:val="21"/>
                      <w:szCs w:val="21"/>
                      <w:lang w:val="en-US" w:eastAsia="zh-CN" w:bidi="ar-SA"/>
                    </w:rPr>
                  </w:pPr>
                  <w:r>
                    <w:rPr>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A1</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粘土开采</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10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A2</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szCs w:val="21"/>
                    </w:rPr>
                    <w:t>煤矸石</w:t>
                  </w:r>
                  <w:r>
                    <w:rPr>
                      <w:rFonts w:hint="eastAsia"/>
                      <w:szCs w:val="21"/>
                      <w:lang w:val="en-US" w:eastAsia="zh-CN"/>
                    </w:rPr>
                    <w:t>堆棚</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20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15</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30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w:t>
                  </w:r>
                  <w:r>
                    <w:rPr>
                      <w:rFonts w:hint="eastAsia"/>
                      <w:szCs w:val="21"/>
                    </w:rPr>
                    <w:t>3</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破碎、筛分</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40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20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20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A4</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粘土装卸及堆放</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221</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A5</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运输动力起尘</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10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rPr>
                    <w:t>2400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0.163</w:t>
                  </w:r>
                </w:p>
              </w:tc>
            </w:tr>
          </w:tbl>
          <w:p>
            <w:pPr>
              <w:pStyle w:val="60"/>
              <w:ind w:firstLine="0" w:firstLineChars="0"/>
              <w:rPr>
                <w:b/>
                <w:bCs/>
                <w:color w:val="auto"/>
                <w:sz w:val="24"/>
              </w:rPr>
            </w:pPr>
            <w:r>
              <w:rPr>
                <w:rFonts w:hint="eastAsia"/>
                <w:b/>
                <w:bCs/>
                <w:color w:val="auto"/>
                <w:sz w:val="24"/>
              </w:rPr>
              <w:t>1.2.4非正常工况环境影响分析</w:t>
            </w:r>
          </w:p>
          <w:p>
            <w:pPr>
              <w:pStyle w:val="36"/>
              <w:spacing w:line="360" w:lineRule="auto"/>
              <w:ind w:firstLine="480" w:firstLineChars="200"/>
              <w:textAlignment w:val="baseline"/>
              <w:rPr>
                <w:rFonts w:hint="default" w:hAnsi="宋体" w:eastAsia="宋体"/>
                <w:color w:val="auto"/>
                <w:lang w:val="en-US" w:eastAsia="zh-CN"/>
              </w:rPr>
            </w:pPr>
            <w:r>
              <w:rPr>
                <w:rFonts w:hint="eastAsia" w:hAnsi="宋体" w:eastAsia="宋体"/>
                <w:color w:val="auto"/>
              </w:rPr>
              <w:t>本项目非工况主要体现在污染防治设施出现故障情况下</w:t>
            </w:r>
            <w:r>
              <w:rPr>
                <w:rFonts w:hint="eastAsia" w:hAnsi="宋体" w:eastAsia="宋体"/>
                <w:color w:val="auto"/>
                <w:lang w:val="en-US" w:eastAsia="zh-CN"/>
              </w:rPr>
              <w:t>及隧道窑点火时，</w:t>
            </w:r>
            <w:r>
              <w:rPr>
                <w:rFonts w:hint="eastAsia" w:hAnsi="宋体" w:eastAsia="宋体"/>
                <w:color w:val="auto"/>
              </w:rPr>
              <w:t>污染防治设施出现故障情况下</w:t>
            </w:r>
            <w:r>
              <w:rPr>
                <w:rFonts w:hint="eastAsia" w:hAnsi="宋体" w:eastAsia="宋体"/>
                <w:color w:val="auto"/>
                <w:lang w:val="en-US" w:eastAsia="zh-CN"/>
              </w:rPr>
              <w:t>污染物未经过处理排放，本项目年点窑次数为1次，点火时污染物产生量较大，因此本次环评将隧道窑点火及废气污染防治设施故障情况下污染物的排放确定为非正常工况，分析如下：</w:t>
            </w:r>
          </w:p>
          <w:p>
            <w:pPr>
              <w:pStyle w:val="60"/>
              <w:ind w:firstLine="480"/>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点火阶段废气</w:t>
            </w:r>
          </w:p>
          <w:p>
            <w:pPr>
              <w:pStyle w:val="60"/>
              <w:ind w:firstLine="480"/>
              <w:rPr>
                <w:rFonts w:hint="default"/>
                <w:color w:val="auto"/>
                <w:sz w:val="24"/>
                <w:lang w:val="en-US" w:eastAsia="zh-CN"/>
              </w:rPr>
            </w:pPr>
            <w:r>
              <w:rPr>
                <w:rFonts w:hint="eastAsia"/>
                <w:color w:val="auto"/>
                <w:sz w:val="24"/>
                <w:lang w:val="en-US" w:eastAsia="zh-CN"/>
              </w:rPr>
              <w:t>①燃煤废气</w:t>
            </w:r>
          </w:p>
          <w:p>
            <w:pPr>
              <w:pStyle w:val="60"/>
              <w:ind w:firstLine="480"/>
              <w:rPr>
                <w:rFonts w:hint="default"/>
                <w:color w:val="auto"/>
                <w:sz w:val="24"/>
                <w:lang w:val="en-US"/>
              </w:rPr>
            </w:pPr>
            <w:r>
              <w:rPr>
                <w:color w:val="auto"/>
                <w:sz w:val="24"/>
              </w:rPr>
              <w:t>建设项目焙烧需</w:t>
            </w:r>
            <w:r>
              <w:rPr>
                <w:rFonts w:hint="eastAsia"/>
                <w:color w:val="auto"/>
                <w:sz w:val="24"/>
                <w:lang w:val="en-US" w:eastAsia="zh-CN"/>
              </w:rPr>
              <w:t>用麦草引燃</w:t>
            </w:r>
            <w:r>
              <w:rPr>
                <w:color w:val="auto"/>
                <w:sz w:val="24"/>
              </w:rPr>
              <w:t>燃煤点火</w:t>
            </w:r>
            <w:r>
              <w:rPr>
                <w:rFonts w:hint="eastAsia"/>
                <w:color w:val="auto"/>
                <w:sz w:val="24"/>
                <w:lang w:val="en-US" w:eastAsia="zh-CN"/>
              </w:rPr>
              <w:t>对隧道窑进行升温</w:t>
            </w:r>
            <w:r>
              <w:rPr>
                <w:color w:val="auto"/>
                <w:sz w:val="24"/>
              </w:rPr>
              <w:t>，</w:t>
            </w:r>
            <w:r>
              <w:rPr>
                <w:rFonts w:hint="eastAsia"/>
                <w:color w:val="auto"/>
                <w:sz w:val="24"/>
                <w:lang w:val="en-US" w:eastAsia="zh-CN"/>
              </w:rPr>
              <w:t>点火</w:t>
            </w:r>
            <w:r>
              <w:rPr>
                <w:color w:val="auto"/>
                <w:sz w:val="24"/>
              </w:rPr>
              <w:t>共需燃煤</w:t>
            </w:r>
            <w:r>
              <w:rPr>
                <w:rFonts w:hint="eastAsia"/>
                <w:color w:val="auto"/>
                <w:sz w:val="24"/>
                <w:lang w:val="en-US" w:eastAsia="zh-CN"/>
              </w:rPr>
              <w:t>5</w:t>
            </w:r>
            <w:r>
              <w:rPr>
                <w:color w:val="auto"/>
                <w:sz w:val="24"/>
              </w:rPr>
              <w:t>t/a</w:t>
            </w:r>
            <w:r>
              <w:rPr>
                <w:rFonts w:hint="eastAsia"/>
                <w:color w:val="auto"/>
                <w:sz w:val="24"/>
                <w:lang w:eastAsia="zh-CN"/>
              </w:rPr>
              <w:t>、</w:t>
            </w:r>
            <w:r>
              <w:rPr>
                <w:rFonts w:hint="eastAsia"/>
                <w:color w:val="auto"/>
                <w:sz w:val="24"/>
                <w:lang w:val="en-US" w:eastAsia="zh-CN"/>
              </w:rPr>
              <w:t>麦草0.4t/，，本项目燃煤废气中污染物计算根据燃煤中各元素的含量进行计算。</w:t>
            </w:r>
          </w:p>
          <w:p>
            <w:pPr>
              <w:pStyle w:val="60"/>
              <w:ind w:firstLine="480"/>
              <w:rPr>
                <w:color w:val="auto"/>
                <w:sz w:val="24"/>
              </w:rPr>
            </w:pPr>
            <w:r>
              <w:rPr>
                <w:color w:val="auto"/>
                <w:sz w:val="24"/>
              </w:rPr>
              <w:t>a、二氧化硫产生量</w:t>
            </w:r>
          </w:p>
          <w:p>
            <w:pPr>
              <w:pStyle w:val="60"/>
              <w:ind w:firstLine="480"/>
              <w:rPr>
                <w:color w:val="auto"/>
                <w:sz w:val="24"/>
              </w:rPr>
            </w:pPr>
            <m:oMathPara>
              <m:oMath>
                <m:sSub>
                  <m:sSubPr>
                    <m:ctrlPr>
                      <w:rPr>
                        <w:rFonts w:ascii="Cambria Math" w:hAnsi="Cambria Math"/>
                        <w:i/>
                        <w:color w:val="auto"/>
                        <w:sz w:val="24"/>
                      </w:rPr>
                    </m:ctrlPr>
                  </m:sSubPr>
                  <m:e>
                    <m:r>
                      <m:rPr>
                        <m:nor/>
                        <m:sty m:val="p"/>
                      </m:rPr>
                      <w:rPr>
                        <w:b w:val="0"/>
                        <w:i w:val="0"/>
                        <w:color w:val="auto"/>
                        <w:sz w:val="24"/>
                      </w:rPr>
                      <m:t>G</m:t>
                    </m:r>
                    <m:ctrlPr>
                      <w:rPr>
                        <w:rFonts w:ascii="Cambria Math" w:hAnsi="Cambria Math"/>
                        <w:i/>
                        <w:color w:val="auto"/>
                        <w:sz w:val="24"/>
                      </w:rPr>
                    </m:ctrlPr>
                  </m:e>
                  <m:sub>
                    <m:sSub>
                      <m:sSubPr>
                        <m:ctrlPr>
                          <w:rPr>
                            <w:rFonts w:ascii="Cambria Math" w:hAnsi="Cambria Math"/>
                            <w:i/>
                            <w:color w:val="auto"/>
                            <w:sz w:val="24"/>
                          </w:rPr>
                        </m:ctrlPr>
                      </m:sSubPr>
                      <m:e>
                        <m:r>
                          <m:rPr>
                            <m:nor/>
                            <m:sty m:val="p"/>
                          </m:rPr>
                          <w:rPr>
                            <w:b w:val="0"/>
                            <w:i w:val="0"/>
                            <w:color w:val="auto"/>
                            <w:sz w:val="24"/>
                          </w:rPr>
                          <m:t>SO</m:t>
                        </m:r>
                        <m:ctrlPr>
                          <w:rPr>
                            <w:rFonts w:ascii="Cambria Math" w:hAnsi="Cambria Math"/>
                            <w:i/>
                            <w:color w:val="auto"/>
                            <w:sz w:val="24"/>
                          </w:rPr>
                        </m:ctrlPr>
                      </m:e>
                      <m:sub>
                        <m:r>
                          <m:rPr>
                            <m:nor/>
                            <m:sty m:val="p"/>
                          </m:rPr>
                          <w:rPr>
                            <w:b w:val="0"/>
                            <w:i w:val="0"/>
                            <w:color w:val="auto"/>
                            <w:sz w:val="24"/>
                          </w:rPr>
                          <m:t>2</m:t>
                        </m:r>
                        <m:ctrlPr>
                          <w:rPr>
                            <w:rFonts w:ascii="Cambria Math" w:hAnsi="Cambria Math"/>
                            <w:i/>
                            <w:color w:val="auto"/>
                            <w:sz w:val="24"/>
                          </w:rPr>
                        </m:ctrlPr>
                      </m:sub>
                    </m:sSub>
                    <m:ctrlPr>
                      <w:rPr>
                        <w:rFonts w:ascii="Cambria Math" w:hAnsi="Cambria Math"/>
                        <w:i/>
                        <w:color w:val="auto"/>
                        <w:sz w:val="24"/>
                      </w:rPr>
                    </m:ctrlPr>
                  </m:sub>
                </m:sSub>
                <m:r>
                  <m:rPr>
                    <m:nor/>
                    <m:sty m:val="p"/>
                  </m:rPr>
                  <w:rPr>
                    <w:b w:val="0"/>
                    <w:i w:val="0"/>
                    <w:color w:val="auto"/>
                    <w:sz w:val="24"/>
                  </w:rPr>
                  <m:t>=2×0.8×B×S</m:t>
                </m:r>
              </m:oMath>
            </m:oMathPara>
          </w:p>
          <w:p>
            <w:pPr>
              <w:pStyle w:val="60"/>
              <w:ind w:firstLine="480"/>
              <w:rPr>
                <w:color w:val="auto"/>
                <w:sz w:val="24"/>
              </w:rPr>
            </w:pPr>
            <w:r>
              <w:rPr>
                <w:color w:val="auto"/>
                <w:sz w:val="24"/>
              </w:rPr>
              <w:t>式中：</w:t>
            </w:r>
            <m:oMath>
              <m:sSub>
                <m:sSubPr>
                  <m:ctrlPr>
                    <w:rPr>
                      <w:rFonts w:ascii="Cambria Math" w:hAnsi="Cambria Math"/>
                      <w:i/>
                      <w:color w:val="auto"/>
                      <w:sz w:val="24"/>
                    </w:rPr>
                  </m:ctrlPr>
                </m:sSubPr>
                <m:e>
                  <m:r>
                    <m:rPr>
                      <m:nor/>
                      <m:sty m:val="p"/>
                    </m:rPr>
                    <w:rPr>
                      <w:b w:val="0"/>
                      <w:i w:val="0"/>
                      <w:color w:val="auto"/>
                      <w:sz w:val="24"/>
                    </w:rPr>
                    <m:t>G</m:t>
                  </m:r>
                  <m:ctrlPr>
                    <w:rPr>
                      <w:rFonts w:ascii="Cambria Math" w:hAnsi="Cambria Math"/>
                      <w:i/>
                      <w:color w:val="auto"/>
                      <w:sz w:val="24"/>
                    </w:rPr>
                  </m:ctrlPr>
                </m:e>
                <m:sub>
                  <m:sSub>
                    <m:sSubPr>
                      <m:ctrlPr>
                        <w:rPr>
                          <w:rFonts w:ascii="Cambria Math" w:hAnsi="Cambria Math"/>
                          <w:i/>
                          <w:color w:val="auto"/>
                          <w:sz w:val="24"/>
                        </w:rPr>
                      </m:ctrlPr>
                    </m:sSubPr>
                    <m:e>
                      <m:r>
                        <m:rPr>
                          <m:nor/>
                          <m:sty m:val="p"/>
                        </m:rPr>
                        <w:rPr>
                          <w:b w:val="0"/>
                          <w:i w:val="0"/>
                          <w:color w:val="auto"/>
                          <w:sz w:val="24"/>
                        </w:rPr>
                        <m:t>SO</m:t>
                      </m:r>
                      <m:ctrlPr>
                        <w:rPr>
                          <w:rFonts w:ascii="Cambria Math" w:hAnsi="Cambria Math"/>
                          <w:i/>
                          <w:color w:val="auto"/>
                          <w:sz w:val="24"/>
                        </w:rPr>
                      </m:ctrlPr>
                    </m:e>
                    <m:sub>
                      <m:r>
                        <m:rPr>
                          <m:nor/>
                          <m:sty m:val="p"/>
                        </m:rPr>
                        <w:rPr>
                          <w:b w:val="0"/>
                          <w:i w:val="0"/>
                          <w:color w:val="auto"/>
                          <w:sz w:val="24"/>
                        </w:rPr>
                        <m:t>2</m:t>
                      </m:r>
                      <m:ctrlPr>
                        <w:rPr>
                          <w:rFonts w:ascii="Cambria Math" w:hAnsi="Cambria Math"/>
                          <w:i/>
                          <w:color w:val="auto"/>
                          <w:sz w:val="24"/>
                        </w:rPr>
                      </m:ctrlPr>
                    </m:sub>
                  </m:sSub>
                  <m:ctrlPr>
                    <w:rPr>
                      <w:rFonts w:ascii="Cambria Math" w:hAnsi="Cambria Math"/>
                      <w:i/>
                      <w:color w:val="auto"/>
                      <w:sz w:val="24"/>
                    </w:rPr>
                  </m:ctrlPr>
                </m:sub>
              </m:sSub>
            </m:oMath>
            <w:r>
              <w:rPr>
                <w:color w:val="auto"/>
                <w:sz w:val="24"/>
              </w:rPr>
              <w:t>——二氧化硫产生量，t/a；</w:t>
            </w:r>
          </w:p>
          <w:p>
            <w:pPr>
              <w:pStyle w:val="60"/>
              <w:ind w:firstLine="1440" w:firstLineChars="600"/>
              <w:rPr>
                <w:color w:val="auto"/>
                <w:sz w:val="24"/>
              </w:rPr>
            </w:pPr>
            <w:r>
              <w:rPr>
                <w:rFonts w:ascii="Cambria Math" w:hAnsi="Cambria Math" w:cs="Cambria Math"/>
                <w:color w:val="auto"/>
                <w:sz w:val="24"/>
              </w:rPr>
              <w:t>𝐵</w:t>
            </w:r>
            <w:r>
              <w:rPr>
                <w:color w:val="auto"/>
                <w:sz w:val="24"/>
              </w:rPr>
              <w:t>——燃煤量，</w:t>
            </w:r>
            <w:r>
              <w:rPr>
                <w:rFonts w:hint="eastAsia"/>
                <w:color w:val="auto"/>
                <w:sz w:val="24"/>
                <w:lang w:val="en-US" w:eastAsia="zh-CN"/>
              </w:rPr>
              <w:t>5</w:t>
            </w:r>
            <w:r>
              <w:rPr>
                <w:rFonts w:hint="eastAsia"/>
                <w:color w:val="auto"/>
                <w:sz w:val="24"/>
              </w:rPr>
              <w:t>t</w:t>
            </w:r>
            <w:r>
              <w:rPr>
                <w:color w:val="auto"/>
                <w:sz w:val="24"/>
              </w:rPr>
              <w:t>/a；</w:t>
            </w:r>
          </w:p>
          <w:p>
            <w:pPr>
              <w:pStyle w:val="60"/>
              <w:ind w:firstLine="1440" w:firstLineChars="600"/>
              <w:rPr>
                <w:color w:val="auto"/>
                <w:sz w:val="24"/>
              </w:rPr>
            </w:pPr>
            <w:r>
              <w:rPr>
                <w:rFonts w:ascii="Cambria Math" w:hAnsi="Cambria Math" w:cs="Cambria Math"/>
                <w:color w:val="auto"/>
                <w:sz w:val="24"/>
              </w:rPr>
              <w:t>𝑆</w:t>
            </w:r>
            <w:r>
              <w:rPr>
                <w:color w:val="auto"/>
                <w:sz w:val="24"/>
              </w:rPr>
              <w:t>——煤中硫含量，取值0.52%。</w:t>
            </w:r>
          </w:p>
          <w:p>
            <w:pPr>
              <w:pStyle w:val="60"/>
              <w:ind w:firstLine="480"/>
              <w:rPr>
                <w:color w:val="auto"/>
                <w:sz w:val="24"/>
              </w:rPr>
            </w:pPr>
            <w:r>
              <w:rPr>
                <w:color w:val="auto"/>
                <w:sz w:val="24"/>
              </w:rPr>
              <w:t>算得本项目点火煤SO</w:t>
            </w:r>
            <w:r>
              <w:rPr>
                <w:color w:val="auto"/>
                <w:sz w:val="24"/>
                <w:vertAlign w:val="subscript"/>
              </w:rPr>
              <w:t>2</w:t>
            </w:r>
            <w:r>
              <w:rPr>
                <w:color w:val="auto"/>
                <w:sz w:val="24"/>
              </w:rPr>
              <w:t>产生量</w:t>
            </w:r>
            <w:r>
              <w:rPr>
                <w:rFonts w:hint="eastAsia"/>
                <w:color w:val="auto"/>
                <w:sz w:val="24"/>
              </w:rPr>
              <w:t>0.</w:t>
            </w:r>
            <w:r>
              <w:rPr>
                <w:rFonts w:hint="eastAsia"/>
                <w:color w:val="auto"/>
                <w:sz w:val="24"/>
                <w:lang w:val="en-US" w:eastAsia="zh-CN"/>
              </w:rPr>
              <w:t>0416</w:t>
            </w:r>
            <w:r>
              <w:rPr>
                <w:color w:val="auto"/>
                <w:sz w:val="24"/>
              </w:rPr>
              <w:t>t/a；</w:t>
            </w:r>
          </w:p>
          <w:p>
            <w:pPr>
              <w:pStyle w:val="60"/>
              <w:ind w:firstLine="480"/>
              <w:rPr>
                <w:color w:val="auto"/>
                <w:sz w:val="24"/>
              </w:rPr>
            </w:pPr>
            <w:r>
              <w:rPr>
                <w:color w:val="auto"/>
                <w:sz w:val="24"/>
              </w:rPr>
              <w:t>b、氮氧化物产生量</w:t>
            </w:r>
          </w:p>
          <w:p>
            <w:pPr>
              <w:pStyle w:val="60"/>
              <w:ind w:firstLine="480"/>
              <w:rPr>
                <w:color w:val="auto"/>
                <w:sz w:val="24"/>
              </w:rPr>
            </w:pPr>
            <m:oMathPara>
              <m:oMath>
                <m:sSub>
                  <m:sSubPr>
                    <m:ctrlPr>
                      <w:rPr>
                        <w:rFonts w:ascii="Cambria Math" w:hAnsi="Cambria Math"/>
                        <w:i/>
                        <w:color w:val="auto"/>
                        <w:sz w:val="24"/>
                      </w:rPr>
                    </m:ctrlPr>
                  </m:sSubPr>
                  <m:e>
                    <m:r>
                      <m:rPr>
                        <m:nor/>
                        <m:sty m:val="p"/>
                      </m:rPr>
                      <w:rPr>
                        <w:b w:val="0"/>
                        <w:i w:val="0"/>
                        <w:color w:val="auto"/>
                        <w:sz w:val="24"/>
                      </w:rPr>
                      <m:t>G</m:t>
                    </m:r>
                    <m:ctrlPr>
                      <w:rPr>
                        <w:rFonts w:ascii="Cambria Math" w:hAnsi="Cambria Math"/>
                        <w:i/>
                        <w:color w:val="auto"/>
                        <w:sz w:val="24"/>
                      </w:rPr>
                    </m:ctrlPr>
                  </m:e>
                  <m:sub>
                    <m:r>
                      <m:rPr>
                        <m:nor/>
                        <m:sty m:val="p"/>
                      </m:rPr>
                      <w:rPr>
                        <w:b w:val="0"/>
                        <w:i w:val="0"/>
                        <w:color w:val="auto"/>
                        <w:sz w:val="24"/>
                      </w:rPr>
                      <m:t>NOx</m:t>
                    </m:r>
                    <m:ctrlPr>
                      <w:rPr>
                        <w:rFonts w:ascii="Cambria Math" w:hAnsi="Cambria Math"/>
                        <w:i/>
                        <w:color w:val="auto"/>
                        <w:sz w:val="24"/>
                      </w:rPr>
                    </m:ctrlPr>
                  </m:sub>
                </m:sSub>
                <m:r>
                  <m:rPr>
                    <m:nor/>
                    <m:sty m:val="p"/>
                  </m:rPr>
                  <w:rPr>
                    <w:b w:val="0"/>
                    <w:i w:val="0"/>
                    <w:color w:val="auto"/>
                    <w:sz w:val="24"/>
                  </w:rPr>
                  <m:t>=1.63×B×(N×b+0.000938)</m:t>
                </m:r>
              </m:oMath>
            </m:oMathPara>
          </w:p>
          <w:p>
            <w:pPr>
              <w:pStyle w:val="60"/>
              <w:ind w:firstLine="480"/>
              <w:rPr>
                <w:color w:val="auto"/>
                <w:sz w:val="24"/>
              </w:rPr>
            </w:pPr>
            <w:r>
              <w:rPr>
                <w:color w:val="auto"/>
                <w:sz w:val="24"/>
              </w:rPr>
              <w:t>式中：</w:t>
            </w:r>
            <m:oMath>
              <m:sSub>
                <m:sSubPr>
                  <m:ctrlPr>
                    <w:rPr>
                      <w:rFonts w:ascii="Cambria Math" w:hAnsi="Cambria Math"/>
                      <w:i/>
                      <w:color w:val="auto"/>
                      <w:sz w:val="24"/>
                    </w:rPr>
                  </m:ctrlPr>
                </m:sSubPr>
                <m:e>
                  <m:r>
                    <m:rPr>
                      <m:nor/>
                      <m:sty m:val="p"/>
                    </m:rPr>
                    <w:rPr>
                      <w:b w:val="0"/>
                      <w:i w:val="0"/>
                      <w:color w:val="auto"/>
                      <w:sz w:val="24"/>
                    </w:rPr>
                    <m:t>G</m:t>
                  </m:r>
                  <m:ctrlPr>
                    <w:rPr>
                      <w:rFonts w:ascii="Cambria Math" w:hAnsi="Cambria Math"/>
                      <w:i/>
                      <w:color w:val="auto"/>
                      <w:sz w:val="24"/>
                    </w:rPr>
                  </m:ctrlPr>
                </m:e>
                <m:sub>
                  <m:r>
                    <m:rPr>
                      <m:nor/>
                      <m:sty m:val="p"/>
                    </m:rPr>
                    <w:rPr>
                      <w:b w:val="0"/>
                      <w:i w:val="0"/>
                      <w:color w:val="auto"/>
                      <w:sz w:val="24"/>
                    </w:rPr>
                    <m:t>NOx</m:t>
                  </m:r>
                  <m:ctrlPr>
                    <w:rPr>
                      <w:rFonts w:ascii="Cambria Math" w:hAnsi="Cambria Math"/>
                      <w:i/>
                      <w:color w:val="auto"/>
                      <w:sz w:val="24"/>
                    </w:rPr>
                  </m:ctrlPr>
                </m:sub>
              </m:sSub>
            </m:oMath>
            <w:r>
              <w:rPr>
                <w:color w:val="auto"/>
                <w:sz w:val="24"/>
              </w:rPr>
              <w:t>——氮氧化物产生量，t/a；</w:t>
            </w:r>
          </w:p>
          <w:p>
            <w:pPr>
              <w:pStyle w:val="60"/>
              <w:ind w:firstLine="1200" w:firstLineChars="500"/>
              <w:rPr>
                <w:color w:val="auto"/>
                <w:sz w:val="24"/>
              </w:rPr>
            </w:pPr>
            <w:r>
              <w:rPr>
                <w:rFonts w:ascii="Cambria Math" w:hAnsi="Cambria Math" w:cs="Cambria Math"/>
                <w:color w:val="auto"/>
                <w:sz w:val="24"/>
              </w:rPr>
              <w:t>𝐵</w:t>
            </w:r>
            <w:r>
              <w:rPr>
                <w:color w:val="auto"/>
                <w:sz w:val="24"/>
              </w:rPr>
              <w:t>——燃煤量，</w:t>
            </w:r>
            <w:r>
              <w:rPr>
                <w:rFonts w:hint="eastAsia"/>
                <w:color w:val="auto"/>
                <w:sz w:val="24"/>
                <w:lang w:val="en-US" w:eastAsia="zh-CN"/>
              </w:rPr>
              <w:t>5</w:t>
            </w:r>
            <w:r>
              <w:rPr>
                <w:color w:val="auto"/>
                <w:sz w:val="24"/>
              </w:rPr>
              <w:t>t/a；</w:t>
            </w:r>
          </w:p>
          <w:p>
            <w:pPr>
              <w:pStyle w:val="60"/>
              <w:ind w:firstLine="1200" w:firstLineChars="500"/>
              <w:rPr>
                <w:color w:val="auto"/>
                <w:sz w:val="24"/>
              </w:rPr>
            </w:pPr>
            <w:r>
              <w:rPr>
                <w:rFonts w:ascii="Cambria Math" w:hAnsi="Cambria Math" w:cs="Cambria Math"/>
                <w:color w:val="auto"/>
                <w:sz w:val="24"/>
              </w:rPr>
              <w:t>𝑁</w:t>
            </w:r>
            <w:r>
              <w:rPr>
                <w:color w:val="auto"/>
                <w:sz w:val="24"/>
              </w:rPr>
              <w:t>——燃煤含氮率，约为1.5%；</w:t>
            </w:r>
          </w:p>
          <w:p>
            <w:pPr>
              <w:pStyle w:val="60"/>
              <w:ind w:firstLine="1200" w:firstLineChars="500"/>
              <w:rPr>
                <w:color w:val="auto"/>
                <w:sz w:val="24"/>
              </w:rPr>
            </w:pPr>
            <w:r>
              <w:rPr>
                <w:rFonts w:ascii="Cambria Math" w:hAnsi="Cambria Math" w:cs="Cambria Math"/>
                <w:color w:val="auto"/>
                <w:sz w:val="24"/>
              </w:rPr>
              <w:t>𝑏</w:t>
            </w:r>
            <w:r>
              <w:rPr>
                <w:color w:val="auto"/>
                <w:sz w:val="24"/>
              </w:rPr>
              <w:t>——氮的转化率，约为50%。</w:t>
            </w:r>
          </w:p>
          <w:p>
            <w:pPr>
              <w:pStyle w:val="60"/>
              <w:ind w:firstLine="480"/>
              <w:rPr>
                <w:color w:val="auto"/>
                <w:sz w:val="24"/>
              </w:rPr>
            </w:pPr>
            <w:r>
              <w:rPr>
                <w:color w:val="auto"/>
                <w:sz w:val="24"/>
              </w:rPr>
              <w:t>由上式，算得本项目点火煤氮氧化物产生量</w:t>
            </w:r>
            <w:r>
              <w:rPr>
                <w:rFonts w:hint="eastAsia"/>
                <w:color w:val="auto"/>
                <w:sz w:val="24"/>
              </w:rPr>
              <w:t>0.</w:t>
            </w:r>
            <w:r>
              <w:rPr>
                <w:rFonts w:hint="eastAsia"/>
                <w:color w:val="auto"/>
                <w:sz w:val="24"/>
                <w:lang w:val="en-US" w:eastAsia="zh-CN"/>
              </w:rPr>
              <w:t>069</w:t>
            </w:r>
            <w:r>
              <w:rPr>
                <w:color w:val="auto"/>
                <w:sz w:val="24"/>
              </w:rPr>
              <w:t>t/a。</w:t>
            </w:r>
          </w:p>
          <w:p>
            <w:pPr>
              <w:pStyle w:val="60"/>
              <w:ind w:firstLine="480"/>
              <w:rPr>
                <w:color w:val="auto"/>
                <w:sz w:val="24"/>
              </w:rPr>
            </w:pPr>
            <w:r>
              <w:rPr>
                <w:color w:val="auto"/>
                <w:sz w:val="24"/>
              </w:rPr>
              <w:t>c、烟尘产生量</w:t>
            </w:r>
          </w:p>
          <w:p>
            <w:pPr>
              <w:pStyle w:val="60"/>
              <w:ind w:firstLine="480"/>
              <w:rPr>
                <w:color w:val="auto"/>
                <w:sz w:val="24"/>
              </w:rPr>
            </w:pPr>
            <w:r>
              <w:rPr>
                <w:color w:val="auto"/>
                <w:sz w:val="24"/>
              </w:rPr>
              <w:t>烟尘的排放浓度采用经验公式进行估算，污染物产生计算公式如下：</w:t>
            </w:r>
          </w:p>
          <w:p>
            <w:pPr>
              <w:pStyle w:val="60"/>
              <w:ind w:firstLine="0" w:firstLineChars="0"/>
              <w:rPr>
                <w:color w:val="auto"/>
                <w:sz w:val="24"/>
              </w:rPr>
            </w:pPr>
            <m:oMathPara>
              <m:oMath>
                <m:sSub>
                  <m:sSubPr>
                    <m:ctrlPr>
                      <w:rPr>
                        <w:rFonts w:ascii="Cambria Math" w:hAnsi="Cambria Math"/>
                        <w:i/>
                        <w:color w:val="auto"/>
                        <w:sz w:val="24"/>
                      </w:rPr>
                    </m:ctrlPr>
                  </m:sSubPr>
                  <m:e>
                    <m:r>
                      <m:rPr/>
                      <w:rPr>
                        <w:rFonts w:ascii="Cambria Math" w:hAnsi="Cambria Math"/>
                        <w:color w:val="auto"/>
                        <w:sz w:val="24"/>
                      </w:rPr>
                      <m:t>G</m:t>
                    </m:r>
                    <m:ctrlPr>
                      <w:rPr>
                        <w:rFonts w:ascii="Cambria Math" w:hAnsi="Cambria Math"/>
                        <w:i/>
                        <w:color w:val="auto"/>
                        <w:sz w:val="24"/>
                      </w:rPr>
                    </m:ctrlPr>
                  </m:e>
                  <m:sub>
                    <m:r>
                      <m:rPr/>
                      <w:rPr>
                        <w:rFonts w:ascii="Cambria Math" w:hAnsi="Cambria Math"/>
                        <w:color w:val="auto"/>
                        <w:sz w:val="24"/>
                      </w:rPr>
                      <m:t>d</m:t>
                    </m:r>
                    <m:ctrlPr>
                      <w:rPr>
                        <w:rFonts w:ascii="Cambria Math" w:hAnsi="Cambria Math"/>
                        <w:i/>
                        <w:color w:val="auto"/>
                        <w:sz w:val="24"/>
                      </w:rPr>
                    </m:ctrlPr>
                  </m:sub>
                </m:sSub>
                <m:r>
                  <m:rPr/>
                  <w:rPr>
                    <w:rFonts w:ascii="Cambria Math" w:hAnsi="Cambria Math"/>
                    <w:color w:val="auto"/>
                    <w:sz w:val="24"/>
                  </w:rPr>
                  <m:t>=</m:t>
                </m:r>
                <m:f>
                  <m:fPr>
                    <m:ctrlPr>
                      <w:rPr>
                        <w:rFonts w:ascii="Cambria Math" w:hAnsi="Cambria Math"/>
                        <w:i/>
                        <w:color w:val="auto"/>
                        <w:sz w:val="24"/>
                      </w:rPr>
                    </m:ctrlPr>
                  </m:fPr>
                  <m:num>
                    <m:r>
                      <m:rPr/>
                      <w:rPr>
                        <w:rFonts w:ascii="Cambria Math" w:hAnsi="Cambria Math"/>
                        <w:color w:val="auto"/>
                        <w:sz w:val="24"/>
                      </w:rPr>
                      <m:t>B×</m:t>
                    </m:r>
                    <m:sSub>
                      <m:sSubPr>
                        <m:ctrlPr>
                          <w:rPr>
                            <w:rFonts w:ascii="Cambria Math" w:hAnsi="Cambria Math"/>
                            <w:i/>
                            <w:color w:val="auto"/>
                            <w:sz w:val="24"/>
                          </w:rPr>
                        </m:ctrlPr>
                      </m:sSubPr>
                      <m:e>
                        <m:r>
                          <m:rPr/>
                          <w:rPr>
                            <w:rFonts w:ascii="Cambria Math" w:hAnsi="Cambria Math"/>
                            <w:color w:val="auto"/>
                            <w:sz w:val="24"/>
                          </w:rPr>
                          <m:t>A</m:t>
                        </m:r>
                        <m:ctrlPr>
                          <w:rPr>
                            <w:rFonts w:ascii="Cambria Math" w:hAnsi="Cambria Math"/>
                            <w:i/>
                            <w:color w:val="auto"/>
                            <w:sz w:val="24"/>
                          </w:rPr>
                        </m:ctrlPr>
                      </m:e>
                      <m:sub>
                        <m:r>
                          <m:rPr/>
                          <w:rPr>
                            <w:rFonts w:ascii="Cambria Math" w:hAnsi="Cambria Math"/>
                            <w:color w:val="auto"/>
                            <w:sz w:val="24"/>
                          </w:rPr>
                          <m:t>f</m:t>
                        </m:r>
                        <m:r>
                          <m:rPr/>
                          <w:rPr>
                            <w:rFonts w:ascii="Cambria Math" w:hAnsi="Cambria Math" w:eastAsia="MS Gothic"/>
                            <w:color w:val="auto"/>
                            <w:sz w:val="24"/>
                          </w:rPr>
                          <m:t>ℎ</m:t>
                        </m:r>
                        <m:ctrlPr>
                          <w:rPr>
                            <w:rFonts w:ascii="Cambria Math" w:hAnsi="Cambria Math"/>
                            <w:i/>
                            <w:color w:val="auto"/>
                            <w:sz w:val="24"/>
                          </w:rPr>
                        </m:ctrlPr>
                      </m:sub>
                    </m:sSub>
                    <m:r>
                      <m:rPr/>
                      <w:rPr>
                        <w:rFonts w:ascii="Cambria Math" w:hAnsi="Cambria Math"/>
                        <w:color w:val="auto"/>
                        <w:sz w:val="24"/>
                      </w:rPr>
                      <m:t>×d</m:t>
                    </m:r>
                    <m:d>
                      <m:dPr>
                        <m:ctrlPr>
                          <w:rPr>
                            <w:rFonts w:ascii="Cambria Math" w:hAnsi="Cambria Math"/>
                            <w:i/>
                            <w:color w:val="auto"/>
                            <w:sz w:val="24"/>
                          </w:rPr>
                        </m:ctrlPr>
                      </m:dPr>
                      <m:e>
                        <m:r>
                          <m:rPr/>
                          <w:rPr>
                            <w:rFonts w:ascii="Cambria Math" w:hAnsi="Cambria Math"/>
                            <w:color w:val="auto"/>
                            <w:sz w:val="24"/>
                          </w:rPr>
                          <m:t>1−η</m:t>
                        </m:r>
                        <m:ctrlPr>
                          <w:rPr>
                            <w:rFonts w:ascii="Cambria Math" w:hAnsi="Cambria Math"/>
                            <w:i/>
                            <w:color w:val="auto"/>
                            <w:sz w:val="24"/>
                          </w:rPr>
                        </m:ctrlPr>
                      </m:e>
                    </m:d>
                    <m:ctrlPr>
                      <w:rPr>
                        <w:rFonts w:ascii="Cambria Math" w:hAnsi="Cambria Math"/>
                        <w:i/>
                        <w:color w:val="auto"/>
                        <w:sz w:val="24"/>
                      </w:rPr>
                    </m:ctrlPr>
                  </m:num>
                  <m:den>
                    <m:r>
                      <m:rPr/>
                      <w:rPr>
                        <w:rFonts w:ascii="Cambria Math" w:hAnsi="Cambria Math"/>
                        <w:color w:val="auto"/>
                        <w:sz w:val="24"/>
                      </w:rPr>
                      <m:t>1−</m:t>
                    </m:r>
                    <m:sSub>
                      <m:sSubPr>
                        <m:ctrlPr>
                          <w:rPr>
                            <w:rFonts w:ascii="Cambria Math" w:hAnsi="Cambria Math"/>
                            <w:i/>
                            <w:color w:val="auto"/>
                            <w:sz w:val="24"/>
                          </w:rPr>
                        </m:ctrlPr>
                      </m:sSubPr>
                      <m:e>
                        <m:r>
                          <m:rPr/>
                          <w:rPr>
                            <w:rFonts w:ascii="Cambria Math" w:hAnsi="Cambria Math"/>
                            <w:color w:val="auto"/>
                            <w:sz w:val="24"/>
                          </w:rPr>
                          <m:t>C</m:t>
                        </m:r>
                        <m:ctrlPr>
                          <w:rPr>
                            <w:rFonts w:ascii="Cambria Math" w:hAnsi="Cambria Math"/>
                            <w:i/>
                            <w:color w:val="auto"/>
                            <w:sz w:val="24"/>
                          </w:rPr>
                        </m:ctrlPr>
                      </m:e>
                      <m:sub>
                        <m:r>
                          <m:rPr/>
                          <w:rPr>
                            <w:rFonts w:ascii="Cambria Math" w:hAnsi="Cambria Math"/>
                            <w:color w:val="auto"/>
                            <w:sz w:val="24"/>
                          </w:rPr>
                          <m:t>fℎ</m:t>
                        </m:r>
                        <m:ctrlPr>
                          <w:rPr>
                            <w:rFonts w:ascii="Cambria Math" w:hAnsi="Cambria Math"/>
                            <w:i/>
                            <w:color w:val="auto"/>
                            <w:sz w:val="24"/>
                          </w:rPr>
                        </m:ctrlPr>
                      </m:sub>
                    </m:sSub>
                    <m:ctrlPr>
                      <w:rPr>
                        <w:rFonts w:ascii="Cambria Math" w:hAnsi="Cambria Math"/>
                        <w:i/>
                        <w:color w:val="auto"/>
                        <w:sz w:val="24"/>
                      </w:rPr>
                    </m:ctrlPr>
                  </m:den>
                </m:f>
              </m:oMath>
            </m:oMathPara>
          </w:p>
          <w:p>
            <w:pPr>
              <w:pStyle w:val="60"/>
              <w:ind w:firstLine="480"/>
              <w:rPr>
                <w:color w:val="auto"/>
                <w:sz w:val="24"/>
              </w:rPr>
            </w:pPr>
            <w:r>
              <w:rPr>
                <w:color w:val="auto"/>
                <w:sz w:val="24"/>
              </w:rPr>
              <w:t>式中：</w:t>
            </w:r>
            <w:r>
              <w:rPr>
                <w:rFonts w:ascii="Cambria Math" w:hAnsi="Cambria Math" w:cs="Cambria Math"/>
                <w:color w:val="auto"/>
                <w:sz w:val="24"/>
              </w:rPr>
              <w:t>𝐺</w:t>
            </w:r>
            <w:r>
              <w:rPr>
                <w:rFonts w:ascii="Cambria Math" w:hAnsi="Cambria Math" w:cs="Cambria Math"/>
                <w:color w:val="auto"/>
                <w:sz w:val="24"/>
                <w:vertAlign w:val="subscript"/>
              </w:rPr>
              <w:t>𝑑</w:t>
            </w:r>
            <w:r>
              <w:rPr>
                <w:color w:val="auto"/>
                <w:sz w:val="24"/>
              </w:rPr>
              <w:t>——烟尘的排放量，t/a；</w:t>
            </w:r>
          </w:p>
          <w:p>
            <w:pPr>
              <w:pStyle w:val="60"/>
              <w:ind w:firstLine="1200" w:firstLineChars="500"/>
              <w:rPr>
                <w:color w:val="auto"/>
                <w:sz w:val="24"/>
              </w:rPr>
            </w:pPr>
            <w:r>
              <w:rPr>
                <w:rFonts w:ascii="Cambria Math" w:hAnsi="Cambria Math" w:cs="Cambria Math"/>
                <w:color w:val="auto"/>
                <w:sz w:val="24"/>
              </w:rPr>
              <w:t>𝐵</w:t>
            </w:r>
            <w:r>
              <w:rPr>
                <w:color w:val="auto"/>
                <w:sz w:val="24"/>
              </w:rPr>
              <w:t>——耗煤量，</w:t>
            </w:r>
            <w:r>
              <w:rPr>
                <w:rFonts w:hint="eastAsia"/>
                <w:color w:val="auto"/>
                <w:sz w:val="24"/>
                <w:lang w:val="en-US" w:eastAsia="zh-CN"/>
              </w:rPr>
              <w:t>5</w:t>
            </w:r>
            <w:r>
              <w:rPr>
                <w:color w:val="auto"/>
                <w:sz w:val="24"/>
              </w:rPr>
              <w:t>t/a；</w:t>
            </w:r>
          </w:p>
          <w:p>
            <w:pPr>
              <w:pStyle w:val="60"/>
              <w:ind w:firstLine="1200" w:firstLineChars="500"/>
              <w:rPr>
                <w:color w:val="auto"/>
                <w:sz w:val="24"/>
              </w:rPr>
            </w:pPr>
            <w:r>
              <w:rPr>
                <w:rFonts w:ascii="Cambria Math" w:hAnsi="Cambria Math" w:cs="Cambria Math"/>
                <w:color w:val="auto"/>
                <w:sz w:val="24"/>
              </w:rPr>
              <w:t>𝐴</w:t>
            </w:r>
            <w:r>
              <w:rPr>
                <w:rFonts w:ascii="Cambria Math" w:hAnsi="Cambria Math" w:cs="Cambria Math"/>
                <w:color w:val="auto"/>
                <w:sz w:val="24"/>
                <w:vertAlign w:val="subscript"/>
              </w:rPr>
              <w:t>𝑓</w:t>
            </w:r>
            <w:r>
              <w:rPr>
                <w:color w:val="auto"/>
                <w:sz w:val="24"/>
                <w:vertAlign w:val="subscript"/>
              </w:rPr>
              <w:t>ℎ</w:t>
            </w:r>
            <w:r>
              <w:rPr>
                <w:color w:val="auto"/>
                <w:sz w:val="24"/>
              </w:rPr>
              <w:t>——煤中的灰分，取值10.23%；</w:t>
            </w:r>
          </w:p>
          <w:p>
            <w:pPr>
              <w:pStyle w:val="60"/>
              <w:ind w:firstLine="1200" w:firstLineChars="500"/>
              <w:rPr>
                <w:color w:val="auto"/>
                <w:sz w:val="24"/>
              </w:rPr>
            </w:pPr>
            <w:r>
              <w:rPr>
                <w:rFonts w:ascii="Cambria Math" w:hAnsi="Cambria Math" w:cs="Cambria Math"/>
                <w:color w:val="auto"/>
                <w:sz w:val="24"/>
              </w:rPr>
              <w:t>𝑑</w:t>
            </w:r>
            <w:r>
              <w:rPr>
                <w:color w:val="auto"/>
                <w:sz w:val="24"/>
              </w:rPr>
              <w:t>——灰分中的烟尘含量，其值与燃烧方式有关，取值15%；</w:t>
            </w:r>
          </w:p>
          <w:p>
            <w:pPr>
              <w:pStyle w:val="60"/>
              <w:ind w:firstLine="1200" w:firstLineChars="500"/>
              <w:rPr>
                <w:color w:val="auto"/>
                <w:sz w:val="24"/>
              </w:rPr>
            </w:pPr>
            <w:r>
              <w:rPr>
                <w:rFonts w:ascii="Cambria Math" w:hAnsi="Cambria Math" w:cs="Cambria Math"/>
                <w:color w:val="auto"/>
                <w:sz w:val="24"/>
              </w:rPr>
              <w:t>𝐶</w:t>
            </w:r>
            <w:r>
              <w:rPr>
                <w:rFonts w:ascii="Cambria Math" w:hAnsi="Cambria Math" w:cs="Cambria Math"/>
                <w:color w:val="auto"/>
                <w:sz w:val="24"/>
                <w:vertAlign w:val="subscript"/>
              </w:rPr>
              <w:t>𝑓</w:t>
            </w:r>
            <w:r>
              <w:rPr>
                <w:color w:val="auto"/>
                <w:sz w:val="24"/>
                <w:vertAlign w:val="subscript"/>
              </w:rPr>
              <w:t>ℎ</w:t>
            </w:r>
            <w:r>
              <w:rPr>
                <w:color w:val="auto"/>
                <w:sz w:val="24"/>
              </w:rPr>
              <w:t>——烟尘中的可燃物，与煤种、燃烧状态和炉型等因素有关，取值30%；</w:t>
            </w:r>
          </w:p>
          <w:p>
            <w:pPr>
              <w:pStyle w:val="60"/>
              <w:ind w:firstLine="1200" w:firstLineChars="500"/>
              <w:rPr>
                <w:color w:val="auto"/>
                <w:sz w:val="24"/>
              </w:rPr>
            </w:pPr>
            <w:r>
              <w:rPr>
                <w:rFonts w:ascii="Cambria Math" w:hAnsi="Cambria Math" w:cs="Cambria Math"/>
                <w:color w:val="auto"/>
                <w:sz w:val="24"/>
              </w:rPr>
              <w:t>𝜂</w:t>
            </w:r>
            <w:r>
              <w:rPr>
                <w:color w:val="auto"/>
                <w:sz w:val="24"/>
              </w:rPr>
              <w:t>——除尘装置的烟尘去除率，</w:t>
            </w:r>
            <w:r>
              <w:rPr>
                <w:rFonts w:ascii="Cambria Math" w:hAnsi="Cambria Math" w:cs="Cambria Math"/>
                <w:color w:val="auto"/>
                <w:sz w:val="24"/>
              </w:rPr>
              <w:t>𝜂</w:t>
            </w:r>
            <w:r>
              <w:rPr>
                <w:color w:val="auto"/>
                <w:sz w:val="24"/>
              </w:rPr>
              <w:t>取零时，即为产生量。</w:t>
            </w:r>
          </w:p>
          <w:p>
            <w:pPr>
              <w:pStyle w:val="60"/>
              <w:ind w:firstLine="480"/>
              <w:rPr>
                <w:color w:val="auto"/>
                <w:sz w:val="24"/>
              </w:rPr>
            </w:pPr>
            <w:r>
              <w:rPr>
                <w:color w:val="auto"/>
                <w:sz w:val="24"/>
              </w:rPr>
              <w:t>由上式，算得本项目点火煤烟尘产生量</w:t>
            </w:r>
            <w:r>
              <w:rPr>
                <w:rFonts w:hint="eastAsia"/>
                <w:color w:val="auto"/>
                <w:sz w:val="24"/>
              </w:rPr>
              <w:t>0.</w:t>
            </w:r>
            <w:r>
              <w:rPr>
                <w:rFonts w:hint="eastAsia"/>
                <w:color w:val="auto"/>
                <w:sz w:val="24"/>
                <w:lang w:val="en-US" w:eastAsia="zh-CN"/>
              </w:rPr>
              <w:t>11</w:t>
            </w:r>
            <w:r>
              <w:rPr>
                <w:color w:val="auto"/>
                <w:sz w:val="24"/>
              </w:rPr>
              <w:t>t/a；</w:t>
            </w:r>
          </w:p>
          <w:p>
            <w:pPr>
              <w:pStyle w:val="36"/>
              <w:spacing w:line="360" w:lineRule="auto"/>
              <w:ind w:firstLine="480" w:firstLineChars="200"/>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②麦草燃烧废气</w:t>
            </w:r>
          </w:p>
          <w:p>
            <w:pPr>
              <w:pStyle w:val="36"/>
              <w:spacing w:line="360" w:lineRule="auto"/>
              <w:ind w:firstLine="480" w:firstLineChars="200"/>
              <w:textAlignment w:val="baseline"/>
              <w:rPr>
                <w:rFonts w:hint="default"/>
                <w:color w:val="auto"/>
                <w:lang w:val="en-US" w:eastAsia="zh-CN"/>
              </w:rPr>
            </w:pPr>
            <w:r>
              <w:rPr>
                <w:rFonts w:hint="eastAsia" w:ascii="Times New Roman" w:hAnsi="Times New Roman" w:eastAsia="宋体" w:cs="Times New Roman"/>
                <w:color w:val="auto"/>
                <w:lang w:val="en-US" w:eastAsia="zh-CN"/>
              </w:rPr>
              <w:t>本项目用量为0.4t/a，麦草的燃烧废气折算为燃煤计算。0.4t麦草折算成燃煤约为0.27t燃煤，则根据（1）中燃煤废气污染物的计算方法可得出麦草燃烧时废气污染物为SO</w:t>
            </w:r>
            <w:r>
              <w:rPr>
                <w:rFonts w:hint="eastAsia" w:ascii="Times New Roman" w:hAnsi="Times New Roman" w:eastAsia="宋体" w:cs="Times New Roman"/>
                <w:color w:val="auto"/>
                <w:vertAlign w:val="subscript"/>
                <w:lang w:val="en-US" w:eastAsia="zh-CN"/>
              </w:rPr>
              <w:t>2</w:t>
            </w:r>
            <w:r>
              <w:rPr>
                <w:rFonts w:hint="eastAsia" w:ascii="Times New Roman" w:hAnsi="Times New Roman" w:eastAsia="宋体" w:cs="Times New Roman"/>
                <w:color w:val="auto"/>
                <w:lang w:val="en-US" w:eastAsia="zh-CN"/>
              </w:rPr>
              <w:t>0.0022t、NOx0.0037t、烟尘0.0059t。</w:t>
            </w:r>
          </w:p>
          <w:p>
            <w:pPr>
              <w:pStyle w:val="36"/>
              <w:spacing w:line="360" w:lineRule="auto"/>
              <w:ind w:firstLine="480" w:firstLineChars="200"/>
              <w:textAlignment w:val="baseline"/>
              <w:rPr>
                <w:rFonts w:hint="default" w:ascii="Times New Roman" w:hAnsi="Times New Roman" w:eastAsia="宋体" w:cs="Times New Roman"/>
                <w:color w:val="auto"/>
                <w:vertAlign w:val="baseline"/>
                <w:lang w:val="en-US" w:eastAsia="zh-CN"/>
              </w:rPr>
            </w:pPr>
            <w:r>
              <w:rPr>
                <w:rFonts w:hint="eastAsia" w:ascii="Times New Roman" w:hAnsi="Times New Roman" w:eastAsia="宋体" w:cs="Times New Roman"/>
                <w:color w:val="auto"/>
                <w:lang w:val="en-US" w:eastAsia="zh-CN"/>
              </w:rPr>
              <w:t>综上所述，项目隧道窑点火时燃煤及麦草排放的污染物量为SO</w:t>
            </w:r>
            <w:r>
              <w:rPr>
                <w:rFonts w:hint="eastAsia" w:ascii="Times New Roman" w:hAnsi="Times New Roman" w:eastAsia="宋体" w:cs="Times New Roman"/>
                <w:color w:val="auto"/>
                <w:vertAlign w:val="subscript"/>
                <w:lang w:val="en-US" w:eastAsia="zh-CN"/>
              </w:rPr>
              <w:t>2</w:t>
            </w:r>
            <w:r>
              <w:rPr>
                <w:rFonts w:hint="eastAsia" w:ascii="Times New Roman" w:hAnsi="Times New Roman" w:eastAsia="宋体" w:cs="Times New Roman"/>
                <w:color w:val="auto"/>
                <w:lang w:val="en-US" w:eastAsia="zh-CN"/>
              </w:rPr>
              <w:t>0.0438t、NOx0.0727t、烟尘0.1159t。本项目隧道窑点火时间约为8h，因此计算可得项目隧道窑点火时废气污染物产生速率及浓度为SO</w:t>
            </w:r>
            <w:r>
              <w:rPr>
                <w:rFonts w:hint="eastAsia" w:ascii="Times New Roman" w:hAnsi="Times New Roman" w:eastAsia="宋体" w:cs="Times New Roman"/>
                <w:color w:val="auto"/>
                <w:vertAlign w:val="subscript"/>
                <w:lang w:val="en-US" w:eastAsia="zh-CN"/>
              </w:rPr>
              <w:t>2</w:t>
            </w:r>
            <w:r>
              <w:rPr>
                <w:rFonts w:hint="eastAsia" w:ascii="Times New Roman" w:hAnsi="Times New Roman" w:eastAsia="宋体" w:cs="Times New Roman"/>
                <w:color w:val="auto"/>
                <w:lang w:val="en-US" w:eastAsia="zh-CN"/>
              </w:rPr>
              <w:t>5.475kg/h、335.48mg/m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；NOx9.08kg/h、556.38mg/m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vertAlign w:val="baseline"/>
                <w:lang w:val="en-US" w:eastAsia="zh-CN"/>
              </w:rPr>
              <w:t>；烟尘13.75kg/h、842.52mg/m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vertAlign w:val="baseline"/>
                <w:lang w:val="en-US" w:eastAsia="zh-CN"/>
              </w:rPr>
              <w:t>。隧道窑点火时产生的烟气经SNCR脱硝+袋式除尘+湿法脱硫设施处理后排放量、排放速率及排放浓度为</w:t>
            </w:r>
            <w:r>
              <w:rPr>
                <w:rFonts w:hint="eastAsia" w:ascii="Times New Roman" w:hAnsi="Times New Roman" w:eastAsia="宋体" w:cs="Times New Roman"/>
                <w:color w:val="auto"/>
                <w:lang w:val="en-US" w:eastAsia="zh-CN"/>
              </w:rPr>
              <w:t>SO</w:t>
            </w:r>
            <w:r>
              <w:rPr>
                <w:rFonts w:hint="eastAsia" w:ascii="Times New Roman" w:hAnsi="Times New Roman" w:eastAsia="宋体" w:cs="Times New Roman"/>
                <w:color w:val="auto"/>
                <w:vertAlign w:val="subscript"/>
                <w:lang w:val="en-US" w:eastAsia="zh-CN"/>
              </w:rPr>
              <w:t>2</w:t>
            </w:r>
            <w:r>
              <w:rPr>
                <w:rFonts w:hint="eastAsia" w:ascii="Times New Roman" w:hAnsi="Times New Roman" w:eastAsia="宋体" w:cs="Times New Roman"/>
                <w:color w:val="auto"/>
                <w:vertAlign w:val="baseline"/>
                <w:lang w:val="en-US" w:eastAsia="zh-CN"/>
              </w:rPr>
              <w:t>0.0022t、</w:t>
            </w:r>
            <w:r>
              <w:rPr>
                <w:rFonts w:hint="eastAsia" w:ascii="Times New Roman" w:hAnsi="Times New Roman" w:eastAsia="宋体" w:cs="Times New Roman"/>
                <w:color w:val="auto"/>
                <w:lang w:val="en-US" w:eastAsia="zh-CN"/>
              </w:rPr>
              <w:t>0.275kg/h、16.85mg/m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；NOx0.029t、3.625kg/h、222.12mg/m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vertAlign w:val="baseline"/>
                <w:lang w:val="en-US" w:eastAsia="zh-CN"/>
              </w:rPr>
              <w:t>；烟尘0.0023t、0.288kg/h、17.65mg/m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vertAlign w:val="baseline"/>
                <w:lang w:val="en-US" w:eastAsia="zh-CN"/>
              </w:rPr>
              <w:t>。</w:t>
            </w:r>
          </w:p>
          <w:p>
            <w:pPr>
              <w:pStyle w:val="36"/>
              <w:spacing w:line="360" w:lineRule="auto"/>
              <w:ind w:firstLine="480" w:firstLineChars="200"/>
              <w:textAlignment w:val="baseline"/>
              <w:rPr>
                <w:rFonts w:hint="default" w:hAnsi="宋体" w:eastAsia="宋体"/>
                <w:color w:val="auto"/>
                <w:lang w:val="en-US" w:eastAsia="zh-CN"/>
              </w:rPr>
            </w:pPr>
            <w:r>
              <w:rPr>
                <w:rFonts w:hint="eastAsia" w:hAnsi="宋体" w:eastAsia="宋体"/>
                <w:color w:val="auto"/>
                <w:lang w:val="en-US" w:eastAsia="zh-CN"/>
              </w:rPr>
              <w:t>根据上述分析，项目隧道窑点火时二氧化硫、烟尘排放浓度均满足其排放标准，氮氧化物超标排放，超标倍数为</w:t>
            </w:r>
            <w:r>
              <w:rPr>
                <w:rFonts w:hint="default" w:ascii="Times New Roman" w:hAnsi="Times New Roman" w:eastAsia="宋体" w:cs="Times New Roman"/>
                <w:color w:val="auto"/>
                <w:lang w:val="en-US" w:eastAsia="zh-CN"/>
              </w:rPr>
              <w:t>1.11。</w:t>
            </w:r>
          </w:p>
          <w:p>
            <w:pPr>
              <w:pStyle w:val="36"/>
              <w:spacing w:line="360" w:lineRule="auto"/>
              <w:ind w:firstLine="480" w:firstLineChars="200"/>
              <w:textAlignment w:val="baseline"/>
              <w:rPr>
                <w:rFonts w:hint="default" w:hAnsi="宋体" w:eastAsia="宋体"/>
                <w:color w:val="auto"/>
                <w:lang w:val="en-US"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eastAsia" w:hAnsi="宋体" w:eastAsia="宋体"/>
                <w:color w:val="auto"/>
                <w:lang w:val="en-US" w:eastAsia="zh-CN"/>
              </w:rPr>
              <w:t>废气污染物处理设施故障</w:t>
            </w:r>
          </w:p>
          <w:p>
            <w:pPr>
              <w:pStyle w:val="36"/>
              <w:spacing w:line="360" w:lineRule="auto"/>
              <w:ind w:firstLine="480" w:firstLineChars="200"/>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①隧道窑烟气处理设施故障</w:t>
            </w:r>
          </w:p>
          <w:p>
            <w:pPr>
              <w:pStyle w:val="36"/>
              <w:spacing w:line="360" w:lineRule="auto"/>
              <w:ind w:firstLine="480" w:firstLineChars="200"/>
              <w:textAlignment w:val="baseline"/>
              <w:rPr>
                <w:rFonts w:hAnsi="宋体" w:eastAsia="宋体"/>
                <w:color w:val="auto"/>
              </w:rPr>
            </w:pPr>
            <w:r>
              <w:rPr>
                <w:rFonts w:ascii="Times New Roman" w:hAnsi="Times New Roman" w:eastAsia="宋体" w:cs="Times New Roman"/>
                <w:color w:val="auto"/>
              </w:rPr>
              <w:t>当</w:t>
            </w:r>
            <w:r>
              <w:rPr>
                <w:rFonts w:hint="eastAsia" w:ascii="Times New Roman" w:hAnsi="Times New Roman" w:eastAsia="宋体" w:cs="Times New Roman"/>
                <w:color w:val="auto"/>
                <w:lang w:val="en-US" w:eastAsia="zh-CN"/>
              </w:rPr>
              <w:t>隧道窑烟气处理装置</w:t>
            </w:r>
            <w:r>
              <w:rPr>
                <w:rFonts w:ascii="Times New Roman" w:hAnsi="Times New Roman" w:eastAsia="宋体" w:cs="Times New Roman"/>
                <w:color w:val="auto"/>
              </w:rPr>
              <w:t>故障时，烟尘排放量为</w:t>
            </w:r>
            <w:r>
              <w:rPr>
                <w:rFonts w:hint="eastAsia" w:ascii="Times New Roman" w:hAnsi="Times New Roman" w:eastAsia="宋体" w:cs="Times New Roman"/>
                <w:color w:val="auto"/>
                <w:lang w:val="en-US" w:eastAsia="zh-CN"/>
              </w:rPr>
              <w:t>3.942</w:t>
            </w:r>
            <w:r>
              <w:rPr>
                <w:rFonts w:ascii="Times New Roman" w:hAnsi="Times New Roman" w:eastAsia="宋体" w:cs="Times New Roman"/>
                <w:color w:val="auto"/>
              </w:rPr>
              <w:t>kg（故障持续时间为1h），排放浓度为</w:t>
            </w:r>
            <w:r>
              <w:rPr>
                <w:rFonts w:hint="eastAsia" w:ascii="Times New Roman" w:hAnsi="Times New Roman" w:eastAsia="宋体" w:cs="Times New Roman"/>
                <w:color w:val="auto"/>
                <w:lang w:val="en-US" w:eastAsia="zh-CN"/>
              </w:rPr>
              <w:t>241.51</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ascii="Times New Roman" w:hAnsi="Times New Roman" w:eastAsia="宋体" w:cs="Times New Roman"/>
                <w:color w:val="auto"/>
              </w:rPr>
              <w:t>。</w:t>
            </w:r>
            <w:r>
              <w:rPr>
                <w:rFonts w:ascii="Times New Roman" w:hAnsi="Times New Roman" w:eastAsia="宋体" w:cs="Times New Roman"/>
                <w:bCs/>
                <w:color w:val="auto"/>
              </w:rPr>
              <w:t>SO</w:t>
            </w:r>
            <w:r>
              <w:rPr>
                <w:rFonts w:ascii="Times New Roman" w:hAnsi="Times New Roman" w:eastAsia="宋体" w:cs="Times New Roman"/>
                <w:bCs/>
                <w:color w:val="auto"/>
                <w:vertAlign w:val="subscript"/>
              </w:rPr>
              <w:t>2</w:t>
            </w:r>
            <w:r>
              <w:rPr>
                <w:rFonts w:ascii="Times New Roman" w:hAnsi="Times New Roman" w:eastAsia="宋体" w:cs="Times New Roman"/>
                <w:color w:val="auto"/>
              </w:rPr>
              <w:t>排放量为</w:t>
            </w:r>
            <w:r>
              <w:rPr>
                <w:rFonts w:hint="eastAsia" w:ascii="Times New Roman" w:hAnsi="Times New Roman" w:eastAsia="宋体" w:cs="Times New Roman"/>
                <w:color w:val="auto"/>
              </w:rPr>
              <w:t>12.3</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kg（故障持续时间为1h），排放浓度为</w:t>
            </w:r>
            <w:r>
              <w:rPr>
                <w:rFonts w:hint="eastAsia" w:ascii="Times New Roman" w:hAnsi="Times New Roman" w:eastAsia="宋体" w:cs="Times New Roman"/>
                <w:color w:val="auto"/>
                <w:lang w:val="en-US" w:eastAsia="zh-CN"/>
              </w:rPr>
              <w:t>755.52</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ascii="Times New Roman" w:hAnsi="Times New Roman" w:eastAsia="宋体" w:cs="Times New Roman"/>
                <w:color w:val="auto"/>
              </w:rPr>
              <w:t>，</w:t>
            </w:r>
            <w:r>
              <w:rPr>
                <w:rFonts w:ascii="Times New Roman" w:hAnsi="Times New Roman" w:eastAsia="宋体" w:cs="Times New Roman"/>
                <w:bCs/>
                <w:color w:val="auto"/>
              </w:rPr>
              <w:t>NOx</w:t>
            </w:r>
            <w:r>
              <w:rPr>
                <w:rFonts w:ascii="Times New Roman" w:hAnsi="Times New Roman" w:eastAsia="宋体" w:cs="Times New Roman"/>
                <w:color w:val="auto"/>
              </w:rPr>
              <w:t>排放量为</w:t>
            </w:r>
            <w:r>
              <w:rPr>
                <w:rFonts w:hint="eastAsia" w:ascii="Times New Roman" w:hAnsi="Times New Roman" w:eastAsia="宋体" w:cs="Times New Roman"/>
                <w:color w:val="auto"/>
              </w:rPr>
              <w:t>1.3</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kg（故障持续时间为1h），排放浓度为</w:t>
            </w:r>
            <w:r>
              <w:rPr>
                <w:rFonts w:hint="eastAsia" w:ascii="Times New Roman" w:hAnsi="Times New Roman" w:eastAsia="宋体" w:cs="Times New Roman"/>
                <w:color w:val="auto"/>
                <w:lang w:val="en-US" w:eastAsia="zh-CN"/>
              </w:rPr>
              <w:t>81.5</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hint="eastAsia" w:ascii="Times New Roman" w:hAnsi="Times New Roman" w:eastAsia="宋体" w:cs="Times New Roman"/>
                <w:color w:val="auto"/>
              </w:rPr>
              <w:t>；氟化物产生量为0.101kg，产生浓度为</w:t>
            </w:r>
            <w:r>
              <w:rPr>
                <w:rFonts w:hint="eastAsia" w:ascii="Times New Roman" w:hAnsi="Times New Roman" w:eastAsia="宋体" w:cs="Times New Roman"/>
                <w:color w:val="auto"/>
                <w:lang w:val="en-US" w:eastAsia="zh-CN"/>
              </w:rPr>
              <w:t>6.189</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hint="eastAsia" w:ascii="Times New Roman" w:hAnsi="Times New Roman" w:eastAsia="宋体" w:cs="Times New Roman"/>
                <w:color w:val="auto"/>
              </w:rPr>
              <w:t>。</w:t>
            </w:r>
            <w:r>
              <w:rPr>
                <w:rFonts w:ascii="Times New Roman" w:hAnsi="Times New Roman" w:eastAsia="宋体" w:cs="Times New Roman"/>
                <w:color w:val="auto"/>
              </w:rPr>
              <w:t>烟尘</w:t>
            </w:r>
            <w:r>
              <w:rPr>
                <w:rFonts w:hint="eastAsia" w:ascii="Times New Roman" w:hAnsi="Times New Roman" w:eastAsia="宋体" w:cs="Times New Roman"/>
                <w:color w:val="auto"/>
              </w:rPr>
              <w:t>、</w:t>
            </w:r>
            <w:r>
              <w:rPr>
                <w:rFonts w:ascii="Times New Roman" w:hAnsi="Times New Roman" w:eastAsia="宋体" w:cs="Times New Roman"/>
                <w:bCs/>
                <w:color w:val="auto"/>
              </w:rPr>
              <w:t>SO</w:t>
            </w:r>
            <w:r>
              <w:rPr>
                <w:rFonts w:ascii="Times New Roman" w:hAnsi="Times New Roman" w:eastAsia="宋体" w:cs="Times New Roman"/>
                <w:bCs/>
                <w:color w:val="auto"/>
                <w:vertAlign w:val="subscript"/>
              </w:rPr>
              <w:t>2</w:t>
            </w:r>
            <w:r>
              <w:rPr>
                <w:rFonts w:hint="eastAsia" w:ascii="Times New Roman" w:hAnsi="Times New Roman" w:eastAsia="宋体" w:cs="Times New Roman"/>
                <w:bCs/>
                <w:color w:val="auto"/>
              </w:rPr>
              <w:t>、</w:t>
            </w:r>
            <w:r>
              <w:rPr>
                <w:rFonts w:hint="eastAsia" w:ascii="Times New Roman" w:hAnsi="Times New Roman" w:eastAsia="宋体" w:cs="Times New Roman"/>
                <w:bCs/>
                <w:color w:val="auto"/>
                <w:lang w:val="en-US" w:eastAsia="zh-CN"/>
              </w:rPr>
              <w:t>NOx、</w:t>
            </w:r>
            <w:r>
              <w:rPr>
                <w:rFonts w:hint="eastAsia" w:ascii="Times New Roman" w:hAnsi="Times New Roman" w:eastAsia="宋体" w:cs="Times New Roman"/>
                <w:bCs/>
                <w:color w:val="auto"/>
              </w:rPr>
              <w:t>氟化物排放浓度均</w:t>
            </w:r>
            <w:r>
              <w:rPr>
                <w:rFonts w:ascii="Times New Roman" w:hAnsi="Times New Roman" w:eastAsia="宋体" w:cs="Times New Roman"/>
                <w:color w:val="auto"/>
              </w:rPr>
              <w:t>超标。</w:t>
            </w:r>
          </w:p>
          <w:p>
            <w:pPr>
              <w:pStyle w:val="36"/>
              <w:spacing w:line="360" w:lineRule="auto"/>
              <w:ind w:firstLine="480" w:firstLineChars="200"/>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②破碎、筛分工序废气处理设施故障</w:t>
            </w:r>
          </w:p>
          <w:p>
            <w:pPr>
              <w:pStyle w:val="36"/>
              <w:spacing w:line="360" w:lineRule="auto"/>
              <w:ind w:firstLine="480" w:firstLineChars="200"/>
              <w:textAlignment w:val="baseline"/>
              <w:rPr>
                <w:rFonts w:ascii="Times New Roman" w:hAnsi="Times New Roman" w:eastAsia="宋体" w:cs="Times New Roman"/>
                <w:color w:val="auto"/>
              </w:rPr>
            </w:pPr>
            <w:r>
              <w:rPr>
                <w:rFonts w:hint="eastAsia" w:ascii="Times New Roman" w:hAnsi="Times New Roman" w:eastAsia="宋体" w:cs="Times New Roman"/>
                <w:color w:val="auto"/>
              </w:rPr>
              <w:t>破碎、筛分工序</w:t>
            </w:r>
            <w:r>
              <w:rPr>
                <w:rFonts w:ascii="Times New Roman" w:hAnsi="Times New Roman" w:eastAsia="宋体" w:cs="Times New Roman"/>
                <w:color w:val="auto"/>
              </w:rPr>
              <w:t>废气污染防治设施故障：当布袋除尘器发生故障时粉尘排放量为</w:t>
            </w:r>
            <w:r>
              <w:rPr>
                <w:rFonts w:hint="eastAsia" w:ascii="Times New Roman" w:hAnsi="Times New Roman" w:eastAsia="宋体" w:cs="Times New Roman"/>
                <w:color w:val="auto"/>
                <w:lang w:val="en-US" w:eastAsia="zh-CN"/>
              </w:rPr>
              <w:t>7.38</w:t>
            </w:r>
            <w:r>
              <w:rPr>
                <w:rFonts w:ascii="Times New Roman" w:hAnsi="Times New Roman" w:eastAsia="宋体" w:cs="Times New Roman"/>
                <w:color w:val="auto"/>
              </w:rPr>
              <w:t>kg（故障持续时间为1h），排放浓度为</w:t>
            </w:r>
            <w:r>
              <w:rPr>
                <w:rFonts w:hint="eastAsia" w:ascii="Times New Roman" w:hAnsi="Times New Roman" w:eastAsia="宋体" w:cs="Times New Roman"/>
                <w:color w:val="auto"/>
                <w:lang w:val="en-US" w:eastAsia="zh-CN"/>
              </w:rPr>
              <w:t>922.5</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ascii="Times New Roman" w:hAnsi="Times New Roman" w:eastAsia="宋体" w:cs="Times New Roman"/>
                <w:color w:val="auto"/>
              </w:rPr>
              <w:t>，污染物超标排放。</w:t>
            </w:r>
          </w:p>
          <w:p>
            <w:pPr>
              <w:pStyle w:val="60"/>
              <w:ind w:firstLine="480"/>
              <w:rPr>
                <w:rFonts w:hint="eastAsia" w:ascii="宋体" w:hAnsi="宋体" w:cs="宋体"/>
                <w:color w:val="auto"/>
                <w:sz w:val="24"/>
                <w:lang w:val="en-US" w:eastAsia="zh-CN"/>
              </w:rPr>
            </w:pPr>
            <w:r>
              <w:rPr>
                <w:rFonts w:hint="eastAsia" w:ascii="宋体" w:hAnsi="宋体" w:cs="宋体"/>
                <w:color w:val="auto"/>
                <w:sz w:val="24"/>
              </w:rPr>
              <w:t>综上所述，项目</w:t>
            </w:r>
            <w:r>
              <w:rPr>
                <w:rFonts w:hint="eastAsia" w:ascii="宋体" w:hAnsi="宋体" w:cs="宋体"/>
                <w:color w:val="auto"/>
                <w:sz w:val="24"/>
                <w:lang w:val="en-US" w:eastAsia="zh-CN"/>
              </w:rPr>
              <w:t>隧道窑点火时及</w:t>
            </w:r>
            <w:r>
              <w:rPr>
                <w:rFonts w:hint="eastAsia" w:ascii="宋体" w:hAnsi="宋体" w:cs="宋体"/>
                <w:color w:val="auto"/>
                <w:sz w:val="24"/>
              </w:rPr>
              <w:t>运营</w:t>
            </w:r>
            <w:r>
              <w:rPr>
                <w:rFonts w:hint="eastAsia" w:ascii="宋体" w:hAnsi="宋体" w:cs="宋体"/>
                <w:color w:val="auto"/>
                <w:sz w:val="24"/>
                <w:lang w:val="en-US" w:eastAsia="zh-CN"/>
              </w:rPr>
              <w:t>过程废气处理设施</w:t>
            </w:r>
            <w:r>
              <w:rPr>
                <w:rFonts w:hint="eastAsia" w:ascii="宋体" w:hAnsi="宋体" w:cs="宋体"/>
                <w:color w:val="auto"/>
                <w:sz w:val="24"/>
              </w:rPr>
              <w:t>故障情况下，污染物会出现不同程度的超标排放情况，</w:t>
            </w:r>
            <w:r>
              <w:rPr>
                <w:rFonts w:hint="eastAsia" w:ascii="宋体" w:hAnsi="宋体" w:cs="宋体"/>
                <w:color w:val="auto"/>
                <w:sz w:val="24"/>
                <w:lang w:val="en-US" w:eastAsia="zh-CN"/>
              </w:rPr>
              <w:t>本环评提出以下防治措施。</w:t>
            </w:r>
          </w:p>
          <w:p>
            <w:pPr>
              <w:pStyle w:val="60"/>
              <w:ind w:firstLine="480"/>
              <w:rPr>
                <w:rFonts w:hint="default" w:ascii="宋体" w:hAnsi="宋体" w:eastAsia="宋体" w:cs="宋体"/>
                <w:color w:val="auto"/>
                <w:sz w:val="24"/>
                <w:lang w:val="en-US" w:eastAsia="zh-CN"/>
              </w:rPr>
            </w:pPr>
            <w:r>
              <w:rPr>
                <w:rFonts w:hint="eastAsia" w:ascii="宋体" w:hAnsi="宋体" w:cs="宋体"/>
                <w:color w:val="auto"/>
                <w:sz w:val="24"/>
                <w:lang w:val="en-US" w:eastAsia="zh-CN"/>
              </w:rPr>
              <w:t>①隧道窑点火时选用合格燃煤，尽可能缩短点火期时长；</w:t>
            </w:r>
          </w:p>
          <w:p>
            <w:pPr>
              <w:pStyle w:val="60"/>
              <w:ind w:firstLine="480"/>
              <w:rPr>
                <w:rFonts w:hint="eastAsia" w:ascii="宋体" w:hAnsi="宋体" w:cs="宋体"/>
                <w:color w:val="auto"/>
                <w:sz w:val="24"/>
                <w:lang w:val="en-US" w:eastAsia="zh-CN"/>
              </w:rPr>
            </w:pPr>
            <w:r>
              <w:rPr>
                <w:rFonts w:hint="eastAsia" w:ascii="宋体" w:hAnsi="宋体" w:cs="宋体"/>
                <w:color w:val="auto"/>
                <w:sz w:val="24"/>
                <w:lang w:val="en-US" w:eastAsia="zh-CN"/>
              </w:rPr>
              <w:t>②若废气处理设施出现故障情况下立即进行维修，若短时间内不能恢复运行则立即停止运行，减少废气污染物的排放；</w:t>
            </w:r>
          </w:p>
          <w:p>
            <w:pPr>
              <w:pStyle w:val="60"/>
              <w:ind w:firstLine="480"/>
              <w:rPr>
                <w:rFonts w:hint="default" w:ascii="宋体" w:hAnsi="宋体" w:cs="宋体"/>
                <w:color w:val="auto"/>
                <w:sz w:val="24"/>
                <w:lang w:val="en-US" w:eastAsia="zh-CN"/>
              </w:rPr>
            </w:pPr>
            <w:r>
              <w:rPr>
                <w:rFonts w:hint="eastAsia" w:ascii="宋体" w:hAnsi="宋体" w:cs="宋体"/>
                <w:color w:val="auto"/>
                <w:sz w:val="24"/>
                <w:lang w:val="en-US" w:eastAsia="zh-CN"/>
              </w:rPr>
              <w:t>③加强废气污染防治设施的管理，定期进行检修及保养。</w:t>
            </w:r>
          </w:p>
          <w:p>
            <w:pPr>
              <w:pStyle w:val="60"/>
              <w:ind w:firstLine="422"/>
              <w:rPr>
                <w:rFonts w:hint="eastAsia" w:ascii="宋体" w:hAnsi="宋体" w:eastAsia="宋体" w:cs="宋体"/>
                <w:b/>
                <w:bCs/>
                <w:color w:val="auto"/>
                <w:sz w:val="24"/>
                <w:szCs w:val="24"/>
              </w:rPr>
            </w:pPr>
            <w:r>
              <w:rPr>
                <w:rFonts w:hint="eastAsia" w:ascii="宋体" w:hAnsi="宋体" w:cs="宋体"/>
                <w:color w:val="auto"/>
                <w:sz w:val="24"/>
                <w:lang w:val="en-US" w:eastAsia="zh-CN"/>
              </w:rPr>
              <w:t>综上，严格执行以上措施情况下非正常工况下废气污染物的排放对周边环境的影响不大</w:t>
            </w:r>
            <w:r>
              <w:rPr>
                <w:rFonts w:hint="eastAsia" w:ascii="宋体" w:hAnsi="宋体" w:eastAsia="宋体" w:cs="宋体"/>
                <w:color w:val="auto"/>
                <w:sz w:val="24"/>
                <w:szCs w:val="24"/>
              </w:rPr>
              <w:t>。</w:t>
            </w:r>
          </w:p>
          <w:p>
            <w:pPr>
              <w:pStyle w:val="60"/>
              <w:ind w:left="0" w:leftChars="0" w:firstLine="0" w:firstLineChars="0"/>
              <w:rPr>
                <w:b/>
                <w:bCs/>
                <w:color w:val="auto"/>
                <w:sz w:val="24"/>
                <w:szCs w:val="24"/>
              </w:rPr>
            </w:pPr>
            <w:r>
              <w:rPr>
                <w:rFonts w:hint="eastAsia"/>
                <w:b/>
                <w:bCs/>
                <w:color w:val="auto"/>
                <w:sz w:val="24"/>
                <w:szCs w:val="24"/>
                <w:lang w:val="en-US" w:eastAsia="zh-CN"/>
              </w:rPr>
              <w:t>1.2</w:t>
            </w:r>
            <w:r>
              <w:rPr>
                <w:b/>
                <w:bCs/>
                <w:color w:val="auto"/>
                <w:sz w:val="24"/>
                <w:szCs w:val="24"/>
              </w:rPr>
              <w:t>.</w:t>
            </w:r>
            <w:r>
              <w:rPr>
                <w:rFonts w:hint="eastAsia"/>
                <w:b/>
                <w:bCs/>
                <w:color w:val="auto"/>
                <w:sz w:val="24"/>
                <w:szCs w:val="24"/>
                <w:lang w:val="en-US" w:eastAsia="zh-CN"/>
              </w:rPr>
              <w:t>5</w:t>
            </w:r>
            <w:r>
              <w:rPr>
                <w:b/>
                <w:bCs/>
                <w:color w:val="auto"/>
                <w:sz w:val="24"/>
                <w:szCs w:val="24"/>
              </w:rPr>
              <w:t>达标性分析</w:t>
            </w:r>
          </w:p>
          <w:p>
            <w:pPr>
              <w:pStyle w:val="60"/>
              <w:ind w:left="0" w:leftChars="0" w:firstLine="0" w:firstLineChars="0"/>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1.2.5.1有组织废气达标性分析</w:t>
            </w:r>
          </w:p>
          <w:p>
            <w:pPr>
              <w:pStyle w:val="60"/>
              <w:ind w:firstLine="420"/>
              <w:rPr>
                <w:rFonts w:hint="default" w:eastAsia="宋体"/>
                <w:color w:val="auto"/>
                <w:sz w:val="24"/>
                <w:szCs w:val="24"/>
                <w:highlight w:val="none"/>
                <w:lang w:val="en-US" w:eastAsia="zh-CN"/>
              </w:rPr>
            </w:pPr>
            <w:r>
              <w:rPr>
                <w:color w:val="auto"/>
                <w:sz w:val="24"/>
                <w:szCs w:val="24"/>
                <w:highlight w:val="none"/>
              </w:rPr>
              <w:t>根据前文</w:t>
            </w:r>
            <w:r>
              <w:rPr>
                <w:rFonts w:hint="eastAsia"/>
                <w:color w:val="auto"/>
                <w:sz w:val="24"/>
                <w:szCs w:val="24"/>
                <w:highlight w:val="none"/>
                <w:lang w:val="en-US" w:eastAsia="zh-CN"/>
              </w:rPr>
              <w:t>分析</w:t>
            </w:r>
            <w:r>
              <w:rPr>
                <w:color w:val="auto"/>
                <w:sz w:val="24"/>
                <w:szCs w:val="24"/>
                <w:highlight w:val="none"/>
              </w:rPr>
              <w:t>，项目破碎筛分工序粉尘排放浓度为</w:t>
            </w:r>
            <w:r>
              <w:rPr>
                <w:rFonts w:hint="eastAsia"/>
                <w:color w:val="auto"/>
                <w:sz w:val="24"/>
                <w:szCs w:val="24"/>
                <w:highlight w:val="none"/>
                <w:lang w:val="en-US" w:eastAsia="zh-CN"/>
              </w:rPr>
              <w:t>5.6</w:t>
            </w:r>
            <w:r>
              <w:rPr>
                <w:color w:val="auto"/>
                <w:sz w:val="24"/>
                <w:szCs w:val="24"/>
                <w:highlight w:val="none"/>
              </w:rPr>
              <w:t>mg/m</w:t>
            </w:r>
            <w:r>
              <w:rPr>
                <w:color w:val="auto"/>
                <w:sz w:val="24"/>
                <w:szCs w:val="24"/>
                <w:highlight w:val="none"/>
                <w:vertAlign w:val="superscript"/>
              </w:rPr>
              <w:t>3</w:t>
            </w:r>
            <w:r>
              <w:rPr>
                <w:color w:val="auto"/>
                <w:sz w:val="24"/>
                <w:szCs w:val="24"/>
                <w:highlight w:val="none"/>
              </w:rPr>
              <w:t>，排放浓度满足《砖瓦工业大气污染物排放标准》（GB29620-2013）及修改单表2标准限值；项目隧道窑焙烧烟气中污染物烟尘排放浓度为</w:t>
            </w:r>
            <w:r>
              <w:rPr>
                <w:rFonts w:hint="eastAsia"/>
                <w:color w:val="auto"/>
                <w:sz w:val="24"/>
                <w:szCs w:val="24"/>
                <w:highlight w:val="none"/>
                <w:lang w:val="en-US" w:eastAsia="zh-CN"/>
              </w:rPr>
              <w:t>2.23</w:t>
            </w:r>
            <w:r>
              <w:rPr>
                <w:color w:val="auto"/>
                <w:sz w:val="24"/>
                <w:szCs w:val="24"/>
                <w:highlight w:val="none"/>
              </w:rPr>
              <w:t>mg/m</w:t>
            </w:r>
            <w:r>
              <w:rPr>
                <w:color w:val="auto"/>
                <w:sz w:val="24"/>
                <w:szCs w:val="24"/>
                <w:highlight w:val="none"/>
                <w:vertAlign w:val="superscript"/>
              </w:rPr>
              <w:t>3</w:t>
            </w:r>
            <w:r>
              <w:rPr>
                <w:color w:val="auto"/>
                <w:sz w:val="24"/>
                <w:szCs w:val="24"/>
                <w:highlight w:val="none"/>
              </w:rPr>
              <w:t>，SO</w:t>
            </w:r>
            <w:r>
              <w:rPr>
                <w:color w:val="auto"/>
                <w:sz w:val="24"/>
                <w:szCs w:val="24"/>
                <w:highlight w:val="none"/>
                <w:vertAlign w:val="subscript"/>
              </w:rPr>
              <w:t>2</w:t>
            </w:r>
            <w:r>
              <w:rPr>
                <w:color w:val="auto"/>
                <w:sz w:val="24"/>
                <w:szCs w:val="24"/>
                <w:highlight w:val="none"/>
              </w:rPr>
              <w:t>排放浓度为</w:t>
            </w:r>
            <w:r>
              <w:rPr>
                <w:rFonts w:hint="eastAsia"/>
                <w:color w:val="auto"/>
                <w:sz w:val="24"/>
                <w:szCs w:val="24"/>
                <w:highlight w:val="none"/>
                <w:lang w:eastAsia="zh-CN"/>
              </w:rPr>
              <w:t>17.</w:t>
            </w:r>
            <w:r>
              <w:rPr>
                <w:rFonts w:hint="eastAsia"/>
                <w:color w:val="auto"/>
                <w:sz w:val="24"/>
                <w:szCs w:val="24"/>
                <w:highlight w:val="none"/>
                <w:lang w:val="en-US" w:eastAsia="zh-CN"/>
              </w:rPr>
              <w:t>25</w:t>
            </w:r>
            <w:r>
              <w:rPr>
                <w:color w:val="auto"/>
                <w:sz w:val="24"/>
                <w:szCs w:val="24"/>
                <w:highlight w:val="none"/>
              </w:rPr>
              <w:t>mg/m</w:t>
            </w:r>
            <w:r>
              <w:rPr>
                <w:color w:val="auto"/>
                <w:sz w:val="24"/>
                <w:szCs w:val="24"/>
                <w:highlight w:val="none"/>
                <w:vertAlign w:val="superscript"/>
              </w:rPr>
              <w:t>3</w:t>
            </w:r>
            <w:r>
              <w:rPr>
                <w:color w:val="auto"/>
                <w:sz w:val="24"/>
                <w:szCs w:val="24"/>
                <w:highlight w:val="none"/>
              </w:rPr>
              <w:t>，NO</w:t>
            </w:r>
            <w:r>
              <w:rPr>
                <w:i/>
                <w:iCs/>
                <w:color w:val="auto"/>
                <w:sz w:val="24"/>
                <w:szCs w:val="24"/>
                <w:highlight w:val="none"/>
              </w:rPr>
              <w:t>x</w:t>
            </w:r>
            <w:r>
              <w:rPr>
                <w:color w:val="auto"/>
                <w:sz w:val="24"/>
                <w:szCs w:val="24"/>
                <w:highlight w:val="none"/>
              </w:rPr>
              <w:t>排放浓度为</w:t>
            </w:r>
            <w:r>
              <w:rPr>
                <w:rFonts w:hint="eastAsia"/>
                <w:color w:val="auto"/>
                <w:sz w:val="24"/>
                <w:szCs w:val="24"/>
                <w:highlight w:val="none"/>
                <w:lang w:val="en-US" w:eastAsia="zh-CN"/>
              </w:rPr>
              <w:t>19.46</w:t>
            </w:r>
            <w:r>
              <w:rPr>
                <w:color w:val="auto"/>
                <w:sz w:val="24"/>
                <w:szCs w:val="24"/>
                <w:highlight w:val="none"/>
              </w:rPr>
              <w:t>mg/m</w:t>
            </w:r>
            <w:r>
              <w:rPr>
                <w:color w:val="auto"/>
                <w:sz w:val="24"/>
                <w:szCs w:val="24"/>
                <w:highlight w:val="none"/>
                <w:vertAlign w:val="superscript"/>
              </w:rPr>
              <w:t>3</w:t>
            </w:r>
            <w:r>
              <w:rPr>
                <w:color w:val="auto"/>
                <w:sz w:val="24"/>
                <w:szCs w:val="24"/>
                <w:highlight w:val="none"/>
              </w:rPr>
              <w:t>，</w:t>
            </w:r>
            <w:r>
              <w:rPr>
                <w:rFonts w:hint="eastAsia"/>
                <w:color w:val="auto"/>
                <w:sz w:val="24"/>
                <w:szCs w:val="24"/>
                <w:highlight w:val="none"/>
              </w:rPr>
              <w:t>氟化物排放浓度为</w:t>
            </w:r>
            <w:r>
              <w:rPr>
                <w:rFonts w:hint="eastAsia"/>
                <w:color w:val="auto"/>
                <w:sz w:val="24"/>
                <w:szCs w:val="24"/>
                <w:highlight w:val="none"/>
                <w:lang w:val="en-US" w:eastAsia="zh-CN"/>
              </w:rPr>
              <w:t>0.84</w:t>
            </w:r>
            <w:r>
              <w:rPr>
                <w:color w:val="auto"/>
                <w:sz w:val="24"/>
                <w:szCs w:val="24"/>
                <w:highlight w:val="none"/>
              </w:rPr>
              <w:t>mg/m</w:t>
            </w:r>
            <w:r>
              <w:rPr>
                <w:color w:val="auto"/>
                <w:sz w:val="24"/>
                <w:szCs w:val="24"/>
                <w:highlight w:val="none"/>
                <w:vertAlign w:val="superscript"/>
              </w:rPr>
              <w:t>3</w:t>
            </w:r>
            <w:r>
              <w:rPr>
                <w:color w:val="auto"/>
                <w:sz w:val="24"/>
                <w:szCs w:val="24"/>
                <w:highlight w:val="none"/>
              </w:rPr>
              <w:t>，均满足《砖瓦工业大气污染物排放标准》（GB29620-2013）及修改单表2标准限值要求</w:t>
            </w:r>
            <w:r>
              <w:rPr>
                <w:rFonts w:hint="eastAsia"/>
                <w:color w:val="auto"/>
                <w:sz w:val="24"/>
                <w:szCs w:val="24"/>
                <w:highlight w:val="none"/>
                <w:lang w:eastAsia="zh-CN"/>
              </w:rPr>
              <w:t>，</w:t>
            </w:r>
            <w:r>
              <w:rPr>
                <w:rFonts w:hint="eastAsia"/>
                <w:color w:val="auto"/>
                <w:sz w:val="24"/>
                <w:szCs w:val="24"/>
                <w:highlight w:val="none"/>
                <w:lang w:val="en-US" w:eastAsia="zh-CN"/>
              </w:rPr>
              <w:t>因此有组织废气能够达标排放。</w:t>
            </w:r>
          </w:p>
          <w:p>
            <w:pPr>
              <w:pStyle w:val="60"/>
              <w:ind w:left="0" w:leftChars="0" w:firstLine="0" w:firstLineChars="0"/>
              <w:rPr>
                <w:rFonts w:hint="default"/>
                <w:b/>
                <w:bCs/>
                <w:color w:val="auto"/>
                <w:sz w:val="24"/>
                <w:szCs w:val="24"/>
                <w:highlight w:val="none"/>
                <w:lang w:val="en-US" w:eastAsia="zh-CN"/>
              </w:rPr>
            </w:pPr>
            <w:r>
              <w:rPr>
                <w:rFonts w:hint="eastAsia"/>
                <w:b/>
                <w:bCs/>
                <w:color w:val="auto"/>
                <w:sz w:val="24"/>
                <w:szCs w:val="24"/>
                <w:highlight w:val="none"/>
                <w:lang w:val="en-US" w:eastAsia="zh-CN"/>
              </w:rPr>
              <w:t>1.2.5.2无组织废气达标性分析</w:t>
            </w:r>
          </w:p>
          <w:p>
            <w:pPr>
              <w:pStyle w:val="60"/>
              <w:ind w:firstLine="420"/>
              <w:rPr>
                <w:rFonts w:hint="default" w:ascii="Times New Roman" w:hAnsi="Times New Roman" w:eastAsia="宋体" w:cs="Times New Roman"/>
                <w:color w:val="auto"/>
                <w:sz w:val="24"/>
                <w:szCs w:val="24"/>
                <w:lang w:val="en-US" w:eastAsia="zh-CN"/>
              </w:rPr>
            </w:pPr>
            <w:r>
              <w:rPr>
                <w:rFonts w:hint="eastAsia"/>
                <w:color w:val="auto"/>
                <w:sz w:val="24"/>
                <w:szCs w:val="24"/>
                <w:highlight w:val="none"/>
                <w:lang w:val="en-US" w:eastAsia="zh-CN"/>
              </w:rPr>
              <w:t>根据表4-8，无组织废气排放情况结合</w:t>
            </w:r>
            <w:r>
              <w:rPr>
                <w:color w:val="auto"/>
                <w:sz w:val="24"/>
                <w:szCs w:val="24"/>
                <w:highlight w:val="none"/>
              </w:rPr>
              <w:t>《环境影响评价技术导则</w:t>
            </w:r>
            <w:r>
              <w:rPr>
                <w:rFonts w:hint="eastAsia"/>
                <w:color w:val="auto"/>
                <w:sz w:val="24"/>
                <w:szCs w:val="24"/>
                <w:highlight w:val="none"/>
              </w:rPr>
              <w:t>——</w:t>
            </w:r>
            <w:r>
              <w:rPr>
                <w:color w:val="auto"/>
                <w:sz w:val="24"/>
                <w:szCs w:val="24"/>
                <w:highlight w:val="none"/>
              </w:rPr>
              <w:t>大气环境》（HJ2.2-2018）中的估算模式AERSCREEN对</w:t>
            </w:r>
            <w:r>
              <w:rPr>
                <w:rFonts w:hint="eastAsia"/>
                <w:color w:val="auto"/>
                <w:sz w:val="24"/>
                <w:szCs w:val="24"/>
                <w:highlight w:val="none"/>
                <w:lang w:val="en-US" w:eastAsia="zh-CN"/>
              </w:rPr>
              <w:t>项目</w:t>
            </w:r>
            <w:r>
              <w:rPr>
                <w:color w:val="auto"/>
                <w:sz w:val="24"/>
                <w:szCs w:val="24"/>
                <w:highlight w:val="none"/>
              </w:rPr>
              <w:t>无组织颗粒物排放</w:t>
            </w:r>
            <w:r>
              <w:rPr>
                <w:rFonts w:hint="eastAsia"/>
                <w:color w:val="auto"/>
                <w:sz w:val="24"/>
                <w:szCs w:val="24"/>
                <w:highlight w:val="none"/>
                <w:lang w:val="en-US" w:eastAsia="zh-CN"/>
              </w:rPr>
              <w:t>进行预测</w:t>
            </w:r>
            <w:r>
              <w:rPr>
                <w:color w:val="auto"/>
                <w:sz w:val="24"/>
                <w:szCs w:val="24"/>
                <w:highlight w:val="none"/>
              </w:rPr>
              <w:t>，得颗粒物最大落浓度为0.</w:t>
            </w:r>
            <w:r>
              <w:rPr>
                <w:rFonts w:hint="eastAsia"/>
                <w:color w:val="auto"/>
                <w:sz w:val="24"/>
                <w:szCs w:val="24"/>
                <w:highlight w:val="none"/>
                <w:lang w:val="en-US" w:eastAsia="zh-CN"/>
              </w:rPr>
              <w:t>4632</w:t>
            </w:r>
            <w:r>
              <w:rPr>
                <w:color w:val="auto"/>
                <w:sz w:val="24"/>
                <w:szCs w:val="24"/>
                <w:highlight w:val="none"/>
              </w:rPr>
              <w:t>mg/m</w:t>
            </w:r>
            <w:r>
              <w:rPr>
                <w:color w:val="auto"/>
                <w:sz w:val="24"/>
                <w:szCs w:val="24"/>
                <w:highlight w:val="none"/>
                <w:vertAlign w:val="superscript"/>
              </w:rPr>
              <w:t>3</w:t>
            </w:r>
            <w:r>
              <w:rPr>
                <w:color w:val="auto"/>
                <w:sz w:val="24"/>
                <w:szCs w:val="24"/>
                <w:highlight w:val="none"/>
              </w:rPr>
              <w:t>，远低于《砖瓦工业大气污染物排放标准》（GB29620-2013）及修改单表3浓度限值（1.0mg/m</w:t>
            </w:r>
            <w:r>
              <w:rPr>
                <w:color w:val="auto"/>
                <w:sz w:val="24"/>
                <w:szCs w:val="24"/>
                <w:highlight w:val="none"/>
                <w:vertAlign w:val="superscript"/>
              </w:rPr>
              <w:t>3</w:t>
            </w:r>
            <w:r>
              <w:rPr>
                <w:color w:val="auto"/>
                <w:sz w:val="24"/>
                <w:szCs w:val="24"/>
                <w:highlight w:val="none"/>
              </w:rPr>
              <w:t>），可实现达标排放。</w:t>
            </w:r>
            <w:r>
              <w:rPr>
                <w:rFonts w:hint="eastAsia"/>
                <w:color w:val="auto"/>
                <w:sz w:val="24"/>
                <w:szCs w:val="24"/>
                <w:highlight w:val="none"/>
                <w:lang w:val="en-US" w:eastAsia="zh-CN"/>
              </w:rPr>
              <w:t>距离项目最近的敏感点为项目东北侧的258m及北侧370m的2户居民，该2户居民位于项目隧道窑烟气排气筒的主导风向上风向，结合达标性分析，项目产生的废气对该敏感点的影响甚微。</w:t>
            </w:r>
          </w:p>
          <w:p>
            <w:pPr>
              <w:spacing w:line="360" w:lineRule="auto"/>
              <w:rPr>
                <w:b/>
                <w:bCs/>
                <w:color w:val="auto"/>
                <w:sz w:val="24"/>
                <w:szCs w:val="24"/>
              </w:rPr>
            </w:pPr>
            <w:r>
              <w:rPr>
                <w:rFonts w:hint="eastAsia"/>
                <w:b/>
                <w:bCs/>
                <w:color w:val="auto"/>
                <w:sz w:val="24"/>
                <w:szCs w:val="24"/>
                <w:lang w:val="en-US" w:eastAsia="zh-CN"/>
              </w:rPr>
              <w:t>1.2.6</w:t>
            </w:r>
            <w:r>
              <w:rPr>
                <w:b/>
                <w:bCs/>
                <w:color w:val="auto"/>
                <w:sz w:val="24"/>
                <w:szCs w:val="24"/>
              </w:rPr>
              <w:t>大气防护距离</w:t>
            </w:r>
          </w:p>
          <w:p>
            <w:pPr>
              <w:pStyle w:val="60"/>
              <w:ind w:left="0" w:leftChars="0" w:firstLine="480" w:firstLineChars="200"/>
              <w:rPr>
                <w:rFonts w:hint="eastAsia" w:eastAsia="宋体"/>
                <w:b/>
                <w:bCs/>
                <w:color w:val="auto"/>
                <w:sz w:val="24"/>
                <w:szCs w:val="24"/>
                <w:lang w:val="en-US" w:eastAsia="zh-CN"/>
              </w:rPr>
            </w:pPr>
            <w:r>
              <w:rPr>
                <w:color w:val="auto"/>
                <w:sz w:val="24"/>
                <w:szCs w:val="24"/>
              </w:rPr>
              <w:t>根据《环境影响评价技术导则—大气环境》(HJ2.2-2018)中的规定，根据估算模式中的大气环境防护距离计算模式计算各无组织排放源的大气防护距离。根据计算，项目计算程序中给定的计算点与最大落地浓度均未出现超标点，满足《环境空气质量标准》（GB3095-2012）二级标准要求，</w:t>
            </w:r>
            <w:r>
              <w:rPr>
                <w:rFonts w:hint="eastAsia"/>
                <w:color w:val="auto"/>
                <w:sz w:val="24"/>
                <w:szCs w:val="24"/>
                <w:lang w:val="en-US" w:eastAsia="zh-CN"/>
              </w:rPr>
              <w:t>因此</w:t>
            </w:r>
            <w:r>
              <w:rPr>
                <w:color w:val="auto"/>
                <w:sz w:val="24"/>
                <w:szCs w:val="24"/>
              </w:rPr>
              <w:t>项目不设置大气环境防护距离</w:t>
            </w:r>
            <w:r>
              <w:rPr>
                <w:rFonts w:hint="eastAsia"/>
                <w:color w:val="auto"/>
                <w:sz w:val="24"/>
                <w:szCs w:val="24"/>
                <w:lang w:eastAsia="zh-CN"/>
              </w:rPr>
              <w:t>。</w:t>
            </w:r>
          </w:p>
          <w:p>
            <w:pPr>
              <w:pStyle w:val="60"/>
              <w:ind w:firstLine="0" w:firstLineChars="0"/>
              <w:rPr>
                <w:rFonts w:hint="default" w:eastAsia="宋体"/>
                <w:b/>
                <w:bCs/>
                <w:color w:val="FF0000"/>
                <w:sz w:val="24"/>
                <w:lang w:val="en-US" w:eastAsia="zh-CN"/>
              </w:rPr>
            </w:pPr>
            <w:bookmarkStart w:id="6" w:name="_GoBack"/>
            <w:r>
              <w:rPr>
                <w:rFonts w:hint="eastAsia"/>
                <w:b/>
                <w:bCs/>
                <w:color w:val="FF0000"/>
                <w:sz w:val="24"/>
                <w:lang w:val="en-US" w:eastAsia="zh-CN"/>
              </w:rPr>
              <w:t>1.2.7卫生防护距离</w:t>
            </w:r>
          </w:p>
          <w:p>
            <w:pPr>
              <w:pStyle w:val="60"/>
              <w:ind w:firstLine="480"/>
              <w:rPr>
                <w:rFonts w:hint="default"/>
                <w:color w:val="FF0000"/>
                <w:sz w:val="24"/>
                <w:lang w:val="en-US" w:eastAsia="zh-CN"/>
              </w:rPr>
            </w:pPr>
            <w:r>
              <w:rPr>
                <w:rFonts w:hint="eastAsia"/>
                <w:color w:val="FF0000"/>
                <w:sz w:val="24"/>
                <w:lang w:val="en-US" w:eastAsia="zh-CN"/>
              </w:rPr>
              <w:t>本项目采用GB/T3840-1991中7.4推荐的估算方法进行计算项目的卫生防护距离，具体计算公式如下：</w:t>
            </w:r>
          </w:p>
          <w:p>
            <w:pPr>
              <w:pStyle w:val="60"/>
              <w:ind w:left="0" w:leftChars="0" w:firstLine="0" w:firstLineChars="0"/>
              <w:jc w:val="center"/>
              <w:rPr>
                <w:rFonts w:hint="eastAsia"/>
                <w:color w:val="FF0000"/>
                <w:sz w:val="24"/>
              </w:rPr>
            </w:pPr>
            <w:r>
              <w:rPr>
                <w:color w:val="FF0000"/>
              </w:rPr>
              <w:drawing>
                <wp:inline distT="0" distB="0" distL="114300" distR="114300">
                  <wp:extent cx="5086350" cy="1558290"/>
                  <wp:effectExtent l="0" t="0" r="0" b="3810"/>
                  <wp:docPr id="1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4"/>
                          <pic:cNvPicPr>
                            <a:picLocks noChangeAspect="1"/>
                          </pic:cNvPicPr>
                        </pic:nvPicPr>
                        <pic:blipFill>
                          <a:blip r:embed="rId20"/>
                          <a:stretch>
                            <a:fillRect/>
                          </a:stretch>
                        </pic:blipFill>
                        <pic:spPr>
                          <a:xfrm>
                            <a:off x="0" y="0"/>
                            <a:ext cx="5086350" cy="1558290"/>
                          </a:xfrm>
                          <a:prstGeom prst="rect">
                            <a:avLst/>
                          </a:prstGeom>
                          <a:noFill/>
                          <a:ln>
                            <a:noFill/>
                          </a:ln>
                        </pic:spPr>
                      </pic:pic>
                    </a:graphicData>
                  </a:graphic>
                </wp:inline>
              </w:drawing>
            </w:r>
          </w:p>
          <w:p>
            <w:pPr>
              <w:pStyle w:val="60"/>
              <w:spacing w:line="240" w:lineRule="auto"/>
              <w:ind w:left="0" w:leftChars="0" w:firstLine="0" w:firstLineChars="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表4-14   卫生防护距离初值计算系数</w:t>
            </w:r>
          </w:p>
          <w:p>
            <w:pPr>
              <w:pStyle w:val="60"/>
              <w:ind w:left="0" w:leftChars="0" w:firstLine="0" w:firstLineChars="0"/>
              <w:jc w:val="center"/>
              <w:rPr>
                <w:rFonts w:hint="eastAsia"/>
                <w:color w:val="FF0000"/>
                <w:sz w:val="24"/>
              </w:rPr>
            </w:pPr>
            <w:r>
              <w:rPr>
                <w:color w:val="FF0000"/>
              </w:rPr>
              <w:drawing>
                <wp:inline distT="0" distB="0" distL="114300" distR="114300">
                  <wp:extent cx="5042535" cy="3707765"/>
                  <wp:effectExtent l="0" t="0" r="5715" b="698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1"/>
                          <a:stretch>
                            <a:fillRect/>
                          </a:stretch>
                        </pic:blipFill>
                        <pic:spPr>
                          <a:xfrm>
                            <a:off x="0" y="0"/>
                            <a:ext cx="5042535" cy="3707765"/>
                          </a:xfrm>
                          <a:prstGeom prst="rect">
                            <a:avLst/>
                          </a:prstGeom>
                          <a:noFill/>
                          <a:ln>
                            <a:noFill/>
                          </a:ln>
                        </pic:spPr>
                      </pic:pic>
                    </a:graphicData>
                  </a:graphic>
                </wp:inline>
              </w:drawing>
            </w:r>
          </w:p>
          <w:p>
            <w:pPr>
              <w:pStyle w:val="60"/>
              <w:ind w:firstLine="480"/>
              <w:rPr>
                <w:rFonts w:hint="default" w:eastAsia="宋体"/>
                <w:color w:val="FF0000"/>
                <w:sz w:val="24"/>
                <w:lang w:val="en-US" w:eastAsia="zh-CN"/>
              </w:rPr>
            </w:pPr>
            <w:r>
              <w:rPr>
                <w:rFonts w:hint="eastAsia"/>
                <w:color w:val="FF0000"/>
                <w:sz w:val="24"/>
                <w:lang w:val="en-US" w:eastAsia="zh-CN"/>
              </w:rPr>
              <w:t>本项目运营期粘土开采过程无组织粉尘排放量为0.8t/a、排放速率为0.89kg//h，粘土开采区半径为60m，则根据以上公式计算得到本项目的卫生防护距离结果见下表。</w:t>
            </w:r>
          </w:p>
          <w:p>
            <w:pPr>
              <w:pStyle w:val="60"/>
              <w:spacing w:line="240" w:lineRule="auto"/>
              <w:ind w:left="0" w:leftChars="0" w:firstLine="0" w:firstLineChars="0"/>
              <w:jc w:val="center"/>
              <w:rPr>
                <w:rFonts w:hint="default" w:eastAsia="宋体"/>
                <w:b/>
                <w:bCs/>
                <w:color w:val="FF0000"/>
                <w:sz w:val="21"/>
                <w:szCs w:val="21"/>
                <w:lang w:val="en-US" w:eastAsia="zh-CN"/>
              </w:rPr>
            </w:pPr>
            <w:r>
              <w:rPr>
                <w:rFonts w:hint="eastAsia"/>
                <w:b/>
                <w:bCs/>
                <w:color w:val="FF0000"/>
                <w:sz w:val="21"/>
                <w:szCs w:val="21"/>
                <w:lang w:val="en-US" w:eastAsia="zh-CN"/>
              </w:rPr>
              <w:t>表4-15   卫生防护距离计算结果</w:t>
            </w:r>
          </w:p>
          <w:tbl>
            <w:tblPr>
              <w:tblStyle w:val="29"/>
              <w:tblW w:w="7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73"/>
              <w:gridCol w:w="818"/>
              <w:gridCol w:w="859"/>
              <w:gridCol w:w="900"/>
              <w:gridCol w:w="941"/>
              <w:gridCol w:w="900"/>
              <w:gridCol w:w="992"/>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FF0000"/>
                      <w:sz w:val="21"/>
                      <w:szCs w:val="21"/>
                      <w:vertAlign w:val="baseline"/>
                      <w:lang w:val="en-US" w:eastAsia="zh-CN"/>
                    </w:rPr>
                  </w:pPr>
                  <w:r>
                    <w:rPr>
                      <w:rFonts w:hint="eastAsia"/>
                      <w:color w:val="FF0000"/>
                      <w:sz w:val="21"/>
                      <w:szCs w:val="21"/>
                      <w:vertAlign w:val="baseline"/>
                      <w:lang w:val="en-US" w:eastAsia="zh-CN"/>
                    </w:rPr>
                    <w:t>污染源</w:t>
                  </w:r>
                </w:p>
              </w:tc>
              <w:tc>
                <w:tcPr>
                  <w:tcW w:w="873"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FF0000"/>
                      <w:sz w:val="21"/>
                      <w:szCs w:val="21"/>
                      <w:vertAlign w:val="baseline"/>
                      <w:lang w:val="en-US" w:eastAsia="zh-CN"/>
                    </w:rPr>
                  </w:pPr>
                  <w:r>
                    <w:rPr>
                      <w:rFonts w:hint="eastAsia"/>
                      <w:color w:val="FF0000"/>
                      <w:sz w:val="21"/>
                      <w:szCs w:val="21"/>
                      <w:vertAlign w:val="baseline"/>
                      <w:lang w:val="en-US" w:eastAsia="zh-CN"/>
                    </w:rPr>
                    <w:t>污染源类型</w:t>
                  </w:r>
                </w:p>
              </w:tc>
              <w:tc>
                <w:tcPr>
                  <w:tcW w:w="818"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污染物</w:t>
                  </w:r>
                </w:p>
              </w:tc>
              <w:tc>
                <w:tcPr>
                  <w:tcW w:w="859"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参数A</w:t>
                  </w:r>
                </w:p>
              </w:tc>
              <w:tc>
                <w:tcPr>
                  <w:tcW w:w="90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参数B</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FF0000"/>
                      <w:sz w:val="21"/>
                      <w:szCs w:val="21"/>
                      <w:vertAlign w:val="baseline"/>
                      <w:lang w:val="en-US"/>
                    </w:rPr>
                  </w:pPr>
                  <w:r>
                    <w:rPr>
                      <w:rFonts w:hint="eastAsia"/>
                      <w:color w:val="FF0000"/>
                      <w:sz w:val="21"/>
                      <w:szCs w:val="21"/>
                      <w:vertAlign w:val="baseline"/>
                      <w:lang w:val="en-US" w:eastAsia="zh-CN"/>
                    </w:rPr>
                    <w:t>参数C</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FF0000"/>
                      <w:sz w:val="21"/>
                      <w:szCs w:val="21"/>
                      <w:vertAlign w:val="baseline"/>
                      <w:lang w:val="en-US"/>
                    </w:rPr>
                  </w:pPr>
                  <w:r>
                    <w:rPr>
                      <w:rFonts w:hint="eastAsia"/>
                      <w:color w:val="FF0000"/>
                      <w:sz w:val="21"/>
                      <w:szCs w:val="21"/>
                      <w:vertAlign w:val="baseline"/>
                      <w:lang w:val="en-US" w:eastAsia="zh-CN"/>
                    </w:rPr>
                    <w:t>参数D</w:t>
                  </w:r>
                </w:p>
              </w:tc>
              <w:tc>
                <w:tcPr>
                  <w:tcW w:w="992"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卫生防护距离计算值（m）</w:t>
                  </w:r>
                </w:p>
              </w:tc>
              <w:tc>
                <w:tcPr>
                  <w:tcW w:w="884"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卫生防护距离（m）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粘土开采</w:t>
                  </w:r>
                </w:p>
              </w:tc>
              <w:tc>
                <w:tcPr>
                  <w:tcW w:w="873"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FF0000"/>
                      <w:sz w:val="21"/>
                      <w:szCs w:val="21"/>
                      <w:vertAlign w:val="baseline"/>
                      <w:lang w:val="en-US" w:eastAsia="zh-CN"/>
                    </w:rPr>
                  </w:pPr>
                  <w:r>
                    <w:rPr>
                      <w:rFonts w:hint="eastAsia"/>
                      <w:color w:val="FF0000"/>
                      <w:sz w:val="21"/>
                      <w:szCs w:val="21"/>
                      <w:vertAlign w:val="baseline"/>
                      <w:lang w:val="en-US" w:eastAsia="zh-CN"/>
                    </w:rPr>
                    <w:t>面源</w:t>
                  </w:r>
                </w:p>
              </w:tc>
              <w:tc>
                <w:tcPr>
                  <w:tcW w:w="818"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FF0000"/>
                      <w:sz w:val="21"/>
                      <w:szCs w:val="21"/>
                      <w:vertAlign w:val="baseline"/>
                    </w:rPr>
                  </w:pPr>
                  <w:r>
                    <w:rPr>
                      <w:rFonts w:hint="eastAsia"/>
                      <w:color w:val="FF0000"/>
                      <w:sz w:val="21"/>
                      <w:szCs w:val="21"/>
                      <w:vertAlign w:val="baseline"/>
                      <w:lang w:val="en-US" w:eastAsia="zh-CN"/>
                    </w:rPr>
                    <w:t>TSP</w:t>
                  </w:r>
                </w:p>
              </w:tc>
              <w:tc>
                <w:tcPr>
                  <w:tcW w:w="859"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350</w:t>
                  </w:r>
                </w:p>
              </w:tc>
              <w:tc>
                <w:tcPr>
                  <w:tcW w:w="90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0.021</w:t>
                  </w:r>
                </w:p>
              </w:tc>
              <w:tc>
                <w:tcPr>
                  <w:tcW w:w="941"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FF0000"/>
                      <w:sz w:val="21"/>
                      <w:szCs w:val="21"/>
                      <w:vertAlign w:val="baseline"/>
                    </w:rPr>
                  </w:pPr>
                  <w:r>
                    <w:rPr>
                      <w:rFonts w:hint="eastAsia"/>
                      <w:color w:val="FF0000"/>
                      <w:sz w:val="21"/>
                      <w:szCs w:val="21"/>
                      <w:vertAlign w:val="baseline"/>
                      <w:lang w:val="en-US" w:eastAsia="zh-CN"/>
                    </w:rPr>
                    <w:t>1.85</w:t>
                  </w:r>
                </w:p>
              </w:tc>
              <w:tc>
                <w:tcPr>
                  <w:tcW w:w="90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0.84</w:t>
                  </w:r>
                </w:p>
              </w:tc>
              <w:tc>
                <w:tcPr>
                  <w:tcW w:w="992"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20.958</w:t>
                  </w:r>
                </w:p>
              </w:tc>
              <w:tc>
                <w:tcPr>
                  <w:tcW w:w="884"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50</w:t>
                  </w:r>
                </w:p>
              </w:tc>
            </w:tr>
          </w:tbl>
          <w:p>
            <w:pPr>
              <w:pStyle w:val="60"/>
              <w:ind w:firstLine="480"/>
              <w:rPr>
                <w:rFonts w:hint="default" w:eastAsia="宋体"/>
                <w:color w:val="FF0000"/>
                <w:sz w:val="24"/>
                <w:lang w:val="en-US" w:eastAsia="zh-CN"/>
              </w:rPr>
            </w:pPr>
            <w:r>
              <w:rPr>
                <w:rFonts w:hint="eastAsia"/>
                <w:color w:val="FF0000"/>
                <w:sz w:val="24"/>
                <w:lang w:val="en-US" w:eastAsia="zh-CN"/>
              </w:rPr>
              <w:t>综上，根据卫生防护距离设定规范，本项目的卫生防护距离为50m，项目卫生防护距离边界以粘土开采边界为始，距离粘土开采范围50m距离为终界的范围（卫生防护图见附图）。根据现场调查，距离本项目最近的敏感目标为</w:t>
            </w:r>
            <w:r>
              <w:rPr>
                <w:rFonts w:hint="eastAsia"/>
                <w:color w:val="FF0000"/>
                <w:sz w:val="24"/>
                <w:szCs w:val="24"/>
                <w:highlight w:val="none"/>
                <w:lang w:val="en-US" w:eastAsia="zh-CN"/>
              </w:rPr>
              <w:t>东北侧的258m及北侧370m的2户居民</w:t>
            </w:r>
            <w:r>
              <w:rPr>
                <w:rFonts w:hint="eastAsia"/>
                <w:color w:val="FF0000"/>
                <w:sz w:val="24"/>
                <w:lang w:val="en-US" w:eastAsia="zh-CN"/>
              </w:rPr>
              <w:t>，本项目50m卫生防护距离无敏感目标，则本项目满足卫生防护距离的要求。</w:t>
            </w:r>
          </w:p>
          <w:bookmarkEnd w:id="6"/>
          <w:p>
            <w:pPr>
              <w:pStyle w:val="60"/>
              <w:ind w:left="0" w:leftChars="0" w:firstLine="0" w:firstLineChars="0"/>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rPr>
              <w:t>水环境影响</w:t>
            </w:r>
          </w:p>
          <w:p>
            <w:pPr>
              <w:pStyle w:val="60"/>
              <w:ind w:left="0" w:leftChars="0" w:firstLine="0" w:firstLineChars="0"/>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2.1废水产排量</w:t>
            </w:r>
          </w:p>
          <w:p>
            <w:pPr>
              <w:pStyle w:val="60"/>
              <w:ind w:firstLine="42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项目废水主要为生产废水、生活污水及餐饮废水。</w:t>
            </w:r>
          </w:p>
          <w:p>
            <w:pPr>
              <w:pStyle w:val="60"/>
              <w:ind w:firstLine="42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1</w:t>
            </w:r>
            <w:r>
              <w:rPr>
                <w:rFonts w:hint="eastAsia" w:cs="Times New Roman"/>
                <w:color w:val="auto"/>
                <w:sz w:val="24"/>
                <w:szCs w:val="24"/>
                <w:lang w:eastAsia="zh-CN"/>
              </w:rPr>
              <w:t>）</w:t>
            </w:r>
            <w:r>
              <w:rPr>
                <w:rFonts w:hint="eastAsia" w:cs="Times New Roman"/>
                <w:color w:val="auto"/>
                <w:sz w:val="24"/>
                <w:szCs w:val="24"/>
                <w:lang w:val="en-US" w:eastAsia="zh-CN"/>
              </w:rPr>
              <w:t>生产废水</w:t>
            </w:r>
          </w:p>
          <w:p>
            <w:pPr>
              <w:pStyle w:val="60"/>
              <w:ind w:firstLine="42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①根据前文分析，项目原料搅拌过程用水量为30660t/a，此部分水分在砖坯的烘干过程全部蒸发，无废水外排；</w:t>
            </w:r>
          </w:p>
          <w:p>
            <w:pPr>
              <w:pStyle w:val="60"/>
              <w:ind w:firstLine="420"/>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②根据前文分析，脱销脱硫除尘系统用水量为5160t/a，</w:t>
            </w:r>
            <w:r>
              <w:rPr>
                <w:rFonts w:hint="default" w:ascii="Times New Roman" w:hAnsi="Times New Roman" w:cs="Times New Roman"/>
                <w:bCs/>
                <w:color w:val="auto"/>
                <w:sz w:val="24"/>
                <w:szCs w:val="24"/>
              </w:rPr>
              <w:t>补水量为</w:t>
            </w:r>
            <w:r>
              <w:rPr>
                <w:rFonts w:hint="eastAsia" w:cs="Times New Roman"/>
                <w:color w:val="auto"/>
                <w:sz w:val="24"/>
                <w:szCs w:val="24"/>
                <w:lang w:val="en-US" w:eastAsia="zh-CN"/>
              </w:rPr>
              <w:t>5160t/a</w:t>
            </w:r>
            <w:r>
              <w:rPr>
                <w:rFonts w:hint="default" w:ascii="Times New Roman" w:hAnsi="Times New Roman" w:cs="Times New Roman"/>
                <w:bCs/>
                <w:color w:val="auto"/>
                <w:sz w:val="24"/>
                <w:szCs w:val="24"/>
              </w:rPr>
              <w:t>，项目脱硫</w:t>
            </w:r>
            <w:r>
              <w:rPr>
                <w:rFonts w:hint="eastAsia" w:ascii="Times New Roman" w:hAnsi="Times New Roman" w:cs="Times New Roman"/>
                <w:bCs/>
                <w:color w:val="auto"/>
                <w:sz w:val="24"/>
                <w:szCs w:val="24"/>
                <w:lang w:val="en-US" w:eastAsia="zh-CN"/>
              </w:rPr>
              <w:t>脱销</w:t>
            </w:r>
            <w:r>
              <w:rPr>
                <w:rFonts w:hint="default" w:ascii="Times New Roman" w:hAnsi="Times New Roman" w:cs="Times New Roman"/>
                <w:bCs/>
                <w:color w:val="auto"/>
                <w:sz w:val="24"/>
                <w:szCs w:val="24"/>
              </w:rPr>
              <w:t>除尘塔</w:t>
            </w:r>
            <w:r>
              <w:rPr>
                <w:rFonts w:hint="eastAsia" w:cs="Times New Roman"/>
                <w:bCs/>
                <w:color w:val="auto"/>
                <w:sz w:val="24"/>
                <w:szCs w:val="24"/>
                <w:lang w:val="en-US" w:eastAsia="zh-CN"/>
              </w:rPr>
              <w:t>配套循环水池</w:t>
            </w:r>
            <w:r>
              <w:rPr>
                <w:rFonts w:hint="default" w:ascii="Times New Roman" w:hAnsi="Times New Roman" w:cs="Times New Roman"/>
                <w:bCs/>
                <w:color w:val="auto"/>
                <w:sz w:val="24"/>
                <w:szCs w:val="24"/>
              </w:rPr>
              <w:t>，脱硫</w:t>
            </w:r>
            <w:r>
              <w:rPr>
                <w:rFonts w:hint="eastAsia" w:ascii="Times New Roman" w:hAnsi="Times New Roman" w:cs="Times New Roman"/>
                <w:bCs/>
                <w:color w:val="auto"/>
                <w:sz w:val="24"/>
                <w:szCs w:val="24"/>
                <w:lang w:val="en-US" w:eastAsia="zh-CN"/>
              </w:rPr>
              <w:t>脱销</w:t>
            </w:r>
            <w:r>
              <w:rPr>
                <w:rFonts w:hint="default" w:ascii="Times New Roman" w:hAnsi="Times New Roman" w:cs="Times New Roman"/>
                <w:bCs/>
                <w:color w:val="auto"/>
                <w:sz w:val="24"/>
                <w:szCs w:val="24"/>
              </w:rPr>
              <w:t>除尘废水采用外循环吸收方式，吸收了SO</w:t>
            </w:r>
            <w:r>
              <w:rPr>
                <w:rFonts w:hint="default" w:ascii="Times New Roman" w:hAnsi="Times New Roman" w:cs="Times New Roman"/>
                <w:bCs/>
                <w:color w:val="auto"/>
                <w:sz w:val="24"/>
                <w:szCs w:val="24"/>
                <w:vertAlign w:val="subscript"/>
              </w:rPr>
              <w:t>2</w:t>
            </w:r>
            <w:r>
              <w:rPr>
                <w:rFonts w:hint="default" w:ascii="Times New Roman" w:hAnsi="Times New Roman" w:cs="Times New Roman"/>
                <w:bCs/>
                <w:color w:val="auto"/>
                <w:sz w:val="24"/>
                <w:szCs w:val="24"/>
              </w:rPr>
              <w:t>的脱硫除尘废水流出脱硫塔后，在循环区集中，进入再生池，与脱硫剂制备系统输送过来的石灰浆液充分混合再生，再生处理后的浆液经沉淀池沉淀后，上层清液由再生泵打回循环区，再由循环泵打回塔内，循环使用，不外排</w:t>
            </w:r>
            <w:r>
              <w:rPr>
                <w:rFonts w:hint="eastAsia" w:ascii="Times New Roman" w:hAnsi="Times New Roman" w:cs="Times New Roman"/>
                <w:bCs/>
                <w:color w:val="auto"/>
                <w:sz w:val="24"/>
                <w:szCs w:val="24"/>
                <w:lang w:eastAsia="zh-CN"/>
              </w:rPr>
              <w:t>。</w:t>
            </w:r>
          </w:p>
          <w:p>
            <w:pPr>
              <w:pStyle w:val="60"/>
              <w:ind w:firstLine="42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w:t>
            </w:r>
            <w:r>
              <w:rPr>
                <w:rFonts w:hint="eastAsia" w:cs="Times New Roman"/>
                <w:color w:val="auto"/>
                <w:sz w:val="24"/>
                <w:szCs w:val="24"/>
                <w:lang w:val="en-US" w:eastAsia="zh-CN"/>
              </w:rPr>
              <w:t>生活污水及餐饮废水</w:t>
            </w:r>
          </w:p>
          <w:p>
            <w:pPr>
              <w:pStyle w:val="60"/>
              <w:ind w:firstLine="420"/>
              <w:rPr>
                <w:rFonts w:hint="default" w:ascii="Times New Roman" w:hAnsi="Times New Roman" w:eastAsia="宋体" w:cs="Times New Roman"/>
                <w:color w:val="auto"/>
                <w:sz w:val="24"/>
                <w:szCs w:val="24"/>
              </w:rPr>
            </w:pPr>
            <w:r>
              <w:rPr>
                <w:color w:val="auto"/>
                <w:sz w:val="24"/>
                <w:szCs w:val="24"/>
              </w:rPr>
              <w:t>项目</w:t>
            </w:r>
            <w:r>
              <w:rPr>
                <w:rFonts w:hint="eastAsia"/>
                <w:color w:val="auto"/>
                <w:sz w:val="24"/>
                <w:szCs w:val="24"/>
              </w:rPr>
              <w:t>运营期</w:t>
            </w:r>
            <w:r>
              <w:rPr>
                <w:color w:val="auto"/>
                <w:sz w:val="24"/>
                <w:szCs w:val="24"/>
              </w:rPr>
              <w:t>职工定员</w:t>
            </w:r>
            <w:r>
              <w:rPr>
                <w:rFonts w:hint="eastAsia"/>
                <w:color w:val="auto"/>
                <w:sz w:val="24"/>
                <w:szCs w:val="24"/>
                <w:lang w:val="en-US" w:eastAsia="zh-CN"/>
              </w:rPr>
              <w:t>18</w:t>
            </w:r>
            <w:r>
              <w:rPr>
                <w:color w:val="auto"/>
                <w:sz w:val="24"/>
                <w:szCs w:val="24"/>
              </w:rPr>
              <w:t>人，生活用水量为</w:t>
            </w:r>
            <w:r>
              <w:rPr>
                <w:rFonts w:hint="eastAsia"/>
                <w:color w:val="auto"/>
                <w:sz w:val="24"/>
                <w:szCs w:val="24"/>
                <w:lang w:val="en-US" w:eastAsia="zh-CN"/>
              </w:rPr>
              <w:t>1.08</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lang w:val="en-US" w:eastAsia="zh-CN"/>
              </w:rPr>
              <w:t>324</w:t>
            </w:r>
            <w:r>
              <w:rPr>
                <w:color w:val="auto"/>
                <w:sz w:val="24"/>
                <w:szCs w:val="24"/>
              </w:rPr>
              <w:t>t/a）</w:t>
            </w:r>
            <w:r>
              <w:rPr>
                <w:rFonts w:hint="eastAsia"/>
                <w:color w:val="auto"/>
                <w:sz w:val="24"/>
                <w:szCs w:val="24"/>
              </w:rPr>
              <w:t>，生活污水产生系数按0</w:t>
            </w:r>
            <w:r>
              <w:rPr>
                <w:color w:val="auto"/>
                <w:sz w:val="24"/>
                <w:szCs w:val="24"/>
              </w:rPr>
              <w:t>.8</w:t>
            </w:r>
            <w:r>
              <w:rPr>
                <w:rFonts w:hint="eastAsia"/>
                <w:color w:val="auto"/>
                <w:sz w:val="24"/>
                <w:szCs w:val="24"/>
              </w:rPr>
              <w:t>计，则生活污水产生量</w:t>
            </w:r>
            <w:r>
              <w:rPr>
                <w:rFonts w:hint="eastAsia"/>
                <w:color w:val="auto"/>
                <w:sz w:val="24"/>
                <w:szCs w:val="24"/>
                <w:lang w:val="en-US" w:eastAsia="zh-CN"/>
              </w:rPr>
              <w:t>0.864</w:t>
            </w:r>
            <w:r>
              <w:rPr>
                <w:rFonts w:hint="eastAsia"/>
                <w:color w:val="auto"/>
                <w:sz w:val="24"/>
                <w:szCs w:val="24"/>
              </w:rPr>
              <w:t>m</w:t>
            </w:r>
            <w:r>
              <w:rPr>
                <w:color w:val="auto"/>
                <w:sz w:val="24"/>
                <w:szCs w:val="24"/>
                <w:vertAlign w:val="superscript"/>
              </w:rPr>
              <w:t>3</w:t>
            </w:r>
            <w:r>
              <w:rPr>
                <w:color w:val="auto"/>
                <w:sz w:val="24"/>
                <w:szCs w:val="24"/>
              </w:rPr>
              <w:t>/</w:t>
            </w:r>
            <w:r>
              <w:rPr>
                <w:rFonts w:hint="eastAsia"/>
                <w:color w:val="auto"/>
                <w:sz w:val="24"/>
                <w:szCs w:val="24"/>
              </w:rPr>
              <w:t>d（</w:t>
            </w:r>
            <w:r>
              <w:rPr>
                <w:rFonts w:hint="eastAsia"/>
                <w:color w:val="auto"/>
                <w:sz w:val="24"/>
                <w:szCs w:val="24"/>
                <w:lang w:val="en-US" w:eastAsia="zh-CN"/>
              </w:rPr>
              <w:t>259.2</w:t>
            </w:r>
            <w:r>
              <w:rPr>
                <w:rFonts w:hint="eastAsia"/>
                <w:color w:val="auto"/>
                <w:sz w:val="24"/>
                <w:szCs w:val="24"/>
              </w:rPr>
              <w:t>t/a）</w:t>
            </w:r>
            <w:r>
              <w:rPr>
                <w:color w:val="auto"/>
                <w:sz w:val="24"/>
                <w:szCs w:val="24"/>
              </w:rPr>
              <w:t>；</w:t>
            </w:r>
            <w:r>
              <w:rPr>
                <w:rFonts w:hint="eastAsia"/>
                <w:color w:val="auto"/>
                <w:sz w:val="24"/>
                <w:szCs w:val="24"/>
                <w:lang w:val="en-US" w:eastAsia="zh-CN"/>
              </w:rPr>
              <w:t>餐饮废水产生量为108m</w:t>
            </w:r>
            <w:r>
              <w:rPr>
                <w:rFonts w:hint="eastAsia"/>
                <w:color w:val="auto"/>
                <w:sz w:val="24"/>
                <w:szCs w:val="24"/>
                <w:vertAlign w:val="superscript"/>
                <w:lang w:val="en-US" w:eastAsia="zh-CN"/>
              </w:rPr>
              <w:t>3</w:t>
            </w:r>
            <w:r>
              <w:rPr>
                <w:rFonts w:hint="eastAsia"/>
                <w:color w:val="auto"/>
                <w:sz w:val="24"/>
                <w:szCs w:val="24"/>
                <w:lang w:val="en-US" w:eastAsia="zh-CN"/>
              </w:rPr>
              <w:t>/a（0.36m</w:t>
            </w:r>
            <w:r>
              <w:rPr>
                <w:rFonts w:hint="eastAsia"/>
                <w:color w:val="auto"/>
                <w:sz w:val="24"/>
                <w:szCs w:val="24"/>
                <w:vertAlign w:val="superscript"/>
                <w:lang w:val="en-US" w:eastAsia="zh-CN"/>
              </w:rPr>
              <w:t>3</w:t>
            </w:r>
            <w:r>
              <w:rPr>
                <w:rFonts w:hint="eastAsia"/>
                <w:color w:val="auto"/>
                <w:sz w:val="24"/>
                <w:szCs w:val="24"/>
                <w:lang w:val="en-US" w:eastAsia="zh-CN"/>
              </w:rPr>
              <w:t>/d）。</w:t>
            </w:r>
            <w:r>
              <w:rPr>
                <w:rFonts w:hint="eastAsia"/>
                <w:color w:val="auto"/>
                <w:sz w:val="24"/>
              </w:rPr>
              <w:t>餐饮废水与生活污水排入</w:t>
            </w:r>
            <w:r>
              <w:rPr>
                <w:rFonts w:hint="eastAsia"/>
                <w:color w:val="auto"/>
                <w:sz w:val="24"/>
                <w:lang w:val="en-US" w:eastAsia="zh-CN"/>
              </w:rPr>
              <w:t>旱厕堆肥处理，洗漱废水泼洒抑尘</w:t>
            </w:r>
            <w:r>
              <w:rPr>
                <w:color w:val="auto"/>
                <w:sz w:val="24"/>
              </w:rPr>
              <w:t>。</w:t>
            </w:r>
          </w:p>
          <w:p>
            <w:pPr>
              <w:pStyle w:val="60"/>
              <w:ind w:left="0" w:leftChars="0" w:firstLine="0" w:firstLineChars="0"/>
              <w:rPr>
                <w:rFonts w:hint="default" w:cs="Times New Roman"/>
                <w:b/>
                <w:bCs/>
                <w:color w:val="auto"/>
                <w:sz w:val="24"/>
                <w:szCs w:val="24"/>
                <w:lang w:val="en-US" w:eastAsia="zh-CN"/>
              </w:rPr>
            </w:pPr>
            <w:r>
              <w:rPr>
                <w:rFonts w:hint="eastAsia" w:cs="Times New Roman"/>
                <w:b/>
                <w:bCs/>
                <w:color w:val="auto"/>
                <w:sz w:val="24"/>
                <w:szCs w:val="24"/>
                <w:lang w:val="en-US" w:eastAsia="zh-CN"/>
              </w:rPr>
              <w:t>2.2废水环境影响</w:t>
            </w:r>
          </w:p>
          <w:p>
            <w:pPr>
              <w:pStyle w:val="60"/>
              <w:ind w:firstLine="420"/>
              <w:rPr>
                <w:rFonts w:hint="default" w:cs="Times New Roman"/>
                <w:color w:val="auto"/>
                <w:sz w:val="24"/>
                <w:szCs w:val="24"/>
                <w:lang w:val="en-US" w:eastAsia="zh-CN"/>
              </w:rPr>
            </w:pPr>
            <w:r>
              <w:rPr>
                <w:rFonts w:hint="eastAsia" w:cs="Times New Roman"/>
                <w:color w:val="auto"/>
                <w:sz w:val="24"/>
                <w:szCs w:val="24"/>
                <w:lang w:val="en-US" w:eastAsia="zh-CN"/>
              </w:rPr>
              <w:t>本项目运营期废水主要生活污水、脱硫脱销除尘系统用水。根据2.1分析，废水均合理处置的情况下对周边环境影响较小。</w:t>
            </w:r>
          </w:p>
          <w:p>
            <w:pPr>
              <w:pStyle w:val="60"/>
              <w:ind w:left="0" w:leftChars="0" w:firstLine="0" w:firstLineChars="0"/>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rPr>
              <w:t>声环境影响</w:t>
            </w:r>
          </w:p>
          <w:p>
            <w:pPr>
              <w:pStyle w:val="60"/>
              <w:ind w:firstLine="0" w:firstLineChars="0"/>
              <w:rPr>
                <w:b/>
                <w:bCs/>
                <w:sz w:val="24"/>
              </w:rPr>
            </w:pPr>
            <w:r>
              <w:rPr>
                <w:rFonts w:hint="eastAsia"/>
                <w:b/>
                <w:bCs/>
                <w:sz w:val="24"/>
              </w:rPr>
              <w:t>3.</w:t>
            </w:r>
            <w:r>
              <w:rPr>
                <w:b/>
                <w:bCs/>
                <w:sz w:val="24"/>
              </w:rPr>
              <w:t>1</w:t>
            </w:r>
            <w:r>
              <w:rPr>
                <w:rFonts w:hint="eastAsia"/>
                <w:b/>
                <w:bCs/>
                <w:sz w:val="24"/>
                <w:lang w:val="en-US" w:eastAsia="zh-CN"/>
              </w:rPr>
              <w:t>预测模式</w:t>
            </w:r>
          </w:p>
          <w:p>
            <w:pPr>
              <w:pStyle w:val="60"/>
              <w:ind w:firstLine="480"/>
              <w:rPr>
                <w:rFonts w:hint="eastAsia" w:eastAsia="宋体"/>
                <w:color w:val="auto"/>
                <w:sz w:val="24"/>
                <w:lang w:eastAsia="zh-CN"/>
              </w:rPr>
            </w:pPr>
            <w:r>
              <w:rPr>
                <w:color w:val="auto"/>
                <w:sz w:val="24"/>
                <w:szCs w:val="32"/>
              </w:rPr>
              <w:t>根据项目建设内容及《环境影响评价技术导则—声环境》（HJ2.4-2021）的要求，项目环评采用的模型为《环境影响评价技术导则 声环境》(HJ2.4.2021)附录A（规范性附录）户外声传播的衰减和附录B（规范性附录）中“B.1工业噪声预测计算模型”</w:t>
            </w:r>
            <w:r>
              <w:rPr>
                <w:rFonts w:hint="eastAsia"/>
                <w:color w:val="auto"/>
                <w:sz w:val="24"/>
                <w:szCs w:val="32"/>
                <w:lang w:eastAsia="zh-CN"/>
              </w:rPr>
              <w:t>。</w:t>
            </w:r>
          </w:p>
          <w:p>
            <w:pPr>
              <w:pStyle w:val="60"/>
              <w:ind w:firstLine="480"/>
              <w:rPr>
                <w:rFonts w:hint="default" w:eastAsia="宋体"/>
                <w:sz w:val="24"/>
                <w:lang w:val="en-US"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噪声源强</w:t>
            </w:r>
          </w:p>
          <w:p>
            <w:pPr>
              <w:pStyle w:val="60"/>
              <w:ind w:firstLine="420"/>
              <w:rPr>
                <w:rFonts w:hint="default" w:ascii="Times New Roman" w:hAnsi="Times New Roman" w:eastAsia="宋体" w:cs="Times New Roman"/>
                <w:color w:val="auto"/>
                <w:sz w:val="24"/>
                <w:szCs w:val="24"/>
              </w:rPr>
            </w:pPr>
            <w:r>
              <w:rPr>
                <w:sz w:val="24"/>
              </w:rPr>
              <w:t>项目运营期噪声主要来源于采矿区机械设备及制砖工序（原料库、砖机车间）设备产生的噪声；主要噪声源包括</w:t>
            </w:r>
            <w:r>
              <w:rPr>
                <w:rFonts w:hint="eastAsia"/>
                <w:sz w:val="24"/>
              </w:rPr>
              <w:t>打土机</w:t>
            </w:r>
            <w:r>
              <w:rPr>
                <w:sz w:val="24"/>
              </w:rPr>
              <w:t>、</w:t>
            </w:r>
            <w:r>
              <w:rPr>
                <w:rFonts w:hint="eastAsia"/>
                <w:sz w:val="24"/>
              </w:rPr>
              <w:t>破碎机</w:t>
            </w:r>
            <w:r>
              <w:rPr>
                <w:sz w:val="24"/>
              </w:rPr>
              <w:t>、</w:t>
            </w:r>
            <w:r>
              <w:rPr>
                <w:rFonts w:hint="eastAsia"/>
                <w:sz w:val="24"/>
                <w:lang w:val="en-US" w:eastAsia="zh-CN"/>
              </w:rPr>
              <w:t>滚</w:t>
            </w:r>
            <w:r>
              <w:rPr>
                <w:rFonts w:hint="eastAsia"/>
                <w:sz w:val="24"/>
              </w:rPr>
              <w:t>筒筛、</w:t>
            </w:r>
            <w:r>
              <w:rPr>
                <w:sz w:val="24"/>
              </w:rPr>
              <w:t>搅拌机、挤砖机</w:t>
            </w:r>
            <w:r>
              <w:rPr>
                <w:rFonts w:hint="eastAsia"/>
                <w:sz w:val="24"/>
              </w:rPr>
              <w:t>、</w:t>
            </w:r>
            <w:r>
              <w:rPr>
                <w:rFonts w:hint="eastAsia"/>
                <w:sz w:val="24"/>
                <w:lang w:val="en-US" w:eastAsia="zh-CN"/>
              </w:rPr>
              <w:t>锤式破碎机</w:t>
            </w:r>
            <w:r>
              <w:rPr>
                <w:rFonts w:hint="eastAsia"/>
                <w:sz w:val="24"/>
              </w:rPr>
              <w:t>、挖掘机、</w:t>
            </w:r>
            <w:r>
              <w:rPr>
                <w:rFonts w:hint="eastAsia"/>
                <w:sz w:val="24"/>
                <w:lang w:val="en-US" w:eastAsia="zh-CN"/>
              </w:rPr>
              <w:t>切坯机</w:t>
            </w:r>
            <w:r>
              <w:rPr>
                <w:rFonts w:hint="eastAsia"/>
                <w:sz w:val="24"/>
              </w:rPr>
              <w:t>、装载机</w:t>
            </w:r>
            <w:r>
              <w:rPr>
                <w:sz w:val="24"/>
              </w:rPr>
              <w:t>等，噪声级介于75~95dB（A），采取减振、消声和隔声设施后，噪声源强降低约20dB（A）。项目运营期噪声源强见下表</w:t>
            </w:r>
            <w:r>
              <w:rPr>
                <w:rFonts w:hint="default" w:ascii="Times New Roman" w:hAnsi="Times New Roman" w:eastAsia="宋体" w:cs="Times New Roman"/>
                <w:color w:val="auto"/>
                <w:sz w:val="24"/>
                <w:szCs w:val="24"/>
              </w:rPr>
              <w:t>。</w:t>
            </w:r>
          </w:p>
          <w:p>
            <w:pPr>
              <w:pStyle w:val="14"/>
              <w:keepNext/>
              <w:keepLines w:val="0"/>
              <w:pageBreakBefore w:val="0"/>
              <w:widowControl w:val="0"/>
              <w:kinsoku/>
              <w:wordWrap/>
              <w:overflowPunct/>
              <w:topLinePunct w:val="0"/>
              <w:autoSpaceDE/>
              <w:autoSpaceDN/>
              <w:bidi w:val="0"/>
              <w:adjustRightInd/>
              <w:snapToGrid/>
              <w:spacing w:before="95" w:beforeLines="30" w:line="24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default" w:ascii="Times New Roman" w:hAnsi="Times New Roman" w:eastAsia="宋体" w:cs="Times New Roman"/>
                <w:color w:val="auto"/>
                <w:lang w:val="en-US" w:eastAsia="zh-CN"/>
              </w:rPr>
              <w:t>4-</w:t>
            </w:r>
            <w:r>
              <w:rPr>
                <w:rFonts w:hint="eastAsia" w:eastAsia="宋体" w:cs="Times New Roman"/>
                <w:color w:val="auto"/>
                <w:lang w:val="en-US" w:eastAsia="zh-CN"/>
              </w:rPr>
              <w:t>14</w:t>
            </w:r>
            <w:r>
              <w:rPr>
                <w:rFonts w:hint="default" w:ascii="Times New Roman" w:hAnsi="Times New Roman" w:eastAsia="宋体" w:cs="Times New Roman"/>
                <w:color w:val="auto"/>
                <w:lang w:val="en-US" w:eastAsia="zh-CN"/>
              </w:rPr>
              <w:t xml:space="preserve">   </w:t>
            </w:r>
            <w:r>
              <w:rPr>
                <w:rFonts w:hint="eastAsia" w:eastAsia="宋体" w:cs="Times New Roman"/>
                <w:color w:val="auto"/>
                <w:lang w:val="en-US" w:eastAsia="zh-CN"/>
              </w:rPr>
              <w:t>主要</w:t>
            </w:r>
            <w:r>
              <w:rPr>
                <w:rFonts w:hint="default" w:ascii="Times New Roman" w:hAnsi="Times New Roman" w:eastAsia="宋体" w:cs="Times New Roman"/>
                <w:color w:val="auto"/>
              </w:rPr>
              <w:t>噪声源强参数一览表</w:t>
            </w:r>
          </w:p>
          <w:tbl>
            <w:tblPr>
              <w:tblStyle w:val="30"/>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276"/>
              <w:gridCol w:w="1134"/>
              <w:gridCol w:w="1202"/>
              <w:gridCol w:w="163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5" w:type="dxa"/>
                  <w:vAlign w:val="center"/>
                </w:tcPr>
                <w:p>
                  <w:pPr>
                    <w:pStyle w:val="57"/>
                    <w:rPr>
                      <w:szCs w:val="21"/>
                    </w:rPr>
                  </w:pPr>
                  <w:r>
                    <w:rPr>
                      <w:szCs w:val="21"/>
                    </w:rPr>
                    <w:t>位置</w:t>
                  </w:r>
                </w:p>
              </w:tc>
              <w:tc>
                <w:tcPr>
                  <w:tcW w:w="1276" w:type="dxa"/>
                  <w:vAlign w:val="center"/>
                </w:tcPr>
                <w:p>
                  <w:pPr>
                    <w:pStyle w:val="57"/>
                    <w:rPr>
                      <w:szCs w:val="21"/>
                    </w:rPr>
                  </w:pPr>
                  <w:r>
                    <w:rPr>
                      <w:szCs w:val="21"/>
                    </w:rPr>
                    <w:t>噪声源</w:t>
                  </w:r>
                </w:p>
              </w:tc>
              <w:tc>
                <w:tcPr>
                  <w:tcW w:w="1134" w:type="dxa"/>
                  <w:vAlign w:val="center"/>
                </w:tcPr>
                <w:p>
                  <w:pPr>
                    <w:pStyle w:val="57"/>
                    <w:rPr>
                      <w:szCs w:val="21"/>
                    </w:rPr>
                  </w:pPr>
                  <w:r>
                    <w:rPr>
                      <w:szCs w:val="21"/>
                    </w:rPr>
                    <w:t>数量</w:t>
                  </w:r>
                </w:p>
                <w:p>
                  <w:pPr>
                    <w:pStyle w:val="57"/>
                    <w:rPr>
                      <w:szCs w:val="21"/>
                    </w:rPr>
                  </w:pPr>
                  <w:r>
                    <w:rPr>
                      <w:szCs w:val="21"/>
                    </w:rPr>
                    <w:t>（套/台）</w:t>
                  </w:r>
                </w:p>
              </w:tc>
              <w:tc>
                <w:tcPr>
                  <w:tcW w:w="1202" w:type="dxa"/>
                  <w:vAlign w:val="center"/>
                </w:tcPr>
                <w:p>
                  <w:pPr>
                    <w:pStyle w:val="57"/>
                    <w:rPr>
                      <w:szCs w:val="21"/>
                    </w:rPr>
                  </w:pPr>
                  <w:r>
                    <w:rPr>
                      <w:szCs w:val="21"/>
                    </w:rPr>
                    <w:t>源强</w:t>
                  </w:r>
                </w:p>
                <w:p>
                  <w:pPr>
                    <w:pStyle w:val="57"/>
                    <w:rPr>
                      <w:szCs w:val="21"/>
                    </w:rPr>
                  </w:pPr>
                  <w:r>
                    <w:rPr>
                      <w:szCs w:val="21"/>
                    </w:rPr>
                    <w:t>dB（A）</w:t>
                  </w:r>
                </w:p>
              </w:tc>
              <w:tc>
                <w:tcPr>
                  <w:tcW w:w="1633" w:type="dxa"/>
                  <w:vAlign w:val="center"/>
                </w:tcPr>
                <w:p>
                  <w:pPr>
                    <w:pStyle w:val="57"/>
                    <w:rPr>
                      <w:szCs w:val="21"/>
                    </w:rPr>
                  </w:pPr>
                  <w:r>
                    <w:rPr>
                      <w:szCs w:val="21"/>
                    </w:rPr>
                    <w:t>防治措施</w:t>
                  </w:r>
                </w:p>
              </w:tc>
              <w:tc>
                <w:tcPr>
                  <w:tcW w:w="1604" w:type="dxa"/>
                  <w:vAlign w:val="center"/>
                </w:tcPr>
                <w:p>
                  <w:pPr>
                    <w:pStyle w:val="57"/>
                    <w:rPr>
                      <w:szCs w:val="21"/>
                    </w:rPr>
                  </w:pPr>
                  <w:r>
                    <w:rPr>
                      <w:szCs w:val="21"/>
                    </w:rPr>
                    <w:t>治理后噪声源强（dB(A)）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55" w:type="dxa"/>
                  <w:vMerge w:val="restart"/>
                  <w:vAlign w:val="center"/>
                </w:tcPr>
                <w:p>
                  <w:pPr>
                    <w:pStyle w:val="57"/>
                    <w:rPr>
                      <w:szCs w:val="21"/>
                    </w:rPr>
                  </w:pPr>
                  <w:r>
                    <w:rPr>
                      <w:szCs w:val="21"/>
                    </w:rPr>
                    <w:t>原料</w:t>
                  </w:r>
                  <w:r>
                    <w:rPr>
                      <w:rFonts w:hint="eastAsia"/>
                      <w:szCs w:val="21"/>
                    </w:rPr>
                    <w:t>加工车间</w:t>
                  </w:r>
                </w:p>
                <w:p>
                  <w:pPr>
                    <w:pStyle w:val="57"/>
                    <w:rPr>
                      <w:szCs w:val="21"/>
                    </w:rPr>
                  </w:pPr>
                  <w:r>
                    <w:rPr>
                      <w:szCs w:val="21"/>
                    </w:rPr>
                    <w:t>（破碎、筛选、搅拌）</w:t>
                  </w:r>
                </w:p>
              </w:tc>
              <w:tc>
                <w:tcPr>
                  <w:tcW w:w="1276" w:type="dxa"/>
                  <w:vAlign w:val="center"/>
                </w:tcPr>
                <w:p>
                  <w:pPr>
                    <w:pStyle w:val="57"/>
                    <w:rPr>
                      <w:szCs w:val="21"/>
                    </w:rPr>
                  </w:pPr>
                  <w:r>
                    <w:rPr>
                      <w:szCs w:val="21"/>
                    </w:rPr>
                    <w:t>滚筒筛</w:t>
                  </w:r>
                </w:p>
              </w:tc>
              <w:tc>
                <w:tcPr>
                  <w:tcW w:w="1134" w:type="dxa"/>
                  <w:vAlign w:val="center"/>
                </w:tcPr>
                <w:p>
                  <w:pPr>
                    <w:pStyle w:val="57"/>
                    <w:rPr>
                      <w:rFonts w:hint="eastAsia" w:eastAsia="宋体"/>
                      <w:szCs w:val="21"/>
                      <w:lang w:val="en-US" w:eastAsia="zh-CN"/>
                    </w:rPr>
                  </w:pPr>
                  <w:r>
                    <w:rPr>
                      <w:rFonts w:hint="eastAsia"/>
                      <w:szCs w:val="21"/>
                      <w:lang w:val="en-US" w:eastAsia="zh-CN"/>
                    </w:rPr>
                    <w:t>1</w:t>
                  </w:r>
                </w:p>
              </w:tc>
              <w:tc>
                <w:tcPr>
                  <w:tcW w:w="1202" w:type="dxa"/>
                  <w:vAlign w:val="center"/>
                </w:tcPr>
                <w:p>
                  <w:pPr>
                    <w:pStyle w:val="57"/>
                    <w:rPr>
                      <w:szCs w:val="21"/>
                    </w:rPr>
                  </w:pPr>
                  <w:r>
                    <w:rPr>
                      <w:szCs w:val="21"/>
                    </w:rPr>
                    <w:t>85</w:t>
                  </w:r>
                </w:p>
              </w:tc>
              <w:tc>
                <w:tcPr>
                  <w:tcW w:w="1633" w:type="dxa"/>
                  <w:vMerge w:val="restart"/>
                  <w:vAlign w:val="center"/>
                </w:tcPr>
                <w:p>
                  <w:pPr>
                    <w:pStyle w:val="57"/>
                    <w:rPr>
                      <w:rFonts w:hint="default" w:eastAsia="宋体"/>
                      <w:szCs w:val="21"/>
                      <w:lang w:val="en-US" w:eastAsia="zh-CN"/>
                    </w:rPr>
                  </w:pPr>
                  <w:r>
                    <w:rPr>
                      <w:szCs w:val="21"/>
                    </w:rPr>
                    <w:t>选用低噪设备+基础减振+厂房隔声+距离衰减</w:t>
                  </w:r>
                </w:p>
              </w:tc>
              <w:tc>
                <w:tcPr>
                  <w:tcW w:w="1604" w:type="dxa"/>
                  <w:vAlign w:val="center"/>
                </w:tcPr>
                <w:p>
                  <w:pPr>
                    <w:pStyle w:val="57"/>
                    <w:rPr>
                      <w:szCs w:val="21"/>
                    </w:rPr>
                  </w:pPr>
                  <w:r>
                    <w:rPr>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5" w:type="dxa"/>
                  <w:vMerge w:val="continue"/>
                  <w:vAlign w:val="center"/>
                </w:tcPr>
                <w:p>
                  <w:pPr>
                    <w:pStyle w:val="57"/>
                    <w:rPr>
                      <w:szCs w:val="21"/>
                    </w:rPr>
                  </w:pPr>
                </w:p>
              </w:tc>
              <w:tc>
                <w:tcPr>
                  <w:tcW w:w="1276" w:type="dxa"/>
                  <w:vAlign w:val="center"/>
                </w:tcPr>
                <w:p>
                  <w:pPr>
                    <w:pStyle w:val="57"/>
                    <w:rPr>
                      <w:rFonts w:hint="eastAsia" w:eastAsia="宋体"/>
                      <w:color w:val="auto"/>
                      <w:szCs w:val="21"/>
                      <w:lang w:val="en-US" w:eastAsia="zh-CN"/>
                    </w:rPr>
                  </w:pPr>
                  <w:r>
                    <w:rPr>
                      <w:rFonts w:hint="eastAsia"/>
                      <w:color w:val="auto"/>
                      <w:szCs w:val="21"/>
                      <w:lang w:val="en-US" w:eastAsia="zh-CN"/>
                    </w:rPr>
                    <w:t>锤式破碎机</w:t>
                  </w:r>
                </w:p>
              </w:tc>
              <w:tc>
                <w:tcPr>
                  <w:tcW w:w="1134" w:type="dxa"/>
                  <w:vAlign w:val="center"/>
                </w:tcPr>
                <w:p>
                  <w:pPr>
                    <w:pStyle w:val="57"/>
                    <w:rPr>
                      <w:rFonts w:hint="eastAsia" w:eastAsia="宋体"/>
                      <w:color w:val="auto"/>
                      <w:szCs w:val="21"/>
                      <w:lang w:val="en-US" w:eastAsia="zh-CN"/>
                    </w:rPr>
                  </w:pPr>
                  <w:r>
                    <w:rPr>
                      <w:rFonts w:hint="eastAsia"/>
                      <w:color w:val="auto"/>
                      <w:szCs w:val="21"/>
                      <w:lang w:val="en-US" w:eastAsia="zh-CN"/>
                    </w:rPr>
                    <w:t>1</w:t>
                  </w:r>
                </w:p>
              </w:tc>
              <w:tc>
                <w:tcPr>
                  <w:tcW w:w="1202" w:type="dxa"/>
                  <w:vAlign w:val="center"/>
                </w:tcPr>
                <w:p>
                  <w:pPr>
                    <w:pStyle w:val="57"/>
                    <w:rPr>
                      <w:rFonts w:hint="default" w:eastAsia="宋体"/>
                      <w:color w:val="auto"/>
                      <w:szCs w:val="21"/>
                      <w:lang w:val="en-US" w:eastAsia="zh-CN"/>
                    </w:rPr>
                  </w:pPr>
                  <w:r>
                    <w:rPr>
                      <w:rFonts w:hint="eastAsia"/>
                      <w:color w:val="auto"/>
                      <w:szCs w:val="21"/>
                      <w:lang w:val="en-US" w:eastAsia="zh-CN"/>
                    </w:rPr>
                    <w:t>85</w:t>
                  </w:r>
                </w:p>
              </w:tc>
              <w:tc>
                <w:tcPr>
                  <w:tcW w:w="1633" w:type="dxa"/>
                  <w:vMerge w:val="continue"/>
                  <w:vAlign w:val="center"/>
                </w:tcPr>
                <w:p>
                  <w:pPr>
                    <w:pStyle w:val="57"/>
                    <w:rPr>
                      <w:color w:val="auto"/>
                      <w:szCs w:val="21"/>
                    </w:rPr>
                  </w:pPr>
                </w:p>
              </w:tc>
              <w:tc>
                <w:tcPr>
                  <w:tcW w:w="1604" w:type="dxa"/>
                  <w:vAlign w:val="center"/>
                </w:tcPr>
                <w:p>
                  <w:pPr>
                    <w:pStyle w:val="57"/>
                    <w:rPr>
                      <w:rFonts w:hint="default" w:eastAsia="宋体"/>
                      <w:color w:val="auto"/>
                      <w:szCs w:val="21"/>
                      <w:lang w:val="en-US" w:eastAsia="zh-CN"/>
                    </w:rPr>
                  </w:pPr>
                  <w:r>
                    <w:rPr>
                      <w:rFonts w:hint="eastAsia"/>
                      <w:color w:val="auto"/>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5" w:type="dxa"/>
                  <w:vMerge w:val="continue"/>
                  <w:vAlign w:val="center"/>
                </w:tcPr>
                <w:p>
                  <w:pPr>
                    <w:pStyle w:val="57"/>
                    <w:rPr>
                      <w:szCs w:val="21"/>
                    </w:rPr>
                  </w:pPr>
                </w:p>
              </w:tc>
              <w:tc>
                <w:tcPr>
                  <w:tcW w:w="1276" w:type="dxa"/>
                  <w:vAlign w:val="center"/>
                </w:tcPr>
                <w:p>
                  <w:pPr>
                    <w:pStyle w:val="57"/>
                    <w:rPr>
                      <w:rFonts w:hint="default"/>
                      <w:color w:val="auto"/>
                      <w:szCs w:val="21"/>
                      <w:lang w:val="en-US" w:eastAsia="zh-CN"/>
                    </w:rPr>
                  </w:pPr>
                  <w:r>
                    <w:rPr>
                      <w:rFonts w:hint="eastAsia"/>
                      <w:color w:val="auto"/>
                      <w:szCs w:val="21"/>
                      <w:lang w:val="en-US" w:eastAsia="zh-CN"/>
                    </w:rPr>
                    <w:t>打土机</w:t>
                  </w:r>
                </w:p>
              </w:tc>
              <w:tc>
                <w:tcPr>
                  <w:tcW w:w="1134" w:type="dxa"/>
                  <w:vAlign w:val="center"/>
                </w:tcPr>
                <w:p>
                  <w:pPr>
                    <w:pStyle w:val="57"/>
                    <w:rPr>
                      <w:rFonts w:hint="default"/>
                      <w:color w:val="auto"/>
                      <w:szCs w:val="21"/>
                      <w:lang w:val="en-US" w:eastAsia="zh-CN"/>
                    </w:rPr>
                  </w:pPr>
                  <w:r>
                    <w:rPr>
                      <w:rFonts w:hint="eastAsia"/>
                      <w:color w:val="auto"/>
                      <w:szCs w:val="21"/>
                      <w:lang w:val="en-US" w:eastAsia="zh-CN"/>
                    </w:rPr>
                    <w:t>1</w:t>
                  </w:r>
                </w:p>
              </w:tc>
              <w:tc>
                <w:tcPr>
                  <w:tcW w:w="1202" w:type="dxa"/>
                  <w:vAlign w:val="center"/>
                </w:tcPr>
                <w:p>
                  <w:pPr>
                    <w:pStyle w:val="57"/>
                    <w:rPr>
                      <w:rFonts w:hint="default"/>
                      <w:color w:val="auto"/>
                      <w:szCs w:val="21"/>
                      <w:lang w:val="en-US" w:eastAsia="zh-CN"/>
                    </w:rPr>
                  </w:pPr>
                  <w:r>
                    <w:rPr>
                      <w:rFonts w:hint="eastAsia"/>
                      <w:color w:val="auto"/>
                      <w:szCs w:val="21"/>
                      <w:lang w:val="en-US" w:eastAsia="zh-CN"/>
                    </w:rPr>
                    <w:t>85</w:t>
                  </w:r>
                </w:p>
              </w:tc>
              <w:tc>
                <w:tcPr>
                  <w:tcW w:w="1633" w:type="dxa"/>
                  <w:vMerge w:val="continue"/>
                  <w:vAlign w:val="center"/>
                </w:tcPr>
                <w:p>
                  <w:pPr>
                    <w:pStyle w:val="57"/>
                    <w:rPr>
                      <w:color w:val="auto"/>
                      <w:szCs w:val="21"/>
                    </w:rPr>
                  </w:pPr>
                </w:p>
              </w:tc>
              <w:tc>
                <w:tcPr>
                  <w:tcW w:w="1604" w:type="dxa"/>
                  <w:vAlign w:val="center"/>
                </w:tcPr>
                <w:p>
                  <w:pPr>
                    <w:pStyle w:val="57"/>
                    <w:rPr>
                      <w:rFonts w:hint="default"/>
                      <w:color w:val="auto"/>
                      <w:szCs w:val="21"/>
                      <w:lang w:val="en-US" w:eastAsia="zh-CN"/>
                    </w:rPr>
                  </w:pPr>
                  <w:r>
                    <w:rPr>
                      <w:rFonts w:hint="eastAsia"/>
                      <w:color w:val="auto"/>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5" w:type="dxa"/>
                  <w:vMerge w:val="continue"/>
                  <w:vAlign w:val="center"/>
                </w:tcPr>
                <w:p>
                  <w:pPr>
                    <w:pStyle w:val="57"/>
                    <w:rPr>
                      <w:szCs w:val="21"/>
                    </w:rPr>
                  </w:pPr>
                </w:p>
              </w:tc>
              <w:tc>
                <w:tcPr>
                  <w:tcW w:w="1276" w:type="dxa"/>
                  <w:vAlign w:val="center"/>
                </w:tcPr>
                <w:p>
                  <w:pPr>
                    <w:pStyle w:val="57"/>
                    <w:rPr>
                      <w:color w:val="auto"/>
                      <w:szCs w:val="21"/>
                    </w:rPr>
                  </w:pPr>
                  <w:r>
                    <w:rPr>
                      <w:rFonts w:hint="eastAsia"/>
                      <w:color w:val="auto"/>
                      <w:szCs w:val="21"/>
                    </w:rPr>
                    <w:t>装载机</w:t>
                  </w:r>
                </w:p>
              </w:tc>
              <w:tc>
                <w:tcPr>
                  <w:tcW w:w="1134" w:type="dxa"/>
                  <w:vAlign w:val="center"/>
                </w:tcPr>
                <w:p>
                  <w:pPr>
                    <w:pStyle w:val="57"/>
                    <w:rPr>
                      <w:color w:val="auto"/>
                      <w:szCs w:val="21"/>
                    </w:rPr>
                  </w:pPr>
                  <w:r>
                    <w:rPr>
                      <w:rFonts w:hint="eastAsia"/>
                      <w:color w:val="auto"/>
                      <w:szCs w:val="21"/>
                    </w:rPr>
                    <w:t>1</w:t>
                  </w:r>
                </w:p>
              </w:tc>
              <w:tc>
                <w:tcPr>
                  <w:tcW w:w="1202" w:type="dxa"/>
                  <w:vAlign w:val="center"/>
                </w:tcPr>
                <w:p>
                  <w:pPr>
                    <w:pStyle w:val="57"/>
                    <w:rPr>
                      <w:color w:val="auto"/>
                      <w:szCs w:val="21"/>
                    </w:rPr>
                  </w:pPr>
                  <w:r>
                    <w:rPr>
                      <w:rFonts w:hint="eastAsia"/>
                      <w:color w:val="auto"/>
                      <w:szCs w:val="21"/>
                    </w:rPr>
                    <w:t>90</w:t>
                  </w:r>
                </w:p>
              </w:tc>
              <w:tc>
                <w:tcPr>
                  <w:tcW w:w="1633" w:type="dxa"/>
                  <w:vMerge w:val="continue"/>
                  <w:vAlign w:val="center"/>
                </w:tcPr>
                <w:p>
                  <w:pPr>
                    <w:pStyle w:val="57"/>
                    <w:rPr>
                      <w:color w:val="auto"/>
                      <w:szCs w:val="21"/>
                    </w:rPr>
                  </w:pPr>
                </w:p>
              </w:tc>
              <w:tc>
                <w:tcPr>
                  <w:tcW w:w="1604" w:type="dxa"/>
                  <w:vAlign w:val="center"/>
                </w:tcPr>
                <w:p>
                  <w:pPr>
                    <w:pStyle w:val="57"/>
                    <w:rPr>
                      <w:color w:val="auto"/>
                      <w:szCs w:val="21"/>
                    </w:rPr>
                  </w:pPr>
                  <w:r>
                    <w:rPr>
                      <w:rFonts w:hint="eastAsia"/>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5" w:type="dxa"/>
                  <w:vMerge w:val="restart"/>
                  <w:vAlign w:val="center"/>
                </w:tcPr>
                <w:p>
                  <w:pPr>
                    <w:pStyle w:val="57"/>
                    <w:rPr>
                      <w:szCs w:val="21"/>
                    </w:rPr>
                  </w:pPr>
                  <w:r>
                    <w:rPr>
                      <w:szCs w:val="21"/>
                    </w:rPr>
                    <w:t>砖机车间</w:t>
                  </w:r>
                </w:p>
              </w:tc>
              <w:tc>
                <w:tcPr>
                  <w:tcW w:w="1276" w:type="dxa"/>
                  <w:vAlign w:val="center"/>
                </w:tcPr>
                <w:p>
                  <w:pPr>
                    <w:pStyle w:val="57"/>
                    <w:rPr>
                      <w:color w:val="auto"/>
                      <w:szCs w:val="21"/>
                    </w:rPr>
                  </w:pPr>
                  <w:r>
                    <w:rPr>
                      <w:rFonts w:hint="eastAsia" w:ascii="Times New Roman" w:hAnsi="Times New Roman"/>
                      <w:bCs/>
                      <w:color w:val="auto"/>
                      <w:sz w:val="21"/>
                      <w:szCs w:val="21"/>
                    </w:rPr>
                    <w:t>全自动切坯切条机</w:t>
                  </w:r>
                </w:p>
              </w:tc>
              <w:tc>
                <w:tcPr>
                  <w:tcW w:w="1134" w:type="dxa"/>
                  <w:vAlign w:val="center"/>
                </w:tcPr>
                <w:p>
                  <w:pPr>
                    <w:pStyle w:val="57"/>
                    <w:rPr>
                      <w:color w:val="auto"/>
                      <w:szCs w:val="21"/>
                    </w:rPr>
                  </w:pPr>
                  <w:r>
                    <w:rPr>
                      <w:color w:val="auto"/>
                      <w:szCs w:val="21"/>
                    </w:rPr>
                    <w:t>3</w:t>
                  </w:r>
                </w:p>
              </w:tc>
              <w:tc>
                <w:tcPr>
                  <w:tcW w:w="1202" w:type="dxa"/>
                  <w:vAlign w:val="center"/>
                </w:tcPr>
                <w:p>
                  <w:pPr>
                    <w:pStyle w:val="57"/>
                    <w:rPr>
                      <w:color w:val="auto"/>
                      <w:szCs w:val="21"/>
                    </w:rPr>
                  </w:pPr>
                  <w:r>
                    <w:rPr>
                      <w:color w:val="auto"/>
                      <w:szCs w:val="21"/>
                    </w:rPr>
                    <w:t>80</w:t>
                  </w:r>
                </w:p>
              </w:tc>
              <w:tc>
                <w:tcPr>
                  <w:tcW w:w="1633" w:type="dxa"/>
                  <w:vMerge w:val="continue"/>
                  <w:vAlign w:val="center"/>
                </w:tcPr>
                <w:p>
                  <w:pPr>
                    <w:pStyle w:val="57"/>
                    <w:rPr>
                      <w:color w:val="auto"/>
                      <w:szCs w:val="21"/>
                    </w:rPr>
                  </w:pPr>
                </w:p>
              </w:tc>
              <w:tc>
                <w:tcPr>
                  <w:tcW w:w="1604" w:type="dxa"/>
                  <w:vAlign w:val="center"/>
                </w:tcPr>
                <w:p>
                  <w:pPr>
                    <w:pStyle w:val="57"/>
                    <w:rPr>
                      <w:color w:val="auto"/>
                      <w:szCs w:val="21"/>
                    </w:rPr>
                  </w:pPr>
                  <w:r>
                    <w:rPr>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5" w:type="dxa"/>
                  <w:vMerge w:val="continue"/>
                  <w:vAlign w:val="center"/>
                </w:tcPr>
                <w:p>
                  <w:pPr>
                    <w:pStyle w:val="57"/>
                    <w:rPr>
                      <w:szCs w:val="21"/>
                    </w:rPr>
                  </w:pPr>
                </w:p>
              </w:tc>
              <w:tc>
                <w:tcPr>
                  <w:tcW w:w="1276" w:type="dxa"/>
                  <w:vAlign w:val="center"/>
                </w:tcPr>
                <w:p>
                  <w:pPr>
                    <w:pStyle w:val="57"/>
                    <w:rPr>
                      <w:rFonts w:hint="eastAsia" w:ascii="Times New Roman" w:hAnsi="Times New Roman" w:eastAsia="宋体" w:cs="Times New Roman"/>
                      <w:color w:val="auto"/>
                      <w:kern w:val="2"/>
                      <w:sz w:val="21"/>
                      <w:szCs w:val="21"/>
                      <w:lang w:val="en-US" w:eastAsia="zh-CN" w:bidi="ar-SA"/>
                    </w:rPr>
                  </w:pPr>
                  <w:r>
                    <w:rPr>
                      <w:color w:val="auto"/>
                      <w:szCs w:val="21"/>
                    </w:rPr>
                    <w:t>搅拌机</w:t>
                  </w:r>
                </w:p>
              </w:tc>
              <w:tc>
                <w:tcPr>
                  <w:tcW w:w="1134" w:type="dxa"/>
                  <w:vAlign w:val="center"/>
                </w:tcPr>
                <w:p>
                  <w:pPr>
                    <w:pStyle w:val="57"/>
                    <w:rPr>
                      <w:rFonts w:ascii="Times New Roman" w:hAnsi="Times New Roman" w:eastAsia="宋体" w:cs="Times New Roman"/>
                      <w:color w:val="auto"/>
                      <w:kern w:val="2"/>
                      <w:sz w:val="21"/>
                      <w:szCs w:val="21"/>
                      <w:lang w:val="en-US" w:eastAsia="zh-CN" w:bidi="ar-SA"/>
                    </w:rPr>
                  </w:pPr>
                  <w:r>
                    <w:rPr>
                      <w:color w:val="auto"/>
                      <w:szCs w:val="21"/>
                    </w:rPr>
                    <w:t>1</w:t>
                  </w:r>
                </w:p>
              </w:tc>
              <w:tc>
                <w:tcPr>
                  <w:tcW w:w="1202" w:type="dxa"/>
                  <w:vAlign w:val="center"/>
                </w:tcPr>
                <w:p>
                  <w:pPr>
                    <w:pStyle w:val="57"/>
                    <w:rPr>
                      <w:rFonts w:ascii="Times New Roman" w:hAnsi="Times New Roman" w:eastAsia="宋体" w:cs="Times New Roman"/>
                      <w:color w:val="auto"/>
                      <w:kern w:val="2"/>
                      <w:sz w:val="21"/>
                      <w:szCs w:val="21"/>
                      <w:lang w:val="en-US" w:eastAsia="zh-CN" w:bidi="ar-SA"/>
                    </w:rPr>
                  </w:pPr>
                  <w:r>
                    <w:rPr>
                      <w:color w:val="auto"/>
                      <w:szCs w:val="21"/>
                    </w:rPr>
                    <w:t>90</w:t>
                  </w:r>
                </w:p>
              </w:tc>
              <w:tc>
                <w:tcPr>
                  <w:tcW w:w="1633" w:type="dxa"/>
                  <w:vMerge w:val="continue"/>
                  <w:vAlign w:val="center"/>
                </w:tcPr>
                <w:p>
                  <w:pPr>
                    <w:pStyle w:val="57"/>
                    <w:rPr>
                      <w:color w:val="auto"/>
                      <w:szCs w:val="21"/>
                    </w:rPr>
                  </w:pPr>
                </w:p>
              </w:tc>
              <w:tc>
                <w:tcPr>
                  <w:tcW w:w="1604" w:type="dxa"/>
                  <w:vAlign w:val="center"/>
                </w:tcPr>
                <w:p>
                  <w:pPr>
                    <w:pStyle w:val="57"/>
                    <w:rPr>
                      <w:color w:val="auto"/>
                      <w:szCs w:val="21"/>
                    </w:rPr>
                  </w:pPr>
                  <w:r>
                    <w:rPr>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5" w:type="dxa"/>
                  <w:vMerge w:val="continue"/>
                  <w:vAlign w:val="center"/>
                </w:tcPr>
                <w:p>
                  <w:pPr>
                    <w:pStyle w:val="57"/>
                    <w:rPr>
                      <w:szCs w:val="21"/>
                    </w:rPr>
                  </w:pPr>
                </w:p>
              </w:tc>
              <w:tc>
                <w:tcPr>
                  <w:tcW w:w="1276" w:type="dxa"/>
                  <w:vAlign w:val="center"/>
                </w:tcPr>
                <w:p>
                  <w:pPr>
                    <w:pStyle w:val="57"/>
                    <w:rPr>
                      <w:color w:val="auto"/>
                      <w:szCs w:val="21"/>
                    </w:rPr>
                  </w:pPr>
                  <w:r>
                    <w:rPr>
                      <w:rFonts w:hint="eastAsia" w:ascii="Times New Roman" w:hAnsi="Times New Roman"/>
                      <w:bCs/>
                      <w:color w:val="auto"/>
                      <w:sz w:val="21"/>
                      <w:szCs w:val="21"/>
                    </w:rPr>
                    <w:t>双级真空挤出机</w:t>
                  </w:r>
                </w:p>
              </w:tc>
              <w:tc>
                <w:tcPr>
                  <w:tcW w:w="1134" w:type="dxa"/>
                  <w:vAlign w:val="center"/>
                </w:tcPr>
                <w:p>
                  <w:pPr>
                    <w:pStyle w:val="57"/>
                    <w:rPr>
                      <w:color w:val="auto"/>
                      <w:szCs w:val="21"/>
                    </w:rPr>
                  </w:pPr>
                  <w:r>
                    <w:rPr>
                      <w:color w:val="auto"/>
                      <w:szCs w:val="21"/>
                    </w:rPr>
                    <w:t>1</w:t>
                  </w:r>
                </w:p>
              </w:tc>
              <w:tc>
                <w:tcPr>
                  <w:tcW w:w="1202" w:type="dxa"/>
                  <w:vAlign w:val="center"/>
                </w:tcPr>
                <w:p>
                  <w:pPr>
                    <w:pStyle w:val="57"/>
                    <w:rPr>
                      <w:color w:val="auto"/>
                      <w:szCs w:val="21"/>
                    </w:rPr>
                  </w:pPr>
                  <w:r>
                    <w:rPr>
                      <w:color w:val="auto"/>
                      <w:szCs w:val="21"/>
                    </w:rPr>
                    <w:t>80</w:t>
                  </w:r>
                </w:p>
              </w:tc>
              <w:tc>
                <w:tcPr>
                  <w:tcW w:w="1633" w:type="dxa"/>
                  <w:vMerge w:val="continue"/>
                  <w:vAlign w:val="center"/>
                </w:tcPr>
                <w:p>
                  <w:pPr>
                    <w:pStyle w:val="57"/>
                    <w:rPr>
                      <w:color w:val="auto"/>
                      <w:szCs w:val="21"/>
                    </w:rPr>
                  </w:pPr>
                </w:p>
              </w:tc>
              <w:tc>
                <w:tcPr>
                  <w:tcW w:w="1604" w:type="dxa"/>
                  <w:vAlign w:val="center"/>
                </w:tcPr>
                <w:p>
                  <w:pPr>
                    <w:pStyle w:val="57"/>
                    <w:rPr>
                      <w:color w:val="auto"/>
                      <w:szCs w:val="21"/>
                    </w:rPr>
                  </w:pPr>
                  <w:r>
                    <w:rPr>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5" w:type="dxa"/>
                  <w:vAlign w:val="center"/>
                </w:tcPr>
                <w:p>
                  <w:pPr>
                    <w:pStyle w:val="57"/>
                    <w:rPr>
                      <w:szCs w:val="21"/>
                    </w:rPr>
                  </w:pPr>
                  <w:r>
                    <w:rPr>
                      <w:szCs w:val="21"/>
                    </w:rPr>
                    <w:t>焙烧车间</w:t>
                  </w:r>
                </w:p>
              </w:tc>
              <w:tc>
                <w:tcPr>
                  <w:tcW w:w="1276" w:type="dxa"/>
                  <w:vAlign w:val="center"/>
                </w:tcPr>
                <w:p>
                  <w:pPr>
                    <w:pStyle w:val="57"/>
                    <w:rPr>
                      <w:color w:val="auto"/>
                      <w:szCs w:val="21"/>
                    </w:rPr>
                  </w:pPr>
                  <w:r>
                    <w:rPr>
                      <w:color w:val="auto"/>
                      <w:szCs w:val="21"/>
                    </w:rPr>
                    <w:t>风机</w:t>
                  </w:r>
                </w:p>
              </w:tc>
              <w:tc>
                <w:tcPr>
                  <w:tcW w:w="1134" w:type="dxa"/>
                  <w:vAlign w:val="center"/>
                </w:tcPr>
                <w:p>
                  <w:pPr>
                    <w:pStyle w:val="57"/>
                    <w:rPr>
                      <w:color w:val="auto"/>
                      <w:szCs w:val="21"/>
                    </w:rPr>
                  </w:pPr>
                  <w:r>
                    <w:rPr>
                      <w:rFonts w:hint="eastAsia"/>
                      <w:color w:val="auto"/>
                      <w:szCs w:val="21"/>
                      <w:lang w:val="en-US" w:eastAsia="zh-CN"/>
                    </w:rPr>
                    <w:t>2</w:t>
                  </w:r>
                </w:p>
              </w:tc>
              <w:tc>
                <w:tcPr>
                  <w:tcW w:w="1202" w:type="dxa"/>
                  <w:vAlign w:val="center"/>
                </w:tcPr>
                <w:p>
                  <w:pPr>
                    <w:pStyle w:val="57"/>
                    <w:rPr>
                      <w:color w:val="auto"/>
                      <w:szCs w:val="21"/>
                    </w:rPr>
                  </w:pPr>
                  <w:r>
                    <w:rPr>
                      <w:color w:val="auto"/>
                      <w:szCs w:val="21"/>
                    </w:rPr>
                    <w:t>95</w:t>
                  </w:r>
                </w:p>
              </w:tc>
              <w:tc>
                <w:tcPr>
                  <w:tcW w:w="1633" w:type="dxa"/>
                  <w:vMerge w:val="continue"/>
                  <w:vAlign w:val="center"/>
                </w:tcPr>
                <w:p>
                  <w:pPr>
                    <w:pStyle w:val="57"/>
                    <w:rPr>
                      <w:color w:val="auto"/>
                      <w:szCs w:val="21"/>
                    </w:rPr>
                  </w:pPr>
                </w:p>
              </w:tc>
              <w:tc>
                <w:tcPr>
                  <w:tcW w:w="1604" w:type="dxa"/>
                  <w:vAlign w:val="center"/>
                </w:tcPr>
                <w:p>
                  <w:pPr>
                    <w:pStyle w:val="57"/>
                    <w:rPr>
                      <w:color w:val="auto"/>
                      <w:szCs w:val="21"/>
                    </w:rPr>
                  </w:pPr>
                  <w:r>
                    <w:rPr>
                      <w:color w:val="auto"/>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5" w:type="dxa"/>
                  <w:vAlign w:val="center"/>
                </w:tcPr>
                <w:p>
                  <w:pPr>
                    <w:pStyle w:val="57"/>
                    <w:rPr>
                      <w:rFonts w:hint="default" w:eastAsia="宋体"/>
                      <w:color w:val="auto"/>
                      <w:szCs w:val="21"/>
                      <w:lang w:val="en-US" w:eastAsia="zh-CN"/>
                    </w:rPr>
                  </w:pPr>
                  <w:r>
                    <w:rPr>
                      <w:rFonts w:hint="eastAsia"/>
                      <w:color w:val="auto"/>
                      <w:szCs w:val="21"/>
                      <w:lang w:val="en-US" w:eastAsia="zh-CN"/>
                    </w:rPr>
                    <w:t>烟气处理系统</w:t>
                  </w:r>
                </w:p>
              </w:tc>
              <w:tc>
                <w:tcPr>
                  <w:tcW w:w="1276" w:type="dxa"/>
                  <w:vAlign w:val="center"/>
                </w:tcPr>
                <w:p>
                  <w:pPr>
                    <w:pStyle w:val="57"/>
                    <w:rPr>
                      <w:rFonts w:hint="eastAsia" w:eastAsia="宋体"/>
                      <w:color w:val="auto"/>
                      <w:szCs w:val="21"/>
                      <w:lang w:val="en-US" w:eastAsia="zh-CN"/>
                    </w:rPr>
                  </w:pPr>
                  <w:r>
                    <w:rPr>
                      <w:rFonts w:hint="eastAsia"/>
                      <w:color w:val="auto"/>
                      <w:szCs w:val="21"/>
                      <w:lang w:val="en-US" w:eastAsia="zh-CN"/>
                    </w:rPr>
                    <w:t>泵</w:t>
                  </w:r>
                </w:p>
              </w:tc>
              <w:tc>
                <w:tcPr>
                  <w:tcW w:w="1134" w:type="dxa"/>
                  <w:vAlign w:val="center"/>
                </w:tcPr>
                <w:p>
                  <w:pPr>
                    <w:pStyle w:val="57"/>
                    <w:rPr>
                      <w:rFonts w:hint="default"/>
                      <w:color w:val="auto"/>
                      <w:szCs w:val="21"/>
                      <w:lang w:val="en-US" w:eastAsia="zh-CN"/>
                    </w:rPr>
                  </w:pPr>
                  <w:r>
                    <w:rPr>
                      <w:rFonts w:hint="eastAsia"/>
                      <w:color w:val="auto"/>
                      <w:szCs w:val="21"/>
                      <w:lang w:val="en-US" w:eastAsia="zh-CN"/>
                    </w:rPr>
                    <w:t>4</w:t>
                  </w:r>
                </w:p>
              </w:tc>
              <w:tc>
                <w:tcPr>
                  <w:tcW w:w="1202" w:type="dxa"/>
                  <w:vAlign w:val="center"/>
                </w:tcPr>
                <w:p>
                  <w:pPr>
                    <w:pStyle w:val="57"/>
                    <w:rPr>
                      <w:rFonts w:hint="default" w:eastAsia="宋体"/>
                      <w:color w:val="auto"/>
                      <w:szCs w:val="21"/>
                      <w:lang w:val="en-US" w:eastAsia="zh-CN"/>
                    </w:rPr>
                  </w:pPr>
                  <w:r>
                    <w:rPr>
                      <w:rFonts w:hint="eastAsia"/>
                      <w:color w:val="auto"/>
                      <w:szCs w:val="21"/>
                      <w:lang w:val="en-US" w:eastAsia="zh-CN"/>
                    </w:rPr>
                    <w:t>80</w:t>
                  </w:r>
                </w:p>
              </w:tc>
              <w:tc>
                <w:tcPr>
                  <w:tcW w:w="1633" w:type="dxa"/>
                  <w:vMerge w:val="continue"/>
                  <w:vAlign w:val="center"/>
                </w:tcPr>
                <w:p>
                  <w:pPr>
                    <w:pStyle w:val="57"/>
                    <w:rPr>
                      <w:color w:val="auto"/>
                      <w:szCs w:val="21"/>
                    </w:rPr>
                  </w:pPr>
                </w:p>
              </w:tc>
              <w:tc>
                <w:tcPr>
                  <w:tcW w:w="1604" w:type="dxa"/>
                  <w:vAlign w:val="center"/>
                </w:tcPr>
                <w:p>
                  <w:pPr>
                    <w:pStyle w:val="57"/>
                    <w:rPr>
                      <w:rFonts w:hint="default" w:eastAsia="宋体"/>
                      <w:color w:val="auto"/>
                      <w:szCs w:val="21"/>
                      <w:lang w:val="en-US" w:eastAsia="zh-CN"/>
                    </w:rPr>
                  </w:pPr>
                  <w:r>
                    <w:rPr>
                      <w:rFonts w:hint="eastAsia"/>
                      <w:color w:val="auto"/>
                      <w:szCs w:val="21"/>
                      <w:lang w:val="en-US" w:eastAsia="zh-CN"/>
                    </w:rPr>
                    <w:t>60</w:t>
                  </w:r>
                </w:p>
              </w:tc>
            </w:tr>
          </w:tbl>
          <w:p>
            <w:pPr>
              <w:pStyle w:val="24"/>
              <w:widowControl w:val="0"/>
              <w:spacing w:before="0" w:beforeAutospacing="0" w:after="0" w:afterAutospacing="0" w:line="360" w:lineRule="auto"/>
              <w:ind w:firstLine="480" w:firstLineChars="200"/>
              <w:jc w:val="both"/>
              <w:rPr>
                <w:rFonts w:ascii="Times New Roman" w:hAnsi="Times New Roman"/>
                <w:color w:val="auto"/>
                <w:lang w:bidi="ar"/>
              </w:rPr>
            </w:pPr>
            <w:r>
              <w:rPr>
                <w:rFonts w:ascii="Times New Roman" w:hAnsi="Times New Roman"/>
                <w:color w:val="auto"/>
                <w:lang w:bidi="ar"/>
              </w:rPr>
              <w:t>（2）基础数据</w:t>
            </w:r>
          </w:p>
          <w:p>
            <w:pPr>
              <w:pStyle w:val="66"/>
              <w:ind w:firstLine="480"/>
              <w:rPr>
                <w:color w:val="auto"/>
                <w:szCs w:val="22"/>
              </w:rPr>
            </w:pPr>
            <w:r>
              <w:rPr>
                <w:color w:val="auto"/>
                <w:szCs w:val="22"/>
              </w:rPr>
              <w:t>项目噪声环境影响预测基础数据见表4-1</w:t>
            </w:r>
            <w:r>
              <w:rPr>
                <w:rFonts w:hint="eastAsia"/>
                <w:color w:val="auto"/>
                <w:szCs w:val="22"/>
                <w:lang w:val="en-US" w:eastAsia="zh-CN"/>
              </w:rPr>
              <w:t>5</w:t>
            </w:r>
            <w:r>
              <w:rPr>
                <w:color w:val="auto"/>
                <w:szCs w:val="22"/>
              </w:rPr>
              <w:t>。</w:t>
            </w:r>
          </w:p>
          <w:p>
            <w:pPr>
              <w:pStyle w:val="24"/>
              <w:widowControl w:val="0"/>
              <w:autoSpaceDE w:val="0"/>
              <w:adjustRightInd w:val="0"/>
              <w:snapToGrid w:val="0"/>
              <w:spacing w:before="0" w:beforeAutospacing="0" w:after="0" w:afterAutospacing="0"/>
              <w:jc w:val="center"/>
              <w:rPr>
                <w:rFonts w:ascii="Times New Roman" w:hAnsi="Times New Roman"/>
                <w:b/>
                <w:color w:val="auto"/>
                <w:sz w:val="21"/>
                <w:szCs w:val="21"/>
                <w:lang w:bidi="ar"/>
              </w:rPr>
            </w:pPr>
            <w:r>
              <w:rPr>
                <w:rFonts w:ascii="Times New Roman" w:hAnsi="Times New Roman"/>
                <w:b/>
                <w:color w:val="auto"/>
                <w:sz w:val="21"/>
                <w:szCs w:val="21"/>
                <w:lang w:bidi="ar"/>
              </w:rPr>
              <w:t>表4-1</w:t>
            </w:r>
            <w:r>
              <w:rPr>
                <w:rFonts w:hint="eastAsia" w:ascii="Times New Roman" w:hAnsi="Times New Roman"/>
                <w:b/>
                <w:color w:val="auto"/>
                <w:sz w:val="21"/>
                <w:szCs w:val="21"/>
                <w:lang w:val="en-US" w:eastAsia="zh-CN" w:bidi="ar"/>
              </w:rPr>
              <w:t xml:space="preserve">5 </w:t>
            </w:r>
            <w:r>
              <w:rPr>
                <w:rFonts w:ascii="Times New Roman" w:hAnsi="Times New Roman"/>
                <w:b/>
                <w:color w:val="auto"/>
                <w:sz w:val="21"/>
                <w:szCs w:val="21"/>
                <w:lang w:bidi="ar"/>
              </w:rPr>
              <w:t xml:space="preserve">  项目噪声环境影响预测基础数据表</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998"/>
              <w:gridCol w:w="199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045" w:type="dxa"/>
                  <w:tcBorders>
                    <w:tl2br w:val="nil"/>
                    <w:tr2bl w:val="nil"/>
                  </w:tcBorders>
                  <w:noWrap w:val="0"/>
                  <w:vAlign w:val="top"/>
                </w:tcPr>
                <w:p>
                  <w:pPr>
                    <w:pStyle w:val="57"/>
                    <w:rPr>
                      <w:rFonts w:eastAsia="宋体"/>
                      <w:color w:val="auto"/>
                      <w:szCs w:val="21"/>
                    </w:rPr>
                  </w:pPr>
                  <w:bookmarkStart w:id="3" w:name="PT_4"/>
                  <w:r>
                    <w:rPr>
                      <w:rFonts w:eastAsia="宋体"/>
                      <w:color w:val="auto"/>
                      <w:szCs w:val="21"/>
                    </w:rPr>
                    <w:t>序号</w:t>
                  </w:r>
                </w:p>
              </w:tc>
              <w:tc>
                <w:tcPr>
                  <w:tcW w:w="2045" w:type="dxa"/>
                  <w:tcBorders>
                    <w:tl2br w:val="nil"/>
                    <w:tr2bl w:val="nil"/>
                  </w:tcBorders>
                  <w:noWrap w:val="0"/>
                  <w:vAlign w:val="top"/>
                </w:tcPr>
                <w:p>
                  <w:pPr>
                    <w:pStyle w:val="57"/>
                    <w:rPr>
                      <w:rFonts w:eastAsia="宋体"/>
                      <w:color w:val="auto"/>
                      <w:szCs w:val="21"/>
                    </w:rPr>
                  </w:pPr>
                  <w:r>
                    <w:rPr>
                      <w:rFonts w:eastAsia="宋体"/>
                      <w:color w:val="auto"/>
                      <w:szCs w:val="21"/>
                    </w:rPr>
                    <w:t>名称</w:t>
                  </w:r>
                </w:p>
              </w:tc>
              <w:tc>
                <w:tcPr>
                  <w:tcW w:w="2045" w:type="dxa"/>
                  <w:tcBorders>
                    <w:tl2br w:val="nil"/>
                    <w:tr2bl w:val="nil"/>
                  </w:tcBorders>
                  <w:noWrap w:val="0"/>
                  <w:vAlign w:val="top"/>
                </w:tcPr>
                <w:p>
                  <w:pPr>
                    <w:pStyle w:val="57"/>
                    <w:rPr>
                      <w:rFonts w:eastAsia="宋体"/>
                      <w:color w:val="auto"/>
                      <w:szCs w:val="21"/>
                    </w:rPr>
                  </w:pPr>
                  <w:r>
                    <w:rPr>
                      <w:rFonts w:eastAsia="宋体"/>
                      <w:color w:val="auto"/>
                      <w:szCs w:val="21"/>
                    </w:rPr>
                    <w:t>单位</w:t>
                  </w:r>
                </w:p>
              </w:tc>
              <w:tc>
                <w:tcPr>
                  <w:tcW w:w="2045" w:type="dxa"/>
                  <w:tcBorders>
                    <w:tl2br w:val="nil"/>
                    <w:tr2bl w:val="nil"/>
                  </w:tcBorders>
                  <w:noWrap w:val="0"/>
                  <w:vAlign w:val="top"/>
                </w:tcPr>
                <w:p>
                  <w:pPr>
                    <w:pStyle w:val="57"/>
                    <w:rPr>
                      <w:rFonts w:eastAsia="宋体"/>
                      <w:color w:val="auto"/>
                      <w:szCs w:val="21"/>
                    </w:rPr>
                  </w:pPr>
                  <w:r>
                    <w:rPr>
                      <w:rFonts w:eastAsia="宋体"/>
                      <w:color w:val="auto"/>
                      <w:szCs w:val="21"/>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1</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年平均风速</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m/s</w:t>
                  </w:r>
                </w:p>
              </w:tc>
              <w:tc>
                <w:tcPr>
                  <w:tcW w:w="2045" w:type="dxa"/>
                  <w:tcBorders>
                    <w:tl2br w:val="nil"/>
                    <w:tr2bl w:val="nil"/>
                  </w:tcBorders>
                  <w:shd w:val="clear" w:color="auto" w:fill="FFFFFF"/>
                  <w:noWrap w:val="0"/>
                  <w:vAlign w:val="center"/>
                </w:tcPr>
                <w:p>
                  <w:pPr>
                    <w:pStyle w:val="57"/>
                    <w:rPr>
                      <w:rFonts w:hint="eastAsia" w:eastAsia="宋体"/>
                      <w:color w:val="auto"/>
                      <w:szCs w:val="21"/>
                      <w:lang w:eastAsia="zh-CN"/>
                    </w:rPr>
                  </w:pPr>
                  <w:r>
                    <w:rPr>
                      <w:rFonts w:hint="eastAsia" w:eastAsia="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2</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主导风向</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东南风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3</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年平均气温</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w:t>
                  </w:r>
                </w:p>
              </w:tc>
              <w:tc>
                <w:tcPr>
                  <w:tcW w:w="2045" w:type="dxa"/>
                  <w:tcBorders>
                    <w:tl2br w:val="nil"/>
                    <w:tr2bl w:val="nil"/>
                  </w:tcBorders>
                  <w:shd w:val="clear" w:color="auto" w:fill="FFFFFF"/>
                  <w:noWrap w:val="0"/>
                  <w:vAlign w:val="center"/>
                </w:tcPr>
                <w:p>
                  <w:pPr>
                    <w:pStyle w:val="57"/>
                    <w:rPr>
                      <w:rFonts w:hint="default" w:eastAsia="宋体"/>
                      <w:color w:val="auto"/>
                      <w:szCs w:val="21"/>
                      <w:lang w:val="en-US" w:eastAsia="zh-CN"/>
                    </w:rPr>
                  </w:pPr>
                  <w:r>
                    <w:rPr>
                      <w:rFonts w:hint="eastAsia" w:eastAsia="宋体"/>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4</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年平均相对湿度</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w:t>
                  </w:r>
                </w:p>
              </w:tc>
              <w:tc>
                <w:tcPr>
                  <w:tcW w:w="2045" w:type="dxa"/>
                  <w:tcBorders>
                    <w:tl2br w:val="nil"/>
                    <w:tr2bl w:val="nil"/>
                  </w:tcBorders>
                  <w:shd w:val="clear" w:color="auto" w:fill="FFFFFF"/>
                  <w:noWrap w:val="0"/>
                  <w:vAlign w:val="center"/>
                </w:tcPr>
                <w:p>
                  <w:pPr>
                    <w:pStyle w:val="57"/>
                    <w:rPr>
                      <w:rFonts w:hint="default" w:eastAsia="宋体"/>
                      <w:color w:val="auto"/>
                      <w:szCs w:val="21"/>
                      <w:lang w:val="en-US" w:eastAsia="zh-CN"/>
                    </w:rPr>
                  </w:pPr>
                  <w:r>
                    <w:rPr>
                      <w:rFonts w:hint="eastAsia" w:eastAsia="宋体"/>
                      <w:color w:val="auto"/>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5</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大气压强</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atm</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1</w:t>
                  </w:r>
                </w:p>
              </w:tc>
            </w:tr>
            <w:bookmarkEnd w:id="3"/>
          </w:tbl>
          <w:p>
            <w:pPr>
              <w:pStyle w:val="60"/>
              <w:keepNext w:val="0"/>
              <w:keepLines w:val="0"/>
              <w:pageBreakBefore w:val="0"/>
              <w:widowControl w:val="0"/>
              <w:kinsoku/>
              <w:wordWrap/>
              <w:overflowPunct/>
              <w:topLinePunct w:val="0"/>
              <w:autoSpaceDE/>
              <w:autoSpaceDN/>
              <w:bidi w:val="0"/>
              <w:adjustRightInd/>
              <w:snapToGrid/>
              <w:spacing w:before="126" w:beforeLines="40" w:line="240" w:lineRule="auto"/>
              <w:ind w:firstLine="0" w:firstLineChars="0"/>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表4-16   工业企业噪声源强调查清单（室外声源）</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07"/>
              <w:gridCol w:w="541"/>
              <w:gridCol w:w="549"/>
              <w:gridCol w:w="681"/>
              <w:gridCol w:w="1913"/>
              <w:gridCol w:w="1869"/>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92" w:type="dxa"/>
                  <w:vMerge w:val="restart"/>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序号</w:t>
                  </w:r>
                </w:p>
              </w:tc>
              <w:tc>
                <w:tcPr>
                  <w:tcW w:w="878" w:type="dxa"/>
                  <w:vMerge w:val="restart"/>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声源名称</w:t>
                  </w:r>
                </w:p>
              </w:tc>
              <w:tc>
                <w:tcPr>
                  <w:tcW w:w="1545" w:type="dxa"/>
                  <w:gridSpan w:val="3"/>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空间相对位置/m</w:t>
                  </w:r>
                </w:p>
              </w:tc>
              <w:tc>
                <w:tcPr>
                  <w:tcW w:w="3298" w:type="dxa"/>
                  <w:gridSpan w:val="2"/>
                  <w:vAlign w:val="center"/>
                </w:tcPr>
                <w:p>
                  <w:pPr>
                    <w:spacing w:line="240" w:lineRule="auto"/>
                    <w:jc w:val="center"/>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b/>
                      <w:color w:val="auto"/>
                      <w:sz w:val="21"/>
                      <w:szCs w:val="21"/>
                      <w:lang w:eastAsia="zh-CN"/>
                    </w:rPr>
                    <w:t>声源源强（任选一种）</w:t>
                  </w:r>
                </w:p>
              </w:tc>
              <w:tc>
                <w:tcPr>
                  <w:tcW w:w="758" w:type="dxa"/>
                  <w:vMerge w:val="restart"/>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Merge w:val="continue"/>
                  <w:shd w:val="clear" w:color="auto" w:fill="FFFFFF"/>
                  <w:vAlign w:val="center"/>
                </w:tcPr>
                <w:p>
                  <w:pPr>
                    <w:spacing w:line="240" w:lineRule="auto"/>
                    <w:jc w:val="center"/>
                    <w:rPr>
                      <w:rFonts w:ascii="Times New Roman" w:hAnsi="Times New Roman" w:cs="Times New Roman" w:eastAsiaTheme="minorEastAsia"/>
                      <w:color w:val="auto"/>
                      <w:sz w:val="21"/>
                      <w:szCs w:val="21"/>
                    </w:rPr>
                  </w:pPr>
                </w:p>
              </w:tc>
              <w:tc>
                <w:tcPr>
                  <w:tcW w:w="878" w:type="dxa"/>
                  <w:vMerge w:val="continue"/>
                  <w:shd w:val="clear" w:color="auto" w:fill="FFFFFF"/>
                  <w:vAlign w:val="center"/>
                </w:tcPr>
                <w:p>
                  <w:pPr>
                    <w:spacing w:line="240" w:lineRule="auto"/>
                    <w:jc w:val="center"/>
                    <w:rPr>
                      <w:rFonts w:ascii="Times New Roman" w:hAnsi="Times New Roman" w:cs="Times New Roman" w:eastAsiaTheme="minorEastAsia"/>
                      <w:color w:val="auto"/>
                      <w:sz w:val="21"/>
                      <w:szCs w:val="21"/>
                    </w:rPr>
                  </w:pPr>
                </w:p>
              </w:tc>
              <w:tc>
                <w:tcPr>
                  <w:tcW w:w="472"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479"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Y</w:t>
                  </w:r>
                </w:p>
              </w:tc>
              <w:tc>
                <w:tcPr>
                  <w:tcW w:w="594"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Z</w:t>
                  </w:r>
                </w:p>
              </w:tc>
              <w:tc>
                <w:tcPr>
                  <w:tcW w:w="1668"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（声压级/距声源距离）/（dB(A)/m）</w:t>
                  </w:r>
                </w:p>
              </w:tc>
              <w:tc>
                <w:tcPr>
                  <w:tcW w:w="1630"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声功率级/dB(A)</w:t>
                  </w:r>
                </w:p>
              </w:tc>
              <w:tc>
                <w:tcPr>
                  <w:tcW w:w="758" w:type="dxa"/>
                  <w:vMerge w:val="continue"/>
                  <w:shd w:val="clear" w:color="auto" w:fill="FFFFFF"/>
                  <w:vAlign w:val="center"/>
                </w:tcPr>
                <w:p>
                  <w:pPr>
                    <w:spacing w:line="240" w:lineRule="auto"/>
                    <w:jc w:val="center"/>
                    <w:rPr>
                      <w:rFonts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92" w:type="dxa"/>
                  <w:shd w:val="clear" w:color="auto" w:fill="FFFFFF"/>
                  <w:vAlign w:val="center"/>
                </w:tcPr>
                <w:p>
                  <w:pPr>
                    <w:spacing w:line="240" w:lineRule="auto"/>
                    <w:jc w:val="center"/>
                    <w:rPr>
                      <w:color w:val="auto"/>
                    </w:rPr>
                  </w:pPr>
                  <w:r>
                    <w:rPr>
                      <w:rFonts w:ascii="Arial" w:hAnsi="Arial" w:eastAsia="Arial" w:cs="Arial"/>
                      <w:color w:val="auto"/>
                      <w:sz w:val="20"/>
                    </w:rPr>
                    <w:t>1</w:t>
                  </w:r>
                </w:p>
              </w:tc>
              <w:tc>
                <w:tcPr>
                  <w:tcW w:w="878" w:type="dxa"/>
                  <w:shd w:val="clear" w:color="auto" w:fill="FFFFFF"/>
                  <w:vAlign w:val="center"/>
                </w:tcPr>
                <w:p>
                  <w:pPr>
                    <w:spacing w:line="240" w:lineRule="auto"/>
                    <w:jc w:val="center"/>
                    <w:rPr>
                      <w:rFonts w:hint="default" w:eastAsia="宋体"/>
                      <w:color w:val="auto"/>
                      <w:lang w:val="en-US" w:eastAsia="zh-CN"/>
                    </w:rPr>
                  </w:pPr>
                  <w:r>
                    <w:rPr>
                      <w:rFonts w:hint="eastAsia"/>
                      <w:color w:val="auto"/>
                      <w:lang w:val="en-US" w:eastAsia="zh-CN"/>
                    </w:rPr>
                    <w:t>装载机</w:t>
                  </w:r>
                </w:p>
              </w:tc>
              <w:tc>
                <w:tcPr>
                  <w:tcW w:w="472" w:type="dxa"/>
                  <w:shd w:val="clear" w:color="auto" w:fill="FFFFFF"/>
                  <w:vAlign w:val="center"/>
                </w:tcPr>
                <w:p>
                  <w:pPr>
                    <w:jc w:val="center"/>
                    <w:rPr>
                      <w:rFonts w:hint="default" w:ascii="Times New Roman" w:hAnsi="Times New Roman" w:cs="Times New Roman"/>
                      <w:color w:val="auto"/>
                    </w:rPr>
                  </w:pPr>
                  <w:r>
                    <w:rPr>
                      <w:rFonts w:hint="default" w:ascii="Times New Roman" w:hAnsi="Times New Roman" w:eastAsia="Arial" w:cs="Times New Roman"/>
                      <w:color w:val="auto"/>
                      <w:sz w:val="20"/>
                    </w:rPr>
                    <w:t>45.1</w:t>
                  </w:r>
                </w:p>
              </w:tc>
              <w:tc>
                <w:tcPr>
                  <w:tcW w:w="479" w:type="dxa"/>
                  <w:shd w:val="clear" w:color="auto" w:fill="FFFFFF"/>
                  <w:vAlign w:val="center"/>
                </w:tcPr>
                <w:p>
                  <w:pPr>
                    <w:jc w:val="center"/>
                    <w:rPr>
                      <w:rFonts w:hint="default" w:ascii="Times New Roman" w:hAnsi="Times New Roman" w:cs="Times New Roman"/>
                      <w:color w:val="auto"/>
                    </w:rPr>
                  </w:pPr>
                  <w:r>
                    <w:rPr>
                      <w:rFonts w:hint="default" w:ascii="Times New Roman" w:hAnsi="Times New Roman" w:eastAsia="Arial" w:cs="Times New Roman"/>
                      <w:color w:val="auto"/>
                      <w:sz w:val="20"/>
                    </w:rPr>
                    <w:t>115.4</w:t>
                  </w:r>
                </w:p>
              </w:tc>
              <w:tc>
                <w:tcPr>
                  <w:tcW w:w="594" w:type="dxa"/>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Arial" w:cs="Times New Roman"/>
                      <w:color w:val="auto"/>
                      <w:sz w:val="20"/>
                    </w:rPr>
                    <w:t>2</w:t>
                  </w:r>
                </w:p>
              </w:tc>
              <w:tc>
                <w:tcPr>
                  <w:tcW w:w="1668" w:type="dxa"/>
                  <w:shd w:val="clear" w:color="auto" w:fill="FFFFFF"/>
                  <w:vAlign w:val="center"/>
                </w:tcPr>
                <w:p>
                  <w:pPr>
                    <w:spacing w:line="240" w:lineRule="auto"/>
                    <w:jc w:val="center"/>
                    <w:rPr>
                      <w:rFonts w:hint="eastAsia" w:eastAsia="宋体"/>
                      <w:color w:val="auto"/>
                      <w:lang w:val="en-US" w:eastAsia="zh-CN"/>
                    </w:rPr>
                  </w:pPr>
                  <w:r>
                    <w:rPr>
                      <w:rFonts w:hint="eastAsia"/>
                      <w:color w:val="auto"/>
                      <w:lang w:val="en-US" w:eastAsia="zh-CN"/>
                    </w:rPr>
                    <w:t>/</w:t>
                  </w:r>
                </w:p>
              </w:tc>
              <w:tc>
                <w:tcPr>
                  <w:tcW w:w="1630" w:type="dxa"/>
                  <w:shd w:val="clear" w:color="auto" w:fill="FFFFFF"/>
                  <w:vAlign w:val="center"/>
                </w:tcPr>
                <w:p>
                  <w:pPr>
                    <w:spacing w:line="240" w:lineRule="auto"/>
                    <w:jc w:val="center"/>
                    <w:rPr>
                      <w:color w:val="auto"/>
                    </w:rPr>
                  </w:pPr>
                  <w:r>
                    <w:rPr>
                      <w:rFonts w:ascii="Arial" w:hAnsi="Arial" w:eastAsia="Arial" w:cs="Arial"/>
                      <w:color w:val="auto"/>
                      <w:sz w:val="20"/>
                    </w:rPr>
                    <w:t>90</w:t>
                  </w:r>
                </w:p>
              </w:tc>
              <w:tc>
                <w:tcPr>
                  <w:tcW w:w="758" w:type="dxa"/>
                  <w:shd w:val="clear" w:color="auto" w:fill="FFFFFF"/>
                  <w:vAlign w:val="center"/>
                </w:tcPr>
                <w:p>
                  <w:pPr>
                    <w:spacing w:line="240" w:lineRule="auto"/>
                    <w:jc w:val="center"/>
                    <w:rPr>
                      <w:rFonts w:hint="eastAsia" w:eastAsia="宋体"/>
                      <w:color w:val="auto"/>
                      <w:lang w:val="en-US" w:eastAsia="zh-CN"/>
                    </w:rPr>
                  </w:pPr>
                  <w:r>
                    <w:rPr>
                      <w:rFonts w:hint="eastAsia"/>
                      <w:color w:val="auto"/>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92" w:type="dxa"/>
                  <w:shd w:val="clear" w:color="auto" w:fill="FFFFFF"/>
                  <w:vAlign w:val="center"/>
                </w:tcPr>
                <w:p>
                  <w:pPr>
                    <w:spacing w:line="240" w:lineRule="auto"/>
                    <w:jc w:val="center"/>
                    <w:rPr>
                      <w:color w:val="auto"/>
                    </w:rPr>
                  </w:pPr>
                  <w:r>
                    <w:rPr>
                      <w:rFonts w:ascii="Arial" w:hAnsi="Arial" w:eastAsia="Arial" w:cs="Arial"/>
                      <w:color w:val="auto"/>
                      <w:sz w:val="20"/>
                    </w:rPr>
                    <w:t>2</w:t>
                  </w:r>
                </w:p>
              </w:tc>
              <w:tc>
                <w:tcPr>
                  <w:tcW w:w="878" w:type="dxa"/>
                  <w:shd w:val="clear" w:color="auto" w:fill="FFFFFF"/>
                  <w:vAlign w:val="center"/>
                </w:tcPr>
                <w:p>
                  <w:pPr>
                    <w:spacing w:line="240" w:lineRule="auto"/>
                    <w:jc w:val="center"/>
                    <w:rPr>
                      <w:color w:val="auto"/>
                    </w:rPr>
                  </w:pPr>
                  <w:r>
                    <w:rPr>
                      <w:rFonts w:ascii="Arial" w:hAnsi="Arial" w:eastAsia="Arial" w:cs="Arial"/>
                      <w:color w:val="auto"/>
                      <w:sz w:val="20"/>
                    </w:rPr>
                    <w:t>泵</w:t>
                  </w:r>
                </w:p>
              </w:tc>
              <w:tc>
                <w:tcPr>
                  <w:tcW w:w="472" w:type="dxa"/>
                  <w:shd w:val="clear" w:color="auto" w:fill="FFFFFF"/>
                  <w:vAlign w:val="center"/>
                </w:tcPr>
                <w:p>
                  <w:pPr>
                    <w:jc w:val="center"/>
                    <w:rPr>
                      <w:rFonts w:hint="default" w:ascii="Times New Roman" w:hAnsi="Times New Roman" w:cs="Times New Roman"/>
                      <w:color w:val="auto"/>
                    </w:rPr>
                  </w:pPr>
                  <w:r>
                    <w:rPr>
                      <w:rFonts w:hint="default" w:ascii="Times New Roman" w:hAnsi="Times New Roman" w:eastAsia="Arial" w:cs="Times New Roman"/>
                      <w:color w:val="auto"/>
                      <w:sz w:val="20"/>
                    </w:rPr>
                    <w:t>53.6</w:t>
                  </w:r>
                </w:p>
              </w:tc>
              <w:tc>
                <w:tcPr>
                  <w:tcW w:w="479" w:type="dxa"/>
                  <w:shd w:val="clear" w:color="auto" w:fill="FFFFFF"/>
                  <w:vAlign w:val="center"/>
                </w:tcPr>
                <w:p>
                  <w:pPr>
                    <w:jc w:val="center"/>
                    <w:rPr>
                      <w:rFonts w:hint="default" w:ascii="Times New Roman" w:hAnsi="Times New Roman" w:cs="Times New Roman"/>
                      <w:color w:val="auto"/>
                    </w:rPr>
                  </w:pPr>
                  <w:r>
                    <w:rPr>
                      <w:rFonts w:hint="default" w:ascii="Times New Roman" w:hAnsi="Times New Roman" w:eastAsia="Arial" w:cs="Times New Roman"/>
                      <w:color w:val="auto"/>
                      <w:sz w:val="20"/>
                    </w:rPr>
                    <w:t>268.6</w:t>
                  </w:r>
                </w:p>
              </w:tc>
              <w:tc>
                <w:tcPr>
                  <w:tcW w:w="594" w:type="dxa"/>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Arial" w:cs="Times New Roman"/>
                      <w:color w:val="auto"/>
                      <w:sz w:val="20"/>
                    </w:rPr>
                    <w:t>0.5</w:t>
                  </w:r>
                </w:p>
              </w:tc>
              <w:tc>
                <w:tcPr>
                  <w:tcW w:w="1668" w:type="dxa"/>
                  <w:shd w:val="clear" w:color="auto" w:fill="FFFFFF"/>
                  <w:vAlign w:val="center"/>
                </w:tcPr>
                <w:p>
                  <w:pPr>
                    <w:spacing w:line="240" w:lineRule="auto"/>
                    <w:jc w:val="center"/>
                    <w:rPr>
                      <w:rFonts w:hint="eastAsia" w:eastAsia="宋体"/>
                      <w:color w:val="auto"/>
                      <w:lang w:val="en-US" w:eastAsia="zh-CN"/>
                    </w:rPr>
                  </w:pPr>
                  <w:r>
                    <w:rPr>
                      <w:rFonts w:hint="eastAsia"/>
                      <w:color w:val="auto"/>
                      <w:lang w:val="en-US" w:eastAsia="zh-CN"/>
                    </w:rPr>
                    <w:t>/</w:t>
                  </w:r>
                </w:p>
              </w:tc>
              <w:tc>
                <w:tcPr>
                  <w:tcW w:w="1630" w:type="dxa"/>
                  <w:shd w:val="clear" w:color="auto" w:fill="FFFFFF"/>
                  <w:vAlign w:val="center"/>
                </w:tcPr>
                <w:p>
                  <w:pPr>
                    <w:spacing w:line="240" w:lineRule="auto"/>
                    <w:jc w:val="center"/>
                    <w:rPr>
                      <w:color w:val="auto"/>
                    </w:rPr>
                  </w:pPr>
                  <w:r>
                    <w:rPr>
                      <w:rFonts w:ascii="Arial" w:hAnsi="Arial" w:eastAsia="Arial" w:cs="Arial"/>
                      <w:color w:val="auto"/>
                      <w:sz w:val="20"/>
                    </w:rPr>
                    <w:t>70</w:t>
                  </w:r>
                </w:p>
              </w:tc>
              <w:tc>
                <w:tcPr>
                  <w:tcW w:w="758" w:type="dxa"/>
                  <w:shd w:val="clear" w:color="auto" w:fill="FFFFFF"/>
                  <w:vAlign w:val="center"/>
                </w:tcPr>
                <w:p>
                  <w:pPr>
                    <w:spacing w:line="240" w:lineRule="auto"/>
                    <w:jc w:val="center"/>
                    <w:rPr>
                      <w:rFonts w:hint="default" w:eastAsia="宋体"/>
                      <w:color w:val="auto"/>
                      <w:lang w:val="en-US" w:eastAsia="zh-CN"/>
                    </w:rPr>
                  </w:pPr>
                  <w:r>
                    <w:rPr>
                      <w:rFonts w:hint="eastAsia"/>
                      <w:color w:val="auto"/>
                      <w:lang w:val="en-US" w:eastAsia="zh-CN"/>
                    </w:rPr>
                    <w:t>昼夜</w:t>
                  </w:r>
                </w:p>
              </w:tc>
            </w:tr>
          </w:tbl>
          <w:p>
            <w:pPr>
              <w:pStyle w:val="60"/>
              <w:keepNext w:val="0"/>
              <w:keepLines w:val="0"/>
              <w:pageBreakBefore w:val="0"/>
              <w:widowControl w:val="0"/>
              <w:kinsoku/>
              <w:wordWrap/>
              <w:overflowPunct/>
              <w:topLinePunct w:val="0"/>
              <w:autoSpaceDE/>
              <w:autoSpaceDN/>
              <w:bidi w:val="0"/>
              <w:adjustRightInd/>
              <w:snapToGrid/>
              <w:spacing w:before="126" w:beforeLines="40" w:line="240" w:lineRule="auto"/>
              <w:ind w:firstLine="0" w:firstLineChars="0"/>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表4-17   工业企业噪声源强调查清单（室内声源）</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732"/>
              <w:gridCol w:w="704"/>
              <w:gridCol w:w="894"/>
              <w:gridCol w:w="735"/>
              <w:gridCol w:w="675"/>
              <w:gridCol w:w="609"/>
              <w:gridCol w:w="578"/>
              <w:gridCol w:w="578"/>
              <w:gridCol w:w="578"/>
              <w:gridCol w:w="57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5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bookmarkStart w:id="4" w:name="PT_6"/>
                  <w:r>
                    <w:rPr>
                      <w:rFonts w:hint="default" w:ascii="Times New Roman" w:hAnsi="Times New Roman" w:eastAsia="宋体" w:cs="Times New Roman"/>
                      <w:b/>
                      <w:color w:val="auto"/>
                      <w:sz w:val="21"/>
                      <w:szCs w:val="21"/>
                    </w:rPr>
                    <w:t>序号</w:t>
                  </w:r>
                </w:p>
              </w:tc>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201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310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32"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704"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89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73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67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60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57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破碎车间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滚筒筛</w:t>
                  </w:r>
                </w:p>
              </w:tc>
              <w:tc>
                <w:tcPr>
                  <w:tcW w:w="89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73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46.3</w:t>
                  </w:r>
                </w:p>
              </w:tc>
              <w:tc>
                <w:tcPr>
                  <w:tcW w:w="67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145.2</w:t>
                  </w:r>
                </w:p>
              </w:tc>
              <w:tc>
                <w:tcPr>
                  <w:tcW w:w="60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color w:val="auto"/>
                      <w:sz w:val="20"/>
                    </w:rPr>
                    <w:t>0.6</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30.9</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31.0</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31.2</w:t>
                  </w:r>
                </w:p>
              </w:tc>
              <w:tc>
                <w:tcPr>
                  <w:tcW w:w="57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30.9</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砖机车间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搅拌机</w:t>
                  </w:r>
                </w:p>
              </w:tc>
              <w:tc>
                <w:tcPr>
                  <w:tcW w:w="89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c>
                <w:tcPr>
                  <w:tcW w:w="73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48.1</w:t>
                  </w:r>
                </w:p>
              </w:tc>
              <w:tc>
                <w:tcPr>
                  <w:tcW w:w="67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197.6</w:t>
                  </w:r>
                </w:p>
              </w:tc>
              <w:tc>
                <w:tcPr>
                  <w:tcW w:w="60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1.5</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39.0</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39.8</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39.0</w:t>
                  </w:r>
                </w:p>
              </w:tc>
              <w:tc>
                <w:tcPr>
                  <w:tcW w:w="57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38.9</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破碎车间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锤式破碎机</w:t>
                  </w:r>
                </w:p>
              </w:tc>
              <w:tc>
                <w:tcPr>
                  <w:tcW w:w="89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73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63.6</w:t>
                  </w:r>
                </w:p>
              </w:tc>
              <w:tc>
                <w:tcPr>
                  <w:tcW w:w="67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146.4</w:t>
                  </w:r>
                </w:p>
              </w:tc>
              <w:tc>
                <w:tcPr>
                  <w:tcW w:w="60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1.5</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30.9</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30.9</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30.9</w:t>
                  </w:r>
                </w:p>
              </w:tc>
              <w:tc>
                <w:tcPr>
                  <w:tcW w:w="57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31.0</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砖机车间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打土机</w:t>
                  </w:r>
                </w:p>
              </w:tc>
              <w:tc>
                <w:tcPr>
                  <w:tcW w:w="89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73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48</w:t>
                  </w:r>
                </w:p>
              </w:tc>
              <w:tc>
                <w:tcPr>
                  <w:tcW w:w="67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204.6</w:t>
                  </w:r>
                </w:p>
              </w:tc>
              <w:tc>
                <w:tcPr>
                  <w:tcW w:w="60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color w:val="auto"/>
                      <w:sz w:val="20"/>
                    </w:rPr>
                    <w:t>1.8</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34.0</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33.9</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34.0</w:t>
                  </w:r>
                </w:p>
              </w:tc>
              <w:tc>
                <w:tcPr>
                  <w:tcW w:w="57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33.9</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砖机车间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全自动切坯切条机</w:t>
                  </w:r>
                </w:p>
              </w:tc>
              <w:tc>
                <w:tcPr>
                  <w:tcW w:w="89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73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50.7</w:t>
                  </w:r>
                </w:p>
              </w:tc>
              <w:tc>
                <w:tcPr>
                  <w:tcW w:w="67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210.9</w:t>
                  </w:r>
                </w:p>
              </w:tc>
              <w:tc>
                <w:tcPr>
                  <w:tcW w:w="60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color w:val="auto"/>
                      <w:sz w:val="20"/>
                    </w:rPr>
                    <w:t>2</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29.1</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28.9</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28.9</w:t>
                  </w:r>
                </w:p>
              </w:tc>
              <w:tc>
                <w:tcPr>
                  <w:tcW w:w="57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29.0</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砖机车间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双级真空挤出机</w:t>
                  </w:r>
                </w:p>
              </w:tc>
              <w:tc>
                <w:tcPr>
                  <w:tcW w:w="89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73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46.8</w:t>
                  </w:r>
                </w:p>
              </w:tc>
              <w:tc>
                <w:tcPr>
                  <w:tcW w:w="67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210.4</w:t>
                  </w:r>
                </w:p>
              </w:tc>
              <w:tc>
                <w:tcPr>
                  <w:tcW w:w="60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color w:val="auto"/>
                      <w:sz w:val="20"/>
                    </w:rPr>
                    <w:t>1.6</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28.9</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28.9</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29.1</w:t>
                  </w:r>
                </w:p>
              </w:tc>
              <w:tc>
                <w:tcPr>
                  <w:tcW w:w="57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29.0</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焙烧车间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风机</w:t>
                  </w:r>
                </w:p>
              </w:tc>
              <w:tc>
                <w:tcPr>
                  <w:tcW w:w="89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73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70.9</w:t>
                  </w:r>
                </w:p>
              </w:tc>
              <w:tc>
                <w:tcPr>
                  <w:tcW w:w="675"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240.6</w:t>
                  </w:r>
                </w:p>
              </w:tc>
              <w:tc>
                <w:tcPr>
                  <w:tcW w:w="60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color w:val="auto"/>
                      <w:sz w:val="20"/>
                    </w:rPr>
                    <w:t>1.6</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45.0</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45.0</w:t>
                  </w:r>
                </w:p>
              </w:tc>
              <w:tc>
                <w:tcPr>
                  <w:tcW w:w="578"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45.0</w:t>
                  </w:r>
                </w:p>
              </w:tc>
              <w:tc>
                <w:tcPr>
                  <w:tcW w:w="579" w:type="dxa"/>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Arial" w:cs="Times New Roman"/>
                      <w:color w:val="auto"/>
                      <w:sz w:val="20"/>
                    </w:rPr>
                    <w:t>45.0</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bookmarkEnd w:id="4"/>
          </w:tbl>
          <w:p>
            <w:pPr>
              <w:pStyle w:val="60"/>
              <w:ind w:firstLine="0" w:firstLineChars="0"/>
              <w:rPr>
                <w:rFonts w:hint="eastAsia" w:eastAsia="宋体"/>
                <w:b/>
                <w:bCs/>
                <w:color w:val="auto"/>
                <w:sz w:val="24"/>
                <w:lang w:val="en-US" w:eastAsia="zh-CN"/>
              </w:rPr>
            </w:pPr>
            <w:r>
              <w:rPr>
                <w:rFonts w:hint="eastAsia"/>
                <w:b/>
                <w:bCs/>
                <w:color w:val="auto"/>
                <w:sz w:val="24"/>
              </w:rPr>
              <w:t>3</w:t>
            </w:r>
            <w:r>
              <w:rPr>
                <w:b/>
                <w:bCs/>
                <w:color w:val="auto"/>
                <w:sz w:val="24"/>
              </w:rPr>
              <w:t>.2</w:t>
            </w:r>
            <w:r>
              <w:rPr>
                <w:rFonts w:hint="eastAsia"/>
                <w:b/>
                <w:bCs/>
                <w:color w:val="auto"/>
                <w:sz w:val="24"/>
                <w:lang w:val="en-US" w:eastAsia="zh-CN"/>
              </w:rPr>
              <w:t>预测结果</w:t>
            </w:r>
          </w:p>
          <w:p>
            <w:pPr>
              <w:pStyle w:val="60"/>
              <w:ind w:firstLine="48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eastAsia="zh-CN"/>
              </w:rPr>
              <w:t>通过预测模型计算，项目厂界噪声预测结果与达标分析见表</w:t>
            </w:r>
            <w:r>
              <w:rPr>
                <w:rFonts w:hint="eastAsia" w:ascii="Times New Roman" w:hAnsi="Times New Roman" w:eastAsia="宋体" w:cs="Times New Roman"/>
                <w:color w:val="auto"/>
                <w:sz w:val="24"/>
                <w:lang w:val="en-US" w:eastAsia="zh-CN"/>
              </w:rPr>
              <w:t>4-18</w:t>
            </w:r>
            <w:r>
              <w:rPr>
                <w:rFonts w:hint="default" w:ascii="Times New Roman" w:hAnsi="Times New Roman" w:eastAsia="宋体" w:cs="Times New Roman"/>
                <w:color w:val="auto"/>
                <w:sz w:val="24"/>
                <w:lang w:eastAsia="zh-CN"/>
              </w:rPr>
              <w:t>，声环境保护目标噪声预测结果与达标分析见表</w:t>
            </w:r>
            <w:r>
              <w:rPr>
                <w:rFonts w:hint="eastAsia" w:ascii="Times New Roman" w:hAnsi="Times New Roman" w:eastAsia="宋体" w:cs="Times New Roman"/>
                <w:color w:val="auto"/>
                <w:sz w:val="24"/>
                <w:lang w:val="en-US" w:eastAsia="zh-CN"/>
              </w:rPr>
              <w:t>4-19。</w:t>
            </w:r>
          </w:p>
          <w:p>
            <w:pPr>
              <w:pStyle w:val="60"/>
              <w:spacing w:line="240" w:lineRule="auto"/>
              <w:ind w:left="0" w:leftChars="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表4-18   厂界噪声预测结果与达标分析表</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757"/>
              <w:gridCol w:w="927"/>
              <w:gridCol w:w="915"/>
              <w:gridCol w:w="991"/>
              <w:gridCol w:w="1169"/>
              <w:gridCol w:w="129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预测方位</w:t>
                  </w:r>
                </w:p>
              </w:tc>
              <w:tc>
                <w:tcPr>
                  <w:tcW w:w="2599" w:type="dxa"/>
                  <w:gridSpan w:val="3"/>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lang w:val="en-US" w:eastAsia="zh-CN"/>
                    </w:rPr>
                    <w:t>最大值点</w:t>
                  </w:r>
                  <w:r>
                    <w:rPr>
                      <w:rFonts w:hint="default" w:ascii="Times New Roman" w:hAnsi="Times New Roman" w:eastAsia="宋体" w:cs="Times New Roman"/>
                      <w:b/>
                      <w:color w:val="auto"/>
                      <w:sz w:val="21"/>
                      <w:szCs w:val="21"/>
                    </w:rPr>
                    <w:t>空间相对位置/m</w:t>
                  </w:r>
                </w:p>
              </w:tc>
              <w:tc>
                <w:tcPr>
                  <w:tcW w:w="991"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时段</w:t>
                  </w:r>
                </w:p>
              </w:tc>
              <w:tc>
                <w:tcPr>
                  <w:tcW w:w="1169"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贡献值（dB(A)）</w:t>
                  </w:r>
                </w:p>
              </w:tc>
              <w:tc>
                <w:tcPr>
                  <w:tcW w:w="129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标准限值（dB(A)）</w:t>
                  </w:r>
                </w:p>
              </w:tc>
              <w:tc>
                <w:tcPr>
                  <w:tcW w:w="913" w:type="dxa"/>
                  <w:vMerge w:val="restart"/>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99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169"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290"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913"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restart"/>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75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77.7</w:t>
                  </w:r>
                </w:p>
              </w:tc>
              <w:tc>
                <w:tcPr>
                  <w:tcW w:w="92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77.6</w:t>
                  </w:r>
                </w:p>
              </w:tc>
              <w:tc>
                <w:tcPr>
                  <w:tcW w:w="915"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99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169"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27.8</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75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104.5</w:t>
                  </w:r>
                </w:p>
              </w:tc>
              <w:tc>
                <w:tcPr>
                  <w:tcW w:w="92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104.4</w:t>
                  </w:r>
                </w:p>
              </w:tc>
              <w:tc>
                <w:tcPr>
                  <w:tcW w:w="915"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99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169"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restart"/>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75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33.3</w:t>
                  </w:r>
                </w:p>
              </w:tc>
              <w:tc>
                <w:tcPr>
                  <w:tcW w:w="92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-34.9</w:t>
                  </w:r>
                </w:p>
              </w:tc>
              <w:tc>
                <w:tcPr>
                  <w:tcW w:w="915"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99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169"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75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-36.5</w:t>
                  </w:r>
                </w:p>
              </w:tc>
              <w:tc>
                <w:tcPr>
                  <w:tcW w:w="92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-260.7</w:t>
                  </w:r>
                </w:p>
              </w:tc>
              <w:tc>
                <w:tcPr>
                  <w:tcW w:w="915"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99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169"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restart"/>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75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-45</w:t>
                  </w:r>
                </w:p>
              </w:tc>
              <w:tc>
                <w:tcPr>
                  <w:tcW w:w="92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41</w:t>
                  </w:r>
                </w:p>
              </w:tc>
              <w:tc>
                <w:tcPr>
                  <w:tcW w:w="915"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99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169"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75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-75.7</w:t>
                  </w:r>
                </w:p>
              </w:tc>
              <w:tc>
                <w:tcPr>
                  <w:tcW w:w="92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-74.4</w:t>
                  </w:r>
                </w:p>
              </w:tc>
              <w:tc>
                <w:tcPr>
                  <w:tcW w:w="915"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w:t>
                  </w:r>
                </w:p>
              </w:tc>
              <w:tc>
                <w:tcPr>
                  <w:tcW w:w="99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169"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restart"/>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75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Arial" w:cs="Times New Roman"/>
                      <w:color w:val="auto"/>
                      <w:sz w:val="21"/>
                      <w:szCs w:val="21"/>
                    </w:rPr>
                    <w:t>42.9</w:t>
                  </w:r>
                </w:p>
              </w:tc>
              <w:tc>
                <w:tcPr>
                  <w:tcW w:w="92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Arial" w:cs="Times New Roman"/>
                      <w:color w:val="auto"/>
                      <w:sz w:val="21"/>
                      <w:szCs w:val="21"/>
                    </w:rPr>
                    <w:t>268.1</w:t>
                  </w:r>
                </w:p>
              </w:tc>
              <w:tc>
                <w:tcPr>
                  <w:tcW w:w="915"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Arial" w:cs="Times New Roman"/>
                      <w:color w:val="auto"/>
                      <w:sz w:val="21"/>
                      <w:szCs w:val="21"/>
                    </w:rPr>
                    <w:t>1.2</w:t>
                  </w:r>
                </w:p>
              </w:tc>
              <w:tc>
                <w:tcPr>
                  <w:tcW w:w="99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169"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38.4</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75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Arial" w:cs="Times New Roman"/>
                      <w:color w:val="auto"/>
                      <w:sz w:val="21"/>
                      <w:szCs w:val="21"/>
                    </w:rPr>
                    <w:t>42.9</w:t>
                  </w:r>
                </w:p>
              </w:tc>
              <w:tc>
                <w:tcPr>
                  <w:tcW w:w="927"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Arial" w:cs="Times New Roman"/>
                      <w:color w:val="auto"/>
                      <w:sz w:val="21"/>
                      <w:szCs w:val="21"/>
                    </w:rPr>
                    <w:t>268.1</w:t>
                  </w:r>
                </w:p>
              </w:tc>
              <w:tc>
                <w:tcPr>
                  <w:tcW w:w="915" w:type="dxa"/>
                  <w:shd w:val="clear" w:color="auto" w:fill="FFFFFF"/>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Arial" w:cs="Times New Roman"/>
                      <w:color w:val="auto"/>
                      <w:sz w:val="21"/>
                      <w:szCs w:val="21"/>
                    </w:rPr>
                    <w:t>1.2</w:t>
                  </w:r>
                </w:p>
              </w:tc>
              <w:tc>
                <w:tcPr>
                  <w:tcW w:w="991"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169"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0"/>
                    </w:rPr>
                    <w:t>38.4</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pPr>
              <w:pStyle w:val="60"/>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由上表</w:t>
            </w:r>
            <w:r>
              <w:rPr>
                <w:rFonts w:hint="eastAsia" w:cs="Times New Roman"/>
                <w:color w:val="auto"/>
                <w:sz w:val="24"/>
                <w:szCs w:val="24"/>
                <w:lang w:val="en-US" w:eastAsia="zh-CN"/>
              </w:rPr>
              <w:t>预测可知</w:t>
            </w:r>
            <w:r>
              <w:rPr>
                <w:rFonts w:hint="default" w:ascii="Times New Roman" w:hAnsi="Times New Roman" w:eastAsia="宋体" w:cs="Times New Roman"/>
                <w:color w:val="auto"/>
                <w:sz w:val="24"/>
                <w:szCs w:val="24"/>
              </w:rPr>
              <w:t>，项目运营期</w:t>
            </w:r>
            <w:r>
              <w:rPr>
                <w:rFonts w:hint="eastAsia" w:cs="Times New Roman"/>
                <w:color w:val="auto"/>
                <w:sz w:val="24"/>
                <w:szCs w:val="24"/>
                <w:lang w:val="en-US" w:eastAsia="zh-CN"/>
              </w:rPr>
              <w:t>厂界噪声</w:t>
            </w:r>
            <w:r>
              <w:rPr>
                <w:rFonts w:hint="default" w:ascii="Times New Roman" w:hAnsi="Times New Roman" w:eastAsia="宋体" w:cs="Times New Roman"/>
                <w:color w:val="auto"/>
                <w:sz w:val="24"/>
                <w:szCs w:val="24"/>
              </w:rPr>
              <w:t>能够满足《工业企业厂界环境噪声排放标准》（GB12348-2008）中2类标准</w:t>
            </w:r>
            <w:r>
              <w:rPr>
                <w:rFonts w:hint="eastAsia" w:cs="Times New Roman"/>
                <w:color w:val="auto"/>
                <w:sz w:val="24"/>
                <w:szCs w:val="24"/>
                <w:lang w:eastAsia="zh-CN"/>
              </w:rPr>
              <w:t>，</w:t>
            </w:r>
            <w:r>
              <w:rPr>
                <w:rFonts w:hint="eastAsia" w:cs="Times New Roman"/>
                <w:color w:val="auto"/>
                <w:sz w:val="24"/>
                <w:szCs w:val="24"/>
                <w:lang w:val="en-US" w:eastAsia="zh-CN"/>
              </w:rPr>
              <w:t>对环境影响较小</w:t>
            </w:r>
            <w:r>
              <w:rPr>
                <w:rFonts w:hint="default" w:ascii="Times New Roman" w:hAnsi="Times New Roman" w:eastAsia="宋体" w:cs="Times New Roman"/>
                <w:color w:val="auto"/>
                <w:sz w:val="24"/>
                <w:szCs w:val="24"/>
              </w:rPr>
              <w:t>。</w:t>
            </w:r>
          </w:p>
          <w:p>
            <w:pPr>
              <w:pStyle w:val="60"/>
              <w:ind w:left="0" w:leftChars="0" w:firstLine="0" w:firstLineChars="0"/>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rPr>
              <w:t>固体废物影响</w:t>
            </w:r>
          </w:p>
          <w:p>
            <w:pPr>
              <w:pStyle w:val="60"/>
              <w:ind w:firstLine="42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项目运营期固体废物</w:t>
            </w:r>
            <w:r>
              <w:rPr>
                <w:rFonts w:hint="eastAsia" w:cs="Times New Roman"/>
                <w:color w:val="auto"/>
                <w:sz w:val="24"/>
                <w:szCs w:val="24"/>
                <w:lang w:val="en-US" w:eastAsia="zh-CN"/>
              </w:rPr>
              <w:t>包括一般固废、危险废物及生活垃圾</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主要包括不合格产品、边角料、脱硫废渣、除尘器收集粉尘、</w:t>
            </w:r>
            <w:r>
              <w:rPr>
                <w:rFonts w:hint="eastAsia" w:cs="Times New Roman"/>
                <w:color w:val="auto"/>
                <w:sz w:val="24"/>
                <w:szCs w:val="24"/>
                <w:lang w:val="en-US" w:eastAsia="zh-CN"/>
              </w:rPr>
              <w:t>焙烧窑炉渣、</w:t>
            </w:r>
            <w:r>
              <w:rPr>
                <w:rFonts w:hint="eastAsia"/>
                <w:color w:val="auto"/>
                <w:sz w:val="24"/>
                <w:lang w:val="en-US" w:eastAsia="zh-CN"/>
              </w:rPr>
              <w:t>废包装袋、非制砖废料</w:t>
            </w:r>
            <w:r>
              <w:rPr>
                <w:rFonts w:hint="eastAsia"/>
                <w:color w:val="auto"/>
                <w:sz w:val="24"/>
              </w:rPr>
              <w:t>、</w:t>
            </w:r>
            <w:r>
              <w:rPr>
                <w:rFonts w:hint="default" w:ascii="Times New Roman" w:hAnsi="Times New Roman" w:eastAsia="宋体" w:cs="Times New Roman"/>
                <w:color w:val="auto"/>
                <w:sz w:val="24"/>
                <w:szCs w:val="24"/>
              </w:rPr>
              <w:t>废机油</w:t>
            </w:r>
            <w:r>
              <w:rPr>
                <w:rFonts w:hint="eastAsia" w:cs="Times New Roman"/>
                <w:color w:val="auto"/>
                <w:sz w:val="24"/>
                <w:szCs w:val="24"/>
                <w:lang w:val="en-US" w:eastAsia="zh-CN"/>
              </w:rPr>
              <w:t>和机油桶、</w:t>
            </w:r>
            <w:r>
              <w:rPr>
                <w:rFonts w:hint="default" w:ascii="Times New Roman" w:hAnsi="Times New Roman" w:eastAsia="宋体" w:cs="Times New Roman"/>
                <w:color w:val="auto"/>
                <w:sz w:val="24"/>
                <w:szCs w:val="24"/>
              </w:rPr>
              <w:t>生活垃圾</w:t>
            </w:r>
            <w:r>
              <w:rPr>
                <w:rFonts w:hint="eastAsia" w:cs="Times New Roman"/>
                <w:color w:val="auto"/>
                <w:sz w:val="24"/>
                <w:szCs w:val="24"/>
                <w:lang w:val="en-US" w:eastAsia="zh-CN"/>
              </w:rPr>
              <w:t>及餐厨垃圾</w:t>
            </w:r>
            <w:r>
              <w:rPr>
                <w:rFonts w:hint="default" w:ascii="Times New Roman" w:hAnsi="Times New Roman" w:eastAsia="宋体" w:cs="Times New Roman"/>
                <w:color w:val="auto"/>
                <w:sz w:val="24"/>
                <w:szCs w:val="24"/>
              </w:rPr>
              <w:t>。</w:t>
            </w:r>
          </w:p>
          <w:p>
            <w:pPr>
              <w:pStyle w:val="60"/>
              <w:ind w:firstLine="42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1</w:t>
            </w:r>
            <w:r>
              <w:rPr>
                <w:rFonts w:hint="eastAsia" w:cs="Times New Roman"/>
                <w:color w:val="auto"/>
                <w:sz w:val="24"/>
                <w:szCs w:val="24"/>
                <w:lang w:eastAsia="zh-CN"/>
              </w:rPr>
              <w:t>）</w:t>
            </w:r>
            <w:r>
              <w:rPr>
                <w:rFonts w:hint="eastAsia" w:cs="Times New Roman"/>
                <w:color w:val="auto"/>
                <w:sz w:val="24"/>
                <w:szCs w:val="24"/>
                <w:lang w:val="en-US" w:eastAsia="zh-CN"/>
              </w:rPr>
              <w:t>一般固体废物</w:t>
            </w:r>
          </w:p>
          <w:p>
            <w:pPr>
              <w:pStyle w:val="60"/>
              <w:ind w:firstLine="420"/>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本项目一般固体废物主要包括</w:t>
            </w:r>
            <w:r>
              <w:rPr>
                <w:rFonts w:hint="default" w:ascii="Times New Roman" w:hAnsi="Times New Roman" w:eastAsia="宋体" w:cs="Times New Roman"/>
                <w:color w:val="auto"/>
                <w:sz w:val="24"/>
                <w:szCs w:val="24"/>
              </w:rPr>
              <w:t>不合格产品、边角料、脱硫废渣、除尘器收集粉尘</w:t>
            </w:r>
            <w:r>
              <w:rPr>
                <w:rFonts w:hint="eastAsia" w:cs="Times New Roman"/>
                <w:color w:val="auto"/>
                <w:sz w:val="24"/>
                <w:szCs w:val="24"/>
                <w:lang w:eastAsia="zh-CN"/>
              </w:rPr>
              <w:t>、</w:t>
            </w:r>
            <w:r>
              <w:rPr>
                <w:rFonts w:hint="eastAsia"/>
                <w:color w:val="auto"/>
                <w:sz w:val="24"/>
                <w:lang w:val="en-US" w:eastAsia="zh-CN"/>
              </w:rPr>
              <w:t>非制砖废料及废包装袋</w:t>
            </w:r>
            <w:r>
              <w:rPr>
                <w:rFonts w:hint="eastAsia" w:ascii="Times New Roman" w:hAnsi="Times New Roman" w:eastAsia="宋体" w:cs="Times New Roman"/>
                <w:color w:val="auto"/>
                <w:sz w:val="24"/>
                <w:szCs w:val="24"/>
                <w:lang w:val="en-US" w:eastAsia="zh-CN"/>
              </w:rPr>
              <w:t>等</w:t>
            </w:r>
            <w:r>
              <w:rPr>
                <w:rFonts w:hint="eastAsia" w:cs="Times New Roman"/>
                <w:color w:val="auto"/>
                <w:sz w:val="24"/>
                <w:szCs w:val="24"/>
                <w:lang w:val="en-US" w:eastAsia="zh-CN"/>
              </w:rPr>
              <w:t>。</w:t>
            </w:r>
          </w:p>
          <w:p>
            <w:pPr>
              <w:pStyle w:val="60"/>
              <w:spacing w:line="360" w:lineRule="auto"/>
              <w:ind w:firstLine="42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rPr>
              <w:t>不合格产品</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项目运营期不合格产品产生率一般为0.15%，项目年产标砖</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000万块，则不合格产品产生量为</w:t>
            </w:r>
            <w:r>
              <w:rPr>
                <w:rFonts w:hint="eastAsia" w:cs="Times New Roman"/>
                <w:color w:val="auto"/>
                <w:sz w:val="24"/>
                <w:szCs w:val="24"/>
                <w:lang w:val="en-US" w:eastAsia="zh-CN"/>
              </w:rPr>
              <w:t>9000</w:t>
            </w:r>
            <w:r>
              <w:rPr>
                <w:rFonts w:hint="default" w:ascii="Times New Roman" w:hAnsi="Times New Roman" w:eastAsia="宋体" w:cs="Times New Roman"/>
                <w:color w:val="auto"/>
                <w:sz w:val="24"/>
                <w:szCs w:val="24"/>
              </w:rPr>
              <w:t>0块，约</w:t>
            </w:r>
            <w:r>
              <w:rPr>
                <w:rFonts w:hint="eastAsia" w:cs="Times New Roman"/>
                <w:color w:val="auto"/>
                <w:sz w:val="24"/>
                <w:szCs w:val="24"/>
                <w:lang w:val="en-US" w:eastAsia="zh-CN"/>
              </w:rPr>
              <w:t>232.2t</w:t>
            </w:r>
            <w:r>
              <w:rPr>
                <w:rFonts w:hint="default" w:ascii="Times New Roman" w:hAnsi="Times New Roman" w:eastAsia="宋体" w:cs="Times New Roman"/>
                <w:color w:val="auto"/>
                <w:sz w:val="24"/>
                <w:szCs w:val="24"/>
              </w:rPr>
              <w:t>/a，不合格产品集中回收破碎处理后回用于原料生产。</w:t>
            </w:r>
          </w:p>
          <w:p>
            <w:pPr>
              <w:pStyle w:val="60"/>
              <w:ind w:firstLine="42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rPr>
              <w:t>边角料</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砖机车间</w:t>
            </w:r>
            <w:r>
              <w:rPr>
                <w:rFonts w:hint="default" w:ascii="Times New Roman" w:hAnsi="Times New Roman" w:eastAsia="宋体" w:cs="Times New Roman"/>
                <w:color w:val="auto"/>
                <w:sz w:val="24"/>
                <w:szCs w:val="24"/>
              </w:rPr>
              <w:t>切坯等工序产生一定量的边角料，边角料产生量约为产品的0.01%，边角料产生量为</w:t>
            </w:r>
            <w:r>
              <w:rPr>
                <w:rFonts w:hint="eastAsia" w:cs="Times New Roman"/>
                <w:color w:val="auto"/>
                <w:sz w:val="24"/>
                <w:szCs w:val="24"/>
                <w:lang w:val="en-US" w:eastAsia="zh-CN"/>
              </w:rPr>
              <w:t>15.48</w:t>
            </w:r>
            <w:r>
              <w:rPr>
                <w:rFonts w:hint="default" w:ascii="Times New Roman" w:hAnsi="Times New Roman" w:eastAsia="宋体" w:cs="Times New Roman"/>
                <w:color w:val="auto"/>
                <w:sz w:val="24"/>
                <w:szCs w:val="24"/>
              </w:rPr>
              <w:t>t/a，集中回收破碎处理后回用于原料生产。</w:t>
            </w:r>
          </w:p>
          <w:p>
            <w:pPr>
              <w:pStyle w:val="60"/>
              <w:ind w:firstLine="420"/>
              <w:rPr>
                <w:color w:val="auto"/>
                <w:sz w:val="24"/>
                <w:szCs w:val="24"/>
              </w:rPr>
            </w:pPr>
            <w:r>
              <w:rPr>
                <w:rFonts w:hint="eastAsia"/>
                <w:color w:val="auto"/>
                <w:sz w:val="24"/>
                <w:szCs w:val="24"/>
                <w:lang w:val="en-US" w:eastAsia="zh-CN"/>
              </w:rPr>
              <w:t>③</w:t>
            </w:r>
            <w:r>
              <w:rPr>
                <w:color w:val="auto"/>
                <w:sz w:val="24"/>
                <w:szCs w:val="24"/>
              </w:rPr>
              <w:t>除尘器收集粉尘</w:t>
            </w:r>
          </w:p>
          <w:p>
            <w:pPr>
              <w:pStyle w:val="60"/>
              <w:ind w:firstLine="420"/>
              <w:rPr>
                <w:color w:val="auto"/>
                <w:sz w:val="24"/>
                <w:szCs w:val="24"/>
              </w:rPr>
            </w:pPr>
            <w:r>
              <w:rPr>
                <w:color w:val="auto"/>
                <w:sz w:val="24"/>
              </w:rPr>
              <w:t>项目除尘设备</w:t>
            </w:r>
            <w:r>
              <w:rPr>
                <w:rFonts w:hint="eastAsia"/>
                <w:color w:val="auto"/>
                <w:sz w:val="24"/>
              </w:rPr>
              <w:t>处理效率为98%，</w:t>
            </w:r>
            <w:r>
              <w:rPr>
                <w:rFonts w:hint="eastAsia"/>
                <w:color w:val="auto"/>
                <w:sz w:val="24"/>
                <w:lang w:val="en-US" w:eastAsia="zh-CN"/>
              </w:rPr>
              <w:t>项目除尘灰主要来自隧道窑烟气处理设施及破碎筛分过程粉尘，总计34.44t/a，收集后回用于生产</w:t>
            </w:r>
            <w:r>
              <w:rPr>
                <w:color w:val="auto"/>
                <w:sz w:val="24"/>
                <w:szCs w:val="24"/>
              </w:rPr>
              <w:t>。</w:t>
            </w:r>
          </w:p>
          <w:p>
            <w:pPr>
              <w:pStyle w:val="60"/>
              <w:ind w:firstLine="420"/>
              <w:rPr>
                <w:color w:val="auto"/>
                <w:sz w:val="24"/>
                <w:szCs w:val="24"/>
              </w:rPr>
            </w:pPr>
            <w:r>
              <w:rPr>
                <w:rFonts w:hint="eastAsia"/>
                <w:color w:val="auto"/>
                <w:sz w:val="24"/>
                <w:szCs w:val="24"/>
                <w:lang w:val="en-US" w:eastAsia="zh-CN"/>
              </w:rPr>
              <w:t>④脱销</w:t>
            </w:r>
            <w:r>
              <w:rPr>
                <w:color w:val="auto"/>
                <w:sz w:val="24"/>
                <w:szCs w:val="24"/>
              </w:rPr>
              <w:t>脱硫</w:t>
            </w:r>
            <w:r>
              <w:rPr>
                <w:rFonts w:hint="eastAsia"/>
                <w:color w:val="auto"/>
                <w:sz w:val="24"/>
                <w:szCs w:val="24"/>
              </w:rPr>
              <w:t>脱氟</w:t>
            </w:r>
            <w:r>
              <w:rPr>
                <w:color w:val="auto"/>
                <w:sz w:val="24"/>
                <w:szCs w:val="24"/>
              </w:rPr>
              <w:t>废渣</w:t>
            </w:r>
          </w:p>
          <w:p>
            <w:pPr>
              <w:pStyle w:val="60"/>
              <w:ind w:firstLine="420"/>
              <w:rPr>
                <w:rFonts w:hint="default" w:ascii="Times New Roman" w:hAnsi="Times New Roman" w:eastAsia="宋体" w:cs="Times New Roman"/>
                <w:color w:val="auto"/>
                <w:sz w:val="24"/>
                <w:szCs w:val="24"/>
                <w:lang w:val="en-US" w:eastAsia="zh-CN"/>
              </w:rPr>
            </w:pPr>
            <w:r>
              <w:rPr>
                <w:rFonts w:hint="eastAsia"/>
                <w:color w:val="auto"/>
                <w:sz w:val="24"/>
                <w:szCs w:val="24"/>
                <w:lang w:val="en-US" w:eastAsia="zh-CN"/>
              </w:rPr>
              <w:t>脱销</w:t>
            </w:r>
            <w:r>
              <w:rPr>
                <w:color w:val="auto"/>
                <w:sz w:val="24"/>
                <w:szCs w:val="24"/>
              </w:rPr>
              <w:t>脱硫</w:t>
            </w:r>
            <w:r>
              <w:rPr>
                <w:rFonts w:hint="eastAsia"/>
                <w:color w:val="auto"/>
                <w:sz w:val="24"/>
                <w:szCs w:val="24"/>
                <w:lang w:val="en-US" w:eastAsia="zh-CN"/>
              </w:rPr>
              <w:t>脱氟</w:t>
            </w:r>
            <w:r>
              <w:rPr>
                <w:color w:val="auto"/>
                <w:sz w:val="24"/>
                <w:szCs w:val="24"/>
              </w:rPr>
              <w:t>除尘系统的产生的废渣主要是亚硫酸钙和硫酸钙及少量未反应的脱硫剂。本项目产生脱硫渣约为</w:t>
            </w:r>
            <w:r>
              <w:rPr>
                <w:rFonts w:hint="eastAsia"/>
                <w:color w:val="auto"/>
                <w:sz w:val="24"/>
                <w:szCs w:val="24"/>
                <w:lang w:val="en-US" w:eastAsia="zh-CN"/>
              </w:rPr>
              <w:t>650</w:t>
            </w:r>
            <w:r>
              <w:rPr>
                <w:color w:val="auto"/>
                <w:sz w:val="24"/>
                <w:szCs w:val="24"/>
              </w:rPr>
              <w:t>t/a。</w:t>
            </w:r>
            <w:r>
              <w:rPr>
                <w:rFonts w:hint="eastAsia"/>
                <w:color w:val="auto"/>
                <w:sz w:val="24"/>
                <w:szCs w:val="24"/>
                <w:lang w:val="en-US" w:eastAsia="zh-CN"/>
              </w:rPr>
              <w:t>脱销</w:t>
            </w:r>
            <w:r>
              <w:rPr>
                <w:color w:val="auto"/>
                <w:sz w:val="24"/>
                <w:szCs w:val="24"/>
              </w:rPr>
              <w:t>脱硫</w:t>
            </w:r>
            <w:r>
              <w:rPr>
                <w:rFonts w:hint="eastAsia"/>
                <w:color w:val="auto"/>
                <w:sz w:val="24"/>
                <w:szCs w:val="24"/>
              </w:rPr>
              <w:t>脱氟</w:t>
            </w:r>
            <w:r>
              <w:rPr>
                <w:color w:val="auto"/>
                <w:sz w:val="24"/>
                <w:szCs w:val="24"/>
              </w:rPr>
              <w:t>废渣</w:t>
            </w:r>
            <w:r>
              <w:rPr>
                <w:rFonts w:hint="eastAsia"/>
                <w:color w:val="auto"/>
                <w:sz w:val="24"/>
                <w:szCs w:val="24"/>
                <w:lang w:val="en-US" w:eastAsia="zh-CN"/>
              </w:rPr>
              <w:t>收集后回用于生产。</w:t>
            </w:r>
          </w:p>
          <w:p>
            <w:pPr>
              <w:pStyle w:val="60"/>
              <w:ind w:firstLine="480"/>
              <w:rPr>
                <w:color w:val="auto"/>
                <w:sz w:val="24"/>
              </w:rPr>
            </w:pPr>
            <w:r>
              <w:rPr>
                <w:rFonts w:hint="eastAsia"/>
                <w:color w:val="auto"/>
                <w:sz w:val="24"/>
              </w:rPr>
              <w:t>⑤焙烧窑炉渣</w:t>
            </w:r>
          </w:p>
          <w:p>
            <w:pPr>
              <w:pStyle w:val="60"/>
              <w:ind w:firstLine="480"/>
              <w:rPr>
                <w:color w:val="auto"/>
                <w:sz w:val="24"/>
              </w:rPr>
            </w:pPr>
            <w:r>
              <w:rPr>
                <w:color w:val="auto"/>
                <w:sz w:val="24"/>
              </w:rPr>
              <w:t>项目焙烧室需使用燃煤引火，煤燃烧后将产生炉渣，产生量以燃煤量的</w:t>
            </w:r>
            <w:r>
              <w:rPr>
                <w:rFonts w:hint="eastAsia"/>
                <w:color w:val="auto"/>
                <w:sz w:val="24"/>
              </w:rPr>
              <w:t>20</w:t>
            </w:r>
            <w:r>
              <w:rPr>
                <w:color w:val="auto"/>
                <w:sz w:val="24"/>
              </w:rPr>
              <w:t>%计，项目燃煤使用量为</w:t>
            </w:r>
            <w:r>
              <w:rPr>
                <w:rFonts w:hint="eastAsia"/>
                <w:color w:val="auto"/>
                <w:sz w:val="24"/>
                <w:lang w:val="en-US" w:eastAsia="zh-CN"/>
              </w:rPr>
              <w:t>5</w:t>
            </w:r>
            <w:r>
              <w:rPr>
                <w:color w:val="auto"/>
                <w:sz w:val="24"/>
              </w:rPr>
              <w:t>t/a，则焙烧室炉渣产生量为</w:t>
            </w:r>
            <w:r>
              <w:rPr>
                <w:rFonts w:hint="eastAsia"/>
                <w:color w:val="auto"/>
                <w:sz w:val="24"/>
                <w:lang w:val="en-US" w:eastAsia="zh-CN"/>
              </w:rPr>
              <w:t>1</w:t>
            </w:r>
            <w:r>
              <w:rPr>
                <w:color w:val="auto"/>
                <w:sz w:val="24"/>
              </w:rPr>
              <w:t>t/a，炉渣收集后作为制砖原料</w:t>
            </w:r>
            <w:r>
              <w:rPr>
                <w:rFonts w:hint="eastAsia"/>
                <w:color w:val="auto"/>
                <w:sz w:val="24"/>
              </w:rPr>
              <w:t>。</w:t>
            </w:r>
          </w:p>
          <w:p>
            <w:pPr>
              <w:pStyle w:val="60"/>
              <w:ind w:firstLine="480"/>
              <w:rPr>
                <w:rFonts w:hint="default" w:eastAsia="宋体"/>
                <w:color w:val="auto"/>
                <w:sz w:val="24"/>
                <w:lang w:val="en-US" w:eastAsia="zh-CN"/>
              </w:rPr>
            </w:pPr>
            <w:r>
              <w:rPr>
                <w:rFonts w:hint="eastAsia"/>
                <w:color w:val="auto"/>
                <w:sz w:val="24"/>
                <w:lang w:val="en-US" w:eastAsia="zh-CN"/>
              </w:rPr>
              <w:t>⑥废包装袋</w:t>
            </w:r>
          </w:p>
          <w:p>
            <w:pPr>
              <w:pStyle w:val="60"/>
              <w:ind w:firstLine="480"/>
              <w:rPr>
                <w:rFonts w:hint="default" w:eastAsia="宋体"/>
                <w:color w:val="auto"/>
                <w:sz w:val="24"/>
                <w:lang w:val="en-US" w:eastAsia="zh-CN"/>
              </w:rPr>
            </w:pPr>
            <w:r>
              <w:rPr>
                <w:rFonts w:hint="eastAsia"/>
                <w:color w:val="auto"/>
                <w:sz w:val="24"/>
                <w:lang w:val="en-US" w:eastAsia="zh-CN"/>
              </w:rPr>
              <w:t>本项目废包装袋主要来源辅料包装，根据企业提供资料，废包装袋年产生量为0.06t/a。</w:t>
            </w:r>
          </w:p>
          <w:p>
            <w:pPr>
              <w:pStyle w:val="60"/>
              <w:ind w:firstLine="480"/>
              <w:rPr>
                <w:rFonts w:hint="default" w:eastAsia="宋体"/>
                <w:color w:val="auto"/>
                <w:sz w:val="24"/>
                <w:lang w:val="en-US" w:eastAsia="zh-CN"/>
              </w:rPr>
            </w:pPr>
            <w:r>
              <w:rPr>
                <w:rFonts w:hint="eastAsia"/>
                <w:color w:val="auto"/>
                <w:sz w:val="24"/>
                <w:lang w:val="en-US" w:eastAsia="zh-CN"/>
              </w:rPr>
              <w:t>⑦粘土开采、煤矸石破碎及筛分过程产生的非制砖废料</w:t>
            </w:r>
          </w:p>
          <w:p>
            <w:pPr>
              <w:pStyle w:val="60"/>
              <w:ind w:firstLine="480"/>
              <w:rPr>
                <w:rFonts w:hint="default" w:eastAsia="宋体"/>
                <w:color w:val="auto"/>
                <w:sz w:val="24"/>
                <w:lang w:val="en-US" w:eastAsia="zh-CN"/>
              </w:rPr>
            </w:pPr>
            <w:r>
              <w:rPr>
                <w:rFonts w:hint="eastAsia"/>
                <w:color w:val="auto"/>
                <w:sz w:val="24"/>
                <w:lang w:val="en-US" w:eastAsia="zh-CN"/>
              </w:rPr>
              <w:t>根据企业提供资料，项目在粘土开采、煤矸石破碎及筛分过程中产生的非制砖废料约为6t/a。</w:t>
            </w:r>
          </w:p>
          <w:p>
            <w:pPr>
              <w:pStyle w:val="60"/>
              <w:ind w:firstLine="42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）生活垃圾</w:t>
            </w:r>
            <w:r>
              <w:rPr>
                <w:rFonts w:hint="eastAsia" w:cs="Times New Roman"/>
                <w:color w:val="auto"/>
                <w:sz w:val="24"/>
                <w:szCs w:val="24"/>
                <w:lang w:val="en-US" w:eastAsia="zh-CN"/>
              </w:rPr>
              <w:t>及餐厨垃圾</w:t>
            </w:r>
          </w:p>
          <w:p>
            <w:pPr>
              <w:pStyle w:val="60"/>
              <w:ind w:firstLine="42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项目运营期职工定员</w:t>
            </w:r>
            <w:r>
              <w:rPr>
                <w:rFonts w:hint="eastAsia" w:cs="Times New Roman"/>
                <w:color w:val="auto"/>
                <w:sz w:val="24"/>
                <w:szCs w:val="24"/>
                <w:lang w:val="en-US" w:eastAsia="zh-CN"/>
              </w:rPr>
              <w:t>18</w:t>
            </w:r>
            <w:r>
              <w:rPr>
                <w:rFonts w:hint="default" w:ascii="Times New Roman" w:hAnsi="Times New Roman" w:eastAsia="宋体" w:cs="Times New Roman"/>
                <w:color w:val="auto"/>
                <w:sz w:val="24"/>
                <w:szCs w:val="24"/>
              </w:rPr>
              <w:t>人，生活垃圾产生系数按0.5kg/人·d计，产生量</w:t>
            </w:r>
            <w:r>
              <w:rPr>
                <w:rFonts w:hint="eastAsia" w:cs="Times New Roman"/>
                <w:color w:val="auto"/>
                <w:sz w:val="24"/>
                <w:szCs w:val="24"/>
                <w:lang w:val="en-US" w:eastAsia="zh-CN"/>
              </w:rPr>
              <w:t>2.7</w:t>
            </w:r>
            <w:r>
              <w:rPr>
                <w:rFonts w:hint="default" w:ascii="Times New Roman" w:hAnsi="Times New Roman" w:eastAsia="宋体" w:cs="Times New Roman"/>
                <w:color w:val="auto"/>
                <w:sz w:val="24"/>
                <w:szCs w:val="24"/>
              </w:rPr>
              <w:t>t/a，集中收集后</w:t>
            </w:r>
            <w:r>
              <w:rPr>
                <w:rFonts w:hint="eastAsia" w:cs="Times New Roman"/>
                <w:color w:val="auto"/>
                <w:sz w:val="24"/>
                <w:szCs w:val="24"/>
                <w:lang w:val="en-US" w:eastAsia="zh-CN"/>
              </w:rPr>
              <w:t>运至附近垃圾转运站，最终由环卫部门统一处理；</w:t>
            </w:r>
            <w:r>
              <w:rPr>
                <w:color w:val="auto"/>
                <w:sz w:val="24"/>
                <w:lang w:bidi="ar"/>
              </w:rPr>
              <w:t>食堂厨</w:t>
            </w:r>
            <w:r>
              <w:rPr>
                <w:rFonts w:hint="eastAsia"/>
                <w:color w:val="auto"/>
                <w:sz w:val="24"/>
                <w:lang w:val="en-US" w:eastAsia="zh-CN" w:bidi="ar"/>
              </w:rPr>
              <w:t>垃圾</w:t>
            </w:r>
            <w:r>
              <w:rPr>
                <w:color w:val="auto"/>
                <w:sz w:val="24"/>
                <w:lang w:bidi="ar"/>
              </w:rPr>
              <w:t>产生量按照每人0.3kg/d计</w:t>
            </w:r>
            <w:r>
              <w:rPr>
                <w:rFonts w:hint="eastAsia"/>
                <w:color w:val="auto"/>
                <w:sz w:val="24"/>
                <w:lang w:eastAsia="zh-CN" w:bidi="ar"/>
              </w:rPr>
              <w:t>，</w:t>
            </w:r>
            <w:r>
              <w:rPr>
                <w:rFonts w:hint="eastAsia"/>
                <w:color w:val="auto"/>
                <w:sz w:val="24"/>
                <w:lang w:val="en-US" w:eastAsia="zh-CN" w:bidi="ar"/>
              </w:rPr>
              <w:t>则餐厨垃圾产生量为1.62t/a，餐厨</w:t>
            </w:r>
            <w:r>
              <w:rPr>
                <w:color w:val="auto"/>
                <w:sz w:val="24"/>
                <w:lang w:bidi="ar"/>
              </w:rPr>
              <w:t>垃圾由餐厨垃圾收集车定期清运收集处置</w:t>
            </w:r>
            <w:r>
              <w:rPr>
                <w:rFonts w:hint="eastAsia"/>
                <w:color w:val="auto"/>
                <w:sz w:val="24"/>
                <w:lang w:eastAsia="zh-CN" w:bidi="ar"/>
              </w:rPr>
              <w:t>。</w:t>
            </w:r>
          </w:p>
          <w:p>
            <w:pPr>
              <w:pStyle w:val="60"/>
              <w:ind w:firstLine="42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3</w:t>
            </w:r>
            <w:r>
              <w:rPr>
                <w:rFonts w:hint="eastAsia" w:cs="Times New Roman"/>
                <w:color w:val="auto"/>
                <w:sz w:val="24"/>
                <w:szCs w:val="24"/>
                <w:lang w:eastAsia="zh-CN"/>
              </w:rPr>
              <w:t>）</w:t>
            </w:r>
            <w:r>
              <w:rPr>
                <w:rFonts w:hint="eastAsia" w:cs="Times New Roman"/>
                <w:color w:val="auto"/>
                <w:sz w:val="24"/>
                <w:szCs w:val="24"/>
                <w:lang w:val="en-US" w:eastAsia="zh-CN"/>
              </w:rPr>
              <w:t>危险废物</w:t>
            </w:r>
          </w:p>
          <w:p>
            <w:pPr>
              <w:pStyle w:val="60"/>
              <w:ind w:firstLine="42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本项目危废物主要包括设备维修保养产生的废机油及机油桶。</w:t>
            </w:r>
          </w:p>
          <w:p>
            <w:pPr>
              <w:pStyle w:val="60"/>
              <w:ind w:firstLine="420"/>
              <w:rPr>
                <w:rFonts w:hint="eastAsia" w:ascii="Times New Roman" w:hAnsi="Times New Roman" w:eastAsia="宋体" w:cs="Times New Roman"/>
                <w:color w:val="auto"/>
                <w:sz w:val="24"/>
                <w:szCs w:val="24"/>
                <w:lang w:eastAsia="zh-CN"/>
              </w:rPr>
            </w:pPr>
            <w:r>
              <w:rPr>
                <w:rFonts w:hint="default" w:ascii="Times New Roman" w:hAnsi="Times New Roman" w:cs="Times New Roman"/>
                <w:bCs/>
                <w:color w:val="auto"/>
                <w:sz w:val="24"/>
                <w:szCs w:val="24"/>
              </w:rPr>
              <w:t>对生产设备进行维修、更换润滑油过程会产生废矿物油</w:t>
            </w:r>
            <w:r>
              <w:rPr>
                <w:rFonts w:hint="eastAsia" w:ascii="Times New Roman" w:hAnsi="Times New Roman" w:cs="Times New Roman"/>
                <w:bCs/>
                <w:color w:val="auto"/>
                <w:sz w:val="24"/>
                <w:szCs w:val="24"/>
                <w:lang w:val="en-US" w:eastAsia="zh-CN"/>
              </w:rPr>
              <w:t>及机油桶</w:t>
            </w:r>
            <w:r>
              <w:rPr>
                <w:rFonts w:hint="default" w:ascii="Times New Roman" w:hAnsi="Times New Roman" w:cs="Times New Roman"/>
                <w:bCs/>
                <w:color w:val="auto"/>
                <w:sz w:val="24"/>
                <w:szCs w:val="24"/>
              </w:rPr>
              <w:t>。根据建设单位提供资料，废矿物油</w:t>
            </w:r>
            <w:r>
              <w:rPr>
                <w:rFonts w:hint="eastAsia" w:ascii="Times New Roman" w:hAnsi="Times New Roman" w:cs="Times New Roman"/>
                <w:bCs/>
                <w:color w:val="auto"/>
                <w:sz w:val="24"/>
                <w:szCs w:val="24"/>
                <w:lang w:val="en-US" w:eastAsia="zh-CN"/>
              </w:rPr>
              <w:t>及机油桶</w:t>
            </w:r>
            <w:r>
              <w:rPr>
                <w:rFonts w:hint="default" w:ascii="Times New Roman" w:hAnsi="Times New Roman" w:cs="Times New Roman"/>
                <w:bCs/>
                <w:color w:val="auto"/>
                <w:sz w:val="24"/>
                <w:szCs w:val="24"/>
              </w:rPr>
              <w:t>产生量约为0.</w:t>
            </w:r>
            <w:r>
              <w:rPr>
                <w:rFonts w:hint="eastAsia" w:cs="Times New Roman"/>
                <w:bCs/>
                <w:color w:val="auto"/>
                <w:sz w:val="24"/>
                <w:szCs w:val="24"/>
                <w:lang w:val="en-US" w:eastAsia="zh-CN"/>
              </w:rPr>
              <w:t>2</w:t>
            </w:r>
            <w:r>
              <w:rPr>
                <w:rFonts w:hint="default" w:ascii="Times New Roman" w:hAnsi="Times New Roman" w:cs="Times New Roman"/>
                <w:bCs/>
                <w:color w:val="auto"/>
                <w:sz w:val="24"/>
                <w:szCs w:val="24"/>
              </w:rPr>
              <w:t>t/a。根据《国家危险废物名录》（2021年），其属于危险废物，危险废物类别为HW08，危废代码900-214-08，</w:t>
            </w:r>
            <w:r>
              <w:rPr>
                <w:rFonts w:hint="eastAsia" w:ascii="Times New Roman" w:hAnsi="Times New Roman" w:cs="Times New Roman"/>
                <w:bCs/>
                <w:color w:val="auto"/>
                <w:sz w:val="24"/>
                <w:szCs w:val="24"/>
                <w:lang w:val="en-US" w:eastAsia="zh-CN"/>
              </w:rPr>
              <w:t>暂存至</w:t>
            </w:r>
            <w:r>
              <w:rPr>
                <w:rFonts w:hint="default" w:ascii="Times New Roman" w:hAnsi="Times New Roman" w:cs="Times New Roman"/>
                <w:bCs/>
                <w:color w:val="auto"/>
                <w:sz w:val="24"/>
                <w:szCs w:val="24"/>
              </w:rPr>
              <w:t>危废暂存间</w:t>
            </w:r>
            <w:r>
              <w:rPr>
                <w:rFonts w:hint="eastAsia" w:ascii="Times New Roman" w:hAnsi="Times New Roman" w:cs="Times New Roman"/>
                <w:bCs/>
                <w:color w:val="auto"/>
                <w:sz w:val="24"/>
                <w:szCs w:val="24"/>
                <w:lang w:val="en-US" w:eastAsia="zh-CN"/>
              </w:rPr>
              <w:t>定期</w:t>
            </w:r>
            <w:r>
              <w:rPr>
                <w:rFonts w:hint="default" w:ascii="Times New Roman" w:hAnsi="Times New Roman" w:cs="Times New Roman"/>
                <w:bCs/>
                <w:color w:val="auto"/>
                <w:sz w:val="24"/>
                <w:szCs w:val="24"/>
              </w:rPr>
              <w:t>交由有资质单位处置</w:t>
            </w:r>
            <w:r>
              <w:rPr>
                <w:rFonts w:hint="eastAsia" w:cs="Times New Roman"/>
                <w:bCs/>
                <w:color w:val="auto"/>
                <w:sz w:val="24"/>
                <w:szCs w:val="24"/>
                <w:lang w:eastAsia="zh-CN"/>
              </w:rPr>
              <w:t>。</w:t>
            </w:r>
          </w:p>
          <w:p>
            <w:pPr>
              <w:pStyle w:val="60"/>
              <w:ind w:firstLine="422"/>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本项目固体废物产生及处置情况见下表</w:t>
            </w:r>
          </w:p>
          <w:p>
            <w:pPr>
              <w:pStyle w:val="60"/>
              <w:spacing w:line="240" w:lineRule="auto"/>
              <w:ind w:left="0" w:leftChars="0"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表4-1</w:t>
            </w:r>
            <w:r>
              <w:rPr>
                <w:rFonts w:hint="eastAsia" w:cs="Times New Roman"/>
                <w:b/>
                <w:bCs/>
                <w:color w:val="auto"/>
                <w:lang w:val="en-US" w:eastAsia="zh-CN"/>
              </w:rPr>
              <w:t>9</w:t>
            </w:r>
            <w:r>
              <w:rPr>
                <w:rFonts w:hint="default" w:ascii="Times New Roman" w:hAnsi="Times New Roman" w:eastAsia="宋体" w:cs="Times New Roman"/>
                <w:b/>
                <w:bCs/>
                <w:color w:val="auto"/>
                <w:lang w:val="en-US" w:eastAsia="zh-CN"/>
              </w:rPr>
              <w:t xml:space="preserve">   固体废物产生及处置情况一览表</w:t>
            </w:r>
          </w:p>
          <w:tbl>
            <w:tblPr>
              <w:tblStyle w:val="28"/>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
              <w:gridCol w:w="1070"/>
              <w:gridCol w:w="1"/>
              <w:gridCol w:w="639"/>
              <w:gridCol w:w="1"/>
              <w:gridCol w:w="1243"/>
              <w:gridCol w:w="1020"/>
              <w:gridCol w:w="917"/>
              <w:gridCol w:w="2"/>
              <w:gridCol w:w="999"/>
              <w:gridCol w:w="4"/>
              <w:gridCol w:w="1194"/>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atLeast"/>
                <w:jc w:val="center"/>
              </w:trPr>
              <w:tc>
                <w:tcPr>
                  <w:tcW w:w="5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名称</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产生环节</w:t>
                  </w:r>
                </w:p>
              </w:tc>
              <w:tc>
                <w:tcPr>
                  <w:tcW w:w="40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属性</w:t>
                  </w:r>
                </w:p>
              </w:tc>
              <w:tc>
                <w:tcPr>
                  <w:tcW w:w="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危废代码</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产生量（t/a）</w:t>
                  </w:r>
                </w:p>
              </w:tc>
              <w:tc>
                <w:tcPr>
                  <w:tcW w:w="57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贮存方式</w:t>
                  </w:r>
                </w:p>
              </w:tc>
              <w:tc>
                <w:tcPr>
                  <w:tcW w:w="6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利用/处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置量（t/a）</w:t>
                  </w:r>
                </w:p>
              </w:tc>
              <w:tc>
                <w:tcPr>
                  <w:tcW w:w="75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atLeast"/>
                <w:jc w:val="center"/>
              </w:trPr>
              <w:tc>
                <w:tcPr>
                  <w:tcW w:w="5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生活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垃圾</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办公生活</w:t>
                  </w:r>
                </w:p>
              </w:tc>
              <w:tc>
                <w:tcPr>
                  <w:tcW w:w="40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w:t>
                  </w:r>
                </w:p>
              </w:tc>
              <w:tc>
                <w:tcPr>
                  <w:tcW w:w="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2.7</w:t>
                  </w:r>
                </w:p>
              </w:tc>
              <w:tc>
                <w:tcPr>
                  <w:tcW w:w="57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垃圾桶</w:t>
                  </w:r>
                </w:p>
              </w:tc>
              <w:tc>
                <w:tcPr>
                  <w:tcW w:w="6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2.7</w:t>
                  </w:r>
                </w:p>
              </w:tc>
              <w:tc>
                <w:tcPr>
                  <w:tcW w:w="75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拉运至政府指定位置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atLeast"/>
                <w:jc w:val="center"/>
              </w:trPr>
              <w:tc>
                <w:tcPr>
                  <w:tcW w:w="5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szCs w:val="21"/>
                      <w:lang w:val="en-US" w:eastAsia="zh-CN"/>
                    </w:rPr>
                  </w:pPr>
                  <w:r>
                    <w:rPr>
                      <w:rFonts w:hint="eastAsia" w:cs="Times New Roman"/>
                      <w:bCs/>
                      <w:color w:val="auto"/>
                      <w:szCs w:val="21"/>
                      <w:lang w:val="en-US" w:eastAsia="zh-CN"/>
                    </w:rPr>
                    <w:t>餐厨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垃圾</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食堂</w:t>
                  </w:r>
                </w:p>
              </w:tc>
              <w:tc>
                <w:tcPr>
                  <w:tcW w:w="40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w:t>
                  </w:r>
                </w:p>
              </w:tc>
              <w:tc>
                <w:tcPr>
                  <w:tcW w:w="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szCs w:val="21"/>
                      <w:lang w:val="en-US" w:eastAsia="zh-CN"/>
                    </w:rPr>
                  </w:pPr>
                  <w:r>
                    <w:rPr>
                      <w:rFonts w:hint="eastAsia" w:cs="Times New Roman"/>
                      <w:bCs/>
                      <w:color w:val="auto"/>
                      <w:szCs w:val="21"/>
                      <w:lang w:val="en-US" w:eastAsia="zh-CN"/>
                    </w:rPr>
                    <w:t>1.62</w:t>
                  </w:r>
                </w:p>
              </w:tc>
              <w:tc>
                <w:tcPr>
                  <w:tcW w:w="57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收集桶</w:t>
                  </w:r>
                </w:p>
              </w:tc>
              <w:tc>
                <w:tcPr>
                  <w:tcW w:w="6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szCs w:val="21"/>
                      <w:lang w:val="en-US" w:eastAsia="zh-CN"/>
                    </w:rPr>
                  </w:pPr>
                  <w:r>
                    <w:rPr>
                      <w:rFonts w:hint="eastAsia" w:cs="Times New Roman"/>
                      <w:bCs/>
                      <w:color w:val="auto"/>
                      <w:szCs w:val="21"/>
                      <w:lang w:val="en-US" w:eastAsia="zh-CN"/>
                    </w:rPr>
                    <w:t>1.62</w:t>
                  </w:r>
                </w:p>
              </w:tc>
              <w:tc>
                <w:tcPr>
                  <w:tcW w:w="75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szCs w:val="21"/>
                      <w:lang w:val="en-US" w:eastAsia="zh-CN"/>
                    </w:rPr>
                  </w:pPr>
                  <w:r>
                    <w:rPr>
                      <w:color w:val="auto"/>
                      <w:sz w:val="24"/>
                      <w:lang w:bidi="ar"/>
                    </w:rPr>
                    <w:t>定期清运收集处置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 w:type="pct"/>
                <w:trHeight w:val="340" w:hRule="atLeast"/>
                <w:jc w:val="center"/>
              </w:trPr>
              <w:tc>
                <w:tcPr>
                  <w:tcW w:w="5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边角料</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切坯</w:t>
                  </w:r>
                  <w:r>
                    <w:rPr>
                      <w:rFonts w:hint="eastAsia" w:cs="Times New Roman"/>
                      <w:bCs/>
                      <w:color w:val="auto"/>
                      <w:szCs w:val="21"/>
                      <w:lang w:eastAsia="zh-CN"/>
                    </w:rPr>
                    <w:t>、</w:t>
                  </w:r>
                  <w:r>
                    <w:rPr>
                      <w:rFonts w:hint="eastAsia" w:cs="Times New Roman"/>
                      <w:bCs/>
                      <w:color w:val="auto"/>
                      <w:szCs w:val="21"/>
                      <w:lang w:val="en-US" w:eastAsia="zh-CN"/>
                    </w:rPr>
                    <w:t>制坯</w:t>
                  </w:r>
                </w:p>
              </w:tc>
              <w:tc>
                <w:tcPr>
                  <w:tcW w:w="402"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一般工业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固体废物</w:t>
                  </w:r>
                </w:p>
              </w:tc>
              <w:tc>
                <w:tcPr>
                  <w:tcW w:w="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15.48</w:t>
                  </w:r>
                </w:p>
              </w:tc>
              <w:tc>
                <w:tcPr>
                  <w:tcW w:w="57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暂存于生产车间</w:t>
                  </w:r>
                </w:p>
              </w:tc>
              <w:tc>
                <w:tcPr>
                  <w:tcW w:w="6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eastAsia" w:cs="Times New Roman"/>
                      <w:bCs/>
                      <w:color w:val="auto"/>
                      <w:szCs w:val="21"/>
                      <w:lang w:val="en-US" w:eastAsia="zh-CN"/>
                    </w:rPr>
                    <w:t>15.48</w:t>
                  </w:r>
                </w:p>
              </w:tc>
              <w:tc>
                <w:tcPr>
                  <w:tcW w:w="754"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收集后回用于制砖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atLeast"/>
                <w:jc w:val="center"/>
              </w:trPr>
              <w:tc>
                <w:tcPr>
                  <w:tcW w:w="5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不合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格砖</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检验</w:t>
                  </w:r>
                </w:p>
              </w:tc>
              <w:tc>
                <w:tcPr>
                  <w:tcW w:w="402"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c>
                <w:tcPr>
                  <w:tcW w:w="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232.2</w:t>
                  </w:r>
                </w:p>
              </w:tc>
              <w:tc>
                <w:tcPr>
                  <w:tcW w:w="57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c>
                <w:tcPr>
                  <w:tcW w:w="6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val="en-US"/>
                    </w:rPr>
                  </w:pPr>
                  <w:r>
                    <w:rPr>
                      <w:rFonts w:hint="eastAsia" w:cs="Times New Roman"/>
                      <w:bCs/>
                      <w:color w:val="auto"/>
                      <w:szCs w:val="21"/>
                      <w:lang w:val="en-US" w:eastAsia="zh-CN"/>
                    </w:rPr>
                    <w:t>232.2</w:t>
                  </w:r>
                </w:p>
              </w:tc>
              <w:tc>
                <w:tcPr>
                  <w:tcW w:w="7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atLeast"/>
                <w:jc w:val="center"/>
              </w:trPr>
              <w:tc>
                <w:tcPr>
                  <w:tcW w:w="5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除尘灰</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废气治理</w:t>
                  </w:r>
                </w:p>
              </w:tc>
              <w:tc>
                <w:tcPr>
                  <w:tcW w:w="402"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c>
                <w:tcPr>
                  <w:tcW w:w="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34.44</w:t>
                  </w:r>
                </w:p>
              </w:tc>
              <w:tc>
                <w:tcPr>
                  <w:tcW w:w="57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c>
                <w:tcPr>
                  <w:tcW w:w="6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val="en-US"/>
                    </w:rPr>
                  </w:pPr>
                  <w:r>
                    <w:rPr>
                      <w:rFonts w:hint="eastAsia" w:cs="Times New Roman"/>
                      <w:bCs/>
                      <w:color w:val="auto"/>
                      <w:szCs w:val="21"/>
                      <w:lang w:val="en-US" w:eastAsia="zh-CN"/>
                    </w:rPr>
                    <w:t>34.44</w:t>
                  </w:r>
                </w:p>
              </w:tc>
              <w:tc>
                <w:tcPr>
                  <w:tcW w:w="7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atLeast"/>
                <w:jc w:val="center"/>
              </w:trPr>
              <w:tc>
                <w:tcPr>
                  <w:tcW w:w="5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脱销</w:t>
                  </w:r>
                  <w:r>
                    <w:rPr>
                      <w:rFonts w:hint="default" w:ascii="Times New Roman" w:hAnsi="Times New Roman" w:cs="Times New Roman"/>
                      <w:bCs/>
                      <w:color w:val="auto"/>
                      <w:szCs w:val="21"/>
                    </w:rPr>
                    <w:t>脱硫脱氟废渣</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废气治理</w:t>
                  </w:r>
                </w:p>
              </w:tc>
              <w:tc>
                <w:tcPr>
                  <w:tcW w:w="402"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c>
                <w:tcPr>
                  <w:tcW w:w="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000000" w:themeColor="text1"/>
                      <w:szCs w:val="21"/>
                      <w:lang w:val="en-US" w:eastAsia="zh-CN"/>
                      <w14:textFill>
                        <w14:solidFill>
                          <w14:schemeClr w14:val="tx1"/>
                        </w14:solidFill>
                      </w14:textFill>
                    </w:rPr>
                    <w:t>650</w:t>
                  </w:r>
                </w:p>
              </w:tc>
              <w:tc>
                <w:tcPr>
                  <w:tcW w:w="57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c>
                <w:tcPr>
                  <w:tcW w:w="6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000000" w:themeColor="text1"/>
                      <w:szCs w:val="21"/>
                      <w:lang w:val="en-US" w:eastAsia="zh-CN"/>
                      <w14:textFill>
                        <w14:solidFill>
                          <w14:schemeClr w14:val="tx1"/>
                        </w14:solidFill>
                      </w14:textFill>
                    </w:rPr>
                    <w:t>650</w:t>
                  </w:r>
                </w:p>
              </w:tc>
              <w:tc>
                <w:tcPr>
                  <w:tcW w:w="7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atLeast"/>
                <w:jc w:val="center"/>
              </w:trPr>
              <w:tc>
                <w:tcPr>
                  <w:tcW w:w="5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焙烧室炉渣</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焙烧</w:t>
                  </w:r>
                </w:p>
              </w:tc>
              <w:tc>
                <w:tcPr>
                  <w:tcW w:w="402"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c>
                <w:tcPr>
                  <w:tcW w:w="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w:t>
                  </w:r>
                </w:p>
              </w:tc>
              <w:tc>
                <w:tcPr>
                  <w:tcW w:w="57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c>
                <w:tcPr>
                  <w:tcW w:w="6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w:t>
                  </w:r>
                </w:p>
              </w:tc>
              <w:tc>
                <w:tcPr>
                  <w:tcW w:w="7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废包装袋</w:t>
                  </w:r>
                </w:p>
              </w:tc>
              <w:tc>
                <w:tcPr>
                  <w:tcW w:w="674" w:type="pct"/>
                  <w:gridSpan w:val="2"/>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辅料包装</w:t>
                  </w:r>
                </w:p>
              </w:tc>
              <w:tc>
                <w:tcPr>
                  <w:tcW w:w="402" w:type="pct"/>
                  <w:gridSpan w:val="2"/>
                  <w:vMerge w:val="restart"/>
                  <w:vAlign w:val="center"/>
                </w:tcPr>
                <w:p>
                  <w:pPr>
                    <w:adjustRightInd w:val="0"/>
                    <w:snapToGrid w:val="0"/>
                    <w:jc w:val="center"/>
                    <w:rPr>
                      <w:bCs/>
                      <w:color w:val="auto"/>
                      <w:szCs w:val="21"/>
                    </w:rPr>
                  </w:pPr>
                </w:p>
              </w:tc>
              <w:tc>
                <w:tcPr>
                  <w:tcW w:w="783" w:type="pct"/>
                  <w:gridSpan w:val="2"/>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w:t>
                  </w:r>
                </w:p>
              </w:tc>
              <w:tc>
                <w:tcPr>
                  <w:tcW w:w="642" w:type="pct"/>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0.06</w:t>
                  </w:r>
                </w:p>
              </w:tc>
              <w:tc>
                <w:tcPr>
                  <w:tcW w:w="578" w:type="pct"/>
                  <w:gridSpan w:val="2"/>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暂存至辅料间</w:t>
                  </w:r>
                </w:p>
              </w:tc>
              <w:tc>
                <w:tcPr>
                  <w:tcW w:w="631" w:type="pct"/>
                  <w:gridSpan w:val="2"/>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0.06</w:t>
                  </w:r>
                </w:p>
              </w:tc>
              <w:tc>
                <w:tcPr>
                  <w:tcW w:w="754" w:type="pct"/>
                  <w:gridSpan w:val="2"/>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非制砖废料</w:t>
                  </w:r>
                </w:p>
              </w:tc>
              <w:tc>
                <w:tcPr>
                  <w:tcW w:w="674" w:type="pct"/>
                  <w:gridSpan w:val="2"/>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粘土开采、煤矸石破碎及筛分</w:t>
                  </w:r>
                </w:p>
              </w:tc>
              <w:tc>
                <w:tcPr>
                  <w:tcW w:w="402" w:type="pct"/>
                  <w:gridSpan w:val="2"/>
                  <w:vMerge w:val="continue"/>
                  <w:vAlign w:val="center"/>
                </w:tcPr>
                <w:p>
                  <w:pPr>
                    <w:adjustRightInd w:val="0"/>
                    <w:snapToGrid w:val="0"/>
                    <w:jc w:val="center"/>
                    <w:rPr>
                      <w:bCs/>
                      <w:color w:val="auto"/>
                      <w:szCs w:val="21"/>
                    </w:rPr>
                  </w:pPr>
                </w:p>
              </w:tc>
              <w:tc>
                <w:tcPr>
                  <w:tcW w:w="783" w:type="pct"/>
                  <w:gridSpan w:val="2"/>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w:t>
                  </w:r>
                </w:p>
              </w:tc>
              <w:tc>
                <w:tcPr>
                  <w:tcW w:w="642" w:type="pct"/>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6</w:t>
                  </w:r>
                </w:p>
              </w:tc>
              <w:tc>
                <w:tcPr>
                  <w:tcW w:w="578" w:type="pct"/>
                  <w:gridSpan w:val="2"/>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暂存至原料堆棚</w:t>
                  </w:r>
                </w:p>
              </w:tc>
              <w:tc>
                <w:tcPr>
                  <w:tcW w:w="631" w:type="pct"/>
                  <w:gridSpan w:val="2"/>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6</w:t>
                  </w:r>
                </w:p>
              </w:tc>
              <w:tc>
                <w:tcPr>
                  <w:tcW w:w="754" w:type="pct"/>
                  <w:gridSpan w:val="2"/>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拉运至政府指定的地点处理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39" w:hRule="atLeast"/>
                <w:jc w:val="center"/>
              </w:trPr>
              <w:tc>
                <w:tcPr>
                  <w:tcW w:w="53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废机油</w:t>
                  </w:r>
                  <w:r>
                    <w:rPr>
                      <w:rFonts w:hint="eastAsia" w:ascii="Times New Roman" w:hAnsi="Times New Roman" w:cs="Times New Roman"/>
                      <w:bCs/>
                      <w:color w:val="auto"/>
                      <w:szCs w:val="21"/>
                      <w:lang w:val="en-US" w:eastAsia="zh-CN"/>
                    </w:rPr>
                    <w:t>及机油桶</w:t>
                  </w:r>
                </w:p>
              </w:tc>
              <w:tc>
                <w:tcPr>
                  <w:tcW w:w="67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设备维修</w:t>
                  </w:r>
                </w:p>
              </w:tc>
              <w:tc>
                <w:tcPr>
                  <w:tcW w:w="402" w:type="pct"/>
                  <w:gridSpan w:val="2"/>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危险废物</w:t>
                  </w:r>
                </w:p>
              </w:tc>
              <w:tc>
                <w:tcPr>
                  <w:tcW w:w="7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HW08废矿物油与含矿物油废物900-214-08</w:t>
                  </w:r>
                </w:p>
              </w:tc>
              <w:tc>
                <w:tcPr>
                  <w:tcW w:w="6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0.</w:t>
                  </w:r>
                  <w:r>
                    <w:rPr>
                      <w:rFonts w:hint="eastAsia" w:cs="Times New Roman"/>
                      <w:bCs/>
                      <w:color w:val="auto"/>
                      <w:szCs w:val="21"/>
                      <w:lang w:val="en-US" w:eastAsia="zh-CN"/>
                    </w:rPr>
                    <w:t>2</w:t>
                  </w:r>
                </w:p>
              </w:tc>
              <w:tc>
                <w:tcPr>
                  <w:tcW w:w="57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暂存于危废暂间</w:t>
                  </w:r>
                  <w:r>
                    <w:rPr>
                      <w:rFonts w:hint="eastAsia"/>
                      <w:bCs/>
                      <w:szCs w:val="21"/>
                      <w:lang w:eastAsia="zh-CN"/>
                    </w:rPr>
                    <w:t>（</w:t>
                  </w:r>
                  <w:r>
                    <w:rPr>
                      <w:rFonts w:hint="eastAsia"/>
                      <w:bCs/>
                      <w:szCs w:val="21"/>
                      <w:lang w:val="en-US" w:eastAsia="zh-CN"/>
                    </w:rPr>
                    <w:t>10m</w:t>
                  </w:r>
                  <w:r>
                    <w:rPr>
                      <w:rFonts w:hint="eastAsia"/>
                      <w:bCs/>
                      <w:szCs w:val="21"/>
                      <w:vertAlign w:val="superscript"/>
                      <w:lang w:val="en-US" w:eastAsia="zh-CN"/>
                    </w:rPr>
                    <w:t>2</w:t>
                  </w:r>
                  <w:r>
                    <w:rPr>
                      <w:rFonts w:hint="eastAsia"/>
                      <w:bCs/>
                      <w:szCs w:val="21"/>
                      <w:lang w:eastAsia="zh-CN"/>
                    </w:rPr>
                    <w:t>）</w:t>
                  </w:r>
                </w:p>
              </w:tc>
              <w:tc>
                <w:tcPr>
                  <w:tcW w:w="63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0.</w:t>
                  </w:r>
                  <w:r>
                    <w:rPr>
                      <w:rFonts w:hint="eastAsia" w:cs="Times New Roman"/>
                      <w:bCs/>
                      <w:color w:val="auto"/>
                      <w:szCs w:val="21"/>
                      <w:lang w:val="en-US" w:eastAsia="zh-CN"/>
                    </w:rPr>
                    <w:t>2</w:t>
                  </w:r>
                </w:p>
              </w:tc>
              <w:tc>
                <w:tcPr>
                  <w:tcW w:w="754" w:type="pct"/>
                  <w:gridSpan w:val="2"/>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委托有资质单位收集处置</w:t>
                  </w:r>
                </w:p>
              </w:tc>
            </w:tr>
          </w:tbl>
          <w:p>
            <w:pPr>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5.地下水环境影响分析</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项目运行期可能对地下水环境产生影响的因素主要包括：</w:t>
            </w:r>
            <w:r>
              <w:rPr>
                <w:rFonts w:hint="eastAsia" w:cs="Times New Roman"/>
                <w:color w:val="auto"/>
                <w:sz w:val="24"/>
                <w:szCs w:val="24"/>
                <w:highlight w:val="none"/>
                <w:lang w:val="en-US" w:eastAsia="zh-CN"/>
              </w:rPr>
              <w:t>废水、固体废物、原辅料等</w:t>
            </w:r>
            <w:r>
              <w:rPr>
                <w:rFonts w:hint="default" w:ascii="Times New Roman" w:hAnsi="Times New Roman" w:cs="Times New Roman"/>
                <w:color w:val="auto"/>
                <w:sz w:val="24"/>
                <w:szCs w:val="24"/>
                <w:highlight w:val="none"/>
              </w:rPr>
              <w:t>。</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（1）正常状况下地下水环境影响</w:t>
            </w:r>
          </w:p>
          <w:p>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项目运营过程废水不外排，均合理处置；一般固体废物处置合理，危险废物暂存至危废暂存间，原辅料储存至原辅料棚正常情况下不会对地下水产生影响</w:t>
            </w:r>
            <w:r>
              <w:rPr>
                <w:rFonts w:hint="default" w:ascii="Times New Roman" w:hAnsi="Times New Roman" w:cs="Times New Roman"/>
                <w:color w:val="auto"/>
                <w:sz w:val="24"/>
                <w:szCs w:val="24"/>
                <w:highlight w:val="none"/>
              </w:rPr>
              <w:t>。</w:t>
            </w:r>
          </w:p>
          <w:p>
            <w:pPr>
              <w:pageBreakBefore w:val="0"/>
              <w:widowControl w:val="0"/>
              <w:kinsoku/>
              <w:wordWrap/>
              <w:overflowPunct/>
              <w:topLinePunct w:val="0"/>
              <w:autoSpaceDE/>
              <w:autoSpaceDN/>
              <w:bidi w:val="0"/>
              <w:spacing w:line="360" w:lineRule="auto"/>
              <w:ind w:firstLine="513"/>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（2）非正常状况地下水环境影响</w:t>
            </w:r>
            <w:r>
              <w:rPr>
                <w:rFonts w:hint="eastAsia" w:cs="Times New Roman"/>
                <w:color w:val="auto"/>
                <w:sz w:val="24"/>
                <w:szCs w:val="24"/>
                <w:highlight w:val="none"/>
                <w:lang w:val="en-US" w:eastAsia="zh-CN"/>
              </w:rPr>
              <w:t>途径</w:t>
            </w:r>
          </w:p>
          <w:p>
            <w:pPr>
              <w:pageBreakBefore w:val="0"/>
              <w:widowControl w:val="0"/>
              <w:kinsoku/>
              <w:wordWrap/>
              <w:overflowPunct/>
              <w:topLinePunct w:val="0"/>
              <w:autoSpaceDE/>
              <w:autoSpaceDN/>
              <w:bidi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当项目的废水、固体废物、原辅料未严格按照污染防治措施储存或其防泄漏措施不合格时将会对地下水产生一定影响，具体影响途径如下：</w:t>
            </w:r>
          </w:p>
          <w:p>
            <w:pPr>
              <w:pageBreakBefore w:val="0"/>
              <w:widowControl w:val="0"/>
              <w:kinsoku/>
              <w:wordWrap/>
              <w:overflowPunct/>
              <w:topLinePunct w:val="0"/>
              <w:autoSpaceDE/>
              <w:autoSpaceDN/>
              <w:bidi w:val="0"/>
              <w:spacing w:line="360" w:lineRule="auto"/>
              <w:ind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①废水影响途径</w:t>
            </w:r>
          </w:p>
          <w:p>
            <w:pPr>
              <w:pageBreakBefore w:val="0"/>
              <w:widowControl w:val="0"/>
              <w:kinsoku/>
              <w:wordWrap/>
              <w:overflowPunct/>
              <w:topLinePunct w:val="0"/>
              <w:autoSpaceDE/>
              <w:autoSpaceDN/>
              <w:bidi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循环水池防渗失效，废水下渗至土壤，随时间迁移废水中的污染物对地下水产生一定影响，循环水池围堰高度不够，紧急情况下废水外溢至环境，对周边环境产生一定影响。</w:t>
            </w:r>
          </w:p>
          <w:p>
            <w:pPr>
              <w:pageBreakBefore w:val="0"/>
              <w:widowControl w:val="0"/>
              <w:kinsoku/>
              <w:wordWrap/>
              <w:overflowPunct/>
              <w:topLinePunct w:val="0"/>
              <w:autoSpaceDE/>
              <w:autoSpaceDN/>
              <w:bidi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②危险废物影响途径</w:t>
            </w:r>
          </w:p>
          <w:p>
            <w:pPr>
              <w:pageBreakBefore w:val="0"/>
              <w:widowControl w:val="0"/>
              <w:kinsoku/>
              <w:wordWrap/>
              <w:overflowPunct/>
              <w:topLinePunct w:val="0"/>
              <w:autoSpaceDE/>
              <w:autoSpaceDN/>
              <w:bidi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A、危险废物暂存间防渗不合格，导致危险废物中的废液下渗至土壤，对地下水产生一定影响；</w:t>
            </w:r>
          </w:p>
          <w:p>
            <w:pPr>
              <w:pageBreakBefore w:val="0"/>
              <w:widowControl w:val="0"/>
              <w:kinsoku/>
              <w:wordWrap/>
              <w:overflowPunct/>
              <w:topLinePunct w:val="0"/>
              <w:autoSpaceDE/>
              <w:autoSpaceDN/>
              <w:bidi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B、危险废物转移过程中危险废物遗撒至外环境，雨水冲刷其中的的危险物质随水下渗至地下，对地下水产生一定影响。</w:t>
            </w:r>
          </w:p>
          <w:p>
            <w:pPr>
              <w:pageBreakBefore w:val="0"/>
              <w:widowControl w:val="0"/>
              <w:kinsoku/>
              <w:wordWrap/>
              <w:overflowPunct/>
              <w:topLinePunct w:val="0"/>
              <w:autoSpaceDE/>
              <w:autoSpaceDN/>
              <w:bidi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③原辅料影响途径</w:t>
            </w:r>
          </w:p>
          <w:p>
            <w:pPr>
              <w:pageBreakBefore w:val="0"/>
              <w:widowControl w:val="0"/>
              <w:kinsoku/>
              <w:wordWrap/>
              <w:overflowPunct/>
              <w:topLinePunct w:val="0"/>
              <w:autoSpaceDE/>
              <w:autoSpaceDN/>
              <w:bidi w:val="0"/>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A原辅料堆放棚防雨措施落实不到位，原辅料在雨水冲刷下，其中的污染物随雨水下渗至地下，对地下水产生一定影响。</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综上，</w:t>
            </w:r>
            <w:r>
              <w:rPr>
                <w:rFonts w:hint="default" w:ascii="Times New Roman" w:hAnsi="Times New Roman" w:cs="Times New Roman"/>
                <w:color w:val="auto"/>
                <w:sz w:val="24"/>
                <w:szCs w:val="24"/>
                <w:highlight w:val="none"/>
              </w:rPr>
              <w:t>从拟建工程厂址地质构造和工程特点可见，如果工程防渗措施不到位，拟建工程会对厂址周围浅层地下水造成污染影响，并且有可能对潜水产生一定的影响，但200米以下的深层地下水由于有很厚的隔水层与上部隔离，因此拟建工程不会对厂址周围的深层地下水产生影响。</w:t>
            </w:r>
          </w:p>
          <w:p>
            <w:pPr>
              <w:adjustRightInd w:val="0"/>
              <w:snapToGrid w:val="0"/>
              <w:spacing w:line="360" w:lineRule="auto"/>
              <w:jc w:val="left"/>
              <w:rPr>
                <w:b/>
                <w:bCs/>
                <w:color w:val="auto"/>
                <w:sz w:val="24"/>
                <w:szCs w:val="24"/>
              </w:rPr>
            </w:pPr>
            <w:r>
              <w:rPr>
                <w:rFonts w:hint="eastAsia"/>
                <w:b/>
                <w:bCs/>
                <w:color w:val="auto"/>
                <w:sz w:val="24"/>
                <w:szCs w:val="24"/>
                <w:lang w:val="en-US" w:eastAsia="zh-CN"/>
              </w:rPr>
              <w:t>6.</w:t>
            </w:r>
            <w:r>
              <w:rPr>
                <w:b/>
                <w:bCs/>
                <w:color w:val="auto"/>
                <w:sz w:val="24"/>
                <w:szCs w:val="24"/>
              </w:rPr>
              <w:t>土壤影响分析</w:t>
            </w:r>
          </w:p>
          <w:p>
            <w:pPr>
              <w:adjustRightInd w:val="0"/>
              <w:snapToGrid w:val="0"/>
              <w:spacing w:line="360" w:lineRule="auto"/>
              <w:ind w:firstLine="480" w:firstLineChars="200"/>
              <w:rPr>
                <w:color w:val="auto"/>
                <w:sz w:val="24"/>
                <w:szCs w:val="24"/>
              </w:rPr>
            </w:pPr>
            <w:r>
              <w:rPr>
                <w:color w:val="auto"/>
                <w:sz w:val="24"/>
                <w:szCs w:val="24"/>
              </w:rPr>
              <w:t>（1）影响识别</w:t>
            </w:r>
          </w:p>
          <w:p>
            <w:pPr>
              <w:adjustRightInd w:val="0"/>
              <w:snapToGrid w:val="0"/>
              <w:spacing w:line="360" w:lineRule="auto"/>
              <w:ind w:firstLine="480" w:firstLineChars="200"/>
              <w:rPr>
                <w:color w:val="auto"/>
                <w:sz w:val="24"/>
                <w:szCs w:val="24"/>
              </w:rPr>
            </w:pPr>
            <w:r>
              <w:rPr>
                <w:rFonts w:hint="eastAsia"/>
                <w:color w:val="auto"/>
                <w:sz w:val="24"/>
                <w:szCs w:val="24"/>
                <w:lang w:val="en-US" w:eastAsia="zh-CN"/>
              </w:rPr>
              <w:t>①</w:t>
            </w:r>
            <w:r>
              <w:rPr>
                <w:color w:val="auto"/>
                <w:sz w:val="24"/>
                <w:szCs w:val="24"/>
              </w:rPr>
              <w:t>影响类型识别</w:t>
            </w:r>
          </w:p>
          <w:p>
            <w:pPr>
              <w:adjustRightInd w:val="0"/>
              <w:snapToGrid w:val="0"/>
              <w:spacing w:line="360" w:lineRule="auto"/>
              <w:ind w:firstLine="480" w:firstLineChars="200"/>
              <w:jc w:val="left"/>
              <w:rPr>
                <w:color w:val="auto"/>
                <w:sz w:val="24"/>
                <w:szCs w:val="24"/>
              </w:rPr>
            </w:pPr>
            <w:r>
              <w:rPr>
                <w:color w:val="auto"/>
                <w:sz w:val="24"/>
                <w:szCs w:val="24"/>
              </w:rPr>
              <w:t>正常情况下</w:t>
            </w:r>
            <w:r>
              <w:rPr>
                <w:rFonts w:hint="eastAsia"/>
                <w:color w:val="auto"/>
                <w:sz w:val="24"/>
                <w:szCs w:val="24"/>
                <w:lang w:eastAsia="zh-CN"/>
              </w:rPr>
              <w:t>，</w:t>
            </w:r>
            <w:r>
              <w:rPr>
                <w:rFonts w:hint="eastAsia"/>
                <w:color w:val="auto"/>
                <w:sz w:val="24"/>
                <w:szCs w:val="24"/>
                <w:lang w:val="en-US" w:eastAsia="zh-CN"/>
              </w:rPr>
              <w:t>运营期项目</w:t>
            </w:r>
            <w:r>
              <w:rPr>
                <w:color w:val="auto"/>
                <w:sz w:val="24"/>
                <w:szCs w:val="24"/>
              </w:rPr>
              <w:t>的</w:t>
            </w:r>
            <w:r>
              <w:rPr>
                <w:rFonts w:hint="eastAsia"/>
                <w:color w:val="auto"/>
                <w:sz w:val="24"/>
                <w:szCs w:val="24"/>
                <w:lang w:val="en-US" w:eastAsia="zh-CN"/>
              </w:rPr>
              <w:t>原辅料及</w:t>
            </w:r>
            <w:r>
              <w:rPr>
                <w:color w:val="auto"/>
                <w:sz w:val="24"/>
                <w:szCs w:val="24"/>
              </w:rPr>
              <w:t>固体废物均依据性质进行分类</w:t>
            </w:r>
            <w:r>
              <w:rPr>
                <w:rFonts w:hint="eastAsia"/>
                <w:color w:val="auto"/>
                <w:sz w:val="24"/>
                <w:szCs w:val="24"/>
                <w:lang w:val="en-US" w:eastAsia="zh-CN"/>
              </w:rPr>
              <w:t>暂存及</w:t>
            </w:r>
            <w:r>
              <w:rPr>
                <w:color w:val="auto"/>
                <w:sz w:val="24"/>
                <w:szCs w:val="24"/>
              </w:rPr>
              <w:t>处理，不</w:t>
            </w:r>
            <w:r>
              <w:rPr>
                <w:rFonts w:hint="eastAsia"/>
                <w:color w:val="auto"/>
                <w:sz w:val="24"/>
                <w:szCs w:val="24"/>
                <w:lang w:val="en-US" w:eastAsia="zh-CN"/>
              </w:rPr>
              <w:t>会进入土壤</w:t>
            </w:r>
            <w:r>
              <w:rPr>
                <w:color w:val="auto"/>
                <w:sz w:val="24"/>
                <w:szCs w:val="24"/>
              </w:rPr>
              <w:t>环境，满足环保要求。非正常状况下，如：</w:t>
            </w:r>
            <w:r>
              <w:rPr>
                <w:rFonts w:hint="eastAsia"/>
                <w:color w:val="auto"/>
                <w:sz w:val="24"/>
                <w:szCs w:val="24"/>
                <w:lang w:val="en-US" w:eastAsia="zh-CN"/>
              </w:rPr>
              <w:t>煤矸石堆棚、危废暂存间防渗不到位、</w:t>
            </w:r>
            <w:r>
              <w:rPr>
                <w:color w:val="auto"/>
                <w:sz w:val="24"/>
                <w:szCs w:val="24"/>
              </w:rPr>
              <w:t>固废收集处置措施落实不到位</w:t>
            </w:r>
            <w:r>
              <w:rPr>
                <w:rFonts w:hint="eastAsia"/>
                <w:color w:val="auto"/>
                <w:sz w:val="24"/>
                <w:szCs w:val="24"/>
                <w:lang w:eastAsia="zh-CN"/>
              </w:rPr>
              <w:t>、</w:t>
            </w:r>
            <w:r>
              <w:rPr>
                <w:rFonts w:hint="eastAsia"/>
                <w:color w:val="auto"/>
                <w:sz w:val="24"/>
                <w:szCs w:val="24"/>
                <w:lang w:val="en-US" w:eastAsia="zh-CN"/>
              </w:rPr>
              <w:t>废气处理系统循环水池防渗措施落实不到位的情况下</w:t>
            </w:r>
            <w:r>
              <w:rPr>
                <w:color w:val="auto"/>
                <w:sz w:val="24"/>
                <w:szCs w:val="24"/>
              </w:rPr>
              <w:t>，</w:t>
            </w:r>
            <w:r>
              <w:rPr>
                <w:rFonts w:hint="eastAsia"/>
                <w:color w:val="auto"/>
                <w:sz w:val="24"/>
                <w:szCs w:val="24"/>
                <w:lang w:val="en-US" w:eastAsia="zh-CN"/>
              </w:rPr>
              <w:t>危险废物、废气处理液渗入到土壤，</w:t>
            </w:r>
            <w:r>
              <w:rPr>
                <w:color w:val="auto"/>
                <w:sz w:val="24"/>
                <w:szCs w:val="24"/>
              </w:rPr>
              <w:t>可能造成土壤理化性质的改变，使土壤质量降低，影响植被生长。</w:t>
            </w:r>
          </w:p>
          <w:p>
            <w:pPr>
              <w:adjustRightInd w:val="0"/>
              <w:snapToGrid w:val="0"/>
              <w:spacing w:line="360" w:lineRule="auto"/>
              <w:ind w:firstLine="480" w:firstLineChars="200"/>
              <w:jc w:val="left"/>
              <w:rPr>
                <w:color w:val="auto"/>
                <w:sz w:val="24"/>
                <w:szCs w:val="24"/>
              </w:rPr>
            </w:pPr>
            <w:r>
              <w:rPr>
                <w:color w:val="auto"/>
                <w:sz w:val="24"/>
                <w:szCs w:val="24"/>
              </w:rPr>
              <w:t>通过分析可知，本项目土壤影响类型属污染影响型。</w:t>
            </w:r>
          </w:p>
          <w:p>
            <w:pPr>
              <w:pStyle w:val="27"/>
              <w:ind w:left="0" w:leftChars="0" w:firstLine="480" w:firstLineChars="200"/>
              <w:rPr>
                <w:color w:val="auto"/>
                <w:sz w:val="24"/>
                <w:szCs w:val="24"/>
              </w:rPr>
            </w:pPr>
            <w:r>
              <w:rPr>
                <w:rFonts w:hint="eastAsia"/>
                <w:color w:val="auto"/>
                <w:sz w:val="24"/>
                <w:szCs w:val="24"/>
                <w:lang w:val="en-US" w:eastAsia="zh-CN"/>
              </w:rPr>
              <w:t>②</w:t>
            </w:r>
            <w:r>
              <w:rPr>
                <w:color w:val="auto"/>
                <w:sz w:val="24"/>
                <w:szCs w:val="24"/>
              </w:rPr>
              <w:t>影响途径识别</w:t>
            </w:r>
          </w:p>
          <w:p>
            <w:pPr>
              <w:adjustRightInd w:val="0"/>
              <w:snapToGrid w:val="0"/>
              <w:spacing w:line="360" w:lineRule="auto"/>
              <w:ind w:firstLine="480" w:firstLineChars="200"/>
              <w:jc w:val="left"/>
              <w:rPr>
                <w:color w:val="auto"/>
                <w:sz w:val="24"/>
                <w:szCs w:val="24"/>
              </w:rPr>
            </w:pPr>
            <w:r>
              <w:rPr>
                <w:color w:val="auto"/>
                <w:sz w:val="24"/>
                <w:szCs w:val="24"/>
              </w:rPr>
              <w:t>项目施工期对土壤基本无影响。运营期对土壤的影响</w:t>
            </w:r>
            <w:r>
              <w:rPr>
                <w:rFonts w:hint="eastAsia"/>
                <w:color w:val="auto"/>
                <w:sz w:val="24"/>
                <w:szCs w:val="24"/>
                <w:lang w:val="en-US" w:eastAsia="zh-CN"/>
              </w:rPr>
              <w:t>主要</w:t>
            </w:r>
            <w:r>
              <w:rPr>
                <w:color w:val="auto"/>
                <w:sz w:val="24"/>
                <w:szCs w:val="24"/>
              </w:rPr>
              <w:t>为</w:t>
            </w:r>
            <w:r>
              <w:rPr>
                <w:rFonts w:hint="eastAsia"/>
                <w:color w:val="auto"/>
                <w:sz w:val="24"/>
                <w:szCs w:val="24"/>
                <w:lang w:val="en-US" w:eastAsia="zh-CN"/>
              </w:rPr>
              <w:t>危险废物泄露</w:t>
            </w:r>
            <w:r>
              <w:rPr>
                <w:rFonts w:hint="eastAsia"/>
                <w:color w:val="auto"/>
                <w:sz w:val="24"/>
                <w:szCs w:val="24"/>
                <w:lang w:eastAsia="zh-CN"/>
              </w:rPr>
              <w:t>、</w:t>
            </w:r>
            <w:r>
              <w:rPr>
                <w:rFonts w:hint="eastAsia"/>
                <w:color w:val="auto"/>
                <w:sz w:val="24"/>
                <w:szCs w:val="24"/>
                <w:lang w:val="en-US" w:eastAsia="zh-CN"/>
              </w:rPr>
              <w:t>循环水池</w:t>
            </w:r>
            <w:r>
              <w:rPr>
                <w:color w:val="auto"/>
                <w:sz w:val="24"/>
                <w:szCs w:val="24"/>
              </w:rPr>
              <w:t>破损</w:t>
            </w:r>
            <w:r>
              <w:rPr>
                <w:rFonts w:hint="eastAsia"/>
                <w:color w:val="auto"/>
                <w:sz w:val="24"/>
                <w:szCs w:val="24"/>
                <w:lang w:val="en-US" w:eastAsia="zh-CN"/>
              </w:rPr>
              <w:t>废水泄露等。</w:t>
            </w:r>
            <w:r>
              <w:rPr>
                <w:color w:val="auto"/>
                <w:sz w:val="24"/>
                <w:szCs w:val="24"/>
              </w:rPr>
              <w:t>土壤是复杂的三相共存体系，其污染物质主要通过被污染大气的沉降以及固体废物通过大气迁移、扩散、沉降或降水淋溶、地表径流、垂直下渗等进入土壤环境。</w:t>
            </w:r>
          </w:p>
          <w:p>
            <w:pPr>
              <w:jc w:val="center"/>
              <w:rPr>
                <w:b/>
                <w:color w:val="auto"/>
                <w:sz w:val="21"/>
                <w:szCs w:val="21"/>
                <w:lang w:bidi="ar"/>
              </w:rPr>
            </w:pPr>
            <w:r>
              <w:rPr>
                <w:b/>
                <w:color w:val="auto"/>
                <w:sz w:val="21"/>
                <w:szCs w:val="21"/>
                <w:lang w:bidi="ar"/>
              </w:rPr>
              <w:t>表4-</w:t>
            </w:r>
            <w:r>
              <w:rPr>
                <w:rFonts w:hint="eastAsia"/>
                <w:b/>
                <w:color w:val="auto"/>
                <w:sz w:val="21"/>
                <w:szCs w:val="21"/>
                <w:lang w:val="en-US" w:eastAsia="zh-CN" w:bidi="ar"/>
              </w:rPr>
              <w:t>20</w:t>
            </w:r>
            <w:r>
              <w:rPr>
                <w:b/>
                <w:color w:val="auto"/>
                <w:sz w:val="21"/>
                <w:szCs w:val="21"/>
                <w:lang w:bidi="ar"/>
              </w:rPr>
              <w:t xml:space="preserve">   本项目土壤影响途径表</w:t>
            </w:r>
          </w:p>
          <w:tbl>
            <w:tblPr>
              <w:tblStyle w:val="28"/>
              <w:tblW w:w="507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08"/>
              <w:gridCol w:w="2013"/>
              <w:gridCol w:w="2013"/>
              <w:gridCol w:w="201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47" w:type="pct"/>
                  <w:vMerge w:val="restart"/>
                  <w:noWrap w:val="0"/>
                  <w:vAlign w:val="center"/>
                </w:tcPr>
                <w:p>
                  <w:pPr>
                    <w:pStyle w:val="71"/>
                    <w:spacing w:before="48" w:after="48"/>
                    <w:rPr>
                      <w:color w:val="auto"/>
                      <w:sz w:val="21"/>
                      <w:szCs w:val="21"/>
                    </w:rPr>
                  </w:pPr>
                  <w:r>
                    <w:rPr>
                      <w:color w:val="auto"/>
                      <w:sz w:val="21"/>
                      <w:szCs w:val="21"/>
                    </w:rPr>
                    <w:t>不同时段</w:t>
                  </w:r>
                </w:p>
              </w:tc>
              <w:tc>
                <w:tcPr>
                  <w:tcW w:w="3752" w:type="pct"/>
                  <w:gridSpan w:val="3"/>
                  <w:noWrap w:val="0"/>
                  <w:vAlign w:val="center"/>
                </w:tcPr>
                <w:p>
                  <w:pPr>
                    <w:pStyle w:val="71"/>
                    <w:spacing w:before="48" w:after="48"/>
                    <w:rPr>
                      <w:color w:val="auto"/>
                      <w:sz w:val="21"/>
                      <w:szCs w:val="21"/>
                    </w:rPr>
                  </w:pPr>
                  <w:r>
                    <w:rPr>
                      <w:color w:val="auto"/>
                      <w:sz w:val="21"/>
                      <w:szCs w:val="21"/>
                    </w:rPr>
                    <w:t>污染影响型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47" w:type="pct"/>
                  <w:vMerge w:val="continue"/>
                  <w:noWrap w:val="0"/>
                  <w:vAlign w:val="center"/>
                </w:tcPr>
                <w:p>
                  <w:pPr>
                    <w:pStyle w:val="71"/>
                    <w:spacing w:before="48" w:after="48"/>
                    <w:rPr>
                      <w:color w:val="auto"/>
                      <w:sz w:val="21"/>
                      <w:szCs w:val="21"/>
                    </w:rPr>
                  </w:pPr>
                </w:p>
              </w:tc>
              <w:tc>
                <w:tcPr>
                  <w:tcW w:w="1250" w:type="pct"/>
                  <w:noWrap w:val="0"/>
                  <w:vAlign w:val="center"/>
                </w:tcPr>
                <w:p>
                  <w:pPr>
                    <w:pStyle w:val="71"/>
                    <w:spacing w:before="48" w:after="48"/>
                    <w:rPr>
                      <w:color w:val="auto"/>
                      <w:sz w:val="21"/>
                      <w:szCs w:val="21"/>
                    </w:rPr>
                  </w:pPr>
                  <w:r>
                    <w:rPr>
                      <w:color w:val="auto"/>
                      <w:sz w:val="21"/>
                      <w:szCs w:val="21"/>
                    </w:rPr>
                    <w:t>大气沉降</w:t>
                  </w:r>
                </w:p>
              </w:tc>
              <w:tc>
                <w:tcPr>
                  <w:tcW w:w="1250" w:type="pct"/>
                  <w:noWrap w:val="0"/>
                  <w:vAlign w:val="center"/>
                </w:tcPr>
                <w:p>
                  <w:pPr>
                    <w:pStyle w:val="71"/>
                    <w:spacing w:before="48" w:after="48"/>
                    <w:rPr>
                      <w:color w:val="auto"/>
                      <w:sz w:val="21"/>
                      <w:szCs w:val="21"/>
                    </w:rPr>
                  </w:pPr>
                  <w:r>
                    <w:rPr>
                      <w:color w:val="auto"/>
                      <w:sz w:val="21"/>
                      <w:szCs w:val="21"/>
                    </w:rPr>
                    <w:t>地面漫流</w:t>
                  </w:r>
                </w:p>
              </w:tc>
              <w:tc>
                <w:tcPr>
                  <w:tcW w:w="1251" w:type="pct"/>
                  <w:noWrap w:val="0"/>
                  <w:vAlign w:val="center"/>
                </w:tcPr>
                <w:p>
                  <w:pPr>
                    <w:pStyle w:val="71"/>
                    <w:spacing w:before="48" w:after="48"/>
                    <w:rPr>
                      <w:color w:val="auto"/>
                      <w:sz w:val="21"/>
                      <w:szCs w:val="21"/>
                    </w:rPr>
                  </w:pPr>
                  <w:r>
                    <w:rPr>
                      <w:color w:val="auto"/>
                      <w:sz w:val="21"/>
                      <w:szCs w:val="21"/>
                    </w:rPr>
                    <w:t>垂直入渗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47" w:type="pct"/>
                  <w:noWrap w:val="0"/>
                  <w:vAlign w:val="center"/>
                </w:tcPr>
                <w:p>
                  <w:pPr>
                    <w:pStyle w:val="71"/>
                    <w:spacing w:before="48" w:after="48"/>
                    <w:rPr>
                      <w:color w:val="auto"/>
                      <w:sz w:val="21"/>
                      <w:szCs w:val="21"/>
                    </w:rPr>
                  </w:pPr>
                  <w:r>
                    <w:rPr>
                      <w:color w:val="auto"/>
                      <w:sz w:val="21"/>
                      <w:szCs w:val="21"/>
                    </w:rPr>
                    <w:t>建设期</w:t>
                  </w:r>
                </w:p>
              </w:tc>
              <w:tc>
                <w:tcPr>
                  <w:tcW w:w="1250" w:type="pct"/>
                  <w:noWrap w:val="0"/>
                  <w:vAlign w:val="center"/>
                </w:tcPr>
                <w:p>
                  <w:pPr>
                    <w:pStyle w:val="71"/>
                    <w:spacing w:before="48" w:after="48"/>
                    <w:rPr>
                      <w:color w:val="auto"/>
                      <w:sz w:val="21"/>
                      <w:szCs w:val="21"/>
                    </w:rPr>
                  </w:pPr>
                  <w:r>
                    <w:rPr>
                      <w:color w:val="auto"/>
                      <w:sz w:val="21"/>
                      <w:szCs w:val="21"/>
                    </w:rPr>
                    <w:t>/</w:t>
                  </w:r>
                </w:p>
              </w:tc>
              <w:tc>
                <w:tcPr>
                  <w:tcW w:w="1250" w:type="pct"/>
                  <w:noWrap w:val="0"/>
                  <w:vAlign w:val="center"/>
                </w:tcPr>
                <w:p>
                  <w:pPr>
                    <w:pStyle w:val="71"/>
                    <w:spacing w:before="48" w:after="48"/>
                    <w:rPr>
                      <w:color w:val="auto"/>
                      <w:sz w:val="21"/>
                      <w:szCs w:val="21"/>
                    </w:rPr>
                  </w:pPr>
                  <w:r>
                    <w:rPr>
                      <w:color w:val="auto"/>
                      <w:sz w:val="21"/>
                      <w:szCs w:val="21"/>
                    </w:rPr>
                    <w:t>√</w:t>
                  </w:r>
                </w:p>
              </w:tc>
              <w:tc>
                <w:tcPr>
                  <w:tcW w:w="1251" w:type="pct"/>
                  <w:noWrap w:val="0"/>
                  <w:vAlign w:val="center"/>
                </w:tcPr>
                <w:p>
                  <w:pPr>
                    <w:pStyle w:val="71"/>
                    <w:spacing w:before="48" w:after="48"/>
                    <w:rPr>
                      <w:color w:val="auto"/>
                      <w:sz w:val="21"/>
                      <w:szCs w:val="21"/>
                    </w:rPr>
                  </w:pP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47" w:type="pct"/>
                  <w:noWrap w:val="0"/>
                  <w:vAlign w:val="center"/>
                </w:tcPr>
                <w:p>
                  <w:pPr>
                    <w:pStyle w:val="71"/>
                    <w:spacing w:before="48" w:after="48"/>
                    <w:rPr>
                      <w:color w:val="auto"/>
                      <w:sz w:val="21"/>
                      <w:szCs w:val="21"/>
                    </w:rPr>
                  </w:pPr>
                  <w:r>
                    <w:rPr>
                      <w:color w:val="auto"/>
                      <w:sz w:val="21"/>
                      <w:szCs w:val="21"/>
                    </w:rPr>
                    <w:t>运营期</w:t>
                  </w:r>
                </w:p>
              </w:tc>
              <w:tc>
                <w:tcPr>
                  <w:tcW w:w="1250" w:type="pct"/>
                  <w:noWrap w:val="0"/>
                  <w:vAlign w:val="center"/>
                </w:tcPr>
                <w:p>
                  <w:pPr>
                    <w:pStyle w:val="71"/>
                    <w:spacing w:before="48" w:after="48"/>
                    <w:rPr>
                      <w:color w:val="auto"/>
                      <w:sz w:val="21"/>
                      <w:szCs w:val="21"/>
                    </w:rPr>
                  </w:pPr>
                  <w:r>
                    <w:rPr>
                      <w:color w:val="auto"/>
                      <w:sz w:val="21"/>
                      <w:szCs w:val="21"/>
                    </w:rPr>
                    <w:t>/</w:t>
                  </w:r>
                </w:p>
              </w:tc>
              <w:tc>
                <w:tcPr>
                  <w:tcW w:w="1250" w:type="pct"/>
                  <w:noWrap w:val="0"/>
                  <w:vAlign w:val="center"/>
                </w:tcPr>
                <w:p>
                  <w:pPr>
                    <w:pStyle w:val="71"/>
                    <w:spacing w:before="48" w:after="48"/>
                    <w:rPr>
                      <w:color w:val="auto"/>
                      <w:sz w:val="21"/>
                      <w:szCs w:val="21"/>
                    </w:rPr>
                  </w:pPr>
                  <w:r>
                    <w:rPr>
                      <w:color w:val="auto"/>
                      <w:sz w:val="21"/>
                      <w:szCs w:val="21"/>
                    </w:rPr>
                    <w:t>√</w:t>
                  </w:r>
                </w:p>
              </w:tc>
              <w:tc>
                <w:tcPr>
                  <w:tcW w:w="1251" w:type="pct"/>
                  <w:noWrap w:val="0"/>
                  <w:vAlign w:val="center"/>
                </w:tcPr>
                <w:p>
                  <w:pPr>
                    <w:pStyle w:val="71"/>
                    <w:spacing w:before="48" w:after="48"/>
                    <w:rPr>
                      <w:color w:val="auto"/>
                      <w:sz w:val="21"/>
                      <w:szCs w:val="21"/>
                    </w:rPr>
                  </w:pPr>
                  <w:r>
                    <w:rPr>
                      <w:color w:val="auto"/>
                      <w:sz w:val="21"/>
                      <w:szCs w:val="21"/>
                    </w:rPr>
                    <w:t>√</w:t>
                  </w:r>
                </w:p>
              </w:tc>
            </w:tr>
          </w:tbl>
          <w:p>
            <w:pPr>
              <w:jc w:val="center"/>
              <w:rPr>
                <w:rFonts w:hint="default" w:eastAsia="宋体"/>
                <w:b/>
                <w:color w:val="auto"/>
                <w:sz w:val="21"/>
                <w:szCs w:val="21"/>
                <w:lang w:val="en-US" w:eastAsia="zh-CN" w:bidi="ar"/>
              </w:rPr>
            </w:pPr>
            <w:r>
              <w:rPr>
                <w:b/>
                <w:color w:val="auto"/>
                <w:sz w:val="21"/>
                <w:szCs w:val="21"/>
                <w:lang w:bidi="ar"/>
              </w:rPr>
              <w:t>表4-</w:t>
            </w:r>
            <w:r>
              <w:rPr>
                <w:rFonts w:hint="eastAsia"/>
                <w:b/>
                <w:color w:val="auto"/>
                <w:sz w:val="21"/>
                <w:szCs w:val="21"/>
                <w:lang w:val="en-US" w:eastAsia="zh-CN" w:bidi="ar"/>
              </w:rPr>
              <w:t>21</w:t>
            </w:r>
            <w:r>
              <w:rPr>
                <w:b/>
                <w:color w:val="auto"/>
                <w:sz w:val="21"/>
                <w:szCs w:val="21"/>
                <w:lang w:bidi="ar"/>
              </w:rPr>
              <w:t xml:space="preserve">   本项目土壤影响类型</w:t>
            </w:r>
            <w:r>
              <w:rPr>
                <w:rFonts w:hint="eastAsia"/>
                <w:b/>
                <w:color w:val="auto"/>
                <w:sz w:val="21"/>
                <w:szCs w:val="21"/>
                <w:lang w:val="en-US" w:eastAsia="zh-CN" w:bidi="ar"/>
              </w:rPr>
              <w:t>与因子识别</w:t>
            </w:r>
          </w:p>
          <w:tbl>
            <w:tblPr>
              <w:tblStyle w:val="28"/>
              <w:tblW w:w="805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540"/>
              <w:gridCol w:w="1899"/>
              <w:gridCol w:w="1940"/>
              <w:gridCol w:w="16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77" w:type="pct"/>
                  <w:noWrap w:val="0"/>
                  <w:vAlign w:val="center"/>
                </w:tcPr>
                <w:p>
                  <w:pPr>
                    <w:pStyle w:val="71"/>
                    <w:snapToGrid w:val="0"/>
                    <w:spacing w:before="48" w:after="48"/>
                    <w:rPr>
                      <w:color w:val="auto"/>
                      <w:sz w:val="21"/>
                      <w:szCs w:val="21"/>
                    </w:rPr>
                  </w:pPr>
                  <w:r>
                    <w:rPr>
                      <w:color w:val="auto"/>
                      <w:sz w:val="21"/>
                      <w:szCs w:val="21"/>
                    </w:rPr>
                    <w:t>污染源</w:t>
                  </w:r>
                </w:p>
              </w:tc>
              <w:tc>
                <w:tcPr>
                  <w:tcW w:w="1179" w:type="pct"/>
                  <w:noWrap w:val="0"/>
                  <w:vAlign w:val="center"/>
                </w:tcPr>
                <w:p>
                  <w:pPr>
                    <w:pStyle w:val="71"/>
                    <w:snapToGrid w:val="0"/>
                    <w:spacing w:before="48" w:after="48"/>
                    <w:rPr>
                      <w:color w:val="auto"/>
                      <w:sz w:val="21"/>
                      <w:szCs w:val="21"/>
                    </w:rPr>
                  </w:pPr>
                  <w:r>
                    <w:rPr>
                      <w:color w:val="auto"/>
                      <w:sz w:val="21"/>
                      <w:szCs w:val="21"/>
                    </w:rPr>
                    <w:t>污染途径</w:t>
                  </w:r>
                </w:p>
              </w:tc>
              <w:tc>
                <w:tcPr>
                  <w:tcW w:w="1204" w:type="pct"/>
                  <w:noWrap w:val="0"/>
                  <w:vAlign w:val="center"/>
                </w:tcPr>
                <w:p>
                  <w:pPr>
                    <w:pStyle w:val="71"/>
                    <w:snapToGrid w:val="0"/>
                    <w:spacing w:before="48" w:after="48"/>
                    <w:rPr>
                      <w:color w:val="auto"/>
                      <w:sz w:val="21"/>
                      <w:szCs w:val="21"/>
                    </w:rPr>
                  </w:pPr>
                  <w:r>
                    <w:rPr>
                      <w:color w:val="auto"/>
                      <w:sz w:val="21"/>
                      <w:szCs w:val="21"/>
                    </w:rPr>
                    <w:t>全部污染物指标</w:t>
                  </w:r>
                </w:p>
              </w:tc>
              <w:tc>
                <w:tcPr>
                  <w:tcW w:w="1037" w:type="pct"/>
                  <w:noWrap w:val="0"/>
                  <w:vAlign w:val="center"/>
                </w:tcPr>
                <w:p>
                  <w:pPr>
                    <w:pStyle w:val="71"/>
                    <w:snapToGrid w:val="0"/>
                    <w:spacing w:before="48" w:after="48"/>
                    <w:rPr>
                      <w:color w:val="auto"/>
                      <w:sz w:val="21"/>
                      <w:szCs w:val="21"/>
                    </w:rPr>
                  </w:pPr>
                  <w:r>
                    <w:rPr>
                      <w:color w:val="auto"/>
                      <w:sz w:val="21"/>
                      <w:szCs w:val="21"/>
                    </w:rPr>
                    <w:t>土壤污染因子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77" w:type="pct"/>
                  <w:noWrap w:val="0"/>
                  <w:vAlign w:val="center"/>
                </w:tcPr>
                <w:p>
                  <w:pPr>
                    <w:pStyle w:val="71"/>
                    <w:snapToGrid w:val="0"/>
                    <w:spacing w:before="48" w:after="48"/>
                    <w:rPr>
                      <w:rFonts w:hint="default" w:eastAsia="宋体"/>
                      <w:color w:val="auto"/>
                      <w:sz w:val="21"/>
                      <w:szCs w:val="21"/>
                      <w:lang w:val="en-US" w:eastAsia="zh-CN"/>
                    </w:rPr>
                  </w:pPr>
                  <w:r>
                    <w:rPr>
                      <w:rFonts w:hint="eastAsia"/>
                      <w:color w:val="auto"/>
                      <w:sz w:val="21"/>
                      <w:szCs w:val="21"/>
                      <w:lang w:val="en-US" w:eastAsia="zh-CN"/>
                    </w:rPr>
                    <w:t>危险废物</w:t>
                  </w:r>
                  <w:r>
                    <w:rPr>
                      <w:rFonts w:hint="eastAsia"/>
                      <w:color w:val="auto"/>
                      <w:sz w:val="21"/>
                      <w:szCs w:val="21"/>
                      <w:lang w:eastAsia="zh-CN"/>
                    </w:rPr>
                    <w:t>、</w:t>
                  </w:r>
                  <w:r>
                    <w:rPr>
                      <w:rFonts w:hint="eastAsia"/>
                      <w:color w:val="auto"/>
                      <w:sz w:val="21"/>
                      <w:szCs w:val="21"/>
                      <w:lang w:val="en-US" w:eastAsia="zh-CN"/>
                    </w:rPr>
                    <w:t>煤矸石</w:t>
                  </w:r>
                </w:p>
              </w:tc>
              <w:tc>
                <w:tcPr>
                  <w:tcW w:w="1179" w:type="pct"/>
                  <w:noWrap w:val="0"/>
                  <w:vAlign w:val="center"/>
                </w:tcPr>
                <w:p>
                  <w:pPr>
                    <w:pStyle w:val="71"/>
                    <w:snapToGrid w:val="0"/>
                    <w:spacing w:before="48" w:after="48"/>
                    <w:rPr>
                      <w:rFonts w:hint="default" w:eastAsia="宋体"/>
                      <w:color w:val="auto"/>
                      <w:sz w:val="21"/>
                      <w:szCs w:val="21"/>
                      <w:lang w:val="en-US" w:eastAsia="zh-CN"/>
                    </w:rPr>
                  </w:pPr>
                  <w:r>
                    <w:rPr>
                      <w:color w:val="auto"/>
                      <w:sz w:val="21"/>
                      <w:szCs w:val="21"/>
                    </w:rPr>
                    <w:t>垂直入渗</w:t>
                  </w:r>
                  <w:r>
                    <w:rPr>
                      <w:rFonts w:hint="eastAsia"/>
                      <w:color w:val="auto"/>
                      <w:sz w:val="21"/>
                      <w:szCs w:val="21"/>
                      <w:lang w:eastAsia="zh-CN"/>
                    </w:rPr>
                    <w:t>、</w:t>
                  </w:r>
                  <w:r>
                    <w:rPr>
                      <w:rFonts w:hint="eastAsia"/>
                      <w:color w:val="auto"/>
                      <w:sz w:val="21"/>
                      <w:szCs w:val="21"/>
                      <w:lang w:val="en-US" w:eastAsia="zh-CN"/>
                    </w:rPr>
                    <w:t>大气沉降</w:t>
                  </w:r>
                </w:p>
              </w:tc>
              <w:tc>
                <w:tcPr>
                  <w:tcW w:w="1204" w:type="pct"/>
                  <w:noWrap w:val="0"/>
                  <w:vAlign w:val="center"/>
                </w:tcPr>
                <w:p>
                  <w:pPr>
                    <w:pStyle w:val="71"/>
                    <w:snapToGrid w:val="0"/>
                    <w:spacing w:before="48" w:after="48"/>
                    <w:rPr>
                      <w:color w:val="auto"/>
                      <w:sz w:val="21"/>
                      <w:szCs w:val="21"/>
                    </w:rPr>
                  </w:pPr>
                  <w:r>
                    <w:rPr>
                      <w:color w:val="auto"/>
                      <w:sz w:val="21"/>
                      <w:szCs w:val="21"/>
                    </w:rPr>
                    <w:t>石油类（石油烃）</w:t>
                  </w:r>
                </w:p>
              </w:tc>
              <w:tc>
                <w:tcPr>
                  <w:tcW w:w="1037" w:type="pct"/>
                  <w:noWrap w:val="0"/>
                  <w:vAlign w:val="center"/>
                </w:tcPr>
                <w:p>
                  <w:pPr>
                    <w:pStyle w:val="71"/>
                    <w:snapToGrid w:val="0"/>
                    <w:spacing w:before="48" w:after="48"/>
                    <w:rPr>
                      <w:color w:val="auto"/>
                      <w:sz w:val="21"/>
                      <w:szCs w:val="21"/>
                    </w:rPr>
                  </w:pPr>
                  <w:r>
                    <w:rPr>
                      <w:color w:val="auto"/>
                      <w:sz w:val="21"/>
                      <w:szCs w:val="21"/>
                    </w:rPr>
                    <w:t>石油类（石油烃）</w:t>
                  </w:r>
                </w:p>
              </w:tc>
            </w:tr>
          </w:tbl>
          <w:p>
            <w:pPr>
              <w:adjustRightInd w:val="0"/>
              <w:snapToGrid w:val="0"/>
              <w:spacing w:line="360" w:lineRule="auto"/>
              <w:ind w:firstLine="480" w:firstLineChars="200"/>
              <w:jc w:val="left"/>
              <w:rPr>
                <w:color w:val="auto"/>
                <w:sz w:val="24"/>
                <w:szCs w:val="24"/>
              </w:rPr>
            </w:pPr>
            <w:r>
              <w:rPr>
                <w:color w:val="auto"/>
                <w:sz w:val="24"/>
                <w:szCs w:val="24"/>
              </w:rPr>
              <w:t>（2）影响分析</w:t>
            </w:r>
          </w:p>
          <w:p>
            <w:pPr>
              <w:adjustRightInd w:val="0"/>
              <w:snapToGrid w:val="0"/>
              <w:spacing w:line="360" w:lineRule="auto"/>
              <w:ind w:firstLine="480" w:firstLineChars="200"/>
              <w:jc w:val="left"/>
              <w:rPr>
                <w:color w:val="auto"/>
                <w:sz w:val="24"/>
                <w:szCs w:val="24"/>
              </w:rPr>
            </w:pPr>
            <w:r>
              <w:rPr>
                <w:color w:val="auto"/>
                <w:sz w:val="24"/>
                <w:szCs w:val="24"/>
              </w:rPr>
              <w:t>本项目属于</w:t>
            </w:r>
            <w:r>
              <w:rPr>
                <w:rFonts w:hint="eastAsia"/>
                <w:color w:val="auto"/>
                <w:sz w:val="24"/>
                <w:szCs w:val="24"/>
                <w:lang w:val="en-US" w:eastAsia="zh-CN"/>
              </w:rPr>
              <w:t>技改</w:t>
            </w:r>
            <w:r>
              <w:rPr>
                <w:color w:val="auto"/>
                <w:sz w:val="24"/>
                <w:szCs w:val="24"/>
              </w:rPr>
              <w:t>项目，本次评价对可能产生污染的土壤进行了取样监测，通过现状土壤环境质量监测结果可以看出，项目所在区域土壤环境质量均满足相应的环境质量标准，因此可说明本项目区土壤环境质量较好。</w:t>
            </w:r>
          </w:p>
          <w:p>
            <w:pPr>
              <w:adjustRightInd w:val="0"/>
              <w:snapToGrid w:val="0"/>
              <w:spacing w:line="360" w:lineRule="auto"/>
              <w:ind w:firstLine="480" w:firstLineChars="200"/>
              <w:jc w:val="left"/>
              <w:rPr>
                <w:rFonts w:hint="default"/>
                <w:color w:val="auto"/>
                <w:sz w:val="21"/>
                <w:szCs w:val="21"/>
                <w:lang w:val="en-US"/>
              </w:rPr>
            </w:pPr>
            <w:r>
              <w:rPr>
                <w:color w:val="auto"/>
                <w:sz w:val="24"/>
                <w:szCs w:val="24"/>
              </w:rPr>
              <w:t>本项目各功能区均采取“源头控制”、“分区防控”的防渗措施，可以有效保证污染物不进入土壤环境，防止污染土壤。项目产生的固体废物均在室内堆放，满足“防风、防雨、防晒”的要求。危险废物分类收集后</w:t>
            </w:r>
            <w:r>
              <w:rPr>
                <w:rFonts w:hint="eastAsia"/>
                <w:color w:val="auto"/>
                <w:sz w:val="24"/>
                <w:szCs w:val="24"/>
                <w:lang w:val="en-US" w:eastAsia="zh-CN"/>
              </w:rPr>
              <w:t>暂存至危废暂存间</w:t>
            </w:r>
            <w:r>
              <w:rPr>
                <w:color w:val="auto"/>
                <w:sz w:val="24"/>
                <w:szCs w:val="24"/>
              </w:rPr>
              <w:t>，委托有资质的单位进行处置。</w:t>
            </w:r>
            <w:r>
              <w:rPr>
                <w:rFonts w:hint="eastAsia"/>
                <w:color w:val="auto"/>
                <w:sz w:val="24"/>
                <w:szCs w:val="24"/>
                <w:lang w:val="en-US" w:eastAsia="zh-CN"/>
              </w:rPr>
              <w:t>煤矸石堆棚、危废暂存间及循环水池</w:t>
            </w:r>
            <w:r>
              <w:rPr>
                <w:color w:val="auto"/>
                <w:sz w:val="24"/>
                <w:szCs w:val="24"/>
              </w:rPr>
              <w:t>等均采取防渗措施、</w:t>
            </w:r>
            <w:r>
              <w:rPr>
                <w:rFonts w:hint="eastAsia"/>
                <w:color w:val="auto"/>
                <w:sz w:val="24"/>
                <w:szCs w:val="24"/>
                <w:lang w:val="en-US" w:eastAsia="zh-CN"/>
              </w:rPr>
              <w:t>可以防止</w:t>
            </w:r>
            <w:r>
              <w:rPr>
                <w:color w:val="auto"/>
                <w:sz w:val="24"/>
                <w:szCs w:val="24"/>
              </w:rPr>
              <w:t>危险废物、废水</w:t>
            </w:r>
            <w:r>
              <w:rPr>
                <w:rFonts w:hint="eastAsia"/>
                <w:color w:val="auto"/>
                <w:sz w:val="24"/>
                <w:szCs w:val="24"/>
                <w:lang w:eastAsia="zh-CN"/>
              </w:rPr>
              <w:t>、</w:t>
            </w:r>
            <w:r>
              <w:rPr>
                <w:rFonts w:hint="eastAsia"/>
                <w:color w:val="auto"/>
                <w:sz w:val="24"/>
                <w:szCs w:val="24"/>
                <w:lang w:val="en-US" w:eastAsia="zh-CN"/>
              </w:rPr>
              <w:t>危险废物</w:t>
            </w:r>
            <w:r>
              <w:rPr>
                <w:color w:val="auto"/>
                <w:sz w:val="24"/>
                <w:szCs w:val="24"/>
              </w:rPr>
              <w:t>接触土壤</w:t>
            </w:r>
            <w:r>
              <w:rPr>
                <w:rFonts w:hint="eastAsia"/>
                <w:color w:val="auto"/>
                <w:sz w:val="24"/>
                <w:szCs w:val="24"/>
                <w:lang w:eastAsia="zh-CN"/>
              </w:rPr>
              <w:t>；</w:t>
            </w:r>
            <w:r>
              <w:rPr>
                <w:rFonts w:hint="eastAsia"/>
                <w:color w:val="auto"/>
                <w:sz w:val="24"/>
                <w:szCs w:val="24"/>
                <w:lang w:val="en-US" w:eastAsia="zh-CN"/>
              </w:rPr>
              <w:t>隧道窑烟气污染物</w:t>
            </w:r>
            <w:r>
              <w:rPr>
                <w:color w:val="auto"/>
                <w:sz w:val="24"/>
                <w:szCs w:val="24"/>
              </w:rPr>
              <w:t>采取</w:t>
            </w:r>
            <w:r>
              <w:rPr>
                <w:rFonts w:hint="eastAsia"/>
                <w:color w:val="auto"/>
                <w:sz w:val="24"/>
                <w:szCs w:val="24"/>
                <w:lang w:val="en-US" w:eastAsia="zh-CN"/>
              </w:rPr>
              <w:t>SNCR脱硝+袋式除尘+湿法脱硫并协同脱氟</w:t>
            </w:r>
            <w:r>
              <w:rPr>
                <w:color w:val="auto"/>
                <w:sz w:val="24"/>
                <w:szCs w:val="24"/>
              </w:rPr>
              <w:t>等处理措施减少</w:t>
            </w:r>
            <w:r>
              <w:rPr>
                <w:rFonts w:hint="eastAsia"/>
                <w:color w:val="auto"/>
                <w:sz w:val="24"/>
                <w:szCs w:val="24"/>
                <w:lang w:val="en-US" w:eastAsia="zh-CN"/>
              </w:rPr>
              <w:t>污废气染物</w:t>
            </w:r>
            <w:r>
              <w:rPr>
                <w:color w:val="auto"/>
                <w:sz w:val="24"/>
                <w:szCs w:val="24"/>
              </w:rPr>
              <w:t>的排放，</w:t>
            </w:r>
            <w:r>
              <w:rPr>
                <w:rFonts w:hint="eastAsia"/>
                <w:color w:val="auto"/>
                <w:sz w:val="24"/>
                <w:szCs w:val="24"/>
                <w:lang w:val="en-US" w:eastAsia="zh-CN"/>
              </w:rPr>
              <w:t>废气污染物排放浓度满足其排放标准，正常状况下对土壤环境产生的影响较小。</w:t>
            </w:r>
          </w:p>
          <w:p>
            <w:pPr>
              <w:adjustRightInd w:val="0"/>
              <w:snapToGrid w:val="0"/>
              <w:spacing w:line="360" w:lineRule="auto"/>
              <w:rPr>
                <w:b/>
                <w:bCs/>
                <w:color w:val="auto"/>
                <w:sz w:val="24"/>
                <w:szCs w:val="24"/>
              </w:rPr>
            </w:pPr>
            <w:r>
              <w:rPr>
                <w:rFonts w:hint="eastAsia"/>
                <w:b/>
                <w:bCs/>
                <w:color w:val="auto"/>
                <w:sz w:val="24"/>
                <w:szCs w:val="24"/>
                <w:lang w:val="en-US" w:eastAsia="zh-CN"/>
              </w:rPr>
              <w:t>7</w:t>
            </w:r>
            <w:r>
              <w:rPr>
                <w:b/>
                <w:bCs/>
                <w:color w:val="auto"/>
                <w:sz w:val="24"/>
                <w:szCs w:val="24"/>
              </w:rPr>
              <w:t>.环境风险分析</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根据《建设项目环境风险评价技术导则》（HJ 169-2018）规定，风险识别包括危险物质识别、危险物质分布情况和危险物质向环境转移的途径识别。</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（1）物质危险性评价</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本项目所用原辅料主要为煤矸石、粘土</w:t>
            </w:r>
            <w:r>
              <w:rPr>
                <w:rFonts w:hint="eastAsia" w:hAnsi="宋体"/>
                <w:color w:val="auto"/>
                <w:sz w:val="24"/>
                <w:szCs w:val="24"/>
                <w:lang w:eastAsia="zh-CN"/>
              </w:rPr>
              <w:t>、</w:t>
            </w:r>
            <w:r>
              <w:rPr>
                <w:rFonts w:hint="eastAsia" w:hAnsi="宋体"/>
                <w:color w:val="auto"/>
                <w:sz w:val="24"/>
                <w:szCs w:val="24"/>
              </w:rPr>
              <w:t>片碱、生石灰、20%尿素溶液等，结合《建设项目环境风险评价技术导则》（HJ169-2018）附录B评价等级判定依据可知，项目生产所需原辅材料不属于易爆、毒性大的危险化学品。</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（2）生产设施风险性识别</w:t>
            </w:r>
          </w:p>
          <w:p>
            <w:pPr>
              <w:spacing w:line="360" w:lineRule="auto"/>
              <w:ind w:firstLine="480" w:firstLineChars="200"/>
              <w:contextualSpacing/>
              <w:rPr>
                <w:rFonts w:hint="default" w:hAnsi="宋体" w:eastAsia="宋体"/>
                <w:color w:val="auto"/>
                <w:sz w:val="24"/>
                <w:szCs w:val="24"/>
                <w:lang w:val="en-US" w:eastAsia="zh-CN"/>
              </w:rPr>
            </w:pPr>
            <w:r>
              <w:rPr>
                <w:rFonts w:hint="eastAsia" w:hAnsi="宋体"/>
                <w:color w:val="auto"/>
                <w:sz w:val="24"/>
                <w:szCs w:val="24"/>
              </w:rPr>
              <w:t>本项目在生产过程中存在的风险主要有：环保设施故障造成污染物超标排放污染区域大气、地下水</w:t>
            </w:r>
            <w:r>
              <w:rPr>
                <w:rFonts w:hint="eastAsia" w:hAnsi="宋体"/>
                <w:color w:val="auto"/>
                <w:sz w:val="24"/>
                <w:szCs w:val="24"/>
                <w:lang w:val="en-US" w:eastAsia="zh-CN"/>
              </w:rPr>
              <w:t>及</w:t>
            </w:r>
            <w:r>
              <w:rPr>
                <w:rFonts w:hint="eastAsia" w:hAnsi="宋体"/>
                <w:color w:val="auto"/>
                <w:sz w:val="24"/>
                <w:szCs w:val="24"/>
              </w:rPr>
              <w:t>土壤环境；</w:t>
            </w:r>
            <w:r>
              <w:rPr>
                <w:rFonts w:hint="eastAsia" w:hAnsi="宋体"/>
                <w:color w:val="auto"/>
                <w:sz w:val="24"/>
                <w:szCs w:val="24"/>
                <w:lang w:val="en-US" w:eastAsia="zh-CN"/>
              </w:rPr>
              <w:t>循环水池废水渗漏</w:t>
            </w:r>
            <w:r>
              <w:rPr>
                <w:rFonts w:hint="eastAsia" w:hAnsi="宋体"/>
                <w:color w:val="auto"/>
                <w:sz w:val="24"/>
                <w:szCs w:val="24"/>
              </w:rPr>
              <w:t>，</w:t>
            </w:r>
            <w:r>
              <w:rPr>
                <w:rFonts w:hint="eastAsia" w:hAnsi="宋体"/>
                <w:color w:val="auto"/>
                <w:sz w:val="24"/>
                <w:szCs w:val="24"/>
                <w:lang w:val="en-US" w:eastAsia="zh-CN"/>
              </w:rPr>
              <w:t>渗漏液</w:t>
            </w:r>
            <w:r>
              <w:rPr>
                <w:rFonts w:hint="eastAsia" w:hAnsi="宋体"/>
                <w:color w:val="auto"/>
                <w:sz w:val="24"/>
                <w:szCs w:val="24"/>
              </w:rPr>
              <w:t>通过包气带渗入地下，对地下水、土壤环境造成污染影响</w:t>
            </w:r>
            <w:r>
              <w:rPr>
                <w:rFonts w:hint="eastAsia" w:hAnsi="宋体"/>
                <w:color w:val="auto"/>
                <w:sz w:val="24"/>
                <w:szCs w:val="24"/>
                <w:lang w:eastAsia="zh-CN"/>
              </w:rPr>
              <w:t>；</w:t>
            </w:r>
            <w:r>
              <w:rPr>
                <w:rFonts w:hint="eastAsia" w:hAnsi="宋体"/>
                <w:color w:val="auto"/>
                <w:sz w:val="24"/>
                <w:szCs w:val="24"/>
                <w:lang w:val="en-US" w:eastAsia="zh-CN"/>
              </w:rPr>
              <w:t>危废暂存间危险废物泄露下渗对土壤、地下水造成影响。</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（3）重大危险源辨识</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根据《危险化学品重大危险源辨识》（GB18218-2018）以及《建设项目环境风险评价技术导则》（HJ169-2018）中附录B所列的危险物质，</w:t>
            </w:r>
            <w:r>
              <w:rPr>
                <w:rFonts w:hint="eastAsia" w:hAnsi="宋体"/>
                <w:color w:val="auto"/>
                <w:sz w:val="24"/>
                <w:szCs w:val="24"/>
                <w:lang w:val="en-US" w:eastAsia="zh-CN"/>
              </w:rPr>
              <w:t>废机油</w:t>
            </w:r>
            <w:r>
              <w:rPr>
                <w:rFonts w:hint="eastAsia" w:hAnsi="宋体"/>
                <w:color w:val="auto"/>
                <w:sz w:val="24"/>
                <w:szCs w:val="24"/>
              </w:rPr>
              <w:t>、废机油</w:t>
            </w:r>
            <w:r>
              <w:rPr>
                <w:rFonts w:hint="eastAsia" w:hAnsi="宋体"/>
                <w:color w:val="auto"/>
                <w:sz w:val="24"/>
                <w:szCs w:val="24"/>
                <w:lang w:val="en-US" w:eastAsia="zh-CN"/>
              </w:rPr>
              <w:t>桶</w:t>
            </w:r>
            <w:r>
              <w:rPr>
                <w:rFonts w:hint="eastAsia" w:hAnsi="宋体"/>
                <w:color w:val="auto"/>
                <w:sz w:val="24"/>
                <w:szCs w:val="24"/>
              </w:rPr>
              <w:t>属于其他类物质及污染物（油类物质），临界量为2500t，本项目涉及的风险物质及临界量如下表4-</w:t>
            </w:r>
            <w:r>
              <w:rPr>
                <w:rFonts w:hint="eastAsia" w:hAnsi="宋体"/>
                <w:color w:val="auto"/>
                <w:sz w:val="24"/>
                <w:szCs w:val="24"/>
                <w:lang w:val="en-US" w:eastAsia="zh-CN"/>
              </w:rPr>
              <w:t>22</w:t>
            </w:r>
            <w:r>
              <w:rPr>
                <w:rFonts w:hint="eastAsia" w:hAnsi="宋体"/>
                <w:color w:val="auto"/>
                <w:sz w:val="24"/>
                <w:szCs w:val="24"/>
              </w:rPr>
              <w:t>所示。</w:t>
            </w:r>
          </w:p>
          <w:p>
            <w:pPr>
              <w:spacing w:line="240" w:lineRule="auto"/>
              <w:contextualSpacing/>
              <w:jc w:val="center"/>
              <w:rPr>
                <w:rFonts w:hint="eastAsia" w:hAnsi="宋体"/>
                <w:b/>
                <w:bCs/>
                <w:color w:val="auto"/>
                <w:sz w:val="21"/>
                <w:szCs w:val="21"/>
              </w:rPr>
            </w:pPr>
            <w:r>
              <w:rPr>
                <w:rFonts w:hint="eastAsia" w:hAnsi="宋体"/>
                <w:b/>
                <w:bCs/>
                <w:color w:val="auto"/>
                <w:sz w:val="21"/>
                <w:szCs w:val="21"/>
              </w:rPr>
              <w:t>表4-</w:t>
            </w:r>
            <w:r>
              <w:rPr>
                <w:rFonts w:hint="eastAsia" w:hAnsi="宋体"/>
                <w:b/>
                <w:bCs/>
                <w:color w:val="auto"/>
                <w:sz w:val="21"/>
                <w:szCs w:val="21"/>
                <w:lang w:val="en-US" w:eastAsia="zh-CN"/>
              </w:rPr>
              <w:t xml:space="preserve">22   </w:t>
            </w:r>
            <w:r>
              <w:rPr>
                <w:rFonts w:hint="eastAsia" w:hAnsi="宋体"/>
                <w:b/>
                <w:bCs/>
                <w:color w:val="auto"/>
                <w:sz w:val="21"/>
                <w:szCs w:val="21"/>
              </w:rPr>
              <w:t>风险物质储存情况表</w:t>
            </w:r>
          </w:p>
          <w:tbl>
            <w:tblPr>
              <w:tblStyle w:val="2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012"/>
              <w:gridCol w:w="2013"/>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color w:val="auto"/>
                      <w:sz w:val="21"/>
                      <w:szCs w:val="21"/>
                    </w:rPr>
                  </w:pPr>
                  <w:r>
                    <w:rPr>
                      <w:rFonts w:hint="eastAsia" w:hAnsi="宋体"/>
                      <w:color w:val="auto"/>
                      <w:sz w:val="21"/>
                      <w:szCs w:val="21"/>
                    </w:rPr>
                    <w:t>名称</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color w:val="auto"/>
                      <w:sz w:val="21"/>
                      <w:szCs w:val="21"/>
                    </w:rPr>
                  </w:pPr>
                  <w:r>
                    <w:rPr>
                      <w:rFonts w:hint="eastAsia" w:hAnsi="宋体"/>
                      <w:color w:val="auto"/>
                      <w:sz w:val="21"/>
                      <w:szCs w:val="21"/>
                    </w:rPr>
                    <w:t>储存方式</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color w:val="auto"/>
                      <w:sz w:val="21"/>
                      <w:szCs w:val="21"/>
                    </w:rPr>
                  </w:pPr>
                  <w:r>
                    <w:rPr>
                      <w:rFonts w:hint="eastAsia" w:hAnsi="宋体"/>
                      <w:color w:val="auto"/>
                      <w:sz w:val="21"/>
                      <w:szCs w:val="21"/>
                    </w:rPr>
                    <w:t>最大储存量</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color w:val="auto"/>
                      <w:sz w:val="21"/>
                      <w:szCs w:val="21"/>
                    </w:rPr>
                  </w:pPr>
                  <w:r>
                    <w:rPr>
                      <w:rFonts w:hint="eastAsia" w:hAnsi="宋体"/>
                      <w:color w:val="auto"/>
                      <w:sz w:val="21"/>
                      <w:szCs w:val="21"/>
                    </w:rPr>
                    <w:t>临界值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color w:val="auto"/>
                      <w:sz w:val="21"/>
                      <w:szCs w:val="21"/>
                    </w:rPr>
                  </w:pPr>
                  <w:r>
                    <w:rPr>
                      <w:rFonts w:hint="eastAsia" w:hAnsi="宋体"/>
                      <w:color w:val="auto"/>
                      <w:sz w:val="21"/>
                      <w:szCs w:val="21"/>
                    </w:rPr>
                    <w:t>废机油</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color w:val="auto"/>
                      <w:sz w:val="21"/>
                      <w:szCs w:val="21"/>
                    </w:rPr>
                  </w:pPr>
                  <w:r>
                    <w:rPr>
                      <w:rFonts w:hint="eastAsia" w:hAnsi="宋体"/>
                      <w:color w:val="auto"/>
                      <w:sz w:val="21"/>
                      <w:szCs w:val="21"/>
                    </w:rPr>
                    <w:t>桶装</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color w:val="auto"/>
                      <w:sz w:val="21"/>
                      <w:szCs w:val="21"/>
                    </w:rPr>
                  </w:pPr>
                  <w:r>
                    <w:rPr>
                      <w:rFonts w:hint="eastAsia" w:hAnsi="宋体"/>
                      <w:color w:val="auto"/>
                      <w:sz w:val="21"/>
                      <w:szCs w:val="21"/>
                    </w:rPr>
                    <w:t>0.</w:t>
                  </w:r>
                  <w:r>
                    <w:rPr>
                      <w:rFonts w:hint="eastAsia" w:hAnsi="宋体"/>
                      <w:color w:val="auto"/>
                      <w:sz w:val="21"/>
                      <w:szCs w:val="21"/>
                      <w:lang w:val="en-US" w:eastAsia="zh-CN"/>
                    </w:rPr>
                    <w:t>1</w:t>
                  </w:r>
                  <w:r>
                    <w:rPr>
                      <w:rFonts w:hint="eastAsia" w:hAnsi="宋体"/>
                      <w:color w:val="auto"/>
                      <w:sz w:val="21"/>
                      <w:szCs w:val="21"/>
                    </w:rPr>
                    <w:t>t</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color w:val="auto"/>
                      <w:sz w:val="21"/>
                      <w:szCs w:val="21"/>
                    </w:rPr>
                  </w:pPr>
                  <w:r>
                    <w:rPr>
                      <w:rFonts w:hint="eastAsia" w:hAnsi="宋体"/>
                      <w:color w:val="auto"/>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eastAsia="宋体"/>
                      <w:color w:val="auto"/>
                      <w:sz w:val="21"/>
                      <w:szCs w:val="21"/>
                      <w:lang w:val="en-US" w:eastAsia="zh-CN"/>
                    </w:rPr>
                  </w:pPr>
                  <w:r>
                    <w:rPr>
                      <w:rFonts w:hint="eastAsia" w:hAnsi="宋体"/>
                      <w:color w:val="auto"/>
                      <w:sz w:val="21"/>
                      <w:szCs w:val="21"/>
                      <w:lang w:val="en-US" w:eastAsia="zh-CN"/>
                    </w:rPr>
                    <w:t>废机油桶</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eastAsia="宋体"/>
                      <w:color w:val="auto"/>
                      <w:sz w:val="21"/>
                      <w:szCs w:val="21"/>
                      <w:lang w:val="en-US" w:eastAsia="zh-CN"/>
                    </w:rPr>
                  </w:pPr>
                  <w:r>
                    <w:rPr>
                      <w:rFonts w:hint="eastAsia" w:hAnsi="宋体"/>
                      <w:color w:val="auto"/>
                      <w:sz w:val="21"/>
                      <w:szCs w:val="21"/>
                      <w:lang w:val="en-US" w:eastAsia="zh-CN"/>
                    </w:rPr>
                    <w:t>堆放</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0.1</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hAnsi="宋体"/>
                      <w:color w:val="auto"/>
                      <w:sz w:val="21"/>
                      <w:szCs w:val="21"/>
                    </w:rPr>
                  </w:pPr>
                  <w:r>
                    <w:rPr>
                      <w:rFonts w:hint="eastAsia" w:hAnsi="宋体"/>
                      <w:color w:val="auto"/>
                      <w:sz w:val="21"/>
                      <w:szCs w:val="21"/>
                    </w:rPr>
                    <w:t>2500</w:t>
                  </w:r>
                </w:p>
              </w:tc>
            </w:tr>
          </w:tbl>
          <w:p>
            <w:pPr>
              <w:spacing w:line="360" w:lineRule="auto"/>
              <w:ind w:firstLine="480" w:firstLineChars="200"/>
              <w:contextualSpacing/>
              <w:rPr>
                <w:rFonts w:hint="eastAsia" w:hAnsi="宋体"/>
                <w:color w:val="auto"/>
                <w:sz w:val="24"/>
                <w:szCs w:val="24"/>
              </w:rPr>
            </w:pPr>
            <w:r>
              <w:rPr>
                <w:rFonts w:hint="eastAsia" w:hAnsi="宋体"/>
                <w:color w:val="auto"/>
                <w:sz w:val="24"/>
                <w:szCs w:val="24"/>
                <w:lang w:val="en-US" w:eastAsia="zh-CN"/>
              </w:rPr>
              <w:t>根据计算，</w:t>
            </w:r>
            <w:r>
              <w:rPr>
                <w:rFonts w:hint="eastAsia" w:hAnsi="宋体"/>
                <w:color w:val="auto"/>
                <w:sz w:val="24"/>
                <w:szCs w:val="24"/>
              </w:rPr>
              <w:t>本项目Q=0.000</w:t>
            </w:r>
            <w:r>
              <w:rPr>
                <w:rFonts w:hint="eastAsia" w:hAnsi="宋体"/>
                <w:color w:val="auto"/>
                <w:sz w:val="24"/>
                <w:szCs w:val="24"/>
                <w:lang w:val="en-US" w:eastAsia="zh-CN"/>
              </w:rPr>
              <w:t>08</w:t>
            </w:r>
            <w:r>
              <w:rPr>
                <w:rFonts w:hint="eastAsia" w:hAnsi="宋体"/>
                <w:color w:val="auto"/>
                <w:sz w:val="24"/>
                <w:szCs w:val="24"/>
              </w:rPr>
              <w:t>&lt;1，项目不存在重大风险源，且本项目不属于环境敏感地区，因此本项目风险潜势为I级，根据《建设项目环境风险评价技术导则》（HJ169-2018）附录A只需简单分析。</w:t>
            </w:r>
          </w:p>
          <w:p>
            <w:pPr>
              <w:spacing w:line="360" w:lineRule="auto"/>
              <w:contextualSpacing/>
              <w:jc w:val="left"/>
              <w:rPr>
                <w:rFonts w:hint="default" w:hAnsi="宋体" w:eastAsia="宋体"/>
                <w:b/>
                <w:bCs/>
                <w:color w:val="auto"/>
                <w:sz w:val="24"/>
                <w:szCs w:val="24"/>
                <w:lang w:val="en-US" w:eastAsia="zh-CN"/>
              </w:rPr>
            </w:pPr>
            <w:r>
              <w:rPr>
                <w:rFonts w:hint="eastAsia" w:hAnsi="宋体"/>
                <w:b/>
                <w:bCs/>
                <w:color w:val="auto"/>
                <w:sz w:val="24"/>
                <w:szCs w:val="24"/>
                <w:lang w:val="en-US" w:eastAsia="zh-CN"/>
              </w:rPr>
              <w:t>7.2环境风险影响途径</w:t>
            </w:r>
          </w:p>
          <w:p>
            <w:pPr>
              <w:spacing w:line="360" w:lineRule="auto"/>
              <w:ind w:firstLine="480" w:firstLineChars="200"/>
              <w:contextualSpacing/>
              <w:rPr>
                <w:rFonts w:hint="default" w:hAnsi="宋体" w:eastAsia="宋体"/>
                <w:color w:val="auto"/>
                <w:sz w:val="24"/>
                <w:szCs w:val="24"/>
                <w:lang w:val="en-US" w:eastAsia="zh-CN"/>
              </w:rPr>
            </w:pPr>
            <w:r>
              <w:rPr>
                <w:rFonts w:hint="eastAsia" w:hAnsi="宋体"/>
                <w:color w:val="auto"/>
                <w:sz w:val="24"/>
                <w:szCs w:val="24"/>
                <w:lang w:val="en-US" w:eastAsia="zh-CN"/>
              </w:rPr>
              <w:t>本项目环境风险影响途径主要有以下途径</w:t>
            </w:r>
          </w:p>
          <w:p>
            <w:pPr>
              <w:spacing w:line="360" w:lineRule="auto"/>
              <w:ind w:firstLine="480" w:firstLineChars="200"/>
              <w:contextualSpacing/>
              <w:rPr>
                <w:rFonts w:hint="eastAsia" w:hAnsi="宋体" w:eastAsia="宋体"/>
                <w:color w:val="auto"/>
                <w:sz w:val="24"/>
                <w:szCs w:val="24"/>
                <w:lang w:val="en-US" w:eastAsia="zh-CN"/>
              </w:rPr>
            </w:pPr>
            <w:r>
              <w:rPr>
                <w:rFonts w:hint="eastAsia" w:hAnsi="宋体"/>
                <w:color w:val="auto"/>
                <w:sz w:val="24"/>
                <w:szCs w:val="24"/>
                <w:lang w:val="en-US" w:eastAsia="zh-CN"/>
              </w:rPr>
              <w:t>①</w:t>
            </w:r>
            <w:r>
              <w:rPr>
                <w:rFonts w:hint="eastAsia" w:hAnsi="宋体"/>
                <w:color w:val="auto"/>
                <w:sz w:val="24"/>
                <w:szCs w:val="24"/>
              </w:rPr>
              <w:t>环保设施故障造成污染物超标排放，污染区域大气</w:t>
            </w:r>
            <w:r>
              <w:rPr>
                <w:rFonts w:hint="eastAsia" w:hAnsi="宋体"/>
                <w:color w:val="auto"/>
                <w:sz w:val="24"/>
                <w:szCs w:val="24"/>
                <w:lang w:eastAsia="zh-CN"/>
              </w:rPr>
              <w:t>；</w:t>
            </w:r>
          </w:p>
          <w:p>
            <w:pPr>
              <w:spacing w:line="360" w:lineRule="auto"/>
              <w:ind w:firstLine="480" w:firstLineChars="200"/>
              <w:contextualSpacing/>
              <w:rPr>
                <w:rFonts w:hint="eastAsia" w:hAnsi="宋体" w:eastAsia="宋体"/>
                <w:color w:val="auto"/>
                <w:sz w:val="24"/>
                <w:szCs w:val="24"/>
                <w:lang w:val="en-US" w:eastAsia="zh-CN"/>
              </w:rPr>
            </w:pPr>
            <w:r>
              <w:rPr>
                <w:rFonts w:hint="eastAsia" w:hAnsi="宋体"/>
                <w:color w:val="auto"/>
                <w:sz w:val="24"/>
                <w:szCs w:val="24"/>
                <w:lang w:val="en-US" w:eastAsia="zh-CN"/>
              </w:rPr>
              <w:t>②循环水池废水渗漏，渗漏液</w:t>
            </w:r>
            <w:r>
              <w:rPr>
                <w:rFonts w:hint="eastAsia" w:hAnsi="宋体"/>
                <w:color w:val="auto"/>
                <w:sz w:val="24"/>
                <w:szCs w:val="24"/>
              </w:rPr>
              <w:t>通过包气带渗入地下，对地下水、土壤环境造成污染影响</w:t>
            </w:r>
            <w:r>
              <w:rPr>
                <w:rFonts w:hint="eastAsia" w:hAnsi="宋体"/>
                <w:color w:val="auto"/>
                <w:sz w:val="24"/>
                <w:szCs w:val="24"/>
                <w:lang w:eastAsia="zh-CN"/>
              </w:rPr>
              <w:t>；</w:t>
            </w:r>
          </w:p>
          <w:p>
            <w:pPr>
              <w:spacing w:line="360" w:lineRule="auto"/>
              <w:ind w:firstLine="480" w:firstLineChars="200"/>
              <w:contextualSpacing/>
              <w:rPr>
                <w:rFonts w:hint="eastAsia" w:hAnsi="宋体" w:eastAsia="宋体"/>
                <w:color w:val="auto"/>
                <w:sz w:val="24"/>
                <w:szCs w:val="24"/>
                <w:lang w:val="en-US" w:eastAsia="zh-CN"/>
              </w:rPr>
            </w:pPr>
            <w:r>
              <w:rPr>
                <w:rFonts w:hint="eastAsia" w:hAnsi="宋体"/>
                <w:color w:val="auto"/>
                <w:sz w:val="24"/>
                <w:szCs w:val="24"/>
                <w:lang w:val="en-US" w:eastAsia="zh-CN"/>
              </w:rPr>
              <w:t>③危险废物泄露下渗对土壤、地下水造成影响；</w:t>
            </w:r>
          </w:p>
          <w:p>
            <w:pPr>
              <w:spacing w:line="360" w:lineRule="auto"/>
              <w:ind w:firstLine="480" w:firstLineChars="200"/>
              <w:contextualSpacing/>
              <w:rPr>
                <w:rFonts w:hint="default" w:hAnsi="宋体"/>
                <w:b w:val="0"/>
                <w:bCs w:val="0"/>
                <w:color w:val="auto"/>
                <w:sz w:val="24"/>
                <w:szCs w:val="24"/>
                <w:lang w:val="en-US" w:eastAsia="zh-CN"/>
              </w:rPr>
            </w:pPr>
            <w:r>
              <w:rPr>
                <w:rFonts w:hint="eastAsia" w:hAnsi="宋体"/>
                <w:b w:val="0"/>
                <w:bCs w:val="0"/>
                <w:color w:val="auto"/>
                <w:sz w:val="24"/>
                <w:szCs w:val="24"/>
                <w:lang w:val="en-US" w:eastAsia="zh-CN"/>
              </w:rPr>
              <w:t>④煤矸石长期大量堆存自燃或其他安全事故引起煤矸石着火。</w:t>
            </w:r>
          </w:p>
          <w:p>
            <w:pPr>
              <w:spacing w:line="360" w:lineRule="auto"/>
              <w:contextualSpacing/>
              <w:rPr>
                <w:rFonts w:hint="eastAsia" w:hAnsi="宋体"/>
                <w:b/>
                <w:bCs/>
                <w:color w:val="auto"/>
                <w:sz w:val="24"/>
                <w:szCs w:val="24"/>
              </w:rPr>
            </w:pPr>
            <w:r>
              <w:rPr>
                <w:rFonts w:hint="eastAsia" w:hAnsi="宋体"/>
                <w:b/>
                <w:bCs/>
                <w:color w:val="auto"/>
                <w:sz w:val="24"/>
                <w:szCs w:val="24"/>
                <w:lang w:val="en-US" w:eastAsia="zh-CN"/>
              </w:rPr>
              <w:t>7.3</w:t>
            </w:r>
            <w:r>
              <w:rPr>
                <w:rFonts w:hint="eastAsia" w:hAnsi="宋体"/>
                <w:b/>
                <w:bCs/>
                <w:color w:val="auto"/>
                <w:sz w:val="24"/>
                <w:szCs w:val="24"/>
              </w:rPr>
              <w:t>风险事故类型</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本项目生产过程中可能存在的风险事故类型如下：</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①废气治理风险事故</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根据工程特性，项目废气治理风险事故主要为隧道窑焙烧废气（颗粒物、氟化物、SO</w:t>
            </w:r>
            <w:r>
              <w:rPr>
                <w:rFonts w:hint="eastAsia" w:hAnsi="宋体"/>
                <w:color w:val="auto"/>
                <w:sz w:val="24"/>
                <w:szCs w:val="24"/>
                <w:vertAlign w:val="subscript"/>
              </w:rPr>
              <w:t>2</w:t>
            </w:r>
            <w:r>
              <w:rPr>
                <w:rFonts w:hint="eastAsia" w:hAnsi="宋体"/>
                <w:color w:val="auto"/>
                <w:sz w:val="24"/>
                <w:szCs w:val="24"/>
              </w:rPr>
              <w:t>以及NOx）等处理装置失效，废气未经处置直接排放污染项目所在区环境空气。</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②</w:t>
            </w:r>
            <w:r>
              <w:rPr>
                <w:rFonts w:hint="eastAsia" w:hAnsi="宋体"/>
                <w:color w:val="auto"/>
                <w:sz w:val="24"/>
                <w:szCs w:val="24"/>
                <w:lang w:val="en-US" w:eastAsia="zh-CN"/>
              </w:rPr>
              <w:t>循环水池废水</w:t>
            </w:r>
            <w:r>
              <w:rPr>
                <w:rFonts w:hint="eastAsia" w:hAnsi="宋体"/>
                <w:color w:val="auto"/>
                <w:sz w:val="24"/>
                <w:szCs w:val="24"/>
              </w:rPr>
              <w:t>泄露风险事故</w:t>
            </w:r>
          </w:p>
          <w:p>
            <w:pPr>
              <w:spacing w:line="360" w:lineRule="auto"/>
              <w:ind w:firstLine="480" w:firstLineChars="200"/>
              <w:contextualSpacing/>
              <w:rPr>
                <w:rFonts w:hint="eastAsia" w:hAnsi="宋体"/>
                <w:color w:val="auto"/>
                <w:sz w:val="24"/>
                <w:szCs w:val="24"/>
              </w:rPr>
            </w:pPr>
            <w:r>
              <w:rPr>
                <w:rFonts w:hint="eastAsia" w:cs="Times New Roman"/>
                <w:color w:val="auto"/>
                <w:sz w:val="24"/>
                <w:szCs w:val="24"/>
                <w:highlight w:val="none"/>
                <w:lang w:val="en-US" w:eastAsia="zh-CN"/>
              </w:rPr>
              <w:t>循环水池防渗失效，废水下渗至土壤或循环水池围堰高度不够，泄露的废水外溢至环境，如及时发现并处理则在控制范围之内，若未及时发现其扩散范围增大，对周边环境的影响则会加重。</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③机油、废机油泄露风险事故</w:t>
            </w:r>
          </w:p>
          <w:p>
            <w:pPr>
              <w:spacing w:line="360" w:lineRule="auto"/>
              <w:ind w:firstLine="480" w:firstLineChars="200"/>
              <w:contextualSpacing/>
              <w:rPr>
                <w:rFonts w:hint="default" w:hAnsi="宋体"/>
                <w:color w:val="auto"/>
                <w:sz w:val="24"/>
                <w:szCs w:val="24"/>
                <w:lang w:val="en-US"/>
              </w:rPr>
            </w:pPr>
            <w:r>
              <w:rPr>
                <w:rFonts w:hint="eastAsia" w:hAnsi="宋体"/>
                <w:color w:val="auto"/>
                <w:sz w:val="24"/>
                <w:szCs w:val="24"/>
              </w:rPr>
              <w:t>机油、废机油发生少量泄漏，主要对储存间的空气环境造成影响，硬化的地面可以防止其下渗，如果在第一时间及时处理，可消除泄漏废机油对外环境的影响；若全部泄漏，泄漏的机油或废机油易沿储存区域的硬化地面流至未硬化的路面，对土壤造成污染，如果经过水流冲刷，会进而影响到附近水环境的水质情况；若遇到明火</w:t>
            </w:r>
            <w:r>
              <w:rPr>
                <w:rFonts w:hint="eastAsia" w:hAnsi="宋体"/>
                <w:color w:val="auto"/>
                <w:sz w:val="24"/>
                <w:szCs w:val="24"/>
                <w:lang w:val="en-US" w:eastAsia="zh-CN"/>
              </w:rPr>
              <w:t>高热情况下</w:t>
            </w:r>
            <w:r>
              <w:rPr>
                <w:rFonts w:hint="eastAsia" w:hAnsi="宋体"/>
                <w:color w:val="auto"/>
                <w:sz w:val="24"/>
                <w:szCs w:val="24"/>
              </w:rPr>
              <w:t>会导致引起火灾事故，造成财物损失及人员安全，导致更严重的火灾事故，且燃烧烟气中含有重金属氧化物及燃烧不完全而生成的多环芳烃氧化物等有害物质，严重污染大气环境。</w:t>
            </w:r>
          </w:p>
          <w:p>
            <w:pPr>
              <w:spacing w:line="360" w:lineRule="auto"/>
              <w:ind w:firstLine="480" w:firstLineChars="200"/>
              <w:contextualSpacing/>
              <w:rPr>
                <w:rFonts w:hint="default" w:hAnsi="宋体"/>
                <w:b w:val="0"/>
                <w:bCs w:val="0"/>
                <w:color w:val="auto"/>
                <w:sz w:val="24"/>
                <w:szCs w:val="24"/>
                <w:lang w:val="en-US" w:eastAsia="zh-CN"/>
              </w:rPr>
            </w:pPr>
            <w:r>
              <w:rPr>
                <w:rFonts w:hint="eastAsia" w:hAnsi="宋体"/>
                <w:b w:val="0"/>
                <w:bCs w:val="0"/>
                <w:color w:val="auto"/>
                <w:sz w:val="24"/>
                <w:szCs w:val="24"/>
                <w:lang w:val="en-US" w:eastAsia="zh-CN"/>
              </w:rPr>
              <w:t>④煤矸石发生火灾风险事故</w:t>
            </w:r>
          </w:p>
          <w:p>
            <w:pPr>
              <w:spacing w:line="360" w:lineRule="auto"/>
              <w:ind w:firstLine="480" w:firstLineChars="200"/>
              <w:contextualSpacing/>
              <w:rPr>
                <w:rFonts w:hint="default" w:hAnsi="宋体"/>
                <w:b w:val="0"/>
                <w:bCs w:val="0"/>
                <w:color w:val="auto"/>
                <w:sz w:val="24"/>
                <w:szCs w:val="24"/>
                <w:lang w:val="en-US" w:eastAsia="zh-CN"/>
              </w:rPr>
            </w:pPr>
            <w:r>
              <w:rPr>
                <w:rFonts w:hint="eastAsia" w:hAnsi="宋体"/>
                <w:b w:val="0"/>
                <w:bCs w:val="0"/>
                <w:color w:val="auto"/>
                <w:sz w:val="24"/>
                <w:szCs w:val="24"/>
                <w:lang w:val="en-US" w:eastAsia="zh-CN"/>
              </w:rPr>
              <w:t>煤矸石在储存过程中可能会因为长时间大量储存导致热量不能及时释放发生自燃现象；厂区发生安全事故引起煤矸石着火。煤矸石发生火灾会产生大量烟雾，其主要成分为一氧化碳，会对周边环境造成较严重的影响。</w:t>
            </w:r>
          </w:p>
          <w:p>
            <w:pPr>
              <w:spacing w:line="360" w:lineRule="auto"/>
              <w:ind w:firstLine="480" w:firstLineChars="200"/>
              <w:contextualSpacing/>
              <w:rPr>
                <w:rFonts w:hint="eastAsia" w:hAnsi="宋体"/>
                <w:b w:val="0"/>
                <w:bCs w:val="0"/>
                <w:color w:val="auto"/>
                <w:sz w:val="24"/>
                <w:szCs w:val="24"/>
                <w:lang w:val="en-US" w:eastAsia="zh-CN"/>
              </w:rPr>
            </w:pPr>
            <w:r>
              <w:rPr>
                <w:rFonts w:hint="eastAsia" w:hAnsi="宋体"/>
                <w:b w:val="0"/>
                <w:bCs w:val="0"/>
                <w:color w:val="auto"/>
                <w:sz w:val="24"/>
                <w:szCs w:val="24"/>
                <w:lang w:val="en-US" w:eastAsia="zh-CN"/>
              </w:rPr>
              <w:t>A、尽可能避免煤矸石在厂区的大量堆积；</w:t>
            </w:r>
          </w:p>
          <w:p>
            <w:pPr>
              <w:spacing w:line="360" w:lineRule="auto"/>
              <w:ind w:firstLine="480" w:firstLineChars="200"/>
              <w:contextualSpacing/>
              <w:rPr>
                <w:rFonts w:hint="eastAsia" w:hAnsi="宋体"/>
                <w:b w:val="0"/>
                <w:bCs w:val="0"/>
                <w:color w:val="auto"/>
                <w:sz w:val="24"/>
                <w:szCs w:val="24"/>
                <w:lang w:val="en-US" w:eastAsia="zh-CN"/>
              </w:rPr>
            </w:pPr>
            <w:r>
              <w:rPr>
                <w:rFonts w:hint="eastAsia" w:hAnsi="宋体"/>
                <w:b w:val="0"/>
                <w:bCs w:val="0"/>
                <w:color w:val="auto"/>
                <w:sz w:val="24"/>
                <w:szCs w:val="24"/>
                <w:lang w:val="en-US" w:eastAsia="zh-CN"/>
              </w:rPr>
              <w:t>B、未处理完的煤矸石需堆积储存的应分堆储存，避免长时间堆积，定期对其进行撒水，降低其内部温度；</w:t>
            </w:r>
          </w:p>
          <w:p>
            <w:pPr>
              <w:spacing w:line="360" w:lineRule="auto"/>
              <w:ind w:firstLine="480" w:firstLineChars="200"/>
              <w:contextualSpacing/>
              <w:rPr>
                <w:rFonts w:hint="eastAsia" w:hAnsi="宋体"/>
                <w:b w:val="0"/>
                <w:bCs w:val="0"/>
                <w:color w:val="auto"/>
                <w:sz w:val="24"/>
                <w:szCs w:val="24"/>
                <w:lang w:val="en-US" w:eastAsia="zh-CN"/>
              </w:rPr>
            </w:pPr>
            <w:r>
              <w:rPr>
                <w:rFonts w:hint="eastAsia" w:hAnsi="宋体"/>
                <w:b w:val="0"/>
                <w:bCs w:val="0"/>
                <w:color w:val="auto"/>
                <w:sz w:val="24"/>
                <w:szCs w:val="24"/>
                <w:lang w:val="en-US" w:eastAsia="zh-CN"/>
              </w:rPr>
              <w:t>C、煤矸石堆存至煤矸石堆棚，堆棚需按照一般防渗区建设，煤矸石储存库配备一定数量的消防灭火设施。</w:t>
            </w:r>
          </w:p>
          <w:p>
            <w:pPr>
              <w:pStyle w:val="60"/>
              <w:ind w:left="0" w:leftChars="0" w:firstLine="0" w:firstLineChars="0"/>
              <w:rPr>
                <w:rFonts w:hint="eastAsia" w:cs="Times New Roman"/>
                <w:b/>
                <w:bCs/>
                <w:color w:val="auto"/>
                <w:sz w:val="24"/>
                <w:szCs w:val="24"/>
                <w:lang w:val="en-US" w:eastAsia="zh-CN"/>
              </w:rPr>
            </w:pPr>
            <w:r>
              <w:rPr>
                <w:rFonts w:hint="eastAsia" w:cs="Times New Roman"/>
                <w:b/>
                <w:bCs/>
                <w:color w:val="auto"/>
                <w:sz w:val="24"/>
                <w:szCs w:val="24"/>
                <w:lang w:val="en-US" w:eastAsia="zh-CN"/>
              </w:rPr>
              <w:t>8.本项目节能报告结论</w:t>
            </w:r>
          </w:p>
          <w:p>
            <w:pPr>
              <w:pStyle w:val="60"/>
              <w:ind w:left="0" w:leftChars="0" w:firstLine="480" w:firstLineChars="200"/>
              <w:rPr>
                <w:rFonts w:hint="default" w:ascii="Times New Roman" w:hAnsi="宋体" w:eastAsia="宋体" w:cs="Times New Roman"/>
                <w:color w:val="auto"/>
                <w:kern w:val="2"/>
                <w:sz w:val="24"/>
                <w:szCs w:val="24"/>
                <w:lang w:val="en-US" w:eastAsia="zh-CN" w:bidi="ar-SA"/>
              </w:rPr>
            </w:pPr>
            <w:r>
              <w:rPr>
                <w:rFonts w:hint="eastAsia" w:hAnsi="宋体" w:cs="Times New Roman"/>
                <w:color w:val="auto"/>
                <w:kern w:val="2"/>
                <w:sz w:val="24"/>
                <w:szCs w:val="24"/>
                <w:lang w:val="en-US" w:eastAsia="zh-CN" w:bidi="ar-SA"/>
              </w:rPr>
              <w:t>（1）主要结论</w:t>
            </w:r>
          </w:p>
          <w:p>
            <w:pPr>
              <w:pStyle w:val="60"/>
              <w:ind w:left="0" w:leftChars="0" w:firstLine="480" w:firstLineChars="200"/>
              <w:rPr>
                <w:rFonts w:hint="default" w:ascii="Times New Roman" w:hAnsi="宋体" w:eastAsia="宋体" w:cs="Times New Roman"/>
                <w:color w:val="auto"/>
                <w:kern w:val="2"/>
                <w:sz w:val="24"/>
                <w:szCs w:val="24"/>
                <w:lang w:val="en-US" w:eastAsia="zh-CN" w:bidi="ar-SA"/>
              </w:rPr>
            </w:pPr>
            <w:r>
              <w:rPr>
                <w:rFonts w:hint="eastAsia" w:hAnsi="宋体" w:cs="Times New Roman"/>
                <w:color w:val="auto"/>
                <w:kern w:val="2"/>
                <w:sz w:val="24"/>
                <w:szCs w:val="24"/>
                <w:lang w:val="en-US" w:eastAsia="zh-CN" w:bidi="ar-SA"/>
              </w:rPr>
              <w:t>“根据庆阳市发展和改革委员会关于</w:t>
            </w:r>
            <w:r>
              <w:rPr>
                <w:rFonts w:hint="eastAsia" w:eastAsia="宋体"/>
                <w:color w:val="auto"/>
                <w:sz w:val="24"/>
                <w:szCs w:val="24"/>
                <w:lang w:val="en-US" w:eastAsia="zh-CN"/>
              </w:rPr>
              <w:t>宁县成盛建材有限责任公司年产6000万块（折合标砖）烧结空心砖及空心砌块煤矸石综合利用项目</w:t>
            </w:r>
            <w:r>
              <w:rPr>
                <w:rFonts w:hint="eastAsia" w:hAnsi="宋体" w:cs="Times New Roman"/>
                <w:color w:val="auto"/>
                <w:kern w:val="2"/>
                <w:sz w:val="24"/>
                <w:szCs w:val="24"/>
                <w:lang w:val="en-US" w:eastAsia="zh-CN" w:bidi="ar-SA"/>
              </w:rPr>
              <w:t>节能报告的审查意见”可知，通过折减项目替代的轮窑生产线分品种用能后，该项目当量值年新增能耗为3891.96tce，等价值年新增能耗为4139.70tce。项目单位产品综合能耗为35.19kgce/t，经与《烧结墙体材料和泡沫玻璃单位产品能源消耗限额》（GB30526-2019）对标分析，达到国内同行业先进水平。</w:t>
            </w:r>
          </w:p>
          <w:p>
            <w:pPr>
              <w:pStyle w:val="60"/>
              <w:ind w:left="0" w:leftChars="0" w:firstLine="480" w:firstLineChars="200"/>
              <w:rPr>
                <w:rFonts w:hint="default" w:ascii="Times New Roman" w:hAnsi="宋体" w:eastAsia="宋体" w:cs="Times New Roman"/>
                <w:color w:val="auto"/>
                <w:kern w:val="2"/>
                <w:sz w:val="24"/>
                <w:szCs w:val="24"/>
                <w:lang w:val="en-US" w:eastAsia="zh-CN" w:bidi="ar-SA"/>
              </w:rPr>
            </w:pPr>
            <w:r>
              <w:rPr>
                <w:rFonts w:hint="eastAsia" w:hAnsi="宋体" w:cs="Times New Roman"/>
                <w:color w:val="auto"/>
                <w:kern w:val="2"/>
                <w:sz w:val="24"/>
                <w:szCs w:val="24"/>
                <w:lang w:val="en-US" w:eastAsia="zh-CN" w:bidi="ar-SA"/>
              </w:rPr>
              <w:t>（2）节能措施</w:t>
            </w:r>
          </w:p>
          <w:p>
            <w:pPr>
              <w:pStyle w:val="60"/>
              <w:ind w:left="0" w:leftChars="0" w:firstLine="480" w:firstLineChars="200"/>
              <w:rPr>
                <w:rFonts w:hint="eastAsia" w:hAnsi="宋体" w:cs="Times New Roman"/>
                <w:color w:val="auto"/>
                <w:kern w:val="2"/>
                <w:sz w:val="24"/>
                <w:szCs w:val="24"/>
                <w:lang w:val="en-US" w:eastAsia="zh-CN" w:bidi="ar-SA"/>
              </w:rPr>
            </w:pPr>
            <w:r>
              <w:rPr>
                <w:rFonts w:hint="eastAsia" w:hAnsi="宋体" w:cs="Times New Roman"/>
                <w:color w:val="auto"/>
                <w:kern w:val="2"/>
                <w:sz w:val="24"/>
                <w:szCs w:val="24"/>
                <w:lang w:val="en-US" w:eastAsia="zh-CN" w:bidi="ar-SA"/>
              </w:rPr>
              <w:t>①优化总体设计。进一步优化项目总平面布置及建筑平面设计，紧凑布局各单体建筑，节省项目占地，减少流线交叉，降低厂内能耗，对照绿色建筑评价标准，积极开展建筑新材料、新技术的引用，完善建筑节能设计，进一步校核体型系数、窗墙比、围护结构热工性能参数。</w:t>
            </w:r>
          </w:p>
          <w:p>
            <w:pPr>
              <w:pStyle w:val="60"/>
              <w:ind w:left="0" w:leftChars="0" w:firstLine="480" w:firstLineChars="200"/>
              <w:rPr>
                <w:rFonts w:hint="eastAsia" w:hAnsi="宋体" w:cs="Times New Roman"/>
                <w:color w:val="auto"/>
                <w:kern w:val="2"/>
                <w:sz w:val="24"/>
                <w:szCs w:val="24"/>
                <w:lang w:val="en-US" w:eastAsia="zh-CN" w:bidi="ar-SA"/>
              </w:rPr>
            </w:pPr>
            <w:r>
              <w:rPr>
                <w:rFonts w:hint="eastAsia" w:hAnsi="宋体" w:cs="Times New Roman"/>
                <w:color w:val="auto"/>
                <w:kern w:val="2"/>
                <w:sz w:val="24"/>
                <w:szCs w:val="24"/>
                <w:lang w:val="en-US" w:eastAsia="zh-CN" w:bidi="ar-SA"/>
              </w:rPr>
              <w:t>②优化设备选型。优化设备容量及功率选配，提高通用设备能效等级。进一步落实供电电压等级、变压器容量及扩建需求、井水流量计压力等条件。进一步校核项目风机、变压器等的选型，并尽可能确保选型能效达到1级。进一步复合电能表、水表等的精度等级，积极落实好各类、各级计量器具的配设。</w:t>
            </w:r>
          </w:p>
          <w:p>
            <w:pPr>
              <w:pStyle w:val="60"/>
              <w:ind w:left="0" w:leftChars="0" w:firstLine="480" w:firstLineChars="200"/>
              <w:rPr>
                <w:rFonts w:hint="default" w:cs="Times New Roman"/>
                <w:b/>
                <w:bCs/>
                <w:color w:val="auto"/>
                <w:sz w:val="24"/>
                <w:szCs w:val="24"/>
                <w:lang w:val="en-US" w:eastAsia="zh-CN"/>
              </w:rPr>
            </w:pPr>
            <w:r>
              <w:rPr>
                <w:rFonts w:hint="eastAsia" w:hAnsi="宋体" w:cs="Times New Roman"/>
                <w:color w:val="auto"/>
                <w:kern w:val="2"/>
                <w:sz w:val="24"/>
                <w:szCs w:val="24"/>
                <w:lang w:val="en-US" w:eastAsia="zh-CN" w:bidi="ar-SA"/>
              </w:rPr>
              <w:t>③加强节能管理。建立健全能源管理体系，做好能源管理组织机构设置、职责设定及人员配备，做好项目用能在线监测工作，充分利用现代化信息技术，不断提高项目能效水平。强化水暖电系统及设备的节能管理，不断提高项目能效水平，将各项节能措施切实落实到位实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98" w:hRule="atLeast"/>
          <w:jc w:val="center"/>
        </w:trPr>
        <w:tc>
          <w:tcPr>
            <w:tcW w:w="746"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选址选线环境合理性分析</w:t>
            </w:r>
          </w:p>
        </w:tc>
        <w:tc>
          <w:tcPr>
            <w:tcW w:w="8162" w:type="dxa"/>
          </w:tcPr>
          <w:p>
            <w:pPr>
              <w:pStyle w:val="27"/>
              <w:spacing w:after="0" w:line="360" w:lineRule="auto"/>
              <w:ind w:left="0" w:leftChars="0" w:firstLine="0" w:firstLineChars="0"/>
              <w:rPr>
                <w:rFonts w:ascii="Times New Roman" w:hAnsi="Times New Roman"/>
                <w:b/>
                <w:bCs/>
                <w:color w:val="auto"/>
                <w:sz w:val="24"/>
                <w:lang w:eastAsia="zh-CN"/>
              </w:rPr>
            </w:pPr>
            <w:r>
              <w:rPr>
                <w:rFonts w:ascii="Times New Roman" w:hAnsi="Times New Roman"/>
                <w:b/>
                <w:bCs/>
                <w:color w:val="auto"/>
                <w:sz w:val="24"/>
                <w:lang w:eastAsia="zh-CN"/>
              </w:rPr>
              <w:t>1</w:t>
            </w:r>
            <w:r>
              <w:rPr>
                <w:rFonts w:hint="eastAsia" w:ascii="Times New Roman" w:hAnsi="Times New Roman"/>
                <w:b/>
                <w:bCs/>
                <w:color w:val="auto"/>
                <w:sz w:val="24"/>
                <w:lang w:val="en-US" w:eastAsia="zh-CN"/>
              </w:rPr>
              <w:t>.</w:t>
            </w:r>
            <w:r>
              <w:rPr>
                <w:rFonts w:ascii="Times New Roman" w:hAnsi="Times New Roman"/>
                <w:b/>
                <w:bCs/>
                <w:color w:val="auto"/>
                <w:sz w:val="24"/>
                <w:lang w:eastAsia="zh-CN"/>
              </w:rPr>
              <w:t>用地符合性</w:t>
            </w:r>
          </w:p>
          <w:p>
            <w:pPr>
              <w:pStyle w:val="60"/>
              <w:ind w:left="0" w:leftChars="0" w:firstLine="480" w:firstLineChars="200"/>
              <w:rPr>
                <w:rFonts w:hint="eastAsia"/>
                <w:color w:val="auto"/>
                <w:sz w:val="24"/>
                <w:szCs w:val="24"/>
              </w:rPr>
            </w:pPr>
            <w:r>
              <w:rPr>
                <w:color w:val="auto"/>
                <w:sz w:val="24"/>
                <w:szCs w:val="24"/>
              </w:rPr>
              <w:t>本项目位于</w:t>
            </w:r>
            <w:r>
              <w:rPr>
                <w:rFonts w:hint="eastAsia"/>
                <w:color w:val="auto"/>
                <w:sz w:val="24"/>
                <w:szCs w:val="24"/>
                <w:lang w:val="en-US" w:eastAsia="zh-CN"/>
              </w:rPr>
              <w:t>庆阳市宁县中村镇秦店村</w:t>
            </w:r>
            <w:r>
              <w:rPr>
                <w:color w:val="auto"/>
                <w:sz w:val="24"/>
                <w:szCs w:val="24"/>
              </w:rPr>
              <w:t>，项目占地面积</w:t>
            </w:r>
            <w:r>
              <w:rPr>
                <w:rFonts w:hint="eastAsia"/>
                <w:color w:val="auto"/>
                <w:sz w:val="24"/>
                <w:szCs w:val="24"/>
                <w:lang w:val="en-US" w:eastAsia="zh-CN"/>
              </w:rPr>
              <w:t>13810m</w:t>
            </w:r>
            <w:r>
              <w:rPr>
                <w:rFonts w:hint="eastAsia"/>
                <w:color w:val="auto"/>
                <w:sz w:val="24"/>
                <w:szCs w:val="24"/>
                <w:vertAlign w:val="superscript"/>
                <w:lang w:val="en-US" w:eastAsia="zh-CN"/>
              </w:rPr>
              <w:t>2</w:t>
            </w:r>
            <w:r>
              <w:rPr>
                <w:color w:val="auto"/>
                <w:sz w:val="24"/>
                <w:szCs w:val="24"/>
              </w:rPr>
              <w:t>，用地为</w:t>
            </w:r>
            <w:r>
              <w:rPr>
                <w:rFonts w:hint="eastAsia"/>
                <w:color w:val="auto"/>
                <w:sz w:val="24"/>
                <w:szCs w:val="24"/>
                <w:lang w:val="en-US" w:eastAsia="zh-CN"/>
              </w:rPr>
              <w:t>原宁县中村秦店村咀李砖厂《年产500万块空心新型砖生产线项目》旧址</w:t>
            </w:r>
            <w:r>
              <w:rPr>
                <w:rFonts w:hint="eastAsia"/>
                <w:color w:val="auto"/>
                <w:sz w:val="24"/>
                <w:szCs w:val="24"/>
              </w:rPr>
              <w:t>，项目用地已征得</w:t>
            </w:r>
            <w:r>
              <w:rPr>
                <w:rFonts w:hint="eastAsia"/>
                <w:color w:val="auto"/>
                <w:sz w:val="24"/>
                <w:szCs w:val="24"/>
                <w:lang w:val="en-US" w:eastAsia="zh-CN"/>
              </w:rPr>
              <w:t>宁县国土</w:t>
            </w:r>
            <w:r>
              <w:rPr>
                <w:rFonts w:hint="eastAsia"/>
                <w:color w:val="auto"/>
                <w:sz w:val="24"/>
                <w:szCs w:val="24"/>
              </w:rPr>
              <w:t>资源局同意</w:t>
            </w:r>
            <w:r>
              <w:rPr>
                <w:rFonts w:hint="eastAsia"/>
                <w:color w:val="auto"/>
                <w:sz w:val="24"/>
                <w:szCs w:val="24"/>
                <w:lang w:eastAsia="zh-CN"/>
              </w:rPr>
              <w:t>，</w:t>
            </w:r>
            <w:r>
              <w:rPr>
                <w:color w:val="auto"/>
                <w:sz w:val="24"/>
                <w:szCs w:val="24"/>
              </w:rPr>
              <w:t>用地性质为</w:t>
            </w:r>
            <w:r>
              <w:rPr>
                <w:rFonts w:hint="eastAsia"/>
                <w:color w:val="auto"/>
                <w:sz w:val="24"/>
                <w:szCs w:val="24"/>
                <w:lang w:val="en-US" w:eastAsia="zh-CN"/>
              </w:rPr>
              <w:t>建设用地</w:t>
            </w:r>
            <w:r>
              <w:rPr>
                <w:color w:val="auto"/>
                <w:sz w:val="24"/>
                <w:szCs w:val="24"/>
              </w:rPr>
              <w:t>，符合土地规划要求；</w:t>
            </w:r>
            <w:r>
              <w:rPr>
                <w:rFonts w:hint="eastAsia"/>
                <w:color w:val="auto"/>
                <w:sz w:val="24"/>
                <w:szCs w:val="24"/>
              </w:rPr>
              <w:t>经查询《甘肃省人民政府关于白龙江饮水工程占地和淹没区禁止新增建设项目及迁入口的通告》（甘政发【2020】18号），本</w:t>
            </w:r>
            <w:r>
              <w:rPr>
                <w:rFonts w:hint="eastAsia"/>
                <w:color w:val="auto"/>
                <w:sz w:val="24"/>
                <w:szCs w:val="24"/>
                <w:lang w:val="en-US" w:eastAsia="zh-CN"/>
              </w:rPr>
              <w:t>项目</w:t>
            </w:r>
            <w:r>
              <w:rPr>
                <w:rFonts w:hint="eastAsia"/>
                <w:color w:val="auto"/>
                <w:sz w:val="24"/>
                <w:szCs w:val="24"/>
              </w:rPr>
              <w:t>建设地点不在该范围内，因此本项目与白龙江饮水工程建设占地不冲突。</w:t>
            </w:r>
          </w:p>
          <w:p>
            <w:pPr>
              <w:pStyle w:val="27"/>
              <w:spacing w:after="0" w:line="360" w:lineRule="auto"/>
              <w:ind w:left="0" w:leftChars="0" w:firstLine="480"/>
              <w:rPr>
                <w:rFonts w:ascii="Times New Roman" w:hAnsi="Times New Roman"/>
                <w:color w:val="auto"/>
                <w:kern w:val="2"/>
                <w:sz w:val="24"/>
                <w:lang w:eastAsia="zh-CN"/>
              </w:rPr>
            </w:pPr>
            <w:r>
              <w:rPr>
                <w:rFonts w:ascii="Times New Roman" w:hAnsi="Times New Roman"/>
                <w:color w:val="auto"/>
                <w:kern w:val="2"/>
                <w:sz w:val="24"/>
                <w:lang w:eastAsia="zh-CN"/>
              </w:rPr>
              <w:t>根据国家发改委、国土资源部《限制用地项目目录（2012年本）》、《禁止用地项目目录（2012年本）》，本项目均不属于此类限制和禁止项目。因此，本项目符合国家土地用地政策。</w:t>
            </w:r>
          </w:p>
          <w:p>
            <w:pPr>
              <w:pStyle w:val="27"/>
              <w:spacing w:after="0" w:line="360" w:lineRule="auto"/>
              <w:ind w:left="0" w:leftChars="0" w:firstLine="0" w:firstLineChars="0"/>
              <w:rPr>
                <w:rFonts w:ascii="Times New Roman" w:hAnsi="Times New Roman"/>
                <w:b/>
                <w:color w:val="auto"/>
                <w:sz w:val="24"/>
                <w:lang w:eastAsia="zh-CN"/>
              </w:rPr>
            </w:pPr>
            <w:r>
              <w:rPr>
                <w:rFonts w:ascii="Times New Roman" w:hAnsi="Times New Roman"/>
                <w:b/>
                <w:color w:val="auto"/>
                <w:sz w:val="24"/>
                <w:lang w:eastAsia="zh-CN"/>
              </w:rPr>
              <w:t>2</w:t>
            </w:r>
            <w:r>
              <w:rPr>
                <w:rFonts w:hint="eastAsia" w:ascii="Times New Roman" w:hAnsi="Times New Roman"/>
                <w:b/>
                <w:color w:val="auto"/>
                <w:sz w:val="24"/>
                <w:lang w:val="en-US" w:eastAsia="zh-CN"/>
              </w:rPr>
              <w:t>.</w:t>
            </w:r>
            <w:r>
              <w:rPr>
                <w:rFonts w:ascii="Times New Roman" w:hAnsi="Times New Roman"/>
                <w:b/>
                <w:color w:val="auto"/>
                <w:sz w:val="24"/>
                <w:lang w:eastAsia="zh-CN"/>
              </w:rPr>
              <w:t>选址合理性分析</w:t>
            </w:r>
          </w:p>
          <w:p>
            <w:pPr>
              <w:pStyle w:val="60"/>
              <w:ind w:firstLine="420"/>
              <w:rPr>
                <w:color w:val="auto"/>
                <w:sz w:val="24"/>
                <w:szCs w:val="24"/>
              </w:rPr>
            </w:pPr>
            <w:r>
              <w:rPr>
                <w:color w:val="auto"/>
                <w:sz w:val="24"/>
                <w:szCs w:val="24"/>
              </w:rPr>
              <w:t>本项目不在生态保护红线、自然保护区、集中式饮用水水源保护区、基本农田等生态功能重要区和生态环境敏感区内，</w:t>
            </w:r>
            <w:r>
              <w:rPr>
                <w:rFonts w:hint="eastAsia"/>
                <w:color w:val="auto"/>
                <w:sz w:val="24"/>
                <w:szCs w:val="24"/>
                <w:lang w:val="en-US" w:eastAsia="zh-CN"/>
              </w:rPr>
              <w:t>项目涉及“重点管控单元及优先保护单元中的一般生态空间”</w:t>
            </w:r>
            <w:r>
              <w:rPr>
                <w:rFonts w:hint="eastAsia"/>
                <w:color w:val="auto"/>
                <w:sz w:val="24"/>
                <w:szCs w:val="24"/>
              </w:rPr>
              <w:t>，</w:t>
            </w:r>
            <w:r>
              <w:rPr>
                <w:rFonts w:hint="eastAsia"/>
                <w:color w:val="auto"/>
                <w:sz w:val="24"/>
                <w:szCs w:val="24"/>
                <w:highlight w:val="none"/>
                <w:lang w:val="en-US" w:eastAsia="zh-CN"/>
              </w:rPr>
              <w:t>根据宁县国土资源局出具的关于《宁县成盛建材有限责任公司》用地不涉及生态保护红线等有关情况的说明中经套合“三区三线”划定成果，该项目用地不涉及我县生态保护红线范围，拟纳入宁县中村镇秦店村村庄规划</w:t>
            </w:r>
            <w:r>
              <w:rPr>
                <w:rFonts w:hint="eastAsia"/>
                <w:color w:val="auto"/>
                <w:sz w:val="24"/>
                <w:szCs w:val="24"/>
                <w:lang w:val="en-US" w:eastAsia="zh-CN"/>
              </w:rPr>
              <w:t>；</w:t>
            </w:r>
            <w:r>
              <w:rPr>
                <w:color w:val="auto"/>
                <w:sz w:val="24"/>
                <w:szCs w:val="24"/>
              </w:rPr>
              <w:t>项目运营期采取有效的污染防治措施之后，废气、废水、噪声均可达标排放，固体废物得到妥善处置</w:t>
            </w:r>
            <w:r>
              <w:rPr>
                <w:rFonts w:hint="eastAsia"/>
                <w:color w:val="auto"/>
                <w:sz w:val="24"/>
                <w:szCs w:val="24"/>
                <w:lang w:eastAsia="zh-CN"/>
              </w:rPr>
              <w:t>。</w:t>
            </w:r>
            <w:r>
              <w:rPr>
                <w:rFonts w:hint="eastAsia"/>
                <w:color w:val="auto"/>
                <w:sz w:val="24"/>
                <w:szCs w:val="24"/>
                <w:lang w:val="en-US" w:eastAsia="zh-CN"/>
              </w:rPr>
              <w:t>因此，本项目</w:t>
            </w:r>
            <w:r>
              <w:rPr>
                <w:color w:val="auto"/>
                <w:sz w:val="24"/>
                <w:szCs w:val="24"/>
              </w:rPr>
              <w:t>符合甘肃省及庆阳市“三线一单”管控要求</w:t>
            </w:r>
            <w:r>
              <w:rPr>
                <w:rFonts w:hint="eastAsia"/>
                <w:color w:val="auto"/>
                <w:sz w:val="24"/>
                <w:szCs w:val="24"/>
              </w:rPr>
              <w:t>，</w:t>
            </w:r>
            <w:r>
              <w:rPr>
                <w:color w:val="auto"/>
                <w:sz w:val="24"/>
                <w:szCs w:val="24"/>
              </w:rPr>
              <w:t>无环境保护方面制约因素。</w:t>
            </w:r>
          </w:p>
          <w:p>
            <w:pPr>
              <w:pStyle w:val="60"/>
              <w:ind w:firstLine="420"/>
              <w:rPr>
                <w:rFonts w:eastAsia="宋体"/>
                <w:color w:val="auto"/>
                <w:sz w:val="24"/>
                <w:szCs w:val="24"/>
              </w:rPr>
            </w:pPr>
            <w:r>
              <w:rPr>
                <w:rFonts w:hint="eastAsia" w:eastAsia="宋体"/>
                <w:color w:val="auto"/>
                <w:sz w:val="24"/>
                <w:szCs w:val="24"/>
                <w:lang w:val="en-US" w:eastAsia="zh-CN"/>
              </w:rPr>
              <w:t>根据《关于“十四五”推进沿黄重点地区工业项目入园及严控高污染、高耗水、高耗能项目的通知》（发改办产业[2021]635号）中“三、全面清理规范拟建工业项目”、“六、强化已建成项目监管”要求，本项目在</w:t>
            </w:r>
            <w:r>
              <w:rPr>
                <w:rFonts w:hint="eastAsia"/>
                <w:color w:val="auto"/>
                <w:sz w:val="24"/>
                <w:szCs w:val="24"/>
                <w:lang w:val="en-US" w:eastAsia="zh-CN"/>
              </w:rPr>
              <w:t>原有</w:t>
            </w:r>
            <w:r>
              <w:rPr>
                <w:rFonts w:hint="eastAsia" w:eastAsia="宋体"/>
                <w:color w:val="auto"/>
                <w:sz w:val="24"/>
                <w:szCs w:val="24"/>
                <w:lang w:val="en-US" w:eastAsia="zh-CN"/>
              </w:rPr>
              <w:t>的</w:t>
            </w:r>
            <w:r>
              <w:rPr>
                <w:rFonts w:hint="eastAsia"/>
                <w:color w:val="auto"/>
                <w:sz w:val="24"/>
                <w:szCs w:val="24"/>
                <w:lang w:val="en-US" w:eastAsia="zh-CN"/>
              </w:rPr>
              <w:t>中村秦店村咀李砖厂</w:t>
            </w:r>
            <w:r>
              <w:rPr>
                <w:rFonts w:hint="eastAsia" w:eastAsia="宋体"/>
                <w:color w:val="auto"/>
                <w:sz w:val="24"/>
                <w:szCs w:val="24"/>
                <w:lang w:val="en-US" w:eastAsia="zh-CN"/>
              </w:rPr>
              <w:t>“</w:t>
            </w:r>
            <w:r>
              <w:rPr>
                <w:rFonts w:hint="eastAsia"/>
                <w:color w:val="auto"/>
                <w:sz w:val="24"/>
                <w:szCs w:val="24"/>
                <w:lang w:val="en-US" w:eastAsia="zh-CN"/>
              </w:rPr>
              <w:t>年产500万块空心新型砖生产线项目</w:t>
            </w:r>
            <w:r>
              <w:rPr>
                <w:rFonts w:hint="eastAsia" w:eastAsia="宋体"/>
                <w:color w:val="auto"/>
                <w:sz w:val="24"/>
                <w:szCs w:val="24"/>
                <w:lang w:val="en-US" w:eastAsia="zh-CN"/>
              </w:rPr>
              <w:t>”基础上进行的</w:t>
            </w:r>
            <w:r>
              <w:rPr>
                <w:rFonts w:hint="eastAsia"/>
                <w:color w:val="auto"/>
                <w:sz w:val="24"/>
                <w:szCs w:val="24"/>
                <w:lang w:val="en-US" w:eastAsia="zh-CN"/>
              </w:rPr>
              <w:t>技术改造</w:t>
            </w:r>
            <w:r>
              <w:rPr>
                <w:rFonts w:hint="eastAsia" w:eastAsia="宋体"/>
                <w:color w:val="auto"/>
                <w:sz w:val="24"/>
                <w:szCs w:val="24"/>
                <w:lang w:val="en-US" w:eastAsia="zh-CN"/>
              </w:rPr>
              <w:t>，不属于“已备案但尚未开工的工业项目”，根据“宁县成盛建材有限责任公司年产6000万块（折合标砖）烧结空心砖及空心砌块煤矸石综合利用项目节能报告的审查意见”项目单位产品综合能耗为35.19kgce/t，经与《烧结墙体材料和泡沫玻璃单位产品能源消耗限额》（GB30526-2019）对标分析，达到国内同行业先进水平不属于落后产能，排放标准可达到国家或地方有关排放要求，故本项目选址可不做调整。</w:t>
            </w:r>
          </w:p>
          <w:p>
            <w:pPr>
              <w:pStyle w:val="60"/>
              <w:ind w:firstLine="420"/>
              <w:rPr>
                <w:rFonts w:hint="default" w:eastAsia="宋体"/>
                <w:color w:val="auto"/>
                <w:sz w:val="24"/>
                <w:szCs w:val="24"/>
                <w:lang w:val="en-US" w:eastAsia="zh-CN"/>
              </w:rPr>
            </w:pPr>
            <w:r>
              <w:rPr>
                <w:color w:val="auto"/>
                <w:sz w:val="24"/>
                <w:szCs w:val="24"/>
              </w:rPr>
              <w:t>根据调查，项目厂界外500m范围内无自然保护区、风景名胜区、文化区等环境保护目标；项目厂界外500m范围内无地下水集中式饮用水水源和热水、矿泉水、温泉等特殊地下水资源</w:t>
            </w:r>
            <w:r>
              <w:rPr>
                <w:rFonts w:hint="eastAsia"/>
                <w:color w:val="auto"/>
                <w:sz w:val="24"/>
                <w:szCs w:val="24"/>
                <w:lang w:eastAsia="zh-CN"/>
              </w:rPr>
              <w:t>。</w:t>
            </w:r>
            <w:r>
              <w:rPr>
                <w:rFonts w:hint="eastAsia"/>
                <w:color w:val="auto"/>
                <w:sz w:val="24"/>
                <w:szCs w:val="24"/>
                <w:highlight w:val="none"/>
                <w:lang w:val="en-US" w:eastAsia="zh-CN"/>
              </w:rPr>
              <w:t>距离项目最近的敏感点为项目东北侧的258m及北侧370m的2户居民，该2户居民位于项目隧道窑烟气排气筒的主导风向上风向。</w:t>
            </w:r>
            <w:r>
              <w:rPr>
                <w:rFonts w:hint="eastAsia"/>
                <w:color w:val="auto"/>
                <w:sz w:val="24"/>
                <w:szCs w:val="24"/>
                <w:lang w:val="en-US" w:eastAsia="zh-CN"/>
              </w:rPr>
              <w:t>项目运营期产生的污染物经过环保措施处理后能达标排放。</w:t>
            </w:r>
          </w:p>
          <w:p>
            <w:pPr>
              <w:pStyle w:val="60"/>
              <w:ind w:firstLine="420"/>
              <w:rPr>
                <w:rFonts w:hint="default" w:cs="Times New Roman"/>
                <w:b/>
                <w:bCs/>
                <w:color w:val="auto"/>
                <w:sz w:val="24"/>
                <w:szCs w:val="24"/>
                <w:lang w:val="en-US" w:eastAsia="zh-CN"/>
              </w:rPr>
            </w:pPr>
            <w:r>
              <w:rPr>
                <w:color w:val="auto"/>
                <w:sz w:val="24"/>
                <w:szCs w:val="24"/>
              </w:rPr>
              <w:t>综上，从环境保护角度分析，本项目的选址合理、可行</w:t>
            </w:r>
            <w:r>
              <w:rPr>
                <w:rFonts w:hint="eastAsia"/>
                <w:color w:val="auto"/>
                <w:sz w:val="24"/>
                <w:szCs w:val="24"/>
                <w:lang w:eastAsia="zh-CN"/>
              </w:rPr>
              <w:t>。</w:t>
            </w:r>
          </w:p>
        </w:tc>
      </w:tr>
    </w:tbl>
    <w:p>
      <w:pPr>
        <w:adjustRightInd w:val="0"/>
        <w:snapToGrid w:val="0"/>
        <w:spacing w:line="360" w:lineRule="auto"/>
        <w:rPr>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ascii="Times New Roman" w:hAnsi="Times New Roman"/>
          <w:b/>
          <w:bCs/>
          <w:snapToGrid w:val="0"/>
          <w:color w:val="000000"/>
          <w:sz w:val="30"/>
          <w:szCs w:val="30"/>
        </w:rPr>
      </w:pPr>
      <w:r>
        <w:rPr>
          <w:rFonts w:ascii="Times New Roman" w:hAnsi="Times New Roman"/>
          <w:b/>
          <w:bCs/>
          <w:snapToGrid w:val="0"/>
          <w:color w:val="000000"/>
          <w:sz w:val="30"/>
          <w:szCs w:val="30"/>
        </w:rPr>
        <w:t>五、主要生态环境保护措施</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8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53" w:type="dxa"/>
            <w:noWrap w:val="0"/>
            <w:tcMar>
              <w:left w:w="28" w:type="dxa"/>
              <w:right w:w="28" w:type="dxa"/>
            </w:tcMar>
            <w:vAlign w:val="center"/>
          </w:tcPr>
          <w:p>
            <w:pPr>
              <w:adjustRightInd w:val="0"/>
              <w:snapToGrid w:val="0"/>
              <w:jc w:val="center"/>
              <w:rPr>
                <w:bCs/>
                <w:color w:val="000000"/>
                <w:sz w:val="24"/>
              </w:rPr>
            </w:pPr>
            <w:r>
              <w:rPr>
                <w:bCs/>
                <w:color w:val="000000"/>
                <w:spacing w:val="10"/>
                <w:sz w:val="24"/>
              </w:rPr>
              <w:t>施工期生态环境保护措施</w:t>
            </w:r>
          </w:p>
        </w:tc>
        <w:tc>
          <w:tcPr>
            <w:tcW w:w="8457" w:type="dxa"/>
            <w:noWrap w:val="0"/>
            <w:vAlign w:val="top"/>
          </w:tcPr>
          <w:p>
            <w:pPr>
              <w:pStyle w:val="70"/>
              <w:spacing w:line="360" w:lineRule="auto"/>
              <w:ind w:right="-1" w:firstLine="0" w:firstLineChars="0"/>
              <w:contextualSpacing/>
              <w:outlineLvl w:val="2"/>
              <w:rPr>
                <w:b/>
                <w:color w:val="auto"/>
                <w:sz w:val="24"/>
                <w:szCs w:val="24"/>
              </w:rPr>
            </w:pPr>
            <w:r>
              <w:rPr>
                <w:b/>
                <w:color w:val="auto"/>
                <w:sz w:val="24"/>
                <w:szCs w:val="24"/>
              </w:rPr>
              <w:t>1</w:t>
            </w:r>
            <w:r>
              <w:rPr>
                <w:rFonts w:hint="eastAsia"/>
                <w:b/>
                <w:color w:val="auto"/>
                <w:sz w:val="24"/>
                <w:szCs w:val="24"/>
                <w:lang w:val="en-US" w:eastAsia="zh-CN"/>
              </w:rPr>
              <w:t>.</w:t>
            </w:r>
            <w:r>
              <w:rPr>
                <w:b/>
                <w:color w:val="auto"/>
                <w:sz w:val="24"/>
                <w:szCs w:val="24"/>
              </w:rPr>
              <w:t>生态保护措施</w:t>
            </w:r>
          </w:p>
          <w:p>
            <w:pPr>
              <w:spacing w:line="360" w:lineRule="auto"/>
              <w:ind w:firstLine="480" w:firstLineChars="200"/>
              <w:rPr>
                <w:color w:val="auto"/>
                <w:sz w:val="24"/>
              </w:rPr>
            </w:pPr>
            <w:r>
              <w:rPr>
                <w:color w:val="auto"/>
                <w:sz w:val="24"/>
              </w:rPr>
              <w:t>（1）施工活动在项目占地范围内进行，不越界占用周边耕地，在项目占地范围内，以最大限度减小地表扰动为原则，尽量减少永久占地和临时占地。</w:t>
            </w:r>
          </w:p>
          <w:p>
            <w:pPr>
              <w:spacing w:line="360" w:lineRule="auto"/>
              <w:ind w:firstLine="480" w:firstLineChars="200"/>
              <w:rPr>
                <w:color w:val="auto"/>
                <w:sz w:val="24"/>
              </w:rPr>
            </w:pPr>
            <w:r>
              <w:rPr>
                <w:color w:val="auto"/>
                <w:sz w:val="24"/>
              </w:rPr>
              <w:t>（2）加强对施工人员的管理，施工过程中不捕杀野生动物，不随意砍伐区域植物。</w:t>
            </w:r>
          </w:p>
          <w:p>
            <w:pPr>
              <w:spacing w:line="360" w:lineRule="auto"/>
              <w:ind w:firstLine="480" w:firstLineChars="200"/>
              <w:rPr>
                <w:color w:val="auto"/>
                <w:sz w:val="24"/>
              </w:rPr>
            </w:pPr>
            <w:r>
              <w:rPr>
                <w:color w:val="auto"/>
                <w:sz w:val="24"/>
              </w:rPr>
              <w:t>（3）设置临时排水沟和沉砂池及植物措施，减轻水土流失等措施减小影响。</w:t>
            </w:r>
          </w:p>
          <w:p>
            <w:pPr>
              <w:spacing w:line="360" w:lineRule="auto"/>
              <w:ind w:firstLine="480" w:firstLineChars="200"/>
              <w:rPr>
                <w:color w:val="auto"/>
                <w:sz w:val="24"/>
              </w:rPr>
            </w:pPr>
            <w:r>
              <w:rPr>
                <w:color w:val="auto"/>
                <w:sz w:val="24"/>
              </w:rPr>
              <w:t>（4）充分利用区域内自然地形地貌，尽可能减少占地面积，减少对植被的破坏面积；施工期应避开雨天与大风天气，减少水土流失量。</w:t>
            </w:r>
          </w:p>
          <w:p>
            <w:pPr>
              <w:spacing w:line="360" w:lineRule="auto"/>
              <w:ind w:firstLine="480" w:firstLineChars="200"/>
              <w:rPr>
                <w:color w:val="auto"/>
                <w:sz w:val="24"/>
              </w:rPr>
            </w:pPr>
            <w:r>
              <w:rPr>
                <w:color w:val="auto"/>
                <w:sz w:val="24"/>
              </w:rPr>
              <w:t>（5）项目建设过程中必须将项目周边的绿化同时考虑，种植乔、灌、草相结合的立体防护林带，并要做好施工场地得防护措施，建设扬尘对周围环境的影响。</w:t>
            </w:r>
          </w:p>
          <w:p>
            <w:pPr>
              <w:spacing w:line="360" w:lineRule="auto"/>
              <w:ind w:firstLine="480" w:firstLineChars="200"/>
              <w:rPr>
                <w:color w:val="auto"/>
                <w:sz w:val="24"/>
              </w:rPr>
            </w:pPr>
            <w:r>
              <w:rPr>
                <w:color w:val="auto"/>
                <w:sz w:val="24"/>
              </w:rPr>
              <w:t>（6）加强施工人员的各类卫生管理，避免生活污水和施工废水排入沟道，最大限度保护动物生境。</w:t>
            </w:r>
          </w:p>
          <w:p>
            <w:pPr>
              <w:spacing w:line="360" w:lineRule="auto"/>
              <w:ind w:firstLine="480" w:firstLineChars="200"/>
              <w:rPr>
                <w:color w:val="auto"/>
                <w:sz w:val="24"/>
              </w:rPr>
            </w:pPr>
            <w:r>
              <w:rPr>
                <w:color w:val="auto"/>
                <w:sz w:val="24"/>
              </w:rPr>
              <w:t>（7）物料运输要严格遵守作业制度，采用车况良好的斗车，避免过量装料，防止松散土石料的散落，减少水土流失。</w:t>
            </w:r>
          </w:p>
          <w:p>
            <w:pPr>
              <w:spacing w:line="360" w:lineRule="auto"/>
              <w:ind w:firstLine="480" w:firstLineChars="200"/>
              <w:rPr>
                <w:color w:val="auto"/>
                <w:sz w:val="24"/>
                <w:lang w:bidi="ar"/>
              </w:rPr>
            </w:pPr>
            <w:r>
              <w:rPr>
                <w:color w:val="auto"/>
                <w:sz w:val="24"/>
              </w:rPr>
              <w:t>（8）禁止在工程占地范围外、植被良好的地区进行取土石活动，以减少水土流失损坏面积</w:t>
            </w:r>
            <w:r>
              <w:rPr>
                <w:color w:val="auto"/>
                <w:sz w:val="24"/>
                <w:lang w:bidi="ar"/>
              </w:rPr>
              <w:t>。</w:t>
            </w:r>
          </w:p>
          <w:p>
            <w:pPr>
              <w:spacing w:line="360" w:lineRule="auto"/>
              <w:ind w:firstLine="480" w:firstLineChars="200"/>
              <w:rPr>
                <w:color w:val="auto"/>
                <w:kern w:val="0"/>
                <w:sz w:val="24"/>
              </w:rPr>
            </w:pPr>
            <w:r>
              <w:rPr>
                <w:bCs/>
                <w:color w:val="auto"/>
                <w:sz w:val="24"/>
              </w:rPr>
              <w:t>（9）</w:t>
            </w:r>
            <w:r>
              <w:rPr>
                <w:color w:val="auto"/>
                <w:kern w:val="0"/>
                <w:sz w:val="24"/>
              </w:rPr>
              <w:t>本项目地形地貌较为复杂，通过优化平纵面尽量减少填挖高度，力求填挖平衡，挖方段土石方尽量利用。</w:t>
            </w:r>
          </w:p>
          <w:p>
            <w:pPr>
              <w:spacing w:line="360" w:lineRule="auto"/>
              <w:ind w:firstLine="480" w:firstLineChars="200"/>
              <w:rPr>
                <w:color w:val="auto"/>
                <w:sz w:val="24"/>
              </w:rPr>
            </w:pPr>
            <w:r>
              <w:rPr>
                <w:color w:val="auto"/>
                <w:sz w:val="24"/>
              </w:rPr>
              <w:t>（10）施工中应尽量减少植被占压、破坏。即尽量选择荒地为临时用地，</w:t>
            </w:r>
          </w:p>
          <w:p>
            <w:pPr>
              <w:spacing w:line="360" w:lineRule="auto"/>
              <w:rPr>
                <w:color w:val="auto"/>
                <w:sz w:val="24"/>
              </w:rPr>
            </w:pPr>
            <w:r>
              <w:rPr>
                <w:color w:val="auto"/>
                <w:sz w:val="24"/>
              </w:rPr>
              <w:t>对树木减少破坏，能移栽的尽量利用。</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（11）本项目严格按照水土保持方案报告表进行施工期的施工</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①尽可能地缩短疏松地面的裸露时间，合理安排施工时间，尽量避开雨天施工。</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②在雨季和汛期到来之前，应备齐工程临时防护用的物料及各种防汛物资，随时采取临时防护措施，以减轻雨水对主体工程的破坏和最大限度减少土壤的流失。</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③施工机械和施工人员要按照施工总体平面布置图进行作业，不得乱占土地，施工机械、土石及其它建筑材料不得乱停乱放，防止损坏地表加剧水土流失。</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④对全体施工人员进行水保知识的宣传和规范施工、文明施工的教育，以增强其水土保持意识，将造成水土流失的人为因素降至最小。</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⑤建设单位、施工单位应积极配合水保部门的监督检查。</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cs="Times New Roman"/>
                <w:color w:val="auto"/>
                <w:kern w:val="0"/>
                <w:sz w:val="24"/>
                <w:szCs w:val="24"/>
                <w:lang w:val="en-US" w:eastAsia="zh-CN" w:bidi="ar"/>
              </w:rPr>
              <w:t>（12）施工期临时防护措施</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施工期的临时防护措施主要有：临时拦挡、临时防洪排水、临时绿化等措施，以预防因施工活动引发的水土流失，把施工活动造成的水土流失降至最低。施工期间的临时防护措施主要</w:t>
            </w:r>
            <w:r>
              <w:rPr>
                <w:rFonts w:hint="eastAsia" w:cs="Times New Roman"/>
                <w:color w:val="auto"/>
                <w:kern w:val="0"/>
                <w:sz w:val="24"/>
                <w:szCs w:val="24"/>
                <w:lang w:val="en-US" w:eastAsia="zh-CN" w:bidi="ar"/>
              </w:rPr>
              <w:t>包括以下几个措施。</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①土方临时拦挡防护：各区施工初期，基础开挖的土方，要先将本区拟利用的部分集中堆放于空闲地或利用区域附近，高堆土边坡四周用编织土袋拦挡，表面覆盖密目网防护。</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②各施工区段布设临时截（排）水沟。在基础开挖过程中，布设截排水沟及场地临时蓄水坑槽，防止各种水源进入开挖基础，影响施工进度。</w:t>
            </w:r>
          </w:p>
          <w:p>
            <w:pPr>
              <w:spacing w:line="360" w:lineRule="auto"/>
              <w:ind w:firstLine="480" w:firstLineChars="200"/>
              <w:rPr>
                <w:rFonts w:hint="eastAsia"/>
                <w:color w:val="auto"/>
                <w:sz w:val="24"/>
                <w:lang w:eastAsia="zh-CN"/>
              </w:rPr>
            </w:pPr>
            <w:r>
              <w:rPr>
                <w:rFonts w:hint="default" w:ascii="Times New Roman" w:hAnsi="Times New Roman" w:eastAsia="宋体" w:cs="Times New Roman"/>
                <w:color w:val="auto"/>
                <w:kern w:val="0"/>
                <w:sz w:val="24"/>
                <w:szCs w:val="24"/>
                <w:lang w:val="en-US" w:eastAsia="zh-CN" w:bidi="ar"/>
              </w:rPr>
              <w:t>③工程弃土、弃渣等应及时处理，定期运至弃土（渣）场掩埋处理</w:t>
            </w:r>
            <w:r>
              <w:rPr>
                <w:rFonts w:hint="eastAsia" w:cs="Times New Roman"/>
                <w:color w:val="auto"/>
                <w:kern w:val="0"/>
                <w:sz w:val="24"/>
                <w:szCs w:val="24"/>
                <w:lang w:val="en-US" w:eastAsia="zh-CN" w:bidi="ar"/>
              </w:rPr>
              <w:t>。</w:t>
            </w:r>
          </w:p>
          <w:p>
            <w:pPr>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13</w:t>
            </w:r>
            <w:r>
              <w:rPr>
                <w:rFonts w:hint="eastAsia"/>
                <w:color w:val="auto"/>
                <w:sz w:val="24"/>
                <w:lang w:eastAsia="zh-CN"/>
              </w:rPr>
              <w:t>）</w:t>
            </w:r>
            <w:r>
              <w:rPr>
                <w:rFonts w:hint="eastAsia"/>
                <w:color w:val="auto"/>
                <w:sz w:val="24"/>
                <w:lang w:val="en-US" w:eastAsia="zh-CN"/>
              </w:rPr>
              <w:t>根据本项目水土保持方案报告表内容</w:t>
            </w:r>
            <w:r>
              <w:rPr>
                <w:rFonts w:hint="default" w:ascii="Times New Roman" w:hAnsi="Times New Roman" w:eastAsia="宋体" w:cs="Times New Roman"/>
                <w:color w:val="auto"/>
                <w:sz w:val="24"/>
                <w:szCs w:val="24"/>
                <w:lang w:val="en-US" w:eastAsia="zh-CN"/>
              </w:rPr>
              <w:t>，项目建设中为恢复和保持绿化区土壤肥力，提高林草成活率和确保林草正常生长，按水土保持技术规范要求，在项目开工建设前，对表层有机土进行剥离并单独堆存，在项目后期绿化时进行表土回覆。因本项目为原有场地基础上的改建砖窑生产线项目，项目扰动原地貌无表土可剥离，因此，本方案不进行表土剥离设计。</w:t>
            </w:r>
          </w:p>
          <w:p>
            <w:pPr>
              <w:pStyle w:val="70"/>
              <w:spacing w:line="360" w:lineRule="auto"/>
              <w:ind w:right="-1" w:firstLine="0" w:firstLineChars="0"/>
              <w:contextualSpacing/>
              <w:outlineLvl w:val="2"/>
              <w:rPr>
                <w:b/>
                <w:color w:val="000000"/>
                <w:sz w:val="24"/>
                <w:szCs w:val="24"/>
              </w:rPr>
            </w:pPr>
            <w:r>
              <w:rPr>
                <w:rFonts w:hint="eastAsia"/>
                <w:b/>
                <w:color w:val="000000"/>
                <w:sz w:val="24"/>
                <w:szCs w:val="24"/>
                <w:lang w:val="en-US" w:eastAsia="zh-CN"/>
              </w:rPr>
              <w:t>2.</w:t>
            </w:r>
            <w:r>
              <w:rPr>
                <w:b/>
                <w:color w:val="000000"/>
                <w:sz w:val="24"/>
                <w:szCs w:val="24"/>
              </w:rPr>
              <w:t>大气污染防治措施</w:t>
            </w:r>
          </w:p>
          <w:p>
            <w:pPr>
              <w:spacing w:line="360" w:lineRule="auto"/>
              <w:ind w:left="63" w:leftChars="30" w:firstLine="465" w:firstLineChars="194"/>
              <w:rPr>
                <w:color w:val="000000"/>
                <w:sz w:val="24"/>
              </w:rPr>
            </w:pPr>
            <w:r>
              <w:rPr>
                <w:color w:val="000000"/>
                <w:kern w:val="0"/>
                <w:sz w:val="24"/>
                <w:szCs w:val="21"/>
                <w:lang w:bidi="ar"/>
              </w:rPr>
              <w:t>本项目</w:t>
            </w:r>
            <w:r>
              <w:rPr>
                <w:color w:val="000000"/>
                <w:sz w:val="24"/>
              </w:rPr>
              <w:t>施工过程中产生的废气包括构筑物基础开挖、附属设施安装、粉状建筑物料运输、装卸及储存过程产生的施工扬尘、道路运输扬尘及施工机械尾气，均为无组织排放，分散在施工场地周边及道路沿线。</w:t>
            </w:r>
          </w:p>
          <w:p>
            <w:pPr>
              <w:spacing w:line="360" w:lineRule="auto"/>
              <w:ind w:left="63" w:leftChars="30" w:firstLine="465" w:firstLineChars="194"/>
              <w:rPr>
                <w:color w:val="000000"/>
                <w:sz w:val="24"/>
              </w:rPr>
            </w:pPr>
            <w:r>
              <w:rPr>
                <w:color w:val="000000"/>
                <w:sz w:val="24"/>
              </w:rPr>
              <w:t>施工期大气污染防治措施如下：</w:t>
            </w:r>
          </w:p>
          <w:p>
            <w:pPr>
              <w:spacing w:line="360" w:lineRule="auto"/>
              <w:ind w:left="63" w:leftChars="30" w:firstLine="465" w:firstLineChars="194"/>
              <w:rPr>
                <w:color w:val="000000"/>
                <w:sz w:val="24"/>
              </w:rPr>
            </w:pPr>
            <w:r>
              <w:rPr>
                <w:color w:val="000000"/>
                <w:sz w:val="24"/>
              </w:rPr>
              <w:t>（1）参照“6个百分百”防治施工期扬尘污染，施工工地周边100%围挡、物料堆放100%覆盖、施工现场地面100%硬化、工地100%湿法作业、渣土车辆100%密闭运输；施工单位其纳入日常动态监管范围，加大施工扬尘污染的治理力度，确保大气污染防治要求落到实处；</w:t>
            </w:r>
          </w:p>
          <w:p>
            <w:pPr>
              <w:spacing w:line="360" w:lineRule="auto"/>
              <w:ind w:left="63" w:leftChars="30" w:firstLine="465" w:firstLineChars="194"/>
              <w:rPr>
                <w:rFonts w:hint="eastAsia" w:eastAsia="宋体"/>
                <w:color w:val="000000"/>
                <w:sz w:val="24"/>
                <w:lang w:eastAsia="zh-CN"/>
              </w:rPr>
            </w:pPr>
            <w:r>
              <w:rPr>
                <w:color w:val="000000"/>
                <w:sz w:val="24"/>
              </w:rPr>
              <w:t>（2）土方开挖等施工采用湿法作业方式。施工场地、道路合理调配土方量，做到挖填方平衡，减少扬尘产生量</w:t>
            </w:r>
            <w:r>
              <w:rPr>
                <w:rFonts w:hint="eastAsia"/>
                <w:color w:val="000000"/>
                <w:sz w:val="24"/>
                <w:lang w:eastAsia="zh-CN"/>
              </w:rPr>
              <w:t>；</w:t>
            </w:r>
          </w:p>
          <w:p>
            <w:pPr>
              <w:spacing w:line="360" w:lineRule="auto"/>
              <w:ind w:left="63" w:leftChars="30" w:firstLine="465" w:firstLineChars="194"/>
              <w:rPr>
                <w:rFonts w:hint="eastAsia" w:eastAsia="宋体"/>
                <w:color w:val="000000"/>
                <w:sz w:val="24"/>
                <w:lang w:eastAsia="zh-CN"/>
              </w:rPr>
            </w:pPr>
            <w:r>
              <w:rPr>
                <w:color w:val="000000"/>
                <w:sz w:val="24"/>
              </w:rPr>
              <w:t>（3）施工单位需配备洒水车1辆，每日对施工场地及运输道路洒水，确保地表湿度，减少起尘量</w:t>
            </w:r>
            <w:r>
              <w:rPr>
                <w:rFonts w:hint="eastAsia"/>
                <w:color w:val="000000"/>
                <w:sz w:val="24"/>
                <w:lang w:eastAsia="zh-CN"/>
              </w:rPr>
              <w:t>；</w:t>
            </w:r>
          </w:p>
          <w:p>
            <w:pPr>
              <w:spacing w:line="360" w:lineRule="auto"/>
              <w:ind w:left="63" w:leftChars="30" w:firstLine="465" w:firstLineChars="194"/>
              <w:rPr>
                <w:rFonts w:hint="eastAsia" w:eastAsia="宋体"/>
                <w:color w:val="000000"/>
                <w:sz w:val="24"/>
                <w:lang w:eastAsia="zh-CN"/>
              </w:rPr>
            </w:pPr>
            <w:r>
              <w:rPr>
                <w:color w:val="000000"/>
                <w:sz w:val="24"/>
              </w:rPr>
              <w:t>（4）施工工地周围和材料堆放场采取覆盖防尘布遮盖；粉状材料运输车辆全覆盖</w:t>
            </w:r>
            <w:r>
              <w:rPr>
                <w:rFonts w:hint="eastAsia"/>
                <w:color w:val="000000"/>
                <w:sz w:val="24"/>
                <w:lang w:eastAsia="zh-CN"/>
              </w:rPr>
              <w:t>；</w:t>
            </w:r>
          </w:p>
          <w:p>
            <w:pPr>
              <w:spacing w:line="360" w:lineRule="auto"/>
              <w:ind w:left="63" w:leftChars="30" w:firstLine="465" w:firstLineChars="194"/>
              <w:rPr>
                <w:rFonts w:hint="eastAsia" w:eastAsia="宋体"/>
                <w:color w:val="000000"/>
                <w:sz w:val="24"/>
                <w:lang w:eastAsia="zh-CN"/>
              </w:rPr>
            </w:pPr>
            <w:r>
              <w:rPr>
                <w:color w:val="000000"/>
                <w:sz w:val="24"/>
              </w:rPr>
              <w:t>（5）合理制定施工布局及时间安排，在开挖区配备洒水软管等洒水降尘设施，降低表土剥离、装卸过程起尘量；土方运输车辆装载高度不得超过槽帮上沿，限速行驶，避免物料沿途撒漏。同时要按照批准路线和时限清运</w:t>
            </w:r>
            <w:r>
              <w:rPr>
                <w:rFonts w:hint="eastAsia"/>
                <w:color w:val="000000"/>
                <w:sz w:val="24"/>
                <w:lang w:eastAsia="zh-CN"/>
              </w:rPr>
              <w:t>；</w:t>
            </w:r>
          </w:p>
          <w:p>
            <w:pPr>
              <w:spacing w:line="360" w:lineRule="auto"/>
              <w:ind w:left="63" w:leftChars="30" w:firstLine="465" w:firstLineChars="194"/>
              <w:rPr>
                <w:rFonts w:hint="eastAsia" w:eastAsia="宋体"/>
                <w:color w:val="000000"/>
                <w:sz w:val="24"/>
                <w:lang w:eastAsia="zh-CN"/>
              </w:rPr>
            </w:pPr>
            <w:r>
              <w:rPr>
                <w:color w:val="000000"/>
                <w:sz w:val="24"/>
              </w:rPr>
              <w:t>（6）开挖区及道路定期洒水降尘，大风天气下严禁排土作业，并用防风抑尘网苫盖</w:t>
            </w:r>
            <w:r>
              <w:rPr>
                <w:rFonts w:hint="eastAsia"/>
                <w:color w:val="000000"/>
                <w:sz w:val="24"/>
                <w:lang w:eastAsia="zh-CN"/>
              </w:rPr>
              <w:t>；</w:t>
            </w:r>
          </w:p>
          <w:p>
            <w:pPr>
              <w:spacing w:line="360" w:lineRule="auto"/>
              <w:ind w:left="63" w:leftChars="30" w:firstLine="465" w:firstLineChars="194"/>
              <w:outlineLvl w:val="3"/>
              <w:rPr>
                <w:color w:val="000000"/>
                <w:sz w:val="24"/>
              </w:rPr>
            </w:pPr>
            <w:r>
              <w:rPr>
                <w:color w:val="000000"/>
                <w:sz w:val="24"/>
              </w:rPr>
              <w:t>（7）加强施工管理，做到文明施工，严禁野蛮施工及在大风天气下施工作业。</w:t>
            </w:r>
          </w:p>
          <w:p>
            <w:pPr>
              <w:spacing w:line="360" w:lineRule="auto"/>
              <w:ind w:firstLine="480" w:firstLineChars="200"/>
              <w:rPr>
                <w:color w:val="000000"/>
                <w:sz w:val="24"/>
              </w:rPr>
            </w:pPr>
            <w:r>
              <w:rPr>
                <w:color w:val="000000"/>
                <w:sz w:val="24"/>
              </w:rPr>
              <w:t>通过上述施工措施及管理要求的实施，施工期废气产生有限，随着施工期的结束而消散，对周围环境及敏感点影响较小。</w:t>
            </w:r>
          </w:p>
          <w:p>
            <w:pPr>
              <w:pStyle w:val="70"/>
              <w:spacing w:line="360" w:lineRule="auto"/>
              <w:ind w:right="-1" w:firstLine="0" w:firstLineChars="0"/>
              <w:contextualSpacing/>
              <w:outlineLvl w:val="2"/>
              <w:rPr>
                <w:b/>
                <w:color w:val="000000"/>
                <w:sz w:val="24"/>
                <w:szCs w:val="24"/>
              </w:rPr>
            </w:pPr>
            <w:r>
              <w:rPr>
                <w:rFonts w:hint="eastAsia"/>
                <w:b/>
                <w:color w:val="000000"/>
                <w:sz w:val="24"/>
                <w:szCs w:val="24"/>
                <w:lang w:val="en-US" w:eastAsia="zh-CN"/>
              </w:rPr>
              <w:t>3.</w:t>
            </w:r>
            <w:r>
              <w:rPr>
                <w:b/>
                <w:color w:val="000000"/>
                <w:sz w:val="24"/>
                <w:szCs w:val="24"/>
              </w:rPr>
              <w:t>水污染防治措施</w:t>
            </w:r>
          </w:p>
          <w:p>
            <w:pPr>
              <w:spacing w:line="360" w:lineRule="auto"/>
              <w:ind w:firstLine="480" w:firstLineChars="200"/>
              <w:jc w:val="left"/>
              <w:rPr>
                <w:color w:val="000000"/>
                <w:kern w:val="0"/>
                <w:sz w:val="24"/>
              </w:rPr>
            </w:pPr>
            <w:r>
              <w:rPr>
                <w:color w:val="000000"/>
                <w:sz w:val="24"/>
                <w:lang w:bidi="ar"/>
              </w:rPr>
              <w:t>本项目施工期废水主要为施工人员的盥洗废水和施工废水。施工废水中的污染物主要以SS为主，该废水可以经厂内设置的临时沉淀池沉淀后回用于生产工序；施工生活污水产生量较少，污染物成份简单，施工场地浮土较多，易产生扬尘，故可直接泼洒施工场区地面抑尘，不会对周围环境产生不良影响，综上施工期废水治理措施可行</w:t>
            </w:r>
            <w:r>
              <w:rPr>
                <w:color w:val="000000"/>
                <w:kern w:val="0"/>
                <w:sz w:val="24"/>
              </w:rPr>
              <w:t>。</w:t>
            </w:r>
          </w:p>
          <w:p>
            <w:pPr>
              <w:pStyle w:val="15"/>
              <w:spacing w:line="360" w:lineRule="auto"/>
              <w:rPr>
                <w:b/>
                <w:color w:val="000000"/>
                <w:sz w:val="24"/>
              </w:rPr>
            </w:pPr>
            <w:r>
              <w:rPr>
                <w:rFonts w:hint="eastAsia"/>
                <w:b/>
                <w:bCs/>
                <w:color w:val="000000"/>
                <w:sz w:val="24"/>
                <w:szCs w:val="36"/>
                <w:lang w:val="en-US" w:eastAsia="zh-CN"/>
              </w:rPr>
              <w:t>4.</w:t>
            </w:r>
            <w:r>
              <w:rPr>
                <w:b/>
                <w:color w:val="000000"/>
                <w:sz w:val="24"/>
              </w:rPr>
              <w:t>固废污染防治措施</w:t>
            </w:r>
          </w:p>
          <w:p>
            <w:pPr>
              <w:spacing w:line="360" w:lineRule="auto"/>
              <w:ind w:firstLine="480" w:firstLineChars="200"/>
              <w:rPr>
                <w:color w:val="000000"/>
                <w:sz w:val="24"/>
              </w:rPr>
            </w:pPr>
            <w:r>
              <w:rPr>
                <w:color w:val="000000"/>
                <w:sz w:val="24"/>
              </w:rPr>
              <w:t>施工期固体废物的来源主要是施工人员产生的生活垃圾和部分建筑垃圾，针对项目施工期固体废物产生情况及周边环境状况，环评建议采取如下污染防治措施：</w:t>
            </w:r>
          </w:p>
          <w:p>
            <w:pPr>
              <w:spacing w:line="360" w:lineRule="auto"/>
              <w:ind w:firstLine="480" w:firstLineChars="200"/>
              <w:rPr>
                <w:color w:val="000000"/>
                <w:sz w:val="24"/>
              </w:rPr>
            </w:pPr>
            <w:r>
              <w:rPr>
                <w:color w:val="000000"/>
                <w:sz w:val="24"/>
              </w:rPr>
              <w:t>（1）坚持建筑节能，清洁生产原则，制定环保节约型的施工方案，加强施工管理，文明施工，节约原料，从源头提高原料利用率，减少废物产生量。</w:t>
            </w:r>
          </w:p>
          <w:p>
            <w:pPr>
              <w:spacing w:line="360" w:lineRule="auto"/>
              <w:ind w:firstLine="480" w:firstLineChars="200"/>
              <w:rPr>
                <w:color w:val="000000"/>
                <w:sz w:val="24"/>
              </w:rPr>
            </w:pPr>
            <w:r>
              <w:rPr>
                <w:color w:val="000000"/>
                <w:sz w:val="24"/>
              </w:rPr>
              <w:t>（2）生活垃圾应定点收集，交由环卫部门统一运至政府指定的生活垃圾填埋场处理，施工期产生的建筑垃圾尽可能回用，可利用建筑垃圾拉运至附近建筑垃圾在利用企业回用，不能回用的向有关部门申报，核准后运至指定的城市建筑垃圾处理场，不向环境排放。应加强建筑垃圾清运前在场地内临时堆放管理，对临时堆放场应采取临时防尘、防淋措施，避免固体废物堆放过程中产生扬尘污染和雨污水影响附近地表水。</w:t>
            </w:r>
          </w:p>
          <w:p>
            <w:pPr>
              <w:spacing w:line="360" w:lineRule="auto"/>
              <w:ind w:firstLine="480" w:firstLineChars="200"/>
              <w:rPr>
                <w:color w:val="000000"/>
                <w:sz w:val="24"/>
              </w:rPr>
            </w:pPr>
            <w:r>
              <w:rPr>
                <w:color w:val="000000"/>
                <w:sz w:val="24"/>
              </w:rPr>
              <w:t>（3）加强固体废物运输管理，固体废物外运应选用防洒落车辆，严格按照城管部门有关要求，合理选址运输时间和运输线路，采取必要的防尘、防洒落措施，严禁超载，控制车速，避免因超载、超速导致物料洒落。</w:t>
            </w:r>
          </w:p>
          <w:p>
            <w:pPr>
              <w:spacing w:line="360" w:lineRule="auto"/>
              <w:ind w:firstLine="570"/>
              <w:rPr>
                <w:bCs/>
                <w:color w:val="000000"/>
                <w:sz w:val="24"/>
              </w:rPr>
            </w:pPr>
            <w:r>
              <w:rPr>
                <w:color w:val="000000"/>
                <w:sz w:val="24"/>
              </w:rPr>
              <w:t>采取上述措施，可有效防止固体废弃物对周围环境的影响，施工产生的固体废弃物对外环境影响较小</w:t>
            </w:r>
            <w:r>
              <w:rPr>
                <w:bCs/>
                <w:color w:val="000000"/>
                <w:sz w:val="24"/>
              </w:rPr>
              <w:t>。</w:t>
            </w:r>
          </w:p>
          <w:p>
            <w:pPr>
              <w:pStyle w:val="70"/>
              <w:spacing w:line="360" w:lineRule="auto"/>
              <w:ind w:right="-1" w:firstLine="0" w:firstLineChars="0"/>
              <w:contextualSpacing/>
              <w:outlineLvl w:val="2"/>
              <w:rPr>
                <w:b/>
                <w:color w:val="000000"/>
                <w:sz w:val="24"/>
                <w:szCs w:val="24"/>
              </w:rPr>
            </w:pPr>
            <w:r>
              <w:rPr>
                <w:b/>
                <w:color w:val="000000"/>
                <w:sz w:val="24"/>
                <w:szCs w:val="24"/>
              </w:rPr>
              <w:t>5</w:t>
            </w:r>
            <w:r>
              <w:rPr>
                <w:rFonts w:hint="eastAsia"/>
                <w:b/>
                <w:color w:val="000000"/>
                <w:sz w:val="24"/>
                <w:szCs w:val="24"/>
                <w:lang w:val="en-US" w:eastAsia="zh-CN"/>
              </w:rPr>
              <w:t>.</w:t>
            </w:r>
            <w:r>
              <w:rPr>
                <w:b/>
                <w:color w:val="000000"/>
                <w:sz w:val="24"/>
                <w:szCs w:val="24"/>
              </w:rPr>
              <w:t>噪声污染防治措施</w:t>
            </w:r>
          </w:p>
          <w:p>
            <w:pPr>
              <w:spacing w:line="360" w:lineRule="auto"/>
              <w:ind w:firstLine="480" w:firstLineChars="200"/>
              <w:rPr>
                <w:color w:val="000000"/>
                <w:sz w:val="24"/>
              </w:rPr>
            </w:pPr>
            <w:r>
              <w:rPr>
                <w:color w:val="000000"/>
                <w:sz w:val="24"/>
              </w:rPr>
              <w:t>本项目噪声声源主要是施工设备产生的机械噪声和运输车辆，施工期噪声主要是施工机械和运输车辆。噪声源主要为装载机、推土机、摊铺机、吊车等，如不加以控制，将严重干扰临近居民的正常生活，为此，施工方采取以下的治理措施：</w:t>
            </w:r>
          </w:p>
          <w:p>
            <w:pPr>
              <w:spacing w:line="360" w:lineRule="auto"/>
              <w:ind w:firstLine="480" w:firstLineChars="200"/>
              <w:rPr>
                <w:color w:val="000000"/>
                <w:sz w:val="24"/>
              </w:rPr>
            </w:pPr>
            <w:r>
              <w:rPr>
                <w:color w:val="000000"/>
                <w:sz w:val="24"/>
              </w:rPr>
              <w:t>（1）在施工过程中，施工单位应严格执行《建筑施工场界环境噪声排放标准》（GB12523-2011）中的有关规定，避免施工扰民事件的发生。</w:t>
            </w:r>
          </w:p>
          <w:p>
            <w:pPr>
              <w:spacing w:line="360" w:lineRule="auto"/>
              <w:ind w:firstLine="480" w:firstLineChars="200"/>
              <w:rPr>
                <w:color w:val="000000"/>
                <w:sz w:val="24"/>
              </w:rPr>
            </w:pPr>
            <w:r>
              <w:rPr>
                <w:color w:val="000000"/>
                <w:sz w:val="24"/>
              </w:rPr>
              <w:t>（2）施工单位要合理安排施工作业时间，晚间（19:00-22:00）不得使用挖掘机等高噪声机械作业，午间（12:00-14:00）及晚间（22:00-6:00）禁止一切施工活动，以免影响周边居民的休息。如因建筑工程工艺要求或特殊需要必须连续作业而进行夜间施工的，施工单位必须提前7日持建管部门的证明向当地环境保护主管部门申报施工日期和时间，并在周围居民点张贴告示，经环境保护主管部门批准备案后方可进行夜间施工。</w:t>
            </w:r>
          </w:p>
          <w:p>
            <w:pPr>
              <w:spacing w:line="360" w:lineRule="auto"/>
              <w:ind w:firstLine="480" w:firstLineChars="200"/>
              <w:rPr>
                <w:color w:val="000000"/>
                <w:sz w:val="24"/>
              </w:rPr>
            </w:pPr>
            <w:r>
              <w:rPr>
                <w:color w:val="000000"/>
                <w:sz w:val="24"/>
              </w:rPr>
              <w:t>（3）施工机械设备应选用低噪声设备，定期对设备维护，确保设备良性工作。避免高噪声设备同时作业，尽可能减轻声源叠加影响。在施工总平面布置时，高噪声设备布置在远离噪声敏感点的位置。</w:t>
            </w:r>
          </w:p>
          <w:p>
            <w:pPr>
              <w:spacing w:line="360" w:lineRule="auto"/>
              <w:ind w:firstLine="480" w:firstLineChars="200"/>
              <w:rPr>
                <w:color w:val="000000"/>
                <w:sz w:val="24"/>
              </w:rPr>
            </w:pPr>
            <w:r>
              <w:rPr>
                <w:color w:val="000000"/>
                <w:sz w:val="24"/>
              </w:rPr>
              <w:t>（4）建设单位应加强施工管理，加快施工进度，缩短高噪声施工工期。</w:t>
            </w:r>
          </w:p>
          <w:p>
            <w:pPr>
              <w:spacing w:line="360" w:lineRule="auto"/>
              <w:ind w:firstLine="480" w:firstLineChars="200"/>
              <w:rPr>
                <w:color w:val="000000"/>
                <w:sz w:val="24"/>
              </w:rPr>
            </w:pPr>
            <w:r>
              <w:rPr>
                <w:color w:val="000000"/>
                <w:sz w:val="24"/>
              </w:rPr>
              <w:t>（5）施工时应设置封闭的护围结构，减少施工噪声对居民的噪声环境影响。</w:t>
            </w:r>
          </w:p>
          <w:p>
            <w:pPr>
              <w:spacing w:line="360" w:lineRule="auto"/>
              <w:ind w:firstLine="480" w:firstLineChars="200"/>
              <w:rPr>
                <w:color w:val="000000"/>
                <w:sz w:val="24"/>
              </w:rPr>
            </w:pPr>
            <w:r>
              <w:rPr>
                <w:color w:val="000000"/>
                <w:sz w:val="24"/>
              </w:rPr>
              <w:t>（6）施工作业将不可避免地出现与群众生活、交通冲突的地方，为减少矛盾和事故发生，在主要施工地点、通行线路、占道等地方设置醒目的警示标志牌。</w:t>
            </w:r>
          </w:p>
          <w:p>
            <w:pPr>
              <w:spacing w:line="360" w:lineRule="auto"/>
              <w:ind w:right="-1" w:firstLine="482"/>
              <w:contextualSpacing/>
              <w:rPr>
                <w:color w:val="000000"/>
                <w:sz w:val="24"/>
              </w:rPr>
            </w:pPr>
            <w:r>
              <w:rPr>
                <w:color w:val="000000"/>
                <w:sz w:val="24"/>
              </w:rPr>
              <w:t>总之，根据同类项目施工期噪声管理情况，只要项目严格落实各项防治措施，加强施工现场的环境管理，严格执行《建筑施工场界环境噪声排放标准》要求，则可确保噪声达标排放。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53" w:type="dxa"/>
            <w:noWrap w:val="0"/>
            <w:tcMar>
              <w:left w:w="28" w:type="dxa"/>
              <w:right w:w="28" w:type="dxa"/>
            </w:tcMar>
            <w:vAlign w:val="center"/>
          </w:tcPr>
          <w:p>
            <w:pPr>
              <w:adjustRightInd w:val="0"/>
              <w:snapToGrid w:val="0"/>
              <w:jc w:val="center"/>
              <w:rPr>
                <w:bCs/>
                <w:color w:val="000000"/>
                <w:spacing w:val="10"/>
                <w:sz w:val="24"/>
              </w:rPr>
            </w:pPr>
            <w:r>
              <w:rPr>
                <w:bCs/>
                <w:color w:val="000000"/>
                <w:spacing w:val="10"/>
                <w:sz w:val="24"/>
              </w:rPr>
              <w:t>运营期生态环境保护措施</w:t>
            </w:r>
          </w:p>
        </w:tc>
        <w:tc>
          <w:tcPr>
            <w:tcW w:w="8457" w:type="dxa"/>
            <w:noWrap w:val="0"/>
            <w:vAlign w:val="top"/>
          </w:tcPr>
          <w:p>
            <w:pPr>
              <w:pStyle w:val="15"/>
              <w:spacing w:line="360" w:lineRule="auto"/>
              <w:rPr>
                <w:b/>
                <w:bCs/>
                <w:color w:val="000000"/>
                <w:sz w:val="24"/>
                <w:szCs w:val="36"/>
              </w:rPr>
            </w:pPr>
            <w:r>
              <w:rPr>
                <w:b/>
                <w:bCs/>
                <w:color w:val="000000"/>
                <w:sz w:val="24"/>
                <w:szCs w:val="36"/>
              </w:rPr>
              <w:t>1</w:t>
            </w:r>
            <w:r>
              <w:rPr>
                <w:rFonts w:hint="eastAsia"/>
                <w:b/>
                <w:bCs/>
                <w:color w:val="000000"/>
                <w:sz w:val="24"/>
                <w:szCs w:val="36"/>
                <w:lang w:val="en-US" w:eastAsia="zh-CN"/>
              </w:rPr>
              <w:t>.</w:t>
            </w:r>
            <w:r>
              <w:rPr>
                <w:b/>
                <w:bCs/>
                <w:color w:val="000000"/>
                <w:sz w:val="24"/>
                <w:szCs w:val="36"/>
              </w:rPr>
              <w:t>生态保护措施</w:t>
            </w:r>
          </w:p>
          <w:p>
            <w:pPr>
              <w:spacing w:line="360" w:lineRule="auto"/>
              <w:ind w:firstLine="480" w:firstLineChars="200"/>
              <w:rPr>
                <w:color w:val="auto"/>
                <w:sz w:val="24"/>
              </w:rPr>
            </w:pPr>
            <w:r>
              <w:rPr>
                <w:color w:val="auto"/>
                <w:sz w:val="24"/>
              </w:rPr>
              <w:t>（1）黏土开采应严格按照国土部门核准的开采方案进行开采，采用自上而下水平分层台阶开采方法，根据设计的开采参数，设计开采台阶7个，最小工作平台宽度16m，台阶高度为10m，最小安全平台宽度为3m，清扫平台宽度为6m，工作台阶坡面角50°，终了边坡角≤40°。</w:t>
            </w:r>
          </w:p>
          <w:p>
            <w:pPr>
              <w:spacing w:line="360" w:lineRule="auto"/>
              <w:ind w:firstLine="480" w:firstLineChars="200"/>
              <w:rPr>
                <w:color w:val="auto"/>
                <w:sz w:val="24"/>
              </w:rPr>
            </w:pPr>
            <w:r>
              <w:rPr>
                <w:color w:val="auto"/>
                <w:sz w:val="24"/>
              </w:rPr>
              <w:t>（2）在开采区周围修建截排水沟</w:t>
            </w:r>
            <w:r>
              <w:rPr>
                <w:rFonts w:hint="eastAsia"/>
                <w:color w:val="auto"/>
                <w:sz w:val="24"/>
                <w:lang w:val="en-US" w:eastAsia="zh-CN"/>
              </w:rPr>
              <w:t>及围墙</w:t>
            </w:r>
            <w:r>
              <w:rPr>
                <w:color w:val="auto"/>
                <w:sz w:val="24"/>
              </w:rPr>
              <w:t>防止水土流失，截排水沟为长约</w:t>
            </w:r>
            <w:r>
              <w:rPr>
                <w:rFonts w:hint="eastAsia"/>
                <w:color w:val="auto"/>
                <w:sz w:val="24"/>
                <w:lang w:val="en-US" w:eastAsia="zh-CN"/>
              </w:rPr>
              <w:t>180</w:t>
            </w:r>
            <w:r>
              <w:rPr>
                <w:color w:val="auto"/>
                <w:sz w:val="24"/>
              </w:rPr>
              <w:t>m，断面0.5×0.5m明沟；</w:t>
            </w:r>
            <w:r>
              <w:rPr>
                <w:rFonts w:hint="eastAsia"/>
                <w:color w:val="auto"/>
                <w:sz w:val="24"/>
                <w:lang w:val="en-US" w:eastAsia="zh-CN"/>
              </w:rPr>
              <w:t>围墙高1m</w:t>
            </w:r>
            <w:r>
              <w:rPr>
                <w:color w:val="auto"/>
                <w:sz w:val="24"/>
              </w:rPr>
              <w:t>；在项目区地势较低处设置一个容积为</w:t>
            </w:r>
            <w:r>
              <w:rPr>
                <w:rFonts w:hint="eastAsia"/>
                <w:color w:val="auto"/>
                <w:sz w:val="24"/>
                <w:lang w:val="en-US" w:eastAsia="zh-CN"/>
              </w:rPr>
              <w:t>250</w:t>
            </w:r>
            <w:r>
              <w:rPr>
                <w:color w:val="auto"/>
                <w:sz w:val="24"/>
              </w:rPr>
              <w:t>m</w:t>
            </w:r>
            <w:r>
              <w:rPr>
                <w:color w:val="auto"/>
                <w:sz w:val="24"/>
                <w:vertAlign w:val="superscript"/>
              </w:rPr>
              <w:t>3</w:t>
            </w:r>
            <w:r>
              <w:rPr>
                <w:color w:val="auto"/>
                <w:sz w:val="24"/>
              </w:rPr>
              <w:t>的雨水收集池</w:t>
            </w:r>
            <w:r>
              <w:rPr>
                <w:rFonts w:hint="eastAsia"/>
                <w:color w:val="auto"/>
                <w:sz w:val="24"/>
                <w:lang w:eastAsia="zh-CN"/>
              </w:rPr>
              <w:t>，</w:t>
            </w:r>
            <w:r>
              <w:rPr>
                <w:rFonts w:hint="eastAsia"/>
                <w:color w:val="auto"/>
                <w:sz w:val="24"/>
                <w:lang w:val="en-US" w:eastAsia="zh-CN"/>
              </w:rPr>
              <w:t>采矿区及制砖区设雨水导排渠，</w:t>
            </w:r>
            <w:r>
              <w:rPr>
                <w:color w:val="auto"/>
                <w:sz w:val="24"/>
              </w:rPr>
              <w:t>雨水收集后回用于生产过程。</w:t>
            </w:r>
          </w:p>
          <w:p>
            <w:pPr>
              <w:spacing w:line="360" w:lineRule="auto"/>
              <w:ind w:firstLine="480" w:firstLineChars="200"/>
              <w:rPr>
                <w:color w:val="auto"/>
                <w:sz w:val="24"/>
              </w:rPr>
            </w:pPr>
            <w:r>
              <w:rPr>
                <w:color w:val="auto"/>
                <w:sz w:val="24"/>
              </w:rPr>
              <w:t>（3）加强矿区及生产厂区的植被恢复工作，同时在项目取土场、砖厂生产及生活区设置绿化。植物应选择生长快、适应性强、抗逆性好的植物；进行植被恢复时，应将乔、灌、草综合起来进行恢复，采场平台覆土种草种树，覆土厚度0.5m，种植树，覆土厚度0.5m，采场边坡种植藤本植物。乔木每亩不得少于400株，灌木每亩不得少于700株。</w:t>
            </w:r>
          </w:p>
          <w:p>
            <w:pPr>
              <w:spacing w:line="360" w:lineRule="auto"/>
              <w:ind w:firstLine="480" w:firstLineChars="200"/>
              <w:rPr>
                <w:color w:val="auto"/>
                <w:sz w:val="24"/>
              </w:rPr>
            </w:pPr>
            <w:r>
              <w:rPr>
                <w:color w:val="auto"/>
                <w:sz w:val="24"/>
              </w:rPr>
              <w:t>（4）及时对开采完成的区域进行复垦，要做到采完一片，及时复垦处理一片。不允许复垦区裸地暴露时间超过一年。</w:t>
            </w:r>
          </w:p>
          <w:p>
            <w:pPr>
              <w:spacing w:line="360" w:lineRule="auto"/>
              <w:ind w:firstLine="480" w:firstLineChars="200"/>
              <w:rPr>
                <w:color w:val="auto"/>
                <w:sz w:val="24"/>
              </w:rPr>
            </w:pPr>
            <w:r>
              <w:rPr>
                <w:color w:val="auto"/>
                <w:sz w:val="24"/>
              </w:rPr>
              <w:t>（5）矿山在服务期满后，应及时对其进行植被恢复，采用灌、草结合的方式进行复垦。</w:t>
            </w:r>
          </w:p>
          <w:p>
            <w:pPr>
              <w:spacing w:line="360" w:lineRule="auto"/>
              <w:ind w:right="-1"/>
              <w:contextualSpacing/>
              <w:rPr>
                <w:rFonts w:hint="eastAsia"/>
                <w:color w:val="000000"/>
                <w:sz w:val="24"/>
                <w:lang w:val="en-US" w:eastAsia="zh-CN"/>
              </w:rPr>
            </w:pPr>
            <w:r>
              <w:rPr>
                <w:rFonts w:hint="eastAsia"/>
                <w:b/>
                <w:bCs/>
                <w:color w:val="000000"/>
                <w:sz w:val="24"/>
                <w:lang w:val="en-US" w:eastAsia="zh-CN"/>
              </w:rPr>
              <w:t>2.</w:t>
            </w:r>
            <w:r>
              <w:rPr>
                <w:b/>
                <w:bCs/>
                <w:color w:val="000000"/>
                <w:sz w:val="24"/>
                <w:szCs w:val="36"/>
              </w:rPr>
              <w:t>废气污染防治措施</w:t>
            </w:r>
          </w:p>
          <w:p>
            <w:pPr>
              <w:pStyle w:val="60"/>
              <w:ind w:left="0" w:leftChars="0" w:firstLine="0" w:firstLineChars="0"/>
              <w:rPr>
                <w:rFonts w:hint="default" w:eastAsia="宋体"/>
                <w:b/>
                <w:bCs/>
                <w:color w:val="auto"/>
                <w:sz w:val="24"/>
                <w:szCs w:val="24"/>
                <w:lang w:val="en-US" w:eastAsia="zh-CN"/>
              </w:rPr>
            </w:pPr>
            <w:r>
              <w:rPr>
                <w:rFonts w:hint="eastAsia"/>
                <w:b/>
                <w:bCs/>
                <w:color w:val="auto"/>
                <w:sz w:val="24"/>
                <w:szCs w:val="24"/>
                <w:lang w:val="en-US" w:eastAsia="zh-CN"/>
              </w:rPr>
              <w:t>2..1</w:t>
            </w:r>
            <w:r>
              <w:rPr>
                <w:b/>
                <w:bCs/>
                <w:color w:val="auto"/>
                <w:sz w:val="24"/>
                <w:szCs w:val="24"/>
              </w:rPr>
              <w:t>有组织废气防治措施</w:t>
            </w:r>
          </w:p>
          <w:p>
            <w:pPr>
              <w:pStyle w:val="60"/>
              <w:ind w:firstLine="420"/>
              <w:rPr>
                <w:color w:val="auto"/>
                <w:sz w:val="24"/>
                <w:szCs w:val="24"/>
              </w:rPr>
            </w:pPr>
            <w:r>
              <w:rPr>
                <w:color w:val="auto"/>
                <w:sz w:val="24"/>
                <w:szCs w:val="24"/>
              </w:rPr>
              <w:t>（1）破碎、筛分有组织废气防治措施</w:t>
            </w:r>
          </w:p>
          <w:p>
            <w:pPr>
              <w:pStyle w:val="60"/>
              <w:ind w:firstLine="420"/>
              <w:rPr>
                <w:color w:val="auto"/>
                <w:sz w:val="24"/>
                <w:szCs w:val="24"/>
              </w:rPr>
            </w:pPr>
            <w:r>
              <w:rPr>
                <w:color w:val="auto"/>
                <w:sz w:val="24"/>
                <w:szCs w:val="24"/>
              </w:rPr>
              <w:t>项目破碎工序给料机、筛分及破碎设备上方安装集气罩对产生粉尘进行收集，收集的粉尘通过管道引至布袋除尘器处理达标后通过15m高排气筒（DA001）</w:t>
            </w:r>
            <w:r>
              <w:rPr>
                <w:rFonts w:hint="eastAsia"/>
                <w:color w:val="auto"/>
                <w:sz w:val="24"/>
                <w:szCs w:val="24"/>
                <w:lang w:val="en-US" w:eastAsia="zh-CN"/>
              </w:rPr>
              <w:t>排放</w:t>
            </w:r>
            <w:r>
              <w:rPr>
                <w:color w:val="auto"/>
                <w:sz w:val="24"/>
                <w:szCs w:val="24"/>
              </w:rPr>
              <w:t>；集气罩集尘效率90%，布袋除尘器除尘效率9</w:t>
            </w:r>
            <w:r>
              <w:rPr>
                <w:rFonts w:hint="eastAsia"/>
                <w:color w:val="auto"/>
                <w:sz w:val="24"/>
                <w:szCs w:val="24"/>
                <w:lang w:val="en-US" w:eastAsia="zh-CN"/>
              </w:rPr>
              <w:t>8</w:t>
            </w:r>
            <w:r>
              <w:rPr>
                <w:color w:val="auto"/>
                <w:sz w:val="24"/>
                <w:szCs w:val="24"/>
              </w:rPr>
              <w:t>%，经处理后排放浓度满足《砖瓦工业大气污染物排放标准》（GB29620-2013）表2</w:t>
            </w:r>
            <w:r>
              <w:rPr>
                <w:rFonts w:hint="eastAsia"/>
                <w:color w:val="auto"/>
                <w:sz w:val="24"/>
                <w:szCs w:val="24"/>
                <w:lang w:val="en-US" w:eastAsia="zh-CN"/>
              </w:rPr>
              <w:t>排放</w:t>
            </w:r>
            <w:r>
              <w:rPr>
                <w:color w:val="auto"/>
                <w:sz w:val="24"/>
                <w:szCs w:val="24"/>
              </w:rPr>
              <w:t>限值。</w:t>
            </w:r>
          </w:p>
          <w:p>
            <w:pPr>
              <w:pStyle w:val="60"/>
              <w:ind w:firstLine="42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color w:val="auto"/>
                <w:sz w:val="24"/>
                <w:szCs w:val="24"/>
              </w:rPr>
              <w:t>隧道窑有组织废气防治措施</w:t>
            </w:r>
          </w:p>
          <w:p>
            <w:pPr>
              <w:pStyle w:val="60"/>
              <w:ind w:firstLine="480"/>
              <w:rPr>
                <w:rFonts w:hint="default" w:eastAsia="宋体"/>
                <w:color w:val="auto"/>
                <w:sz w:val="24"/>
                <w:lang w:val="en-US" w:eastAsia="zh-CN"/>
              </w:rPr>
            </w:pPr>
            <w:r>
              <w:rPr>
                <w:rFonts w:hint="eastAsia"/>
                <w:color w:val="auto"/>
                <w:sz w:val="24"/>
                <w:lang w:val="en-US" w:eastAsia="zh-CN"/>
              </w:rPr>
              <w:t>①</w:t>
            </w:r>
            <w:r>
              <w:rPr>
                <w:color w:val="auto"/>
                <w:sz w:val="24"/>
              </w:rPr>
              <w:t>项目隧道窑干燥、焙烧废气经</w:t>
            </w:r>
            <w:r>
              <w:rPr>
                <w:rFonts w:hint="eastAsia"/>
                <w:color w:val="auto"/>
                <w:sz w:val="24"/>
              </w:rPr>
              <w:t>引风机送至</w:t>
            </w:r>
            <w:r>
              <w:rPr>
                <w:rFonts w:hint="eastAsia"/>
                <w:color w:val="auto"/>
                <w:sz w:val="24"/>
                <w:lang w:val="en-US" w:eastAsia="zh-CN"/>
              </w:rPr>
              <w:t>SNCR</w:t>
            </w:r>
            <w:r>
              <w:rPr>
                <w:color w:val="auto"/>
                <w:sz w:val="24"/>
              </w:rPr>
              <w:t>脱硝</w:t>
            </w:r>
            <w:r>
              <w:rPr>
                <w:rFonts w:hint="eastAsia"/>
                <w:color w:val="auto"/>
                <w:sz w:val="24"/>
                <w:lang w:val="en-US" w:eastAsia="zh-CN"/>
              </w:rPr>
              <w:t>+袋式除尘</w:t>
            </w:r>
            <w:r>
              <w:rPr>
                <w:color w:val="auto"/>
                <w:sz w:val="24"/>
              </w:rPr>
              <w:t>+</w:t>
            </w:r>
            <w:r>
              <w:rPr>
                <w:rFonts w:hint="eastAsia"/>
                <w:color w:val="auto"/>
                <w:sz w:val="24"/>
              </w:rPr>
              <w:t>湿法</w:t>
            </w:r>
            <w:r>
              <w:rPr>
                <w:rFonts w:hint="eastAsia"/>
                <w:color w:val="auto"/>
                <w:sz w:val="24"/>
                <w:lang w:eastAsia="zh-CN"/>
              </w:rPr>
              <w:t>（</w:t>
            </w:r>
            <w:r>
              <w:rPr>
                <w:rFonts w:hint="eastAsia"/>
                <w:color w:val="auto"/>
                <w:sz w:val="24"/>
                <w:lang w:val="en-US" w:eastAsia="zh-CN"/>
              </w:rPr>
              <w:t>喷淋</w:t>
            </w:r>
            <w:r>
              <w:rPr>
                <w:rFonts w:hint="eastAsia"/>
                <w:color w:val="auto"/>
                <w:sz w:val="24"/>
                <w:lang w:eastAsia="zh-CN"/>
              </w:rPr>
              <w:t>）</w:t>
            </w:r>
            <w:r>
              <w:rPr>
                <w:rFonts w:hint="eastAsia"/>
                <w:color w:val="auto"/>
                <w:sz w:val="24"/>
                <w:lang w:val="en-US" w:eastAsia="zh-CN"/>
              </w:rPr>
              <w:t>脱硫并协同脱氟</w:t>
            </w:r>
            <w:r>
              <w:rPr>
                <w:color w:val="auto"/>
                <w:sz w:val="24"/>
              </w:rPr>
              <w:t>处理系统处理后经</w:t>
            </w:r>
            <w:r>
              <w:rPr>
                <w:rFonts w:hint="eastAsia"/>
                <w:color w:val="auto"/>
                <w:sz w:val="24"/>
                <w:lang w:val="en-US" w:eastAsia="zh-CN"/>
              </w:rPr>
              <w:t>33</w:t>
            </w:r>
            <w:r>
              <w:rPr>
                <w:color w:val="auto"/>
                <w:sz w:val="24"/>
              </w:rPr>
              <w:t>m高排气筒</w:t>
            </w:r>
            <w:r>
              <w:rPr>
                <w:rFonts w:hint="eastAsia"/>
                <w:color w:val="auto"/>
                <w:sz w:val="24"/>
              </w:rPr>
              <w:t>（DA</w:t>
            </w:r>
            <w:r>
              <w:rPr>
                <w:color w:val="auto"/>
                <w:sz w:val="24"/>
              </w:rPr>
              <w:t>002</w:t>
            </w:r>
            <w:r>
              <w:rPr>
                <w:rFonts w:hint="eastAsia"/>
                <w:color w:val="auto"/>
                <w:sz w:val="24"/>
              </w:rPr>
              <w:t>）</w:t>
            </w:r>
            <w:r>
              <w:rPr>
                <w:color w:val="auto"/>
                <w:sz w:val="24"/>
              </w:rPr>
              <w:t>排放</w:t>
            </w:r>
            <w:r>
              <w:rPr>
                <w:rFonts w:hint="eastAsia"/>
                <w:color w:val="auto"/>
                <w:sz w:val="24"/>
                <w:lang w:eastAsia="zh-CN"/>
              </w:rPr>
              <w:t>，</w:t>
            </w:r>
            <w:r>
              <w:rPr>
                <w:rFonts w:hint="eastAsia"/>
                <w:color w:val="auto"/>
                <w:sz w:val="24"/>
                <w:lang w:val="en-US" w:eastAsia="zh-CN"/>
              </w:rPr>
              <w:t>其排放浓度满足</w:t>
            </w:r>
            <w:r>
              <w:rPr>
                <w:color w:val="auto"/>
                <w:sz w:val="24"/>
              </w:rPr>
              <w:t>《砖瓦工业大气污染物排放标准》（GB29620-2013）表2</w:t>
            </w:r>
            <w:r>
              <w:rPr>
                <w:rFonts w:hint="eastAsia"/>
                <w:color w:val="auto"/>
                <w:sz w:val="24"/>
                <w:lang w:val="en-US" w:eastAsia="zh-CN"/>
              </w:rPr>
              <w:t>及修改单中的排放限值。</w:t>
            </w:r>
          </w:p>
          <w:p>
            <w:pPr>
              <w:pStyle w:val="60"/>
              <w:ind w:firstLine="480"/>
              <w:rPr>
                <w:color w:val="FF0000"/>
                <w:sz w:val="24"/>
              </w:rPr>
            </w:pPr>
            <w:r>
              <w:rPr>
                <w:rFonts w:hint="eastAsia"/>
                <w:color w:val="FF0000"/>
                <w:sz w:val="24"/>
                <w:lang w:val="en-US" w:eastAsia="zh-CN"/>
              </w:rPr>
              <w:t>②根据《</w:t>
            </w:r>
            <w:r>
              <w:rPr>
                <w:rFonts w:hint="eastAsia"/>
                <w:color w:val="FF0000"/>
                <w:sz w:val="24"/>
              </w:rPr>
              <w:t>工业炉窑大气污染综合治理方案</w:t>
            </w:r>
            <w:r>
              <w:rPr>
                <w:rFonts w:hint="eastAsia"/>
                <w:color w:val="FF0000"/>
                <w:sz w:val="24"/>
                <w:lang w:val="en-US" w:eastAsia="zh-CN"/>
              </w:rPr>
              <w:t>》</w:t>
            </w:r>
            <w:r>
              <w:rPr>
                <w:rFonts w:hint="eastAsia"/>
                <w:color w:val="FF0000"/>
                <w:sz w:val="24"/>
              </w:rPr>
              <w:t>（环大气[2019]56号）</w:t>
            </w:r>
            <w:r>
              <w:rPr>
                <w:rFonts w:hint="eastAsia"/>
                <w:color w:val="FF0000"/>
                <w:sz w:val="24"/>
                <w:lang w:val="en-US" w:eastAsia="zh-CN"/>
              </w:rPr>
              <w:t>的要求，项目建成后将安装在线自动监测设备对隧道窑烟气中污染物进行实时监测</w:t>
            </w:r>
            <w:r>
              <w:rPr>
                <w:color w:val="FF0000"/>
                <w:sz w:val="24"/>
              </w:rPr>
              <w:t>。</w:t>
            </w:r>
          </w:p>
          <w:p>
            <w:pPr>
              <w:pStyle w:val="60"/>
              <w:ind w:firstLine="480"/>
              <w:rPr>
                <w:color w:val="auto"/>
                <w:sz w:val="24"/>
              </w:rPr>
            </w:pPr>
            <w:r>
              <w:rPr>
                <w:rFonts w:hint="eastAsia"/>
                <w:color w:val="auto"/>
                <w:sz w:val="24"/>
              </w:rPr>
              <w:t>根据分析，</w:t>
            </w:r>
            <w:r>
              <w:rPr>
                <w:color w:val="auto"/>
                <w:sz w:val="24"/>
              </w:rPr>
              <w:t>本次采用的SNCR脱硝</w:t>
            </w:r>
            <w:r>
              <w:rPr>
                <w:rFonts w:hint="eastAsia"/>
                <w:color w:val="auto"/>
                <w:sz w:val="24"/>
                <w:lang w:eastAsia="zh-CN"/>
              </w:rPr>
              <w:t>、</w:t>
            </w:r>
            <w:r>
              <w:rPr>
                <w:rFonts w:hint="eastAsia"/>
                <w:color w:val="auto"/>
                <w:sz w:val="24"/>
                <w:lang w:val="en-US" w:eastAsia="zh-CN"/>
              </w:rPr>
              <w:t>袋式除尘、湿法脱硫</w:t>
            </w:r>
            <w:r>
              <w:rPr>
                <w:color w:val="auto"/>
                <w:sz w:val="24"/>
              </w:rPr>
              <w:t>技术为成熟的烟气</w:t>
            </w:r>
            <w:r>
              <w:rPr>
                <w:rFonts w:hint="eastAsia"/>
                <w:color w:val="auto"/>
                <w:sz w:val="24"/>
                <w:lang w:val="en-US" w:eastAsia="zh-CN"/>
              </w:rPr>
              <w:t>处理</w:t>
            </w:r>
            <w:r>
              <w:rPr>
                <w:color w:val="auto"/>
                <w:sz w:val="24"/>
              </w:rPr>
              <w:t>技术，技术可行。项目废气治理设施可行性分析见下表。</w:t>
            </w:r>
          </w:p>
          <w:p>
            <w:pPr>
              <w:pStyle w:val="14"/>
              <w:keepNext/>
              <w:spacing w:line="240" w:lineRule="auto"/>
              <w:rPr>
                <w:rFonts w:eastAsia="宋体" w:cs="Times New Roman"/>
                <w:color w:val="auto"/>
              </w:rPr>
            </w:pPr>
            <w:r>
              <w:rPr>
                <w:rFonts w:eastAsia="宋体" w:cs="Times New Roman"/>
                <w:color w:val="auto"/>
              </w:rPr>
              <w:t>表</w:t>
            </w:r>
            <w:r>
              <w:rPr>
                <w:rFonts w:cs="Times New Roman"/>
                <w:color w:val="auto"/>
              </w:rPr>
              <w:t xml:space="preserve"> </w:t>
            </w:r>
            <w:r>
              <w:rPr>
                <w:rFonts w:hint="eastAsia" w:eastAsia="宋体" w:cs="Times New Roman"/>
                <w:color w:val="auto"/>
              </w:rPr>
              <w:t xml:space="preserve">4-5  </w:t>
            </w:r>
            <w:r>
              <w:rPr>
                <w:rFonts w:eastAsia="宋体" w:cs="Times New Roman"/>
                <w:color w:val="auto"/>
              </w:rPr>
              <w:t>有组织废气治理措施可行性分析</w:t>
            </w:r>
            <w:r>
              <w:rPr>
                <w:rFonts w:hint="eastAsia" w:eastAsia="宋体" w:cs="Times New Roman"/>
                <w:color w:val="auto"/>
              </w:rPr>
              <w:t>表</w:t>
            </w:r>
          </w:p>
          <w:tbl>
            <w:tblPr>
              <w:tblStyle w:val="3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065"/>
              <w:gridCol w:w="1066"/>
              <w:gridCol w:w="1597"/>
              <w:gridCol w:w="1788"/>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Align w:val="center"/>
                </w:tcPr>
                <w:p>
                  <w:pPr>
                    <w:pStyle w:val="57"/>
                    <w:rPr>
                      <w:color w:val="auto"/>
                    </w:rPr>
                  </w:pPr>
                  <w:r>
                    <w:rPr>
                      <w:color w:val="auto"/>
                    </w:rPr>
                    <w:t>规范</w:t>
                  </w:r>
                </w:p>
              </w:tc>
              <w:tc>
                <w:tcPr>
                  <w:tcW w:w="1151" w:type="dxa"/>
                  <w:vAlign w:val="center"/>
                </w:tcPr>
                <w:p>
                  <w:pPr>
                    <w:pStyle w:val="57"/>
                    <w:rPr>
                      <w:color w:val="auto"/>
                    </w:rPr>
                  </w:pPr>
                  <w:r>
                    <w:rPr>
                      <w:color w:val="auto"/>
                    </w:rPr>
                    <w:t>排放口</w:t>
                  </w:r>
                </w:p>
              </w:tc>
              <w:tc>
                <w:tcPr>
                  <w:tcW w:w="1151" w:type="dxa"/>
                  <w:vAlign w:val="center"/>
                </w:tcPr>
                <w:p>
                  <w:pPr>
                    <w:pStyle w:val="57"/>
                    <w:rPr>
                      <w:color w:val="auto"/>
                    </w:rPr>
                  </w:pPr>
                  <w:r>
                    <w:rPr>
                      <w:color w:val="auto"/>
                    </w:rPr>
                    <w:t>污染物</w:t>
                  </w:r>
                </w:p>
              </w:tc>
              <w:tc>
                <w:tcPr>
                  <w:tcW w:w="1725" w:type="dxa"/>
                  <w:vAlign w:val="center"/>
                </w:tcPr>
                <w:p>
                  <w:pPr>
                    <w:pStyle w:val="57"/>
                    <w:rPr>
                      <w:color w:val="auto"/>
                    </w:rPr>
                  </w:pPr>
                  <w:r>
                    <w:rPr>
                      <w:color w:val="auto"/>
                    </w:rPr>
                    <w:t>可行技术</w:t>
                  </w:r>
                </w:p>
              </w:tc>
              <w:tc>
                <w:tcPr>
                  <w:tcW w:w="1924" w:type="dxa"/>
                  <w:vAlign w:val="center"/>
                </w:tcPr>
                <w:p>
                  <w:pPr>
                    <w:pStyle w:val="57"/>
                    <w:rPr>
                      <w:color w:val="auto"/>
                    </w:rPr>
                  </w:pPr>
                  <w:r>
                    <w:rPr>
                      <w:color w:val="auto"/>
                    </w:rPr>
                    <w:t>本项目废气治理</w:t>
                  </w:r>
                </w:p>
                <w:p>
                  <w:pPr>
                    <w:pStyle w:val="57"/>
                    <w:rPr>
                      <w:color w:val="auto"/>
                    </w:rPr>
                  </w:pPr>
                  <w:r>
                    <w:rPr>
                      <w:color w:val="auto"/>
                    </w:rPr>
                    <w:t>技术</w:t>
                  </w:r>
                </w:p>
              </w:tc>
              <w:tc>
                <w:tcPr>
                  <w:tcW w:w="917" w:type="dxa"/>
                  <w:vAlign w:val="center"/>
                </w:tcPr>
                <w:p>
                  <w:pPr>
                    <w:pStyle w:val="57"/>
                    <w:rPr>
                      <w:color w:val="auto"/>
                    </w:rPr>
                  </w:pPr>
                  <w:r>
                    <w:rPr>
                      <w:color w:val="auto"/>
                    </w:rPr>
                    <w:t>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restart"/>
                  <w:vAlign w:val="center"/>
                </w:tcPr>
                <w:p>
                  <w:pPr>
                    <w:pStyle w:val="57"/>
                    <w:rPr>
                      <w:color w:val="auto"/>
                    </w:rPr>
                  </w:pPr>
                  <w:r>
                    <w:rPr>
                      <w:color w:val="auto"/>
                    </w:rPr>
                    <w:t>《排污许可证申请与核发技术规范陶瓷砖瓦工业》（HJ954-2018）表29砖瓦工业废气排污单位废气污染防治可行技术</w:t>
                  </w:r>
                </w:p>
              </w:tc>
              <w:tc>
                <w:tcPr>
                  <w:tcW w:w="1151" w:type="dxa"/>
                  <w:vMerge w:val="restart"/>
                  <w:vAlign w:val="center"/>
                </w:tcPr>
                <w:p>
                  <w:pPr>
                    <w:pStyle w:val="57"/>
                    <w:rPr>
                      <w:color w:val="auto"/>
                    </w:rPr>
                  </w:pPr>
                  <w:r>
                    <w:rPr>
                      <w:rFonts w:hint="eastAsia"/>
                      <w:color w:val="auto"/>
                    </w:rPr>
                    <w:t>隧道窑烟气排气筒</w:t>
                  </w:r>
                </w:p>
              </w:tc>
              <w:tc>
                <w:tcPr>
                  <w:tcW w:w="1151" w:type="dxa"/>
                  <w:vAlign w:val="center"/>
                </w:tcPr>
                <w:p>
                  <w:pPr>
                    <w:pStyle w:val="57"/>
                    <w:rPr>
                      <w:color w:val="auto"/>
                    </w:rPr>
                  </w:pPr>
                  <w:r>
                    <w:rPr>
                      <w:color w:val="auto"/>
                    </w:rPr>
                    <w:t>颗粒物</w:t>
                  </w:r>
                </w:p>
              </w:tc>
              <w:tc>
                <w:tcPr>
                  <w:tcW w:w="1725" w:type="dxa"/>
                  <w:vAlign w:val="center"/>
                </w:tcPr>
                <w:p>
                  <w:pPr>
                    <w:pStyle w:val="57"/>
                    <w:jc w:val="both"/>
                    <w:rPr>
                      <w:color w:val="auto"/>
                    </w:rPr>
                  </w:pPr>
                  <w:r>
                    <w:rPr>
                      <w:color w:val="auto"/>
                    </w:rPr>
                    <w:t>袋式除尘、电除尘、电袋复合除尘、湿式电除尘等技术，可根据需要采取多级除尘</w:t>
                  </w:r>
                </w:p>
              </w:tc>
              <w:tc>
                <w:tcPr>
                  <w:tcW w:w="1924" w:type="dxa"/>
                  <w:vAlign w:val="center"/>
                </w:tcPr>
                <w:p>
                  <w:pPr>
                    <w:pStyle w:val="57"/>
                    <w:rPr>
                      <w:color w:val="auto"/>
                    </w:rPr>
                  </w:pPr>
                  <w:r>
                    <w:rPr>
                      <w:color w:val="auto"/>
                    </w:rPr>
                    <w:t>隧道窑废气烟尘</w:t>
                  </w:r>
                  <w:r>
                    <w:rPr>
                      <w:rFonts w:hint="eastAsia"/>
                      <w:color w:val="auto"/>
                      <w:lang w:val="en-US" w:eastAsia="zh-CN"/>
                    </w:rPr>
                    <w:t>采用袋式</w:t>
                  </w:r>
                  <w:r>
                    <w:rPr>
                      <w:color w:val="auto"/>
                    </w:rPr>
                    <w:t>除尘</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color w:val="auto"/>
                    </w:rPr>
                    <w:t>二氧化硫</w:t>
                  </w:r>
                </w:p>
              </w:tc>
              <w:tc>
                <w:tcPr>
                  <w:tcW w:w="1725" w:type="dxa"/>
                  <w:vAlign w:val="center"/>
                </w:tcPr>
                <w:p>
                  <w:pPr>
                    <w:pStyle w:val="57"/>
                    <w:rPr>
                      <w:color w:val="auto"/>
                    </w:rPr>
                  </w:pPr>
                  <w:r>
                    <w:rPr>
                      <w:color w:val="auto"/>
                    </w:rPr>
                    <w:t>湿法脱硫技术、干法/半干法脱硫技术等</w:t>
                  </w:r>
                </w:p>
              </w:tc>
              <w:tc>
                <w:tcPr>
                  <w:tcW w:w="1924" w:type="dxa"/>
                  <w:vAlign w:val="center"/>
                </w:tcPr>
                <w:p>
                  <w:pPr>
                    <w:pStyle w:val="57"/>
                    <w:rPr>
                      <w:color w:val="auto"/>
                    </w:rPr>
                  </w:pPr>
                  <w:r>
                    <w:rPr>
                      <w:color w:val="auto"/>
                    </w:rPr>
                    <w:t>隧道窑废气二氧化硫废气采用湿</w:t>
                  </w:r>
                  <w:r>
                    <w:rPr>
                      <w:rFonts w:hint="eastAsia"/>
                      <w:color w:val="auto"/>
                      <w:lang w:val="en-US" w:eastAsia="zh-CN"/>
                    </w:rPr>
                    <w:t>法</w:t>
                  </w:r>
                  <w:r>
                    <w:rPr>
                      <w:rFonts w:hint="eastAsia"/>
                      <w:color w:val="auto"/>
                      <w:lang w:eastAsia="zh-CN"/>
                    </w:rPr>
                    <w:t>（</w:t>
                  </w:r>
                  <w:r>
                    <w:rPr>
                      <w:rFonts w:hint="eastAsia"/>
                      <w:color w:val="auto"/>
                      <w:lang w:val="en-US" w:eastAsia="zh-CN"/>
                    </w:rPr>
                    <w:t>喷淋</w:t>
                  </w:r>
                  <w:r>
                    <w:rPr>
                      <w:rFonts w:hint="eastAsia"/>
                      <w:color w:val="auto"/>
                      <w:lang w:eastAsia="zh-CN"/>
                    </w:rPr>
                    <w:t>）</w:t>
                  </w:r>
                  <w:r>
                    <w:rPr>
                      <w:color w:val="auto"/>
                    </w:rPr>
                    <w:t>脱硫</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color w:val="auto"/>
                    </w:rPr>
                    <w:t>氮氧化物</w:t>
                  </w:r>
                </w:p>
              </w:tc>
              <w:tc>
                <w:tcPr>
                  <w:tcW w:w="1725" w:type="dxa"/>
                  <w:vAlign w:val="center"/>
                </w:tcPr>
                <w:p>
                  <w:pPr>
                    <w:pStyle w:val="57"/>
                    <w:rPr>
                      <w:color w:val="auto"/>
                    </w:rPr>
                  </w:pPr>
                  <w:r>
                    <w:rPr>
                      <w:color w:val="auto"/>
                    </w:rPr>
                    <w:t>低氮燃烧技术，其它组合降氮技术</w:t>
                  </w:r>
                </w:p>
              </w:tc>
              <w:tc>
                <w:tcPr>
                  <w:tcW w:w="1924" w:type="dxa"/>
                  <w:vAlign w:val="center"/>
                </w:tcPr>
                <w:p>
                  <w:pPr>
                    <w:pStyle w:val="57"/>
                    <w:rPr>
                      <w:color w:val="auto"/>
                    </w:rPr>
                  </w:pPr>
                  <w:r>
                    <w:rPr>
                      <w:color w:val="auto"/>
                    </w:rPr>
                    <w:t>隧道窑废气氮氧化物废气采用SNCR脱硝</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rFonts w:hint="eastAsia"/>
                      <w:color w:val="auto"/>
                    </w:rPr>
                    <w:t>氟化物</w:t>
                  </w:r>
                </w:p>
              </w:tc>
              <w:tc>
                <w:tcPr>
                  <w:tcW w:w="1725" w:type="dxa"/>
                  <w:vAlign w:val="center"/>
                </w:tcPr>
                <w:p>
                  <w:pPr>
                    <w:pStyle w:val="57"/>
                    <w:rPr>
                      <w:color w:val="auto"/>
                    </w:rPr>
                  </w:pPr>
                  <w:r>
                    <w:rPr>
                      <w:rFonts w:hint="eastAsia"/>
                      <w:color w:val="auto"/>
                    </w:rPr>
                    <w:t>/</w:t>
                  </w:r>
                </w:p>
              </w:tc>
              <w:tc>
                <w:tcPr>
                  <w:tcW w:w="1924" w:type="dxa"/>
                  <w:vAlign w:val="center"/>
                </w:tcPr>
                <w:p>
                  <w:pPr>
                    <w:pStyle w:val="57"/>
                    <w:rPr>
                      <w:color w:val="auto"/>
                    </w:rPr>
                  </w:pPr>
                  <w:r>
                    <w:rPr>
                      <w:rFonts w:hint="eastAsia"/>
                      <w:color w:val="auto"/>
                    </w:rPr>
                    <w:t>隧道窑废气氟化物采用湿法脱氟</w:t>
                  </w:r>
                </w:p>
              </w:tc>
              <w:tc>
                <w:tcPr>
                  <w:tcW w:w="917" w:type="dxa"/>
                  <w:vAlign w:val="center"/>
                </w:tcPr>
                <w:p>
                  <w:pPr>
                    <w:pStyle w:val="57"/>
                    <w:rPr>
                      <w:color w:val="auto"/>
                    </w:rPr>
                  </w:pPr>
                  <w:r>
                    <w:rPr>
                      <w:rFonts w:hint="eastAsia"/>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Align w:val="center"/>
                </w:tcPr>
                <w:p>
                  <w:pPr>
                    <w:pStyle w:val="57"/>
                    <w:jc w:val="center"/>
                    <w:rPr>
                      <w:color w:val="auto"/>
                    </w:rPr>
                  </w:pPr>
                  <w:r>
                    <w:rPr>
                      <w:color w:val="auto"/>
                    </w:rPr>
                    <w:t>生产过程中原料制备</w:t>
                  </w:r>
                </w:p>
              </w:tc>
              <w:tc>
                <w:tcPr>
                  <w:tcW w:w="1151" w:type="dxa"/>
                  <w:vAlign w:val="center"/>
                </w:tcPr>
                <w:p>
                  <w:pPr>
                    <w:pStyle w:val="57"/>
                    <w:rPr>
                      <w:color w:val="auto"/>
                    </w:rPr>
                  </w:pPr>
                  <w:r>
                    <w:rPr>
                      <w:color w:val="auto"/>
                    </w:rPr>
                    <w:t>颗粒物</w:t>
                  </w:r>
                </w:p>
              </w:tc>
              <w:tc>
                <w:tcPr>
                  <w:tcW w:w="1725" w:type="dxa"/>
                  <w:vAlign w:val="center"/>
                </w:tcPr>
                <w:p>
                  <w:pPr>
                    <w:pStyle w:val="57"/>
                    <w:rPr>
                      <w:color w:val="auto"/>
                    </w:rPr>
                  </w:pPr>
                  <w:r>
                    <w:rPr>
                      <w:color w:val="auto"/>
                    </w:rPr>
                    <w:t>袋式除尘</w:t>
                  </w:r>
                </w:p>
              </w:tc>
              <w:tc>
                <w:tcPr>
                  <w:tcW w:w="1924" w:type="dxa"/>
                  <w:vAlign w:val="center"/>
                </w:tcPr>
                <w:p>
                  <w:pPr>
                    <w:pStyle w:val="57"/>
                    <w:rPr>
                      <w:color w:val="auto"/>
                    </w:rPr>
                  </w:pPr>
                  <w:r>
                    <w:rPr>
                      <w:color w:val="auto"/>
                    </w:rPr>
                    <w:t>破碎、筛分工序粉尘采用</w:t>
                  </w:r>
                  <w:r>
                    <w:rPr>
                      <w:rFonts w:hint="eastAsia"/>
                      <w:color w:val="auto"/>
                      <w:lang w:val="en-US" w:eastAsia="zh-CN"/>
                    </w:rPr>
                    <w:t>袋式</w:t>
                  </w:r>
                  <w:r>
                    <w:rPr>
                      <w:color w:val="auto"/>
                    </w:rPr>
                    <w:t>除尘</w:t>
                  </w:r>
                </w:p>
              </w:tc>
              <w:tc>
                <w:tcPr>
                  <w:tcW w:w="917" w:type="dxa"/>
                  <w:vAlign w:val="center"/>
                </w:tcPr>
                <w:p>
                  <w:pPr>
                    <w:pStyle w:val="57"/>
                    <w:rPr>
                      <w:color w:val="auto"/>
                    </w:rPr>
                  </w:pPr>
                  <w:r>
                    <w:rPr>
                      <w:color w:val="auto"/>
                    </w:rPr>
                    <w:t>可行</w:t>
                  </w:r>
                </w:p>
              </w:tc>
            </w:tr>
          </w:tbl>
          <w:p>
            <w:pPr>
              <w:pStyle w:val="60"/>
              <w:ind w:left="0" w:leftChars="0" w:firstLine="0" w:firstLineChars="0"/>
              <w:rPr>
                <w:b/>
                <w:bCs/>
                <w:color w:val="auto"/>
                <w:sz w:val="24"/>
                <w:szCs w:val="24"/>
              </w:rPr>
            </w:pPr>
            <w:r>
              <w:rPr>
                <w:rFonts w:hint="eastAsia"/>
                <w:b/>
                <w:bCs/>
                <w:color w:val="auto"/>
                <w:sz w:val="24"/>
                <w:szCs w:val="24"/>
                <w:lang w:val="en-US" w:eastAsia="zh-CN"/>
              </w:rPr>
              <w:t>2.2</w:t>
            </w:r>
            <w:r>
              <w:rPr>
                <w:b/>
                <w:bCs/>
                <w:color w:val="auto"/>
                <w:sz w:val="24"/>
                <w:szCs w:val="24"/>
              </w:rPr>
              <w:t>无组织废气防治措施</w:t>
            </w:r>
          </w:p>
          <w:p>
            <w:pPr>
              <w:pStyle w:val="60"/>
              <w:ind w:firstLine="420"/>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olor w:val="auto"/>
                <w:sz w:val="24"/>
                <w:szCs w:val="24"/>
              </w:rPr>
              <w:t>①</w:t>
            </w:r>
            <w:r>
              <w:rPr>
                <w:color w:val="auto"/>
                <w:sz w:val="24"/>
                <w:szCs w:val="24"/>
              </w:rPr>
              <w:fldChar w:fldCharType="end"/>
            </w:r>
            <w:r>
              <w:rPr>
                <w:color w:val="auto"/>
                <w:sz w:val="24"/>
                <w:szCs w:val="24"/>
              </w:rPr>
              <w:t>粘土矿区扬尘防治措施</w:t>
            </w:r>
          </w:p>
          <w:p>
            <w:pPr>
              <w:pStyle w:val="60"/>
              <w:ind w:firstLine="420"/>
              <w:rPr>
                <w:color w:val="auto"/>
                <w:sz w:val="24"/>
                <w:szCs w:val="24"/>
              </w:rPr>
            </w:pPr>
            <w:r>
              <w:rPr>
                <w:color w:val="auto"/>
                <w:sz w:val="24"/>
                <w:szCs w:val="24"/>
              </w:rPr>
              <w:t>项目粘土矿区采取</w:t>
            </w:r>
            <w:r>
              <w:rPr>
                <w:rFonts w:hint="eastAsia"/>
                <w:color w:val="auto"/>
                <w:sz w:val="24"/>
                <w:szCs w:val="24"/>
                <w:lang w:val="en-US" w:eastAsia="zh-CN"/>
              </w:rPr>
              <w:t>取土前洒水（降低74%以上扬尘）及取土过程喷雾降尘（74%以上扬尘）</w:t>
            </w:r>
            <w:r>
              <w:rPr>
                <w:color w:val="auto"/>
                <w:sz w:val="24"/>
                <w:szCs w:val="24"/>
              </w:rPr>
              <w:t>方式降低扬尘排放，粘土矿区扬尘排放量为</w:t>
            </w:r>
            <w:r>
              <w:rPr>
                <w:rFonts w:hint="eastAsia"/>
                <w:color w:val="auto"/>
                <w:sz w:val="24"/>
                <w:szCs w:val="24"/>
                <w:lang w:val="en-US" w:eastAsia="zh-CN"/>
              </w:rPr>
              <w:t>0.8</w:t>
            </w:r>
            <w:r>
              <w:rPr>
                <w:color w:val="auto"/>
                <w:sz w:val="24"/>
                <w:szCs w:val="24"/>
              </w:rPr>
              <w:t>t/a</w:t>
            </w:r>
            <w:r>
              <w:rPr>
                <w:rFonts w:hint="eastAsia"/>
                <w:color w:val="auto"/>
                <w:sz w:val="24"/>
                <w:szCs w:val="24"/>
                <w:lang w:eastAsia="zh-CN"/>
              </w:rPr>
              <w:t>（</w:t>
            </w:r>
            <w:r>
              <w:rPr>
                <w:rFonts w:hint="eastAsia"/>
                <w:color w:val="auto"/>
                <w:sz w:val="24"/>
                <w:szCs w:val="24"/>
                <w:lang w:val="en-US" w:eastAsia="zh-CN"/>
              </w:rPr>
              <w:t>0.89kg/h</w:t>
            </w:r>
            <w:r>
              <w:rPr>
                <w:rFonts w:hint="eastAsia"/>
                <w:color w:val="auto"/>
                <w:sz w:val="24"/>
                <w:szCs w:val="24"/>
                <w:lang w:eastAsia="zh-CN"/>
              </w:rPr>
              <w:t>）</w:t>
            </w:r>
            <w:r>
              <w:rPr>
                <w:color w:val="auto"/>
                <w:sz w:val="24"/>
                <w:szCs w:val="24"/>
              </w:rPr>
              <w:t>。</w:t>
            </w:r>
          </w:p>
          <w:p>
            <w:pPr>
              <w:pStyle w:val="60"/>
              <w:ind w:firstLine="480"/>
              <w:rPr>
                <w:rFonts w:hint="default" w:eastAsia="宋体"/>
                <w:sz w:val="24"/>
                <w:lang w:val="en-US" w:eastAsia="zh-CN"/>
              </w:rPr>
            </w:pPr>
            <w:r>
              <w:rPr>
                <w:rFonts w:hint="eastAsia"/>
                <w:sz w:val="24"/>
                <w:lang w:val="en-US" w:eastAsia="zh-CN"/>
              </w:rPr>
              <w:t>②粘土装卸及堆放粉尘防治措施</w:t>
            </w:r>
          </w:p>
          <w:p>
            <w:pPr>
              <w:pStyle w:val="60"/>
              <w:ind w:firstLine="480"/>
              <w:rPr>
                <w:rFonts w:hint="eastAsia" w:eastAsia="宋体"/>
                <w:color w:val="auto"/>
                <w:sz w:val="24"/>
                <w:lang w:eastAsia="zh-CN"/>
              </w:rPr>
            </w:pPr>
            <w:r>
              <w:rPr>
                <w:color w:val="auto"/>
                <w:sz w:val="24"/>
              </w:rPr>
              <w:t>项目</w:t>
            </w:r>
            <w:r>
              <w:rPr>
                <w:rFonts w:hint="eastAsia"/>
                <w:color w:val="auto"/>
                <w:sz w:val="24"/>
                <w:lang w:val="en-US" w:eastAsia="zh-CN"/>
              </w:rPr>
              <w:t>粘土开采区采用开采前洒水、开采过程中雾炮喷雾及堆放在全封闭式车间内等</w:t>
            </w:r>
            <w:r>
              <w:rPr>
                <w:color w:val="auto"/>
                <w:sz w:val="24"/>
              </w:rPr>
              <w:t>措施</w:t>
            </w:r>
            <w:r>
              <w:rPr>
                <w:rFonts w:hint="eastAsia"/>
                <w:color w:val="auto"/>
                <w:sz w:val="24"/>
                <w:lang w:val="en-US" w:eastAsia="zh-CN"/>
              </w:rPr>
              <w:t>降低粉尘产生</w:t>
            </w:r>
            <w:r>
              <w:rPr>
                <w:color w:val="auto"/>
                <w:sz w:val="24"/>
              </w:rPr>
              <w:t>，根据《工业源固体物料堆场颗粒物核算系数手册》附录4和附录5，</w:t>
            </w:r>
            <w:r>
              <w:rPr>
                <w:rFonts w:hint="eastAsia"/>
                <w:color w:val="auto"/>
                <w:sz w:val="24"/>
              </w:rPr>
              <w:t>洒水</w:t>
            </w:r>
            <w:r>
              <w:rPr>
                <w:rFonts w:hint="eastAsia"/>
                <w:color w:val="auto"/>
                <w:sz w:val="24"/>
                <w:lang w:val="en-US" w:eastAsia="zh-CN"/>
              </w:rPr>
              <w:t>及喷雾</w:t>
            </w:r>
            <w:r>
              <w:rPr>
                <w:color w:val="auto"/>
                <w:sz w:val="24"/>
              </w:rPr>
              <w:t>的控制效率为</w:t>
            </w:r>
            <w:r>
              <w:rPr>
                <w:rFonts w:hint="eastAsia"/>
                <w:color w:val="auto"/>
                <w:sz w:val="24"/>
              </w:rPr>
              <w:t>74</w:t>
            </w:r>
            <w:r>
              <w:rPr>
                <w:color w:val="auto"/>
                <w:sz w:val="24"/>
              </w:rPr>
              <w:t>%</w:t>
            </w:r>
            <w:r>
              <w:rPr>
                <w:rFonts w:hint="eastAsia"/>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w:t>
            </w:r>
            <w:r>
              <w:rPr>
                <w:rFonts w:hint="eastAsia"/>
                <w:color w:val="auto"/>
                <w:sz w:val="24"/>
                <w:lang w:val="en-US" w:eastAsia="zh-CN"/>
              </w:rPr>
              <w:t>粘土装卸及堆放粉尘</w:t>
            </w:r>
            <w:r>
              <w:rPr>
                <w:color w:val="auto"/>
                <w:sz w:val="24"/>
              </w:rPr>
              <w:t>颗粒物排放量为</w:t>
            </w:r>
            <w:r>
              <w:rPr>
                <w:rFonts w:hint="eastAsia"/>
                <w:color w:val="auto"/>
                <w:sz w:val="24"/>
              </w:rPr>
              <w:t>0.</w:t>
            </w:r>
            <w:r>
              <w:rPr>
                <w:rFonts w:hint="eastAsia"/>
                <w:color w:val="auto"/>
                <w:sz w:val="24"/>
                <w:lang w:val="en-US" w:eastAsia="zh-CN"/>
              </w:rPr>
              <w:t>027</w:t>
            </w:r>
            <w:r>
              <w:rPr>
                <w:color w:val="auto"/>
                <w:sz w:val="24"/>
              </w:rPr>
              <w:t>t/a</w:t>
            </w:r>
            <w:r>
              <w:rPr>
                <w:rFonts w:hint="eastAsia"/>
                <w:color w:val="auto"/>
                <w:sz w:val="24"/>
              </w:rPr>
              <w:t>（0.</w:t>
            </w:r>
            <w:r>
              <w:rPr>
                <w:rFonts w:hint="eastAsia"/>
                <w:color w:val="auto"/>
                <w:sz w:val="24"/>
                <w:lang w:val="en-US" w:eastAsia="zh-CN"/>
              </w:rPr>
              <w:t>0</w:t>
            </w:r>
            <w:r>
              <w:rPr>
                <w:rFonts w:hint="eastAsia"/>
                <w:color w:val="auto"/>
                <w:sz w:val="24"/>
              </w:rPr>
              <w:t>3kg/h）</w:t>
            </w:r>
            <w:r>
              <w:rPr>
                <w:rFonts w:hint="eastAsia"/>
                <w:color w:val="auto"/>
                <w:sz w:val="24"/>
                <w:lang w:eastAsia="zh-CN"/>
              </w:rPr>
              <w:t>。</w:t>
            </w:r>
          </w:p>
          <w:p>
            <w:pPr>
              <w:pStyle w:val="60"/>
              <w:ind w:firstLine="480"/>
              <w:rPr>
                <w:color w:val="auto"/>
                <w:sz w:val="24"/>
              </w:rPr>
            </w:pPr>
            <w:r>
              <w:rPr>
                <w:rFonts w:hint="eastAsia"/>
                <w:color w:val="auto"/>
                <w:sz w:val="24"/>
                <w:lang w:val="en-US" w:eastAsia="zh-CN"/>
              </w:rPr>
              <w:t>③煤矸石堆棚</w:t>
            </w:r>
            <w:r>
              <w:rPr>
                <w:color w:val="auto"/>
                <w:sz w:val="24"/>
              </w:rPr>
              <w:t>粉尘</w:t>
            </w:r>
          </w:p>
          <w:p>
            <w:pPr>
              <w:pStyle w:val="60"/>
              <w:ind w:firstLine="420"/>
              <w:rPr>
                <w:rFonts w:hint="eastAsia" w:eastAsia="宋体"/>
                <w:color w:val="auto"/>
                <w:sz w:val="24"/>
                <w:lang w:eastAsia="zh-CN"/>
              </w:rPr>
            </w:pPr>
            <w:r>
              <w:rPr>
                <w:color w:val="auto"/>
                <w:sz w:val="24"/>
              </w:rPr>
              <w:t>项目</w:t>
            </w:r>
            <w:r>
              <w:rPr>
                <w:rFonts w:hint="eastAsia"/>
                <w:color w:val="auto"/>
                <w:sz w:val="24"/>
                <w:lang w:val="en-US" w:eastAsia="zh-CN"/>
              </w:rPr>
              <w:t>煤矸石储存于全封闭式堆棚内</w:t>
            </w:r>
            <w:r>
              <w:rPr>
                <w:color w:val="auto"/>
                <w:sz w:val="24"/>
              </w:rPr>
              <w:t>，煤矸石堆棚均采用</w:t>
            </w:r>
            <w:r>
              <w:rPr>
                <w:rFonts w:hint="eastAsia"/>
                <w:color w:val="auto"/>
                <w:sz w:val="24"/>
              </w:rPr>
              <w:t>洒水+</w:t>
            </w:r>
            <w:r>
              <w:rPr>
                <w:rFonts w:hint="eastAsia"/>
                <w:color w:val="auto"/>
                <w:sz w:val="24"/>
                <w:lang w:val="en-US" w:eastAsia="zh-CN"/>
              </w:rPr>
              <w:t>全</w:t>
            </w:r>
            <w:r>
              <w:rPr>
                <w:color w:val="auto"/>
                <w:sz w:val="24"/>
              </w:rPr>
              <w:t>封闭式措施，</w:t>
            </w:r>
            <w:r>
              <w:rPr>
                <w:rFonts w:hint="eastAsia"/>
                <w:color w:val="auto"/>
                <w:sz w:val="24"/>
              </w:rPr>
              <w:t>本项目</w:t>
            </w:r>
            <w:r>
              <w:rPr>
                <w:color w:val="auto"/>
                <w:sz w:val="24"/>
              </w:rPr>
              <w:t>根据《工业源固体物料堆场颗粒物核算系数手册》附录4和附录5，</w:t>
            </w:r>
            <w:r>
              <w:rPr>
                <w:rFonts w:hint="eastAsia"/>
                <w:color w:val="auto"/>
                <w:sz w:val="24"/>
              </w:rPr>
              <w:t>通过洒水</w:t>
            </w:r>
            <w:r>
              <w:rPr>
                <w:color w:val="auto"/>
                <w:sz w:val="24"/>
              </w:rPr>
              <w:t>的控制效率为</w:t>
            </w:r>
            <w:r>
              <w:rPr>
                <w:rFonts w:hint="eastAsia"/>
                <w:color w:val="auto"/>
                <w:sz w:val="24"/>
              </w:rPr>
              <w:t>74</w:t>
            </w:r>
            <w:r>
              <w:rPr>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w:t>
            </w:r>
            <w:r>
              <w:rPr>
                <w:rFonts w:hint="eastAsia"/>
                <w:color w:val="auto"/>
                <w:sz w:val="24"/>
              </w:rPr>
              <w:t>的控制措施降低原料堆场粉尘。项目</w:t>
            </w:r>
            <w:r>
              <w:rPr>
                <w:rFonts w:hint="eastAsia"/>
                <w:color w:val="auto"/>
                <w:sz w:val="24"/>
                <w:lang w:val="en-US" w:eastAsia="zh-CN"/>
              </w:rPr>
              <w:t>煤矸石堆棚</w:t>
            </w:r>
            <w:r>
              <w:rPr>
                <w:rFonts w:hint="eastAsia"/>
                <w:color w:val="auto"/>
                <w:sz w:val="24"/>
              </w:rPr>
              <w:t>粉尘排放量为0.</w:t>
            </w:r>
            <w:r>
              <w:rPr>
                <w:rFonts w:hint="eastAsia"/>
                <w:color w:val="auto"/>
                <w:sz w:val="24"/>
                <w:lang w:val="en-US" w:eastAsia="zh-CN"/>
              </w:rPr>
              <w:t>027</w:t>
            </w:r>
            <w:r>
              <w:rPr>
                <w:color w:val="auto"/>
                <w:sz w:val="24"/>
              </w:rPr>
              <w:t>t/a</w:t>
            </w:r>
            <w:r>
              <w:rPr>
                <w:rFonts w:hint="eastAsia"/>
                <w:color w:val="auto"/>
                <w:sz w:val="24"/>
              </w:rPr>
              <w:t>（0.</w:t>
            </w:r>
            <w:r>
              <w:rPr>
                <w:rFonts w:hint="eastAsia"/>
                <w:color w:val="auto"/>
                <w:sz w:val="24"/>
                <w:lang w:val="en-US" w:eastAsia="zh-CN"/>
              </w:rPr>
              <w:t>0</w:t>
            </w:r>
            <w:r>
              <w:rPr>
                <w:rFonts w:hint="eastAsia"/>
                <w:color w:val="auto"/>
                <w:sz w:val="24"/>
              </w:rPr>
              <w:t>3kg/h）</w:t>
            </w:r>
            <w:r>
              <w:rPr>
                <w:rFonts w:hint="eastAsia"/>
                <w:color w:val="auto"/>
                <w:sz w:val="24"/>
                <w:lang w:eastAsia="zh-CN"/>
              </w:rPr>
              <w:t>。</w:t>
            </w:r>
          </w:p>
          <w:p>
            <w:pPr>
              <w:pStyle w:val="60"/>
              <w:ind w:firstLine="480"/>
              <w:rPr>
                <w:rFonts w:hint="eastAsia"/>
                <w:sz w:val="24"/>
              </w:rPr>
            </w:pPr>
            <w:r>
              <w:rPr>
                <w:rFonts w:hint="eastAsia"/>
                <w:sz w:val="24"/>
                <w:lang w:val="en-US" w:eastAsia="zh-CN"/>
              </w:rPr>
              <w:t>④</w:t>
            </w:r>
            <w:r>
              <w:rPr>
                <w:rFonts w:hint="eastAsia"/>
                <w:sz w:val="24"/>
              </w:rPr>
              <w:t>破碎、筛分粉尘</w:t>
            </w:r>
          </w:p>
          <w:p>
            <w:pPr>
              <w:pStyle w:val="60"/>
              <w:ind w:firstLine="480"/>
              <w:rPr>
                <w:rFonts w:hint="eastAsia" w:eastAsia="宋体"/>
                <w:sz w:val="24"/>
                <w:lang w:eastAsia="zh-CN"/>
              </w:rPr>
            </w:pPr>
            <w:r>
              <w:rPr>
                <w:rFonts w:hint="eastAsia"/>
                <w:sz w:val="24"/>
              </w:rPr>
              <w:t>项目运营期煤矸石、粘土在破碎、筛分工序在密闭车间进行，集气罩未收集（10%）的粉尘通过车间沉降降低无组织粉尘排放量</w:t>
            </w:r>
            <w:r>
              <w:rPr>
                <w:rFonts w:hint="eastAsia"/>
                <w:sz w:val="24"/>
                <w:lang w:eastAsia="zh-CN"/>
              </w:rPr>
              <w:t>。</w:t>
            </w:r>
          </w:p>
          <w:p>
            <w:pPr>
              <w:pStyle w:val="60"/>
              <w:ind w:firstLine="480"/>
              <w:rPr>
                <w:sz w:val="24"/>
              </w:rPr>
            </w:pPr>
            <w:r>
              <w:rPr>
                <w:rFonts w:hint="eastAsia"/>
                <w:sz w:val="24"/>
                <w:lang w:val="en-US" w:eastAsia="zh-CN"/>
              </w:rPr>
              <w:t>⑤</w:t>
            </w:r>
            <w:r>
              <w:rPr>
                <w:rFonts w:hint="eastAsia"/>
                <w:sz w:val="24"/>
              </w:rPr>
              <w:t>运输车辆动力起尘</w:t>
            </w:r>
          </w:p>
          <w:p>
            <w:pPr>
              <w:pStyle w:val="60"/>
              <w:ind w:firstLine="420"/>
              <w:rPr>
                <w:rFonts w:hint="default"/>
                <w:color w:val="auto"/>
                <w:sz w:val="24"/>
                <w:szCs w:val="24"/>
                <w:lang w:val="en-US"/>
              </w:rPr>
            </w:pPr>
            <w:r>
              <w:rPr>
                <w:sz w:val="24"/>
              </w:rPr>
              <w:t>项目汽车动力起尘量为</w:t>
            </w:r>
            <w:r>
              <w:rPr>
                <w:rFonts w:hint="eastAsia"/>
                <w:sz w:val="24"/>
              </w:rPr>
              <w:t>1.41</w:t>
            </w:r>
            <w:r>
              <w:rPr>
                <w:sz w:val="24"/>
              </w:rPr>
              <w:t>t/a。环评建议运输车厂内行驶时，车速控制在10km/h以下、路面硬化、车辆清扫并采取洒水措施</w:t>
            </w:r>
            <w:r>
              <w:rPr>
                <w:rFonts w:hint="eastAsia"/>
                <w:sz w:val="24"/>
              </w:rPr>
              <w:t>可降低60%的扬尘，则其排放量为0.147t/a（0.</w:t>
            </w:r>
            <w:r>
              <w:rPr>
                <w:rFonts w:hint="eastAsia"/>
                <w:sz w:val="24"/>
                <w:lang w:val="en-US" w:eastAsia="zh-CN"/>
              </w:rPr>
              <w:t>163</w:t>
            </w:r>
            <w:r>
              <w:rPr>
                <w:rFonts w:hint="eastAsia"/>
                <w:sz w:val="24"/>
              </w:rPr>
              <w:t>kg/h）</w:t>
            </w:r>
            <w:r>
              <w:rPr>
                <w:rFonts w:hint="eastAsia"/>
                <w:color w:val="auto"/>
                <w:sz w:val="24"/>
                <w:szCs w:val="24"/>
                <w:lang w:val="en-US" w:eastAsia="zh-CN"/>
              </w:rPr>
              <w:t>。</w:t>
            </w:r>
          </w:p>
          <w:p>
            <w:pPr>
              <w:pStyle w:val="60"/>
              <w:ind w:firstLine="420"/>
              <w:rPr>
                <w:color w:val="auto"/>
                <w:sz w:val="24"/>
                <w:szCs w:val="24"/>
              </w:rPr>
            </w:pPr>
            <w:r>
              <w:rPr>
                <w:color w:val="auto"/>
                <w:sz w:val="24"/>
                <w:szCs w:val="24"/>
              </w:rPr>
              <w:t>无组织废气治理设施见下表。</w:t>
            </w:r>
          </w:p>
          <w:p>
            <w:pPr>
              <w:pStyle w:val="14"/>
              <w:keepNext/>
              <w:spacing w:line="240" w:lineRule="auto"/>
              <w:rPr>
                <w:rFonts w:cs="Times New Roman"/>
                <w:color w:val="auto"/>
              </w:rPr>
            </w:pPr>
            <w:r>
              <w:rPr>
                <w:rFonts w:eastAsia="宋体" w:cs="Times New Roman"/>
                <w:color w:val="auto"/>
              </w:rPr>
              <w:t>表</w:t>
            </w:r>
            <w:r>
              <w:rPr>
                <w:rFonts w:cs="Times New Roman"/>
                <w:color w:val="auto"/>
              </w:rPr>
              <w:t xml:space="preserve"> </w:t>
            </w:r>
            <w:r>
              <w:rPr>
                <w:rFonts w:hint="eastAsia" w:eastAsia="宋体" w:cs="Times New Roman"/>
                <w:color w:val="auto"/>
                <w:lang w:val="en-US" w:eastAsia="zh-CN"/>
              </w:rPr>
              <w:t xml:space="preserve">4-6   </w:t>
            </w:r>
            <w:r>
              <w:rPr>
                <w:rFonts w:eastAsia="宋体" w:cs="Times New Roman"/>
                <w:color w:val="auto"/>
              </w:rPr>
              <w:t>无组织废气治理措施一览表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353"/>
              <w:gridCol w:w="1183"/>
              <w:gridCol w:w="1778"/>
              <w:gridCol w:w="15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noWrap/>
                  <w:vAlign w:val="center"/>
                </w:tcPr>
                <w:p>
                  <w:pPr>
                    <w:pStyle w:val="57"/>
                  </w:pPr>
                  <w:r>
                    <w:t>污染源</w:t>
                  </w:r>
                </w:p>
              </w:tc>
              <w:tc>
                <w:tcPr>
                  <w:tcW w:w="1309" w:type="dxa"/>
                  <w:noWrap/>
                  <w:vAlign w:val="center"/>
                </w:tcPr>
                <w:p>
                  <w:pPr>
                    <w:pStyle w:val="57"/>
                  </w:pPr>
                  <w:r>
                    <w:t>工序</w:t>
                  </w:r>
                </w:p>
              </w:tc>
              <w:tc>
                <w:tcPr>
                  <w:tcW w:w="1145" w:type="dxa"/>
                  <w:vAlign w:val="center"/>
                </w:tcPr>
                <w:p>
                  <w:pPr>
                    <w:pStyle w:val="57"/>
                  </w:pPr>
                  <w:r>
                    <w:t>污染物</w:t>
                  </w:r>
                </w:p>
              </w:tc>
              <w:tc>
                <w:tcPr>
                  <w:tcW w:w="1721" w:type="dxa"/>
                  <w:noWrap/>
                  <w:vAlign w:val="center"/>
                </w:tcPr>
                <w:p>
                  <w:pPr>
                    <w:pStyle w:val="57"/>
                  </w:pPr>
                  <w:r>
                    <w:t>处理措施或设施</w:t>
                  </w:r>
                </w:p>
              </w:tc>
              <w:tc>
                <w:tcPr>
                  <w:tcW w:w="1476" w:type="dxa"/>
                  <w:noWrap/>
                  <w:vAlign w:val="center"/>
                </w:tcPr>
                <w:p>
                  <w:pPr>
                    <w:pStyle w:val="57"/>
                  </w:pPr>
                  <w:r>
                    <w:t>处理效率（%）</w:t>
                  </w:r>
                </w:p>
              </w:tc>
              <w:tc>
                <w:tcPr>
                  <w:tcW w:w="945" w:type="dxa"/>
                  <w:noWrap/>
                  <w:vAlign w:val="center"/>
                </w:tcPr>
                <w:p>
                  <w:pPr>
                    <w:pStyle w:val="57"/>
                  </w:pPr>
                  <w:r>
                    <w:t>技术可行性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vAlign w:val="center"/>
                </w:tcPr>
                <w:p>
                  <w:pPr>
                    <w:pStyle w:val="57"/>
                    <w:rPr>
                      <w:rFonts w:hint="eastAsia" w:eastAsia="宋体"/>
                      <w:lang w:val="en-US" w:eastAsia="zh-CN"/>
                    </w:rPr>
                  </w:pPr>
                  <w:r>
                    <w:t>粘土</w:t>
                  </w:r>
                </w:p>
              </w:tc>
              <w:tc>
                <w:tcPr>
                  <w:tcW w:w="1309" w:type="dxa"/>
                  <w:noWrap/>
                  <w:vAlign w:val="center"/>
                </w:tcPr>
                <w:p>
                  <w:pPr>
                    <w:pStyle w:val="57"/>
                  </w:pPr>
                  <w:r>
                    <w:t>粘土开采</w:t>
                  </w:r>
                </w:p>
              </w:tc>
              <w:tc>
                <w:tcPr>
                  <w:tcW w:w="1145" w:type="dxa"/>
                  <w:vAlign w:val="center"/>
                </w:tcPr>
                <w:p>
                  <w:pPr>
                    <w:pStyle w:val="57"/>
                  </w:pPr>
                  <w:r>
                    <w:t>颗粒物</w:t>
                  </w:r>
                </w:p>
              </w:tc>
              <w:tc>
                <w:tcPr>
                  <w:tcW w:w="1721" w:type="dxa"/>
                  <w:vAlign w:val="center"/>
                </w:tcPr>
                <w:p>
                  <w:pPr>
                    <w:pStyle w:val="57"/>
                  </w:pPr>
                  <w:r>
                    <w:rPr>
                      <w:rFonts w:hint="eastAsia"/>
                    </w:rPr>
                    <w:t>取土前洒水+取土过程喷雾</w:t>
                  </w:r>
                  <w:r>
                    <w:t>抑尘</w:t>
                  </w:r>
                </w:p>
              </w:tc>
              <w:tc>
                <w:tcPr>
                  <w:tcW w:w="1476" w:type="dxa"/>
                  <w:noWrap/>
                  <w:vAlign w:val="center"/>
                </w:tcPr>
                <w:p>
                  <w:pPr>
                    <w:pStyle w:val="57"/>
                  </w:pPr>
                  <w:r>
                    <w:rPr>
                      <w:rFonts w:hint="eastAsia"/>
                    </w:rPr>
                    <w:t>74、74</w:t>
                  </w:r>
                </w:p>
              </w:tc>
              <w:tc>
                <w:tcPr>
                  <w:tcW w:w="945" w:type="dxa"/>
                  <w:vAlign w:val="center"/>
                </w:tcPr>
                <w:p>
                  <w:pPr>
                    <w:pStyle w:val="57"/>
                  </w:pPr>
                  <w: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vAlign w:val="center"/>
                </w:tcPr>
                <w:p>
                  <w:pPr>
                    <w:pStyle w:val="57"/>
                    <w:rPr>
                      <w:rFonts w:hint="default" w:eastAsia="宋体"/>
                      <w:color w:val="auto"/>
                      <w:lang w:val="en-US" w:eastAsia="zh-CN"/>
                    </w:rPr>
                  </w:pPr>
                  <w:r>
                    <w:rPr>
                      <w:rFonts w:hint="eastAsia"/>
                      <w:color w:val="auto"/>
                      <w:lang w:val="en-US" w:eastAsia="zh-CN"/>
                    </w:rPr>
                    <w:t>粘土</w:t>
                  </w:r>
                </w:p>
              </w:tc>
              <w:tc>
                <w:tcPr>
                  <w:tcW w:w="1309" w:type="dxa"/>
                  <w:noWrap/>
                  <w:vAlign w:val="center"/>
                </w:tcPr>
                <w:p>
                  <w:pPr>
                    <w:pStyle w:val="57"/>
                    <w:rPr>
                      <w:color w:val="auto"/>
                    </w:rPr>
                  </w:pPr>
                  <w:r>
                    <w:rPr>
                      <w:rFonts w:hint="eastAsia"/>
                      <w:color w:val="auto"/>
                      <w:lang w:val="en-US" w:eastAsia="zh-CN"/>
                    </w:rPr>
                    <w:t>粘土装卸及堆放</w:t>
                  </w:r>
                </w:p>
              </w:tc>
              <w:tc>
                <w:tcPr>
                  <w:tcW w:w="1145" w:type="dxa"/>
                  <w:vAlign w:val="center"/>
                </w:tcPr>
                <w:p>
                  <w:pPr>
                    <w:pStyle w:val="57"/>
                    <w:rPr>
                      <w:color w:val="auto"/>
                    </w:rPr>
                  </w:pPr>
                  <w:r>
                    <w:rPr>
                      <w:color w:val="auto"/>
                    </w:rPr>
                    <w:t>颗粒物</w:t>
                  </w:r>
                </w:p>
              </w:tc>
              <w:tc>
                <w:tcPr>
                  <w:tcW w:w="1721" w:type="dxa"/>
                  <w:vAlign w:val="center"/>
                </w:tcPr>
                <w:p>
                  <w:pPr>
                    <w:pStyle w:val="57"/>
                    <w:rPr>
                      <w:rFonts w:hint="default" w:eastAsia="宋体"/>
                      <w:color w:val="auto"/>
                      <w:lang w:val="en-US" w:eastAsia="zh-CN"/>
                    </w:rPr>
                  </w:pPr>
                  <w:r>
                    <w:rPr>
                      <w:rFonts w:hint="eastAsia"/>
                      <w:color w:val="auto"/>
                    </w:rPr>
                    <w:t>取土前洒水+取土过程喷雾</w:t>
                  </w:r>
                  <w:r>
                    <w:rPr>
                      <w:color w:val="auto"/>
                    </w:rPr>
                    <w:t>抑尘</w:t>
                  </w:r>
                  <w:r>
                    <w:rPr>
                      <w:rFonts w:hint="eastAsia"/>
                      <w:color w:val="auto"/>
                      <w:lang w:val="en-US" w:eastAsia="zh-CN"/>
                    </w:rPr>
                    <w:t>+全封闭堆棚</w:t>
                  </w:r>
                </w:p>
              </w:tc>
              <w:tc>
                <w:tcPr>
                  <w:tcW w:w="1476" w:type="dxa"/>
                  <w:noWrap/>
                  <w:vAlign w:val="center"/>
                </w:tcPr>
                <w:p>
                  <w:pPr>
                    <w:pStyle w:val="57"/>
                    <w:rPr>
                      <w:rFonts w:hint="default" w:eastAsia="宋体"/>
                      <w:color w:val="auto"/>
                      <w:lang w:val="en-US" w:eastAsia="zh-CN"/>
                    </w:rPr>
                  </w:pPr>
                  <w:r>
                    <w:rPr>
                      <w:rFonts w:hint="eastAsia"/>
                      <w:color w:val="auto"/>
                    </w:rPr>
                    <w:t>74、74</w:t>
                  </w:r>
                  <w:r>
                    <w:rPr>
                      <w:rFonts w:hint="eastAsia"/>
                      <w:color w:val="auto"/>
                      <w:lang w:eastAsia="zh-CN"/>
                    </w:rPr>
                    <w:t>、</w:t>
                  </w:r>
                  <w:r>
                    <w:rPr>
                      <w:rFonts w:hint="eastAsia"/>
                      <w:color w:val="auto"/>
                      <w:lang w:val="en-US" w:eastAsia="zh-CN"/>
                    </w:rPr>
                    <w:t>99</w:t>
                  </w:r>
                </w:p>
              </w:tc>
              <w:tc>
                <w:tcPr>
                  <w:tcW w:w="945"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noWrap/>
                  <w:vAlign w:val="center"/>
                </w:tcPr>
                <w:p>
                  <w:pPr>
                    <w:pStyle w:val="57"/>
                    <w:rPr>
                      <w:color w:val="auto"/>
                    </w:rPr>
                  </w:pPr>
                  <w:r>
                    <w:rPr>
                      <w:color w:val="auto"/>
                    </w:rPr>
                    <w:t>煤矸石</w:t>
                  </w:r>
                </w:p>
              </w:tc>
              <w:tc>
                <w:tcPr>
                  <w:tcW w:w="1309" w:type="dxa"/>
                  <w:noWrap/>
                  <w:vAlign w:val="center"/>
                </w:tcPr>
                <w:p>
                  <w:pPr>
                    <w:pStyle w:val="57"/>
                    <w:rPr>
                      <w:color w:val="auto"/>
                    </w:rPr>
                  </w:pPr>
                  <w:r>
                    <w:rPr>
                      <w:rFonts w:hint="eastAsia"/>
                      <w:color w:val="auto"/>
                      <w:lang w:val="en-US" w:eastAsia="zh-CN"/>
                    </w:rPr>
                    <w:t>储存</w:t>
                  </w:r>
                  <w:r>
                    <w:rPr>
                      <w:color w:val="auto"/>
                    </w:rPr>
                    <w:t>、装卸</w:t>
                  </w:r>
                </w:p>
              </w:tc>
              <w:tc>
                <w:tcPr>
                  <w:tcW w:w="1145" w:type="dxa"/>
                  <w:vAlign w:val="center"/>
                </w:tcPr>
                <w:p>
                  <w:pPr>
                    <w:pStyle w:val="57"/>
                    <w:rPr>
                      <w:color w:val="auto"/>
                    </w:rPr>
                  </w:pPr>
                  <w:r>
                    <w:rPr>
                      <w:color w:val="auto"/>
                    </w:rPr>
                    <w:t>颗粒物</w:t>
                  </w:r>
                </w:p>
              </w:tc>
              <w:tc>
                <w:tcPr>
                  <w:tcW w:w="1721" w:type="dxa"/>
                  <w:noWrap/>
                  <w:vAlign w:val="center"/>
                </w:tcPr>
                <w:p>
                  <w:pPr>
                    <w:pStyle w:val="57"/>
                    <w:rPr>
                      <w:rFonts w:hint="eastAsia" w:eastAsia="宋体"/>
                      <w:color w:val="auto"/>
                      <w:lang w:val="en-US" w:eastAsia="zh-CN"/>
                    </w:rPr>
                  </w:pPr>
                  <w:r>
                    <w:rPr>
                      <w:color w:val="auto"/>
                    </w:rPr>
                    <w:t>洒水</w:t>
                  </w:r>
                  <w:r>
                    <w:rPr>
                      <w:rFonts w:hint="eastAsia"/>
                      <w:color w:val="auto"/>
                    </w:rPr>
                    <w:t>+</w:t>
                  </w:r>
                  <w:r>
                    <w:rPr>
                      <w:rFonts w:hint="eastAsia"/>
                      <w:color w:val="auto"/>
                      <w:lang w:val="en-US" w:eastAsia="zh-CN"/>
                    </w:rPr>
                    <w:t>全</w:t>
                  </w:r>
                  <w:r>
                    <w:rPr>
                      <w:rFonts w:hint="eastAsia"/>
                      <w:color w:val="auto"/>
                    </w:rPr>
                    <w:t>封闭式</w:t>
                  </w:r>
                  <w:r>
                    <w:rPr>
                      <w:rFonts w:hint="eastAsia"/>
                      <w:color w:val="auto"/>
                      <w:lang w:val="en-US" w:eastAsia="zh-CN"/>
                    </w:rPr>
                    <w:t>堆棚</w:t>
                  </w:r>
                </w:p>
              </w:tc>
              <w:tc>
                <w:tcPr>
                  <w:tcW w:w="1476" w:type="dxa"/>
                  <w:noWrap/>
                  <w:vAlign w:val="center"/>
                </w:tcPr>
                <w:p>
                  <w:pPr>
                    <w:pStyle w:val="57"/>
                    <w:rPr>
                      <w:rFonts w:hint="default" w:eastAsia="宋体"/>
                      <w:color w:val="auto"/>
                      <w:lang w:val="en-US" w:eastAsia="zh-CN"/>
                    </w:rPr>
                  </w:pPr>
                  <w:r>
                    <w:rPr>
                      <w:rFonts w:hint="eastAsia"/>
                      <w:color w:val="auto"/>
                      <w:lang w:val="en-US" w:eastAsia="zh-CN"/>
                    </w:rPr>
                    <w:t>74</w:t>
                  </w:r>
                  <w:r>
                    <w:rPr>
                      <w:rFonts w:hint="eastAsia"/>
                      <w:color w:val="auto"/>
                    </w:rPr>
                    <w:t>；</w:t>
                  </w:r>
                  <w:r>
                    <w:rPr>
                      <w:rFonts w:hint="eastAsia"/>
                      <w:color w:val="auto"/>
                      <w:lang w:val="en-US" w:eastAsia="zh-CN"/>
                    </w:rPr>
                    <w:t>99</w:t>
                  </w:r>
                </w:p>
              </w:tc>
              <w:tc>
                <w:tcPr>
                  <w:tcW w:w="945"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noWrap/>
                  <w:vAlign w:val="center"/>
                </w:tcPr>
                <w:p>
                  <w:pPr>
                    <w:pStyle w:val="57"/>
                    <w:rPr>
                      <w:rFonts w:hint="default" w:eastAsia="宋体"/>
                      <w:color w:val="auto"/>
                      <w:lang w:val="en-US" w:eastAsia="zh-CN"/>
                    </w:rPr>
                  </w:pPr>
                  <w:r>
                    <w:rPr>
                      <w:rFonts w:hint="eastAsia"/>
                      <w:color w:val="auto"/>
                      <w:lang w:val="en-US" w:eastAsia="zh-CN"/>
                    </w:rPr>
                    <w:t>运输</w:t>
                  </w:r>
                </w:p>
              </w:tc>
              <w:tc>
                <w:tcPr>
                  <w:tcW w:w="1309" w:type="dxa"/>
                  <w:noWrap/>
                  <w:vAlign w:val="center"/>
                </w:tcPr>
                <w:p>
                  <w:pPr>
                    <w:pStyle w:val="57"/>
                    <w:rPr>
                      <w:rFonts w:hint="default" w:eastAsia="宋体"/>
                      <w:color w:val="auto"/>
                      <w:lang w:val="en-US" w:eastAsia="zh-CN"/>
                    </w:rPr>
                  </w:pPr>
                  <w:r>
                    <w:rPr>
                      <w:rFonts w:hint="eastAsia"/>
                      <w:color w:val="auto"/>
                      <w:lang w:val="en-US" w:eastAsia="zh-CN"/>
                    </w:rPr>
                    <w:t>动力起尘</w:t>
                  </w:r>
                </w:p>
              </w:tc>
              <w:tc>
                <w:tcPr>
                  <w:tcW w:w="1145" w:type="dxa"/>
                  <w:vAlign w:val="center"/>
                </w:tcPr>
                <w:p>
                  <w:pPr>
                    <w:pStyle w:val="57"/>
                    <w:rPr>
                      <w:rFonts w:hint="default" w:eastAsia="宋体"/>
                      <w:color w:val="auto"/>
                      <w:lang w:val="en-US" w:eastAsia="zh-CN"/>
                    </w:rPr>
                  </w:pPr>
                  <w:r>
                    <w:rPr>
                      <w:rFonts w:hint="eastAsia"/>
                      <w:color w:val="auto"/>
                      <w:lang w:val="en-US" w:eastAsia="zh-CN"/>
                    </w:rPr>
                    <w:t>颗粒物</w:t>
                  </w:r>
                </w:p>
              </w:tc>
              <w:tc>
                <w:tcPr>
                  <w:tcW w:w="1721" w:type="dxa"/>
                  <w:noWrap/>
                  <w:vAlign w:val="center"/>
                </w:tcPr>
                <w:p>
                  <w:pPr>
                    <w:pStyle w:val="57"/>
                    <w:rPr>
                      <w:rFonts w:hint="default" w:eastAsia="宋体"/>
                      <w:color w:val="auto"/>
                      <w:lang w:val="en-US" w:eastAsia="zh-CN"/>
                    </w:rPr>
                  </w:pPr>
                  <w:r>
                    <w:rPr>
                      <w:rFonts w:hint="eastAsia"/>
                      <w:color w:val="auto"/>
                      <w:lang w:val="en-US" w:eastAsia="zh-CN"/>
                    </w:rPr>
                    <w:t>路面硬化+车辆清洗及洒水</w:t>
                  </w:r>
                </w:p>
              </w:tc>
              <w:tc>
                <w:tcPr>
                  <w:tcW w:w="1476" w:type="dxa"/>
                  <w:noWrap/>
                  <w:vAlign w:val="center"/>
                </w:tcPr>
                <w:p>
                  <w:pPr>
                    <w:pStyle w:val="57"/>
                    <w:rPr>
                      <w:rFonts w:hint="default" w:eastAsia="宋体"/>
                      <w:color w:val="auto"/>
                      <w:lang w:val="en-US" w:eastAsia="zh-CN"/>
                    </w:rPr>
                  </w:pPr>
                  <w:r>
                    <w:rPr>
                      <w:rFonts w:hint="eastAsia"/>
                      <w:color w:val="auto"/>
                      <w:lang w:val="en-US" w:eastAsia="zh-CN"/>
                    </w:rPr>
                    <w:t>60、74</w:t>
                  </w:r>
                </w:p>
              </w:tc>
              <w:tc>
                <w:tcPr>
                  <w:tcW w:w="945"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noWrap/>
                  <w:vAlign w:val="center"/>
                </w:tcPr>
                <w:p>
                  <w:pPr>
                    <w:pStyle w:val="57"/>
                  </w:pPr>
                  <w:r>
                    <w:rPr>
                      <w:rFonts w:hint="eastAsia"/>
                    </w:rPr>
                    <w:t>原料库</w:t>
                  </w:r>
                </w:p>
              </w:tc>
              <w:tc>
                <w:tcPr>
                  <w:tcW w:w="1309" w:type="dxa"/>
                  <w:noWrap/>
                  <w:vAlign w:val="center"/>
                </w:tcPr>
                <w:p>
                  <w:pPr>
                    <w:pStyle w:val="57"/>
                  </w:pPr>
                  <w:r>
                    <w:t>破碎、筛分</w:t>
                  </w:r>
                </w:p>
              </w:tc>
              <w:tc>
                <w:tcPr>
                  <w:tcW w:w="1145" w:type="dxa"/>
                  <w:vAlign w:val="center"/>
                </w:tcPr>
                <w:p>
                  <w:pPr>
                    <w:pStyle w:val="57"/>
                  </w:pPr>
                  <w:r>
                    <w:t>颗粒物</w:t>
                  </w:r>
                </w:p>
              </w:tc>
              <w:tc>
                <w:tcPr>
                  <w:tcW w:w="1721" w:type="dxa"/>
                  <w:noWrap/>
                  <w:vAlign w:val="center"/>
                </w:tcPr>
                <w:p>
                  <w:pPr>
                    <w:pStyle w:val="57"/>
                  </w:pPr>
                  <w:r>
                    <w:t>车间沉降</w:t>
                  </w:r>
                </w:p>
              </w:tc>
              <w:tc>
                <w:tcPr>
                  <w:tcW w:w="1476" w:type="dxa"/>
                  <w:noWrap/>
                  <w:vAlign w:val="center"/>
                </w:tcPr>
                <w:p>
                  <w:pPr>
                    <w:pStyle w:val="57"/>
                  </w:pPr>
                  <w:r>
                    <w:t>80</w:t>
                  </w:r>
                </w:p>
              </w:tc>
              <w:tc>
                <w:tcPr>
                  <w:tcW w:w="945" w:type="dxa"/>
                  <w:vAlign w:val="center"/>
                </w:tcPr>
                <w:p>
                  <w:pPr>
                    <w:pStyle w:val="57"/>
                  </w:pPr>
                  <w:r>
                    <w:t>可行</w:t>
                  </w:r>
                </w:p>
              </w:tc>
            </w:tr>
          </w:tbl>
          <w:p>
            <w:pPr>
              <w:pStyle w:val="60"/>
              <w:ind w:left="0" w:leftChars="0" w:firstLine="0" w:firstLineChars="0"/>
              <w:rPr>
                <w:b/>
                <w:bCs/>
                <w:color w:val="auto"/>
                <w:sz w:val="24"/>
                <w:szCs w:val="24"/>
              </w:rPr>
            </w:pPr>
            <w:r>
              <w:rPr>
                <w:rFonts w:hint="eastAsia"/>
                <w:b/>
                <w:bCs/>
                <w:color w:val="auto"/>
                <w:sz w:val="24"/>
                <w:szCs w:val="24"/>
                <w:lang w:val="en-US" w:eastAsia="zh-CN"/>
              </w:rPr>
              <w:t>2</w:t>
            </w:r>
            <w:r>
              <w:rPr>
                <w:b/>
                <w:bCs/>
                <w:color w:val="auto"/>
                <w:sz w:val="24"/>
                <w:szCs w:val="24"/>
              </w:rPr>
              <w:t>.3废气排放口</w:t>
            </w:r>
          </w:p>
          <w:p>
            <w:pPr>
              <w:pStyle w:val="60"/>
              <w:ind w:firstLine="420"/>
              <w:rPr>
                <w:color w:val="auto"/>
                <w:sz w:val="24"/>
                <w:szCs w:val="24"/>
              </w:rPr>
            </w:pPr>
            <w:r>
              <w:rPr>
                <w:color w:val="auto"/>
                <w:sz w:val="24"/>
                <w:szCs w:val="24"/>
              </w:rPr>
              <w:t>项目废气污染源排放口情况见下表。</w:t>
            </w:r>
          </w:p>
          <w:p>
            <w:pPr>
              <w:pStyle w:val="14"/>
              <w:keepNext/>
              <w:spacing w:line="240" w:lineRule="auto"/>
              <w:rPr>
                <w:rFonts w:cs="Times New Roman"/>
                <w:color w:val="auto"/>
              </w:rPr>
            </w:pPr>
            <w:r>
              <w:rPr>
                <w:rFonts w:eastAsia="宋体" w:cs="Times New Roman"/>
                <w:color w:val="auto"/>
              </w:rPr>
              <w:t>表</w:t>
            </w:r>
            <w:r>
              <w:rPr>
                <w:rFonts w:cs="Times New Roman"/>
                <w:color w:val="auto"/>
              </w:rPr>
              <w:t xml:space="preserve"> </w:t>
            </w:r>
            <w:r>
              <w:rPr>
                <w:rFonts w:hint="eastAsia" w:eastAsia="宋体" w:cs="Times New Roman"/>
                <w:color w:val="auto"/>
                <w:lang w:val="en-US" w:eastAsia="zh-CN"/>
              </w:rPr>
              <w:t xml:space="preserve">4-7   </w:t>
            </w:r>
            <w:r>
              <w:rPr>
                <w:rFonts w:eastAsia="宋体" w:cs="Times New Roman"/>
                <w:color w:val="auto"/>
              </w:rPr>
              <w:t>有组织废气污染源排放口情况一览表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 w:type="dxa"/>
                <w:bottom w:w="0" w:type="dxa"/>
                <w:right w:w="6" w:type="dxa"/>
              </w:tblCellMar>
            </w:tblPr>
            <w:tblGrid>
              <w:gridCol w:w="530"/>
              <w:gridCol w:w="791"/>
              <w:gridCol w:w="481"/>
              <w:gridCol w:w="1010"/>
              <w:gridCol w:w="905"/>
              <w:gridCol w:w="541"/>
              <w:gridCol w:w="347"/>
              <w:gridCol w:w="355"/>
              <w:gridCol w:w="523"/>
              <w:gridCol w:w="342"/>
              <w:gridCol w:w="458"/>
              <w:gridCol w:w="485"/>
              <w:gridCol w:w="496"/>
              <w:gridCol w:w="485"/>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57" w:type="dxa"/>
                  <w:vMerge w:val="restart"/>
                  <w:vAlign w:val="center"/>
                </w:tcPr>
                <w:p>
                  <w:pPr>
                    <w:pStyle w:val="57"/>
                    <w:rPr>
                      <w:color w:val="auto"/>
                      <w:sz w:val="21"/>
                      <w:szCs w:val="21"/>
                    </w:rPr>
                  </w:pPr>
                  <w:r>
                    <w:rPr>
                      <w:color w:val="auto"/>
                      <w:sz w:val="21"/>
                      <w:szCs w:val="21"/>
                    </w:rPr>
                    <w:t>编号</w:t>
                  </w:r>
                </w:p>
              </w:tc>
              <w:tc>
                <w:tcPr>
                  <w:tcW w:w="791" w:type="dxa"/>
                  <w:vMerge w:val="restart"/>
                  <w:vAlign w:val="center"/>
                </w:tcPr>
                <w:p>
                  <w:pPr>
                    <w:pStyle w:val="57"/>
                    <w:rPr>
                      <w:color w:val="auto"/>
                      <w:sz w:val="21"/>
                      <w:szCs w:val="21"/>
                    </w:rPr>
                  </w:pPr>
                  <w:r>
                    <w:rPr>
                      <w:color w:val="auto"/>
                      <w:sz w:val="21"/>
                      <w:szCs w:val="21"/>
                    </w:rPr>
                    <w:t>名称</w:t>
                  </w:r>
                </w:p>
              </w:tc>
              <w:tc>
                <w:tcPr>
                  <w:tcW w:w="515" w:type="dxa"/>
                  <w:vMerge w:val="restart"/>
                  <w:vAlign w:val="center"/>
                </w:tcPr>
                <w:p>
                  <w:pPr>
                    <w:pStyle w:val="57"/>
                    <w:rPr>
                      <w:color w:val="auto"/>
                      <w:sz w:val="21"/>
                      <w:szCs w:val="21"/>
                    </w:rPr>
                  </w:pPr>
                  <w:r>
                    <w:rPr>
                      <w:color w:val="auto"/>
                      <w:sz w:val="21"/>
                      <w:szCs w:val="21"/>
                    </w:rPr>
                    <w:t>类型</w:t>
                  </w:r>
                </w:p>
              </w:tc>
              <w:tc>
                <w:tcPr>
                  <w:tcW w:w="1582" w:type="dxa"/>
                  <w:gridSpan w:val="2"/>
                  <w:vAlign w:val="center"/>
                </w:tcPr>
                <w:p>
                  <w:pPr>
                    <w:pStyle w:val="57"/>
                    <w:rPr>
                      <w:color w:val="auto"/>
                      <w:sz w:val="21"/>
                      <w:szCs w:val="21"/>
                    </w:rPr>
                  </w:pPr>
                  <w:r>
                    <w:rPr>
                      <w:color w:val="auto"/>
                      <w:sz w:val="21"/>
                      <w:szCs w:val="21"/>
                    </w:rPr>
                    <w:t>排气筒底部中心坐标/m</w:t>
                  </w:r>
                </w:p>
              </w:tc>
              <w:tc>
                <w:tcPr>
                  <w:tcW w:w="556" w:type="dxa"/>
                  <w:vAlign w:val="center"/>
                </w:tcPr>
                <w:p>
                  <w:pPr>
                    <w:pStyle w:val="57"/>
                    <w:rPr>
                      <w:color w:val="auto"/>
                      <w:sz w:val="21"/>
                      <w:szCs w:val="21"/>
                    </w:rPr>
                  </w:pPr>
                  <w:r>
                    <w:rPr>
                      <w:color w:val="auto"/>
                      <w:sz w:val="21"/>
                      <w:szCs w:val="21"/>
                    </w:rPr>
                    <w:t>排气筒底部海拔高度</w:t>
                  </w:r>
                </w:p>
              </w:tc>
              <w:tc>
                <w:tcPr>
                  <w:tcW w:w="364" w:type="dxa"/>
                  <w:vAlign w:val="center"/>
                </w:tcPr>
                <w:p>
                  <w:pPr>
                    <w:pStyle w:val="57"/>
                    <w:rPr>
                      <w:color w:val="auto"/>
                      <w:sz w:val="21"/>
                      <w:szCs w:val="21"/>
                    </w:rPr>
                  </w:pPr>
                  <w:r>
                    <w:rPr>
                      <w:color w:val="auto"/>
                      <w:sz w:val="21"/>
                      <w:szCs w:val="21"/>
                    </w:rPr>
                    <w:t>排气筒高度</w:t>
                  </w:r>
                </w:p>
              </w:tc>
              <w:tc>
                <w:tcPr>
                  <w:tcW w:w="366" w:type="dxa"/>
                  <w:vAlign w:val="center"/>
                </w:tcPr>
                <w:p>
                  <w:pPr>
                    <w:pStyle w:val="57"/>
                    <w:rPr>
                      <w:color w:val="auto"/>
                      <w:sz w:val="21"/>
                      <w:szCs w:val="21"/>
                    </w:rPr>
                  </w:pPr>
                  <w:r>
                    <w:rPr>
                      <w:color w:val="auto"/>
                      <w:sz w:val="21"/>
                      <w:szCs w:val="21"/>
                    </w:rPr>
                    <w:t>排气筒内径</w:t>
                  </w:r>
                </w:p>
              </w:tc>
              <w:tc>
                <w:tcPr>
                  <w:tcW w:w="528" w:type="dxa"/>
                  <w:vAlign w:val="center"/>
                </w:tcPr>
                <w:p>
                  <w:pPr>
                    <w:pStyle w:val="57"/>
                    <w:rPr>
                      <w:color w:val="auto"/>
                      <w:sz w:val="21"/>
                      <w:szCs w:val="21"/>
                    </w:rPr>
                  </w:pPr>
                  <w:r>
                    <w:rPr>
                      <w:color w:val="auto"/>
                      <w:sz w:val="21"/>
                      <w:szCs w:val="21"/>
                    </w:rPr>
                    <w:t>烟气流速</w:t>
                  </w:r>
                </w:p>
              </w:tc>
              <w:tc>
                <w:tcPr>
                  <w:tcW w:w="358" w:type="dxa"/>
                  <w:vAlign w:val="center"/>
                </w:tcPr>
                <w:p>
                  <w:pPr>
                    <w:pStyle w:val="57"/>
                    <w:rPr>
                      <w:color w:val="auto"/>
                      <w:sz w:val="21"/>
                      <w:szCs w:val="21"/>
                    </w:rPr>
                  </w:pPr>
                  <w:r>
                    <w:rPr>
                      <w:color w:val="auto"/>
                      <w:sz w:val="21"/>
                      <w:szCs w:val="21"/>
                    </w:rPr>
                    <w:t>烟气温度</w:t>
                  </w:r>
                </w:p>
              </w:tc>
              <w:tc>
                <w:tcPr>
                  <w:tcW w:w="461" w:type="dxa"/>
                  <w:vAlign w:val="center"/>
                </w:tcPr>
                <w:p>
                  <w:pPr>
                    <w:pStyle w:val="57"/>
                    <w:rPr>
                      <w:color w:val="auto"/>
                      <w:sz w:val="21"/>
                      <w:szCs w:val="21"/>
                    </w:rPr>
                  </w:pPr>
                  <w:r>
                    <w:rPr>
                      <w:color w:val="auto"/>
                      <w:sz w:val="21"/>
                      <w:szCs w:val="21"/>
                    </w:rPr>
                    <w:t>年排放小时数</w:t>
                  </w:r>
                </w:p>
              </w:tc>
              <w:tc>
                <w:tcPr>
                  <w:tcW w:w="1858" w:type="dxa"/>
                  <w:gridSpan w:val="4"/>
                  <w:vAlign w:val="center"/>
                </w:tcPr>
                <w:p>
                  <w:pPr>
                    <w:pStyle w:val="57"/>
                    <w:rPr>
                      <w:color w:val="auto"/>
                      <w:sz w:val="21"/>
                      <w:szCs w:val="21"/>
                    </w:rPr>
                  </w:pPr>
                  <w:r>
                    <w:rPr>
                      <w:color w:val="auto"/>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89" w:hRule="atLeast"/>
                <w:jc w:val="center"/>
              </w:trPr>
              <w:tc>
                <w:tcPr>
                  <w:tcW w:w="557" w:type="dxa"/>
                  <w:vMerge w:val="continue"/>
                  <w:vAlign w:val="center"/>
                </w:tcPr>
                <w:p>
                  <w:pPr>
                    <w:pStyle w:val="57"/>
                    <w:rPr>
                      <w:color w:val="auto"/>
                      <w:sz w:val="21"/>
                      <w:szCs w:val="21"/>
                    </w:rPr>
                  </w:pPr>
                </w:p>
              </w:tc>
              <w:tc>
                <w:tcPr>
                  <w:tcW w:w="791" w:type="dxa"/>
                  <w:vMerge w:val="continue"/>
                  <w:vAlign w:val="center"/>
                </w:tcPr>
                <w:p>
                  <w:pPr>
                    <w:pStyle w:val="57"/>
                    <w:rPr>
                      <w:color w:val="auto"/>
                      <w:sz w:val="21"/>
                      <w:szCs w:val="21"/>
                    </w:rPr>
                  </w:pPr>
                </w:p>
              </w:tc>
              <w:tc>
                <w:tcPr>
                  <w:tcW w:w="515" w:type="dxa"/>
                  <w:vMerge w:val="continue"/>
                  <w:vAlign w:val="center"/>
                </w:tcPr>
                <w:p>
                  <w:pPr>
                    <w:pStyle w:val="57"/>
                    <w:rPr>
                      <w:color w:val="auto"/>
                      <w:sz w:val="21"/>
                      <w:szCs w:val="21"/>
                    </w:rPr>
                  </w:pPr>
                </w:p>
              </w:tc>
              <w:tc>
                <w:tcPr>
                  <w:tcW w:w="820" w:type="dxa"/>
                  <w:vAlign w:val="center"/>
                </w:tcPr>
                <w:p>
                  <w:pPr>
                    <w:pStyle w:val="57"/>
                    <w:rPr>
                      <w:rFonts w:hint="eastAsia" w:eastAsia="宋体"/>
                      <w:color w:val="auto"/>
                      <w:sz w:val="21"/>
                      <w:szCs w:val="21"/>
                      <w:lang w:val="en-US" w:eastAsia="zh-CN"/>
                    </w:rPr>
                  </w:pPr>
                  <w:r>
                    <w:rPr>
                      <w:rFonts w:hint="eastAsia"/>
                      <w:color w:val="auto"/>
                      <w:sz w:val="21"/>
                      <w:szCs w:val="21"/>
                      <w:lang w:val="en-US" w:eastAsia="zh-CN"/>
                    </w:rPr>
                    <w:t>东经</w:t>
                  </w:r>
                </w:p>
              </w:tc>
              <w:tc>
                <w:tcPr>
                  <w:tcW w:w="762" w:type="dxa"/>
                  <w:vAlign w:val="center"/>
                </w:tcPr>
                <w:p>
                  <w:pPr>
                    <w:pStyle w:val="57"/>
                    <w:rPr>
                      <w:rFonts w:hint="eastAsia" w:eastAsia="宋体"/>
                      <w:color w:val="auto"/>
                      <w:sz w:val="21"/>
                      <w:szCs w:val="21"/>
                      <w:lang w:val="en-US" w:eastAsia="zh-CN"/>
                    </w:rPr>
                  </w:pPr>
                  <w:r>
                    <w:rPr>
                      <w:rFonts w:hint="eastAsia"/>
                      <w:color w:val="auto"/>
                      <w:sz w:val="21"/>
                      <w:szCs w:val="21"/>
                      <w:lang w:val="en-US" w:eastAsia="zh-CN"/>
                    </w:rPr>
                    <w:t>北纬</w:t>
                  </w:r>
                </w:p>
              </w:tc>
              <w:tc>
                <w:tcPr>
                  <w:tcW w:w="556" w:type="dxa"/>
                  <w:vAlign w:val="center"/>
                </w:tcPr>
                <w:p>
                  <w:pPr>
                    <w:pStyle w:val="57"/>
                    <w:rPr>
                      <w:color w:val="auto"/>
                      <w:sz w:val="21"/>
                      <w:szCs w:val="21"/>
                    </w:rPr>
                  </w:pPr>
                  <w:r>
                    <w:rPr>
                      <w:color w:val="auto"/>
                      <w:sz w:val="21"/>
                      <w:szCs w:val="21"/>
                    </w:rPr>
                    <w:t>m</w:t>
                  </w:r>
                </w:p>
              </w:tc>
              <w:tc>
                <w:tcPr>
                  <w:tcW w:w="364" w:type="dxa"/>
                  <w:vAlign w:val="center"/>
                </w:tcPr>
                <w:p>
                  <w:pPr>
                    <w:pStyle w:val="57"/>
                    <w:rPr>
                      <w:color w:val="auto"/>
                      <w:sz w:val="21"/>
                      <w:szCs w:val="21"/>
                    </w:rPr>
                  </w:pPr>
                  <w:r>
                    <w:rPr>
                      <w:color w:val="auto"/>
                      <w:sz w:val="21"/>
                      <w:szCs w:val="21"/>
                    </w:rPr>
                    <w:t>m</w:t>
                  </w:r>
                </w:p>
              </w:tc>
              <w:tc>
                <w:tcPr>
                  <w:tcW w:w="366" w:type="dxa"/>
                  <w:vAlign w:val="center"/>
                </w:tcPr>
                <w:p>
                  <w:pPr>
                    <w:pStyle w:val="57"/>
                    <w:rPr>
                      <w:color w:val="auto"/>
                      <w:sz w:val="21"/>
                      <w:szCs w:val="21"/>
                    </w:rPr>
                  </w:pPr>
                  <w:r>
                    <w:rPr>
                      <w:color w:val="auto"/>
                      <w:sz w:val="21"/>
                      <w:szCs w:val="21"/>
                    </w:rPr>
                    <w:t>m</w:t>
                  </w:r>
                </w:p>
              </w:tc>
              <w:tc>
                <w:tcPr>
                  <w:tcW w:w="528" w:type="dxa"/>
                  <w:vAlign w:val="center"/>
                </w:tcPr>
                <w:p>
                  <w:pPr>
                    <w:pStyle w:val="57"/>
                    <w:rPr>
                      <w:color w:val="auto"/>
                      <w:sz w:val="21"/>
                      <w:szCs w:val="21"/>
                    </w:rPr>
                  </w:pPr>
                  <w:r>
                    <w:rPr>
                      <w:color w:val="auto"/>
                      <w:sz w:val="21"/>
                      <w:szCs w:val="21"/>
                    </w:rPr>
                    <w:t>m/s</w:t>
                  </w:r>
                </w:p>
              </w:tc>
              <w:tc>
                <w:tcPr>
                  <w:tcW w:w="358" w:type="dxa"/>
                  <w:vAlign w:val="center"/>
                </w:tcPr>
                <w:p>
                  <w:pPr>
                    <w:pStyle w:val="57"/>
                    <w:rPr>
                      <w:color w:val="auto"/>
                      <w:sz w:val="21"/>
                      <w:szCs w:val="21"/>
                    </w:rPr>
                  </w:pPr>
                  <w:r>
                    <w:rPr>
                      <w:color w:val="auto"/>
                      <w:sz w:val="21"/>
                      <w:szCs w:val="21"/>
                    </w:rPr>
                    <w:t>℃</w:t>
                  </w:r>
                </w:p>
              </w:tc>
              <w:tc>
                <w:tcPr>
                  <w:tcW w:w="461" w:type="dxa"/>
                  <w:vAlign w:val="center"/>
                </w:tcPr>
                <w:p>
                  <w:pPr>
                    <w:pStyle w:val="57"/>
                    <w:rPr>
                      <w:color w:val="auto"/>
                      <w:sz w:val="21"/>
                      <w:szCs w:val="21"/>
                    </w:rPr>
                  </w:pPr>
                  <w:r>
                    <w:rPr>
                      <w:color w:val="auto"/>
                      <w:sz w:val="21"/>
                      <w:szCs w:val="21"/>
                    </w:rPr>
                    <w:t>h</w:t>
                  </w:r>
                </w:p>
              </w:tc>
              <w:tc>
                <w:tcPr>
                  <w:tcW w:w="427" w:type="dxa"/>
                  <w:vAlign w:val="center"/>
                </w:tcPr>
                <w:p>
                  <w:pPr>
                    <w:pStyle w:val="57"/>
                    <w:rPr>
                      <w:color w:val="auto"/>
                      <w:sz w:val="21"/>
                      <w:szCs w:val="21"/>
                    </w:rPr>
                  </w:pPr>
                  <w:r>
                    <w:rPr>
                      <w:color w:val="auto"/>
                      <w:sz w:val="21"/>
                      <w:szCs w:val="21"/>
                    </w:rPr>
                    <w:t>SO</w:t>
                  </w:r>
                  <w:r>
                    <w:rPr>
                      <w:color w:val="auto"/>
                      <w:sz w:val="21"/>
                      <w:szCs w:val="21"/>
                      <w:vertAlign w:val="subscript"/>
                    </w:rPr>
                    <w:t>2</w:t>
                  </w:r>
                </w:p>
              </w:tc>
              <w:tc>
                <w:tcPr>
                  <w:tcW w:w="496" w:type="dxa"/>
                  <w:vAlign w:val="center"/>
                </w:tcPr>
                <w:p>
                  <w:pPr>
                    <w:pStyle w:val="57"/>
                    <w:rPr>
                      <w:color w:val="auto"/>
                      <w:sz w:val="21"/>
                      <w:szCs w:val="21"/>
                    </w:rPr>
                  </w:pPr>
                  <w:r>
                    <w:rPr>
                      <w:color w:val="auto"/>
                      <w:sz w:val="21"/>
                      <w:szCs w:val="21"/>
                    </w:rPr>
                    <w:t>NO</w:t>
                  </w:r>
                  <w:r>
                    <w:rPr>
                      <w:i/>
                      <w:iCs/>
                      <w:color w:val="auto"/>
                      <w:sz w:val="21"/>
                      <w:szCs w:val="21"/>
                    </w:rPr>
                    <w:t>x</w:t>
                  </w:r>
                </w:p>
              </w:tc>
              <w:tc>
                <w:tcPr>
                  <w:tcW w:w="474" w:type="dxa"/>
                  <w:vAlign w:val="center"/>
                </w:tcPr>
                <w:p>
                  <w:pPr>
                    <w:pStyle w:val="57"/>
                    <w:rPr>
                      <w:color w:val="auto"/>
                      <w:sz w:val="21"/>
                      <w:szCs w:val="21"/>
                    </w:rPr>
                  </w:pPr>
                  <w:r>
                    <w:rPr>
                      <w:color w:val="auto"/>
                      <w:sz w:val="21"/>
                      <w:szCs w:val="21"/>
                    </w:rPr>
                    <w:t>PM</w:t>
                  </w:r>
                  <w:r>
                    <w:rPr>
                      <w:color w:val="auto"/>
                      <w:sz w:val="21"/>
                      <w:szCs w:val="21"/>
                      <w:vertAlign w:val="subscript"/>
                    </w:rPr>
                    <w:t>10</w:t>
                  </w:r>
                </w:p>
              </w:tc>
              <w:tc>
                <w:tcPr>
                  <w:tcW w:w="461" w:type="dxa"/>
                  <w:vAlign w:val="center"/>
                </w:tcPr>
                <w:p>
                  <w:pPr>
                    <w:pStyle w:val="57"/>
                    <w:rPr>
                      <w:color w:val="auto"/>
                      <w:sz w:val="21"/>
                      <w:szCs w:val="21"/>
                    </w:rPr>
                  </w:pPr>
                  <w:r>
                    <w:rPr>
                      <w:rFonts w:hint="eastAsia"/>
                      <w:color w:val="auto"/>
                      <w:sz w:val="21"/>
                      <w:szCs w:val="21"/>
                    </w:rPr>
                    <w:t>HF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57" w:type="dxa"/>
                  <w:vAlign w:val="center"/>
                </w:tcPr>
                <w:p>
                  <w:pPr>
                    <w:pStyle w:val="57"/>
                    <w:rPr>
                      <w:color w:val="auto"/>
                      <w:sz w:val="21"/>
                      <w:szCs w:val="21"/>
                    </w:rPr>
                  </w:pPr>
                  <w:r>
                    <w:rPr>
                      <w:color w:val="auto"/>
                      <w:sz w:val="21"/>
                      <w:szCs w:val="21"/>
                    </w:rPr>
                    <w:t>DA</w:t>
                  </w:r>
                </w:p>
                <w:p>
                  <w:pPr>
                    <w:pStyle w:val="57"/>
                    <w:rPr>
                      <w:color w:val="auto"/>
                      <w:sz w:val="21"/>
                      <w:szCs w:val="21"/>
                    </w:rPr>
                  </w:pPr>
                  <w:r>
                    <w:rPr>
                      <w:color w:val="auto"/>
                      <w:sz w:val="21"/>
                      <w:szCs w:val="21"/>
                    </w:rPr>
                    <w:t>001</w:t>
                  </w:r>
                </w:p>
              </w:tc>
              <w:tc>
                <w:tcPr>
                  <w:tcW w:w="791" w:type="dxa"/>
                  <w:vAlign w:val="center"/>
                </w:tcPr>
                <w:p>
                  <w:pPr>
                    <w:pStyle w:val="57"/>
                    <w:rPr>
                      <w:color w:val="auto"/>
                      <w:sz w:val="21"/>
                      <w:szCs w:val="21"/>
                    </w:rPr>
                  </w:pPr>
                  <w:r>
                    <w:rPr>
                      <w:color w:val="auto"/>
                      <w:sz w:val="21"/>
                      <w:szCs w:val="21"/>
                    </w:rPr>
                    <w:t>破碎筛分排气筒</w:t>
                  </w:r>
                </w:p>
              </w:tc>
              <w:tc>
                <w:tcPr>
                  <w:tcW w:w="515" w:type="dxa"/>
                  <w:vAlign w:val="center"/>
                </w:tcPr>
                <w:p>
                  <w:pPr>
                    <w:pStyle w:val="57"/>
                    <w:rPr>
                      <w:color w:val="auto"/>
                      <w:sz w:val="21"/>
                      <w:szCs w:val="21"/>
                    </w:rPr>
                  </w:pPr>
                  <w:r>
                    <w:rPr>
                      <w:color w:val="auto"/>
                      <w:sz w:val="21"/>
                      <w:szCs w:val="21"/>
                    </w:rPr>
                    <w:t>一般排放口</w:t>
                  </w:r>
                </w:p>
              </w:tc>
              <w:tc>
                <w:tcPr>
                  <w:tcW w:w="820" w:type="dxa"/>
                  <w:vAlign w:val="center"/>
                </w:tcPr>
                <w:p>
                  <w:pPr>
                    <w:pStyle w:val="57"/>
                    <w:rPr>
                      <w:rFonts w:hint="default" w:eastAsia="宋体"/>
                      <w:color w:val="auto"/>
                      <w:sz w:val="21"/>
                      <w:szCs w:val="21"/>
                      <w:highlight w:val="none"/>
                      <w:lang w:val="en-US" w:eastAsia="zh-CN"/>
                    </w:rPr>
                  </w:pPr>
                  <w:r>
                    <w:rPr>
                      <w:rFonts w:hint="eastAsia"/>
                      <w:color w:val="auto"/>
                      <w:sz w:val="21"/>
                      <w:szCs w:val="21"/>
                      <w:highlight w:val="none"/>
                      <w:lang w:val="en-US" w:eastAsia="zh-CN"/>
                    </w:rPr>
                    <w:t>108.003260</w:t>
                  </w:r>
                </w:p>
              </w:tc>
              <w:tc>
                <w:tcPr>
                  <w:tcW w:w="762" w:type="dxa"/>
                  <w:vAlign w:val="center"/>
                </w:tcPr>
                <w:p>
                  <w:pPr>
                    <w:pStyle w:val="57"/>
                    <w:rPr>
                      <w:rFonts w:hint="default" w:eastAsia="宋体"/>
                      <w:color w:val="auto"/>
                      <w:sz w:val="21"/>
                      <w:szCs w:val="21"/>
                      <w:highlight w:val="none"/>
                      <w:lang w:val="en-US" w:eastAsia="zh-CN"/>
                    </w:rPr>
                  </w:pPr>
                  <w:r>
                    <w:rPr>
                      <w:rFonts w:hint="eastAsia"/>
                      <w:color w:val="auto"/>
                      <w:sz w:val="21"/>
                      <w:szCs w:val="21"/>
                      <w:highlight w:val="none"/>
                      <w:lang w:val="en-US" w:eastAsia="zh-CN"/>
                    </w:rPr>
                    <w:t>35.203315</w:t>
                  </w:r>
                </w:p>
              </w:tc>
              <w:tc>
                <w:tcPr>
                  <w:tcW w:w="556" w:type="dxa"/>
                  <w:vAlign w:val="center"/>
                </w:tcPr>
                <w:p>
                  <w:pPr>
                    <w:pStyle w:val="57"/>
                    <w:rPr>
                      <w:rFonts w:hint="default" w:eastAsia="宋体"/>
                      <w:color w:val="auto"/>
                      <w:sz w:val="21"/>
                      <w:szCs w:val="21"/>
                      <w:highlight w:val="none"/>
                      <w:lang w:val="en-US" w:eastAsia="zh-CN"/>
                    </w:rPr>
                  </w:pPr>
                  <w:r>
                    <w:rPr>
                      <w:rFonts w:hint="eastAsia"/>
                      <w:color w:val="auto"/>
                      <w:sz w:val="21"/>
                      <w:szCs w:val="21"/>
                      <w:highlight w:val="none"/>
                      <w:lang w:val="en-US" w:eastAsia="zh-CN"/>
                    </w:rPr>
                    <w:t>1216</w:t>
                  </w:r>
                </w:p>
              </w:tc>
              <w:tc>
                <w:tcPr>
                  <w:tcW w:w="364" w:type="dxa"/>
                  <w:vAlign w:val="center"/>
                </w:tcPr>
                <w:p>
                  <w:pPr>
                    <w:pStyle w:val="57"/>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c>
                <w:tcPr>
                  <w:tcW w:w="366" w:type="dxa"/>
                  <w:vAlign w:val="center"/>
                </w:tcPr>
                <w:p>
                  <w:pPr>
                    <w:pStyle w:val="57"/>
                    <w:rPr>
                      <w:color w:val="auto"/>
                      <w:sz w:val="21"/>
                      <w:szCs w:val="21"/>
                    </w:rPr>
                  </w:pPr>
                  <w:r>
                    <w:rPr>
                      <w:color w:val="auto"/>
                      <w:sz w:val="21"/>
                      <w:szCs w:val="21"/>
                    </w:rPr>
                    <w:t>0.3</w:t>
                  </w:r>
                </w:p>
              </w:tc>
              <w:tc>
                <w:tcPr>
                  <w:tcW w:w="528" w:type="dxa"/>
                  <w:vAlign w:val="center"/>
                </w:tcPr>
                <w:p>
                  <w:pPr>
                    <w:pStyle w:val="57"/>
                    <w:rPr>
                      <w:color w:val="auto"/>
                      <w:sz w:val="21"/>
                      <w:szCs w:val="21"/>
                    </w:rPr>
                  </w:pPr>
                  <w:r>
                    <w:rPr>
                      <w:color w:val="auto"/>
                      <w:sz w:val="21"/>
                      <w:szCs w:val="21"/>
                    </w:rPr>
                    <w:t>12.87</w:t>
                  </w:r>
                </w:p>
              </w:tc>
              <w:tc>
                <w:tcPr>
                  <w:tcW w:w="358" w:type="dxa"/>
                  <w:vAlign w:val="center"/>
                </w:tcPr>
                <w:p>
                  <w:pPr>
                    <w:pStyle w:val="57"/>
                    <w:rPr>
                      <w:color w:val="auto"/>
                      <w:sz w:val="21"/>
                      <w:szCs w:val="21"/>
                    </w:rPr>
                  </w:pPr>
                  <w:r>
                    <w:rPr>
                      <w:color w:val="auto"/>
                      <w:sz w:val="21"/>
                      <w:szCs w:val="21"/>
                    </w:rPr>
                    <w:t>25</w:t>
                  </w:r>
                </w:p>
              </w:tc>
              <w:tc>
                <w:tcPr>
                  <w:tcW w:w="461" w:type="dxa"/>
                  <w:vAlign w:val="center"/>
                </w:tcPr>
                <w:p>
                  <w:pPr>
                    <w:pStyle w:val="57"/>
                    <w:rPr>
                      <w:rFonts w:hint="default" w:eastAsia="宋体"/>
                      <w:color w:val="auto"/>
                      <w:sz w:val="21"/>
                      <w:szCs w:val="21"/>
                      <w:lang w:val="en-US" w:eastAsia="zh-CN"/>
                    </w:rPr>
                  </w:pPr>
                  <w:r>
                    <w:rPr>
                      <w:rFonts w:hint="eastAsia"/>
                      <w:color w:val="auto"/>
                      <w:szCs w:val="21"/>
                      <w:lang w:val="en-US" w:eastAsia="zh-CN"/>
                    </w:rPr>
                    <w:t>900</w:t>
                  </w:r>
                </w:p>
              </w:tc>
              <w:tc>
                <w:tcPr>
                  <w:tcW w:w="427" w:type="dxa"/>
                  <w:noWrap/>
                  <w:vAlign w:val="center"/>
                </w:tcPr>
                <w:p>
                  <w:pPr>
                    <w:pStyle w:val="57"/>
                    <w:rPr>
                      <w:color w:val="auto"/>
                      <w:sz w:val="21"/>
                      <w:szCs w:val="21"/>
                    </w:rPr>
                  </w:pPr>
                  <w:r>
                    <w:rPr>
                      <w:color w:val="auto"/>
                      <w:szCs w:val="21"/>
                    </w:rPr>
                    <w:t>/</w:t>
                  </w:r>
                </w:p>
              </w:tc>
              <w:tc>
                <w:tcPr>
                  <w:tcW w:w="496" w:type="dxa"/>
                  <w:noWrap/>
                  <w:vAlign w:val="center"/>
                </w:tcPr>
                <w:p>
                  <w:pPr>
                    <w:pStyle w:val="57"/>
                    <w:rPr>
                      <w:color w:val="auto"/>
                      <w:sz w:val="21"/>
                      <w:szCs w:val="21"/>
                    </w:rPr>
                  </w:pPr>
                  <w:r>
                    <w:rPr>
                      <w:color w:val="auto"/>
                      <w:szCs w:val="21"/>
                    </w:rPr>
                    <w:t>/</w:t>
                  </w:r>
                </w:p>
              </w:tc>
              <w:tc>
                <w:tcPr>
                  <w:tcW w:w="474" w:type="dxa"/>
                  <w:noWrap/>
                  <w:vAlign w:val="center"/>
                </w:tcPr>
                <w:p>
                  <w:pPr>
                    <w:pStyle w:val="57"/>
                    <w:rPr>
                      <w:rFonts w:hint="default" w:eastAsia="宋体"/>
                      <w:color w:val="auto"/>
                      <w:sz w:val="21"/>
                      <w:szCs w:val="21"/>
                      <w:lang w:val="en-US" w:eastAsia="zh-CN"/>
                    </w:rPr>
                  </w:pPr>
                  <w:r>
                    <w:rPr>
                      <w:rFonts w:hint="eastAsia"/>
                      <w:color w:val="auto"/>
                      <w:szCs w:val="21"/>
                    </w:rPr>
                    <w:t>0.</w:t>
                  </w:r>
                  <w:r>
                    <w:rPr>
                      <w:rFonts w:hint="eastAsia"/>
                      <w:color w:val="auto"/>
                      <w:szCs w:val="21"/>
                      <w:lang w:val="en-US" w:eastAsia="zh-CN"/>
                    </w:rPr>
                    <w:t>148</w:t>
                  </w:r>
                </w:p>
              </w:tc>
              <w:tc>
                <w:tcPr>
                  <w:tcW w:w="461" w:type="dxa"/>
                  <w:vAlign w:val="center"/>
                </w:tcPr>
                <w:p>
                  <w:pPr>
                    <w:pStyle w:val="57"/>
                    <w:rPr>
                      <w:color w:val="auto"/>
                      <w:sz w:val="21"/>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57" w:type="dxa"/>
                  <w:vAlign w:val="center"/>
                </w:tcPr>
                <w:p>
                  <w:pPr>
                    <w:pStyle w:val="57"/>
                    <w:rPr>
                      <w:color w:val="auto"/>
                      <w:sz w:val="21"/>
                      <w:szCs w:val="21"/>
                    </w:rPr>
                  </w:pPr>
                  <w:r>
                    <w:rPr>
                      <w:color w:val="auto"/>
                      <w:sz w:val="21"/>
                      <w:szCs w:val="21"/>
                    </w:rPr>
                    <w:t>DA</w:t>
                  </w:r>
                </w:p>
                <w:p>
                  <w:pPr>
                    <w:pStyle w:val="57"/>
                    <w:rPr>
                      <w:color w:val="auto"/>
                      <w:sz w:val="21"/>
                      <w:szCs w:val="21"/>
                    </w:rPr>
                  </w:pPr>
                  <w:r>
                    <w:rPr>
                      <w:color w:val="auto"/>
                      <w:sz w:val="21"/>
                      <w:szCs w:val="21"/>
                    </w:rPr>
                    <w:t>002</w:t>
                  </w:r>
                </w:p>
              </w:tc>
              <w:tc>
                <w:tcPr>
                  <w:tcW w:w="791" w:type="dxa"/>
                  <w:noWrap/>
                  <w:vAlign w:val="center"/>
                </w:tcPr>
                <w:p>
                  <w:pPr>
                    <w:pStyle w:val="57"/>
                    <w:rPr>
                      <w:color w:val="auto"/>
                      <w:sz w:val="21"/>
                      <w:szCs w:val="21"/>
                    </w:rPr>
                  </w:pPr>
                  <w:r>
                    <w:rPr>
                      <w:color w:val="auto"/>
                      <w:sz w:val="21"/>
                      <w:szCs w:val="21"/>
                    </w:rPr>
                    <w:t>隧道窑排气筒</w:t>
                  </w:r>
                </w:p>
              </w:tc>
              <w:tc>
                <w:tcPr>
                  <w:tcW w:w="515" w:type="dxa"/>
                  <w:vAlign w:val="center"/>
                </w:tcPr>
                <w:p>
                  <w:pPr>
                    <w:pStyle w:val="57"/>
                    <w:rPr>
                      <w:color w:val="auto"/>
                      <w:sz w:val="21"/>
                      <w:szCs w:val="21"/>
                    </w:rPr>
                  </w:pPr>
                  <w:r>
                    <w:rPr>
                      <w:color w:val="auto"/>
                      <w:sz w:val="21"/>
                      <w:szCs w:val="21"/>
                    </w:rPr>
                    <w:t>一般排放口</w:t>
                  </w:r>
                </w:p>
              </w:tc>
              <w:tc>
                <w:tcPr>
                  <w:tcW w:w="820" w:type="dxa"/>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108.003391</w:t>
                  </w:r>
                </w:p>
              </w:tc>
              <w:tc>
                <w:tcPr>
                  <w:tcW w:w="762" w:type="dxa"/>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35.203537</w:t>
                  </w:r>
                </w:p>
              </w:tc>
              <w:tc>
                <w:tcPr>
                  <w:tcW w:w="556" w:type="dxa"/>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1216</w:t>
                  </w:r>
                </w:p>
              </w:tc>
              <w:tc>
                <w:tcPr>
                  <w:tcW w:w="364" w:type="dxa"/>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33</w:t>
                  </w:r>
                </w:p>
              </w:tc>
              <w:tc>
                <w:tcPr>
                  <w:tcW w:w="366" w:type="dxa"/>
                  <w:vAlign w:val="center"/>
                </w:tcPr>
                <w:p>
                  <w:pPr>
                    <w:pStyle w:val="57"/>
                    <w:rPr>
                      <w:rFonts w:hint="eastAsia" w:eastAsia="宋体"/>
                      <w:color w:val="auto"/>
                      <w:sz w:val="21"/>
                      <w:szCs w:val="21"/>
                      <w:lang w:val="en-US" w:eastAsia="zh-CN"/>
                    </w:rPr>
                  </w:pPr>
                  <w:r>
                    <w:rPr>
                      <w:rFonts w:hint="eastAsia"/>
                      <w:color w:val="auto"/>
                      <w:sz w:val="21"/>
                      <w:szCs w:val="21"/>
                      <w:lang w:val="en-US" w:eastAsia="zh-CN"/>
                    </w:rPr>
                    <w:t>3</w:t>
                  </w:r>
                  <w:r>
                    <w:rPr>
                      <w:color w:val="auto"/>
                      <w:sz w:val="21"/>
                      <w:szCs w:val="21"/>
                    </w:rPr>
                    <w:t>.</w:t>
                  </w:r>
                  <w:r>
                    <w:rPr>
                      <w:rFonts w:hint="eastAsia"/>
                      <w:color w:val="auto"/>
                      <w:sz w:val="21"/>
                      <w:szCs w:val="21"/>
                      <w:lang w:val="en-US" w:eastAsia="zh-CN"/>
                    </w:rPr>
                    <w:t>5</w:t>
                  </w:r>
                </w:p>
              </w:tc>
              <w:tc>
                <w:tcPr>
                  <w:tcW w:w="528" w:type="dxa"/>
                  <w:vAlign w:val="center"/>
                </w:tcPr>
                <w:p>
                  <w:pPr>
                    <w:pStyle w:val="57"/>
                    <w:rPr>
                      <w:color w:val="auto"/>
                      <w:sz w:val="21"/>
                      <w:szCs w:val="21"/>
                    </w:rPr>
                  </w:pPr>
                  <w:r>
                    <w:rPr>
                      <w:color w:val="auto"/>
                      <w:sz w:val="21"/>
                      <w:szCs w:val="21"/>
                    </w:rPr>
                    <w:t>8.04</w:t>
                  </w:r>
                </w:p>
              </w:tc>
              <w:tc>
                <w:tcPr>
                  <w:tcW w:w="358" w:type="dxa"/>
                  <w:vAlign w:val="center"/>
                </w:tcPr>
                <w:p>
                  <w:pPr>
                    <w:pStyle w:val="57"/>
                    <w:rPr>
                      <w:color w:val="auto"/>
                      <w:sz w:val="21"/>
                      <w:szCs w:val="21"/>
                    </w:rPr>
                  </w:pPr>
                  <w:r>
                    <w:rPr>
                      <w:color w:val="auto"/>
                      <w:sz w:val="21"/>
                      <w:szCs w:val="21"/>
                    </w:rPr>
                    <w:t>80</w:t>
                  </w:r>
                </w:p>
              </w:tc>
              <w:tc>
                <w:tcPr>
                  <w:tcW w:w="461" w:type="dxa"/>
                  <w:vAlign w:val="center"/>
                </w:tcPr>
                <w:p>
                  <w:pPr>
                    <w:pStyle w:val="57"/>
                    <w:rPr>
                      <w:rFonts w:hint="default" w:eastAsia="宋体"/>
                      <w:color w:val="auto"/>
                      <w:sz w:val="21"/>
                      <w:szCs w:val="21"/>
                      <w:lang w:val="en-US" w:eastAsia="zh-CN"/>
                    </w:rPr>
                  </w:pPr>
                  <w:r>
                    <w:rPr>
                      <w:rFonts w:hint="eastAsia"/>
                      <w:color w:val="auto"/>
                      <w:szCs w:val="21"/>
                    </w:rPr>
                    <w:t>7200</w:t>
                  </w:r>
                </w:p>
              </w:tc>
              <w:tc>
                <w:tcPr>
                  <w:tcW w:w="427" w:type="dxa"/>
                  <w:noWrap/>
                  <w:vAlign w:val="center"/>
                </w:tcPr>
                <w:p>
                  <w:pPr>
                    <w:pStyle w:val="57"/>
                    <w:rPr>
                      <w:rFonts w:hint="default" w:eastAsia="宋体"/>
                      <w:color w:val="auto"/>
                      <w:sz w:val="21"/>
                      <w:szCs w:val="21"/>
                      <w:lang w:val="en-US" w:eastAsia="zh-CN"/>
                    </w:rPr>
                  </w:pPr>
                  <w:r>
                    <w:rPr>
                      <w:rFonts w:hint="eastAsia"/>
                      <w:color w:val="auto"/>
                      <w:szCs w:val="21"/>
                      <w:lang w:val="en-US" w:eastAsia="zh-CN"/>
                    </w:rPr>
                    <w:t>0.616</w:t>
                  </w:r>
                </w:p>
              </w:tc>
              <w:tc>
                <w:tcPr>
                  <w:tcW w:w="496" w:type="dxa"/>
                  <w:noWrap/>
                  <w:vAlign w:val="center"/>
                </w:tcPr>
                <w:p>
                  <w:pPr>
                    <w:pStyle w:val="57"/>
                    <w:rPr>
                      <w:rFonts w:hint="default" w:eastAsia="宋体"/>
                      <w:color w:val="auto"/>
                      <w:sz w:val="21"/>
                      <w:szCs w:val="21"/>
                      <w:lang w:val="en-US" w:eastAsia="zh-CN"/>
                    </w:rPr>
                  </w:pPr>
                  <w:r>
                    <w:rPr>
                      <w:rFonts w:hint="eastAsia"/>
                      <w:color w:val="auto"/>
                      <w:szCs w:val="21"/>
                      <w:lang w:val="en-US" w:eastAsia="zh-CN"/>
                    </w:rPr>
                    <w:t>0.53</w:t>
                  </w:r>
                </w:p>
              </w:tc>
              <w:tc>
                <w:tcPr>
                  <w:tcW w:w="474" w:type="dxa"/>
                  <w:noWrap/>
                  <w:vAlign w:val="center"/>
                </w:tcPr>
                <w:p>
                  <w:pPr>
                    <w:pStyle w:val="57"/>
                    <w:rPr>
                      <w:rFonts w:hint="default" w:eastAsia="宋体"/>
                      <w:color w:val="auto"/>
                      <w:sz w:val="21"/>
                      <w:szCs w:val="21"/>
                      <w:lang w:val="en-US" w:eastAsia="zh-CN"/>
                    </w:rPr>
                  </w:pPr>
                  <w:r>
                    <w:rPr>
                      <w:rFonts w:hint="eastAsia"/>
                      <w:color w:val="auto"/>
                      <w:szCs w:val="21"/>
                      <w:lang w:val="en-US" w:eastAsia="zh-CN"/>
                    </w:rPr>
                    <w:t>0.079</w:t>
                  </w:r>
                </w:p>
              </w:tc>
              <w:tc>
                <w:tcPr>
                  <w:tcW w:w="461" w:type="dxa"/>
                  <w:vAlign w:val="center"/>
                </w:tcPr>
                <w:p>
                  <w:pPr>
                    <w:pStyle w:val="57"/>
                    <w:rPr>
                      <w:rFonts w:hint="default" w:eastAsia="宋体"/>
                      <w:color w:val="auto"/>
                      <w:sz w:val="21"/>
                      <w:szCs w:val="21"/>
                      <w:lang w:val="en-US" w:eastAsia="zh-CN"/>
                    </w:rPr>
                  </w:pPr>
                  <w:r>
                    <w:rPr>
                      <w:rFonts w:hint="eastAsia"/>
                      <w:color w:val="auto"/>
                      <w:szCs w:val="21"/>
                      <w:lang w:val="en-US" w:eastAsia="zh-CN"/>
                    </w:rPr>
                    <w:t>0.03</w:t>
                  </w:r>
                </w:p>
              </w:tc>
            </w:tr>
          </w:tbl>
          <w:p>
            <w:pPr>
              <w:pStyle w:val="14"/>
              <w:keepNext/>
              <w:keepLines w:val="0"/>
              <w:pageBreakBefore w:val="0"/>
              <w:widowControl w:val="0"/>
              <w:kinsoku/>
              <w:wordWrap/>
              <w:overflowPunct/>
              <w:topLinePunct w:val="0"/>
              <w:autoSpaceDE/>
              <w:autoSpaceDN/>
              <w:bidi w:val="0"/>
              <w:adjustRightInd/>
              <w:snapToGrid/>
              <w:spacing w:before="126" w:beforeLines="40" w:line="240" w:lineRule="auto"/>
              <w:textAlignment w:val="auto"/>
              <w:rPr>
                <w:rFonts w:cs="Times New Roman"/>
                <w:color w:val="auto"/>
              </w:rPr>
            </w:pPr>
            <w:r>
              <w:rPr>
                <w:rFonts w:eastAsia="宋体" w:cs="Times New Roman"/>
                <w:color w:val="auto"/>
              </w:rPr>
              <w:t>表</w:t>
            </w:r>
            <w:r>
              <w:rPr>
                <w:rFonts w:cs="Times New Roman"/>
                <w:color w:val="auto"/>
              </w:rPr>
              <w:t xml:space="preserve"> </w:t>
            </w:r>
            <w:r>
              <w:rPr>
                <w:rFonts w:hint="eastAsia" w:eastAsia="宋体" w:cs="Times New Roman"/>
                <w:color w:val="auto"/>
                <w:lang w:val="en-US" w:eastAsia="zh-CN"/>
              </w:rPr>
              <w:t xml:space="preserve">4-8   </w:t>
            </w:r>
            <w:r>
              <w:rPr>
                <w:rFonts w:eastAsia="宋体" w:cs="Times New Roman"/>
                <w:color w:val="auto"/>
              </w:rPr>
              <w:t>无组织废气污染源排放口情况一览表</w:t>
            </w:r>
          </w:p>
          <w:tbl>
            <w:tblPr>
              <w:tblStyle w:val="29"/>
              <w:tblW w:w="7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787"/>
              <w:gridCol w:w="787"/>
              <w:gridCol w:w="770"/>
              <w:gridCol w:w="689"/>
              <w:gridCol w:w="901"/>
              <w:gridCol w:w="860"/>
              <w:gridCol w:w="1026"/>
              <w:gridCol w:w="70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Merge w:val="restart"/>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编号</w:t>
                  </w:r>
                </w:p>
              </w:tc>
              <w:tc>
                <w:tcPr>
                  <w:tcW w:w="791" w:type="dxa"/>
                  <w:vMerge w:val="restart"/>
                  <w:vAlign w:val="center"/>
                </w:tcPr>
                <w:p>
                  <w:pPr>
                    <w:pStyle w:val="57"/>
                    <w:rPr>
                      <w:rFonts w:hint="default" w:ascii="Times New Roman" w:hAnsi="Times New Roman" w:eastAsia="宋体" w:cs="Times New Roman"/>
                      <w:b w:val="0"/>
                      <w:bCs w:val="0"/>
                      <w:color w:val="auto"/>
                      <w:sz w:val="21"/>
                      <w:szCs w:val="21"/>
                      <w:vertAlign w:val="baseline"/>
                    </w:rPr>
                  </w:pPr>
                  <w:r>
                    <w:rPr>
                      <w:szCs w:val="21"/>
                    </w:rPr>
                    <w:t>名称</w:t>
                  </w:r>
                </w:p>
              </w:tc>
              <w:tc>
                <w:tcPr>
                  <w:tcW w:w="5796" w:type="dxa"/>
                  <w:gridSpan w:val="7"/>
                  <w:vAlign w:val="center"/>
                </w:tcPr>
                <w:p>
                  <w:pPr>
                    <w:pStyle w:val="57"/>
                    <w:rPr>
                      <w:rFonts w:hint="default" w:ascii="Times New Roman" w:hAnsi="Times New Roman" w:eastAsia="宋体" w:cs="Times New Roman"/>
                      <w:kern w:val="2"/>
                      <w:sz w:val="21"/>
                      <w:szCs w:val="21"/>
                      <w:lang w:val="en-US" w:eastAsia="zh-CN" w:bidi="ar-SA"/>
                    </w:rPr>
                  </w:pPr>
                  <w:r>
                    <w:rPr>
                      <w:szCs w:val="21"/>
                    </w:rPr>
                    <w:t>矩形面源</w:t>
                  </w:r>
                </w:p>
              </w:tc>
              <w:tc>
                <w:tcPr>
                  <w:tcW w:w="962" w:type="dxa"/>
                  <w:vAlign w:val="center"/>
                </w:tcPr>
                <w:p>
                  <w:pPr>
                    <w:pStyle w:val="57"/>
                    <w:rPr>
                      <w:rFonts w:hint="default" w:ascii="Times New Roman" w:hAnsi="Times New Roman" w:eastAsia="宋体" w:cs="Times New Roman"/>
                      <w:kern w:val="2"/>
                      <w:sz w:val="21"/>
                      <w:szCs w:val="21"/>
                      <w:lang w:val="en-US" w:eastAsia="zh-CN" w:bidi="ar-SA"/>
                    </w:rPr>
                  </w:pPr>
                  <w:r>
                    <w:rPr>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791"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szCs w:val="21"/>
                    </w:rPr>
                    <w:t>海拔/m</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szCs w:val="21"/>
                    </w:rPr>
                    <w:t>长度/m</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szCs w:val="21"/>
                    </w:rPr>
                    <w:t>宽度/m</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szCs w:val="21"/>
                    </w:rPr>
                    <w:t>与正北夹角/°</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szCs w:val="21"/>
                    </w:rPr>
                    <w:t>有效高度/m</w:t>
                  </w:r>
                </w:p>
              </w:tc>
              <w:tc>
                <w:tcPr>
                  <w:tcW w:w="1037" w:type="dxa"/>
                  <w:vAlign w:val="center"/>
                </w:tcPr>
                <w:p>
                  <w:pPr>
                    <w:pStyle w:val="57"/>
                    <w:rPr>
                      <w:rFonts w:hint="default" w:ascii="Times New Roman" w:hAnsi="Times New Roman" w:eastAsia="宋体" w:cs="Times New Roman"/>
                      <w:kern w:val="2"/>
                      <w:sz w:val="21"/>
                      <w:szCs w:val="21"/>
                      <w:lang w:val="en-US" w:eastAsia="zh-CN" w:bidi="ar-SA"/>
                    </w:rPr>
                  </w:pPr>
                  <w:r>
                    <w:rPr>
                      <w:szCs w:val="21"/>
                    </w:rPr>
                    <w:t>年排放小时数/h</w:t>
                  </w:r>
                </w:p>
              </w:tc>
              <w:tc>
                <w:tcPr>
                  <w:tcW w:w="709" w:type="dxa"/>
                  <w:vAlign w:val="center"/>
                </w:tcPr>
                <w:p>
                  <w:pPr>
                    <w:pStyle w:val="57"/>
                    <w:rPr>
                      <w:rFonts w:hint="default" w:ascii="Times New Roman" w:hAnsi="Times New Roman" w:eastAsia="宋体" w:cs="Times New Roman"/>
                      <w:kern w:val="2"/>
                      <w:sz w:val="21"/>
                      <w:szCs w:val="21"/>
                      <w:lang w:val="en-US" w:eastAsia="zh-CN" w:bidi="ar-SA"/>
                    </w:rPr>
                  </w:pPr>
                  <w:r>
                    <w:rPr>
                      <w:szCs w:val="21"/>
                    </w:rPr>
                    <w:t>排放工况</w:t>
                  </w:r>
                </w:p>
              </w:tc>
              <w:tc>
                <w:tcPr>
                  <w:tcW w:w="962" w:type="dxa"/>
                  <w:vAlign w:val="center"/>
                </w:tcPr>
                <w:p>
                  <w:pPr>
                    <w:pStyle w:val="57"/>
                    <w:rPr>
                      <w:rFonts w:hint="default" w:ascii="Times New Roman" w:hAnsi="Times New Roman" w:eastAsia="宋体" w:cs="Times New Roman"/>
                      <w:kern w:val="2"/>
                      <w:sz w:val="21"/>
                      <w:szCs w:val="21"/>
                      <w:lang w:val="en-US" w:eastAsia="zh-CN" w:bidi="ar-SA"/>
                    </w:rPr>
                  </w:pPr>
                  <w:r>
                    <w:rPr>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A1</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粘土开采</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10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A2</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szCs w:val="21"/>
                    </w:rPr>
                    <w:t>煤矸石</w:t>
                  </w:r>
                  <w:r>
                    <w:rPr>
                      <w:rFonts w:hint="eastAsia"/>
                      <w:szCs w:val="21"/>
                      <w:lang w:val="en-US" w:eastAsia="zh-CN"/>
                    </w:rPr>
                    <w:t>堆棚</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20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15</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30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w:t>
                  </w:r>
                  <w:r>
                    <w:rPr>
                      <w:rFonts w:hint="eastAsia"/>
                      <w:szCs w:val="21"/>
                    </w:rPr>
                    <w:t>3</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破碎、筛分</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40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20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20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A4</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粘土装卸及堆放</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221</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A5</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运输动力起尘</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1216</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highlight w:val="none"/>
                      <w:lang w:val="en-US" w:eastAsia="zh-CN"/>
                    </w:rPr>
                    <w:t>120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10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olor w:val="auto"/>
                      <w:sz w:val="21"/>
                      <w:szCs w:val="21"/>
                      <w:lang w:val="en-US" w:eastAsia="zh-CN"/>
                    </w:rPr>
                    <w:t>4</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rPr>
                    <w:t>2400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0.163</w:t>
                  </w:r>
                </w:p>
              </w:tc>
            </w:tr>
          </w:tbl>
          <w:p>
            <w:pPr>
              <w:pStyle w:val="60"/>
              <w:ind w:left="0" w:leftChars="0" w:firstLine="0" w:firstLineChars="0"/>
              <w:rPr>
                <w:b/>
                <w:bCs/>
                <w:color w:val="auto"/>
                <w:sz w:val="24"/>
                <w:szCs w:val="24"/>
              </w:rPr>
            </w:pPr>
            <w:r>
              <w:rPr>
                <w:rFonts w:hint="eastAsia"/>
                <w:b/>
                <w:bCs/>
                <w:color w:val="auto"/>
                <w:sz w:val="24"/>
                <w:szCs w:val="24"/>
                <w:lang w:val="en-US" w:eastAsia="zh-CN"/>
              </w:rPr>
              <w:t>2.4</w:t>
            </w:r>
            <w:r>
              <w:rPr>
                <w:b/>
                <w:bCs/>
                <w:color w:val="auto"/>
                <w:sz w:val="24"/>
                <w:szCs w:val="24"/>
              </w:rPr>
              <w:t>大气监测计划</w:t>
            </w:r>
          </w:p>
          <w:p>
            <w:pPr>
              <w:pStyle w:val="66"/>
              <w:ind w:firstLine="480"/>
              <w:rPr>
                <w:color w:val="auto"/>
                <w:sz w:val="24"/>
                <w:szCs w:val="24"/>
              </w:rPr>
            </w:pPr>
            <w:r>
              <w:rPr>
                <w:color w:val="auto"/>
                <w:sz w:val="24"/>
                <w:szCs w:val="24"/>
              </w:rPr>
              <w:t>根据《排污许可证申请与核发技术规范 陶瓷砖瓦工业》（HJ954-2018），具体废气监测计划见表4-</w:t>
            </w:r>
            <w:r>
              <w:rPr>
                <w:rFonts w:hint="eastAsia"/>
                <w:color w:val="auto"/>
                <w:sz w:val="24"/>
                <w:szCs w:val="24"/>
                <w:lang w:val="en-US" w:eastAsia="zh-CN"/>
              </w:rPr>
              <w:t>9</w:t>
            </w:r>
            <w:r>
              <w:rPr>
                <w:color w:val="auto"/>
                <w:sz w:val="24"/>
                <w:szCs w:val="24"/>
              </w:rPr>
              <w:t>。</w:t>
            </w:r>
          </w:p>
          <w:p>
            <w:pPr>
              <w:pStyle w:val="66"/>
              <w:spacing w:line="240" w:lineRule="auto"/>
              <w:ind w:firstLine="0" w:firstLineChars="0"/>
              <w:jc w:val="center"/>
              <w:rPr>
                <w:b/>
                <w:bCs/>
                <w:color w:val="auto"/>
                <w:sz w:val="21"/>
                <w:szCs w:val="21"/>
              </w:rPr>
            </w:pPr>
            <w:r>
              <w:rPr>
                <w:b/>
                <w:bCs/>
                <w:color w:val="auto"/>
                <w:sz w:val="21"/>
                <w:szCs w:val="21"/>
              </w:rPr>
              <w:t>表4-</w:t>
            </w:r>
            <w:r>
              <w:rPr>
                <w:rFonts w:hint="eastAsia"/>
                <w:b/>
                <w:bCs/>
                <w:color w:val="auto"/>
                <w:sz w:val="21"/>
                <w:szCs w:val="21"/>
                <w:lang w:val="en-US" w:eastAsia="zh-CN"/>
              </w:rPr>
              <w:t xml:space="preserve">9 </w:t>
            </w:r>
            <w:r>
              <w:rPr>
                <w:b/>
                <w:bCs/>
                <w:color w:val="auto"/>
                <w:sz w:val="21"/>
                <w:szCs w:val="21"/>
              </w:rPr>
              <w:t xml:space="preserve">  废气监测计划</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166"/>
              <w:gridCol w:w="1278"/>
              <w:gridCol w:w="1214"/>
              <w:gridCol w:w="1109"/>
              <w:gridCol w:w="681"/>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监测</w:t>
                  </w:r>
                </w:p>
                <w:p>
                  <w:pPr>
                    <w:pStyle w:val="66"/>
                    <w:spacing w:line="240" w:lineRule="auto"/>
                    <w:ind w:firstLine="0" w:firstLineChars="0"/>
                    <w:jc w:val="center"/>
                    <w:rPr>
                      <w:b w:val="0"/>
                      <w:bCs w:val="0"/>
                      <w:color w:val="auto"/>
                      <w:sz w:val="21"/>
                      <w:szCs w:val="21"/>
                    </w:rPr>
                  </w:pPr>
                  <w:r>
                    <w:rPr>
                      <w:b w:val="0"/>
                      <w:bCs w:val="0"/>
                      <w:color w:val="auto"/>
                      <w:sz w:val="21"/>
                      <w:szCs w:val="21"/>
                    </w:rPr>
                    <w:t>类别</w:t>
                  </w:r>
                </w:p>
              </w:tc>
              <w:tc>
                <w:tcPr>
                  <w:tcW w:w="775"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监测</w:t>
                  </w:r>
                </w:p>
                <w:p>
                  <w:pPr>
                    <w:pStyle w:val="66"/>
                    <w:spacing w:line="240" w:lineRule="auto"/>
                    <w:ind w:firstLine="0" w:firstLineChars="0"/>
                    <w:jc w:val="center"/>
                    <w:rPr>
                      <w:b w:val="0"/>
                      <w:bCs w:val="0"/>
                      <w:color w:val="auto"/>
                      <w:sz w:val="21"/>
                      <w:szCs w:val="21"/>
                    </w:rPr>
                  </w:pPr>
                  <w:r>
                    <w:rPr>
                      <w:b w:val="0"/>
                      <w:bCs w:val="0"/>
                      <w:color w:val="auto"/>
                      <w:sz w:val="21"/>
                      <w:szCs w:val="21"/>
                    </w:rPr>
                    <w:t>项目</w:t>
                  </w:r>
                </w:p>
              </w:tc>
              <w:tc>
                <w:tcPr>
                  <w:tcW w:w="843"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监测点位置</w:t>
                  </w:r>
                </w:p>
              </w:tc>
              <w:tc>
                <w:tcPr>
                  <w:tcW w:w="1302" w:type="pct"/>
                  <w:gridSpan w:val="2"/>
                  <w:noWrap w:val="0"/>
                  <w:vAlign w:val="center"/>
                </w:tcPr>
                <w:p>
                  <w:pPr>
                    <w:pStyle w:val="66"/>
                    <w:spacing w:line="240" w:lineRule="auto"/>
                    <w:ind w:firstLine="0" w:firstLineChars="0"/>
                    <w:jc w:val="center"/>
                    <w:rPr>
                      <w:rFonts w:hint="eastAsia" w:eastAsia="宋体"/>
                      <w:b w:val="0"/>
                      <w:bCs w:val="0"/>
                      <w:color w:val="auto"/>
                      <w:sz w:val="21"/>
                      <w:szCs w:val="21"/>
                      <w:lang w:val="en-US" w:eastAsia="zh-CN"/>
                    </w:rPr>
                  </w:pPr>
                  <w:r>
                    <w:rPr>
                      <w:rFonts w:hint="eastAsia"/>
                      <w:b w:val="0"/>
                      <w:bCs w:val="0"/>
                      <w:color w:val="auto"/>
                      <w:sz w:val="21"/>
                      <w:szCs w:val="21"/>
                      <w:lang w:val="en-US" w:eastAsia="zh-CN"/>
                    </w:rPr>
                    <w:t>坐标</w:t>
                  </w:r>
                </w:p>
              </w:tc>
              <w:tc>
                <w:tcPr>
                  <w:tcW w:w="479"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监测</w:t>
                  </w:r>
                </w:p>
                <w:p>
                  <w:pPr>
                    <w:pStyle w:val="66"/>
                    <w:spacing w:line="240" w:lineRule="auto"/>
                    <w:ind w:firstLine="0" w:firstLineChars="0"/>
                    <w:jc w:val="center"/>
                    <w:rPr>
                      <w:b w:val="0"/>
                      <w:bCs w:val="0"/>
                      <w:color w:val="auto"/>
                      <w:sz w:val="21"/>
                      <w:szCs w:val="21"/>
                    </w:rPr>
                  </w:pPr>
                  <w:r>
                    <w:rPr>
                      <w:b w:val="0"/>
                      <w:bCs w:val="0"/>
                      <w:color w:val="auto"/>
                      <w:sz w:val="21"/>
                      <w:szCs w:val="21"/>
                    </w:rPr>
                    <w:t>频率</w:t>
                  </w:r>
                </w:p>
              </w:tc>
              <w:tc>
                <w:tcPr>
                  <w:tcW w:w="1043"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continue"/>
                  <w:noWrap w:val="0"/>
                  <w:vAlign w:val="center"/>
                </w:tcPr>
                <w:p>
                  <w:pPr>
                    <w:pStyle w:val="66"/>
                    <w:spacing w:line="240" w:lineRule="auto"/>
                    <w:ind w:firstLine="0" w:firstLineChars="0"/>
                    <w:jc w:val="center"/>
                    <w:rPr>
                      <w:b w:val="0"/>
                      <w:bCs w:val="0"/>
                      <w:color w:val="auto"/>
                      <w:sz w:val="21"/>
                      <w:szCs w:val="21"/>
                    </w:rPr>
                  </w:pPr>
                </w:p>
              </w:tc>
              <w:tc>
                <w:tcPr>
                  <w:tcW w:w="775" w:type="pct"/>
                  <w:vMerge w:val="continue"/>
                  <w:noWrap w:val="0"/>
                  <w:vAlign w:val="center"/>
                </w:tcPr>
                <w:p>
                  <w:pPr>
                    <w:pStyle w:val="66"/>
                    <w:spacing w:line="240" w:lineRule="auto"/>
                    <w:ind w:firstLine="0" w:firstLineChars="0"/>
                    <w:jc w:val="center"/>
                    <w:rPr>
                      <w:b w:val="0"/>
                      <w:bCs w:val="0"/>
                      <w:color w:val="auto"/>
                      <w:sz w:val="21"/>
                      <w:szCs w:val="21"/>
                    </w:rPr>
                  </w:pPr>
                </w:p>
              </w:tc>
              <w:tc>
                <w:tcPr>
                  <w:tcW w:w="843" w:type="pct"/>
                  <w:vMerge w:val="continue"/>
                  <w:noWrap w:val="0"/>
                  <w:vAlign w:val="center"/>
                </w:tcPr>
                <w:p>
                  <w:pPr>
                    <w:pStyle w:val="66"/>
                    <w:spacing w:line="240" w:lineRule="auto"/>
                    <w:ind w:firstLine="0" w:firstLineChars="0"/>
                    <w:jc w:val="center"/>
                    <w:rPr>
                      <w:b w:val="0"/>
                      <w:bCs w:val="0"/>
                      <w:color w:val="auto"/>
                      <w:sz w:val="21"/>
                      <w:szCs w:val="21"/>
                    </w:rPr>
                  </w:pPr>
                </w:p>
              </w:tc>
              <w:tc>
                <w:tcPr>
                  <w:tcW w:w="698" w:type="pct"/>
                  <w:noWrap w:val="0"/>
                  <w:vAlign w:val="center"/>
                </w:tcPr>
                <w:p>
                  <w:pPr>
                    <w:pStyle w:val="66"/>
                    <w:spacing w:line="240" w:lineRule="auto"/>
                    <w:ind w:firstLine="0" w:firstLineChars="0"/>
                    <w:jc w:val="center"/>
                    <w:rPr>
                      <w:rFonts w:hint="default"/>
                      <w:b w:val="0"/>
                      <w:bCs w:val="0"/>
                      <w:color w:val="auto"/>
                      <w:sz w:val="21"/>
                      <w:szCs w:val="21"/>
                      <w:lang w:val="en-US" w:eastAsia="zh-CN"/>
                    </w:rPr>
                  </w:pPr>
                  <w:r>
                    <w:rPr>
                      <w:rFonts w:hint="eastAsia"/>
                      <w:b w:val="0"/>
                      <w:bCs w:val="0"/>
                      <w:color w:val="auto"/>
                      <w:sz w:val="21"/>
                      <w:szCs w:val="21"/>
                      <w:lang w:val="en-US" w:eastAsia="zh-CN"/>
                    </w:rPr>
                    <w:t>东经</w:t>
                  </w:r>
                </w:p>
              </w:tc>
              <w:tc>
                <w:tcPr>
                  <w:tcW w:w="603" w:type="pct"/>
                  <w:noWrap w:val="0"/>
                  <w:vAlign w:val="center"/>
                </w:tcPr>
                <w:p>
                  <w:pPr>
                    <w:pStyle w:val="66"/>
                    <w:spacing w:line="240" w:lineRule="auto"/>
                    <w:ind w:firstLine="0" w:firstLineChars="0"/>
                    <w:jc w:val="center"/>
                    <w:rPr>
                      <w:rFonts w:hint="default"/>
                      <w:b w:val="0"/>
                      <w:bCs w:val="0"/>
                      <w:color w:val="auto"/>
                      <w:sz w:val="21"/>
                      <w:szCs w:val="21"/>
                      <w:lang w:val="en-US" w:eastAsia="zh-CN"/>
                    </w:rPr>
                  </w:pPr>
                  <w:r>
                    <w:rPr>
                      <w:rFonts w:hint="eastAsia"/>
                      <w:b w:val="0"/>
                      <w:bCs w:val="0"/>
                      <w:color w:val="auto"/>
                      <w:sz w:val="21"/>
                      <w:szCs w:val="21"/>
                      <w:lang w:val="en-US" w:eastAsia="zh-CN"/>
                    </w:rPr>
                    <w:t>北纬</w:t>
                  </w:r>
                </w:p>
              </w:tc>
              <w:tc>
                <w:tcPr>
                  <w:tcW w:w="479" w:type="pct"/>
                  <w:vMerge w:val="continue"/>
                  <w:noWrap w:val="0"/>
                  <w:vAlign w:val="center"/>
                </w:tcPr>
                <w:p>
                  <w:pPr>
                    <w:pStyle w:val="66"/>
                    <w:spacing w:line="240" w:lineRule="auto"/>
                    <w:ind w:firstLine="0" w:firstLineChars="0"/>
                    <w:jc w:val="center"/>
                    <w:rPr>
                      <w:b w:val="0"/>
                      <w:bCs w:val="0"/>
                      <w:color w:val="auto"/>
                      <w:sz w:val="21"/>
                      <w:szCs w:val="21"/>
                    </w:rPr>
                  </w:pPr>
                </w:p>
              </w:tc>
              <w:tc>
                <w:tcPr>
                  <w:tcW w:w="1043" w:type="pct"/>
                  <w:vMerge w:val="continue"/>
                  <w:noWrap w:val="0"/>
                  <w:vAlign w:val="center"/>
                </w:tcPr>
                <w:p>
                  <w:pPr>
                    <w:pStyle w:val="66"/>
                    <w:spacing w:line="240" w:lineRule="auto"/>
                    <w:ind w:firstLine="0" w:firstLineChars="0"/>
                    <w:jc w:val="center"/>
                    <w:rPr>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有组织废气</w:t>
                  </w:r>
                </w:p>
              </w:tc>
              <w:tc>
                <w:tcPr>
                  <w:tcW w:w="775" w:type="pc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颗粒物</w:t>
                  </w:r>
                </w:p>
              </w:tc>
              <w:tc>
                <w:tcPr>
                  <w:tcW w:w="843" w:type="pct"/>
                  <w:noWrap w:val="0"/>
                  <w:vAlign w:val="center"/>
                </w:tcPr>
                <w:p>
                  <w:pPr>
                    <w:pStyle w:val="66"/>
                    <w:spacing w:line="240" w:lineRule="auto"/>
                    <w:ind w:firstLine="0" w:firstLineChars="0"/>
                    <w:jc w:val="center"/>
                    <w:rPr>
                      <w:b w:val="0"/>
                      <w:bCs w:val="0"/>
                      <w:color w:val="auto"/>
                      <w:sz w:val="21"/>
                      <w:szCs w:val="21"/>
                    </w:rPr>
                  </w:pPr>
                  <w:r>
                    <w:rPr>
                      <w:rFonts w:hint="eastAsia"/>
                      <w:b w:val="0"/>
                      <w:bCs w:val="0"/>
                      <w:color w:val="auto"/>
                      <w:sz w:val="21"/>
                      <w:szCs w:val="21"/>
                      <w:lang w:val="en-US" w:eastAsia="zh-CN"/>
                    </w:rPr>
                    <w:t>原料</w:t>
                  </w:r>
                  <w:r>
                    <w:rPr>
                      <w:b w:val="0"/>
                      <w:bCs w:val="0"/>
                      <w:color w:val="auto"/>
                      <w:sz w:val="21"/>
                      <w:szCs w:val="21"/>
                    </w:rPr>
                    <w:t>破碎、筛分排气筒DA001</w:t>
                  </w:r>
                </w:p>
              </w:tc>
              <w:tc>
                <w:tcPr>
                  <w:tcW w:w="1100" w:type="dxa"/>
                  <w:noWrap w:val="0"/>
                  <w:vAlign w:val="center"/>
                </w:tcPr>
                <w:p>
                  <w:pPr>
                    <w:pStyle w:val="57"/>
                    <w:rPr>
                      <w:rFonts w:hint="default" w:ascii="Times New Roman" w:hAnsi="Times New Roman" w:eastAsia="宋体" w:cs="Times New Roman"/>
                      <w:b w:val="0"/>
                      <w:bCs w:val="0"/>
                      <w:color w:val="auto"/>
                      <w:kern w:val="2"/>
                      <w:sz w:val="21"/>
                      <w:szCs w:val="21"/>
                      <w:highlight w:val="none"/>
                      <w:lang w:val="en-US" w:eastAsia="zh-CN" w:bidi="ar-SA"/>
                    </w:rPr>
                  </w:pPr>
                  <w:r>
                    <w:rPr>
                      <w:rFonts w:hint="eastAsia"/>
                      <w:color w:val="auto"/>
                      <w:sz w:val="21"/>
                      <w:szCs w:val="21"/>
                      <w:highlight w:val="none"/>
                      <w:lang w:val="en-US" w:eastAsia="zh-CN"/>
                    </w:rPr>
                    <w:t>108.003260</w:t>
                  </w:r>
                </w:p>
              </w:tc>
              <w:tc>
                <w:tcPr>
                  <w:tcW w:w="946" w:type="dxa"/>
                  <w:noWrap w:val="0"/>
                  <w:vAlign w:val="center"/>
                </w:tcPr>
                <w:p>
                  <w:pPr>
                    <w:pStyle w:val="57"/>
                    <w:rPr>
                      <w:rFonts w:hint="default" w:ascii="Times New Roman" w:hAnsi="Times New Roman" w:eastAsia="宋体" w:cs="Times New Roman"/>
                      <w:b w:val="0"/>
                      <w:bCs w:val="0"/>
                      <w:color w:val="auto"/>
                      <w:kern w:val="2"/>
                      <w:sz w:val="21"/>
                      <w:szCs w:val="21"/>
                      <w:highlight w:val="none"/>
                      <w:lang w:val="en-US" w:eastAsia="zh-CN" w:bidi="ar-SA"/>
                    </w:rPr>
                  </w:pPr>
                  <w:r>
                    <w:rPr>
                      <w:rFonts w:hint="eastAsia"/>
                      <w:color w:val="auto"/>
                      <w:sz w:val="21"/>
                      <w:szCs w:val="21"/>
                      <w:highlight w:val="none"/>
                      <w:lang w:val="en-US" w:eastAsia="zh-CN"/>
                    </w:rPr>
                    <w:t>35.203315</w:t>
                  </w:r>
                </w:p>
              </w:tc>
              <w:tc>
                <w:tcPr>
                  <w:tcW w:w="479" w:type="pc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1次/年</w:t>
                  </w:r>
                </w:p>
              </w:tc>
              <w:tc>
                <w:tcPr>
                  <w:tcW w:w="1043" w:type="pct"/>
                  <w:vMerge w:val="restart"/>
                  <w:noWrap w:val="0"/>
                  <w:vAlign w:val="center"/>
                </w:tcPr>
                <w:p>
                  <w:pPr>
                    <w:pStyle w:val="66"/>
                    <w:spacing w:line="240" w:lineRule="auto"/>
                    <w:ind w:firstLine="0" w:firstLineChars="0"/>
                    <w:rPr>
                      <w:b w:val="0"/>
                      <w:bCs w:val="0"/>
                      <w:color w:val="auto"/>
                      <w:sz w:val="21"/>
                      <w:szCs w:val="21"/>
                    </w:rPr>
                  </w:pPr>
                  <w:r>
                    <w:rPr>
                      <w:b w:val="0"/>
                      <w:bCs w:val="0"/>
                      <w:color w:val="auto"/>
                      <w:sz w:val="21"/>
                      <w:szCs w:val="21"/>
                    </w:rPr>
                    <w:t>《砖瓦工业大气污染物排放标准》（GB29620-2013）表2及修改单标准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restart"/>
                  <w:noWrap w:val="0"/>
                  <w:vAlign w:val="center"/>
                </w:tcPr>
                <w:p>
                  <w:pPr>
                    <w:pStyle w:val="66"/>
                    <w:spacing w:line="240" w:lineRule="auto"/>
                    <w:ind w:firstLine="0" w:firstLineChars="0"/>
                    <w:jc w:val="center"/>
                    <w:rPr>
                      <w:color w:val="auto"/>
                      <w:sz w:val="21"/>
                      <w:szCs w:val="21"/>
                    </w:rPr>
                  </w:pPr>
                  <w:r>
                    <w:rPr>
                      <w:color w:val="auto"/>
                      <w:sz w:val="21"/>
                      <w:szCs w:val="21"/>
                    </w:rPr>
                    <w:t>有组织废气</w:t>
                  </w:r>
                </w:p>
              </w:tc>
              <w:tc>
                <w:tcPr>
                  <w:tcW w:w="775" w:type="pct"/>
                  <w:noWrap w:val="0"/>
                  <w:vAlign w:val="center"/>
                </w:tcPr>
                <w:p>
                  <w:pPr>
                    <w:pStyle w:val="66"/>
                    <w:spacing w:line="240" w:lineRule="auto"/>
                    <w:ind w:firstLine="0" w:firstLineChars="0"/>
                    <w:jc w:val="center"/>
                    <w:rPr>
                      <w:color w:val="auto"/>
                      <w:sz w:val="21"/>
                      <w:szCs w:val="21"/>
                    </w:rPr>
                  </w:pPr>
                  <w:r>
                    <w:rPr>
                      <w:color w:val="auto"/>
                      <w:sz w:val="21"/>
                      <w:szCs w:val="21"/>
                    </w:rPr>
                    <w:t>颗粒物</w:t>
                  </w:r>
                </w:p>
              </w:tc>
              <w:tc>
                <w:tcPr>
                  <w:tcW w:w="843" w:type="pct"/>
                  <w:vMerge w:val="restart"/>
                  <w:noWrap w:val="0"/>
                  <w:vAlign w:val="center"/>
                </w:tcPr>
                <w:p>
                  <w:pPr>
                    <w:pStyle w:val="66"/>
                    <w:spacing w:line="240" w:lineRule="auto"/>
                    <w:ind w:firstLine="0" w:firstLineChars="0"/>
                    <w:jc w:val="center"/>
                    <w:rPr>
                      <w:rFonts w:hint="eastAsia" w:eastAsia="宋体"/>
                      <w:color w:val="auto"/>
                      <w:sz w:val="21"/>
                      <w:szCs w:val="21"/>
                      <w:lang w:eastAsia="zh-CN"/>
                    </w:rPr>
                  </w:pPr>
                  <w:r>
                    <w:rPr>
                      <w:color w:val="auto"/>
                      <w:sz w:val="21"/>
                      <w:szCs w:val="21"/>
                    </w:rPr>
                    <w:t>隧道窑排气筒DA00</w:t>
                  </w:r>
                  <w:r>
                    <w:rPr>
                      <w:rFonts w:hint="eastAsia"/>
                      <w:color w:val="auto"/>
                      <w:sz w:val="21"/>
                      <w:szCs w:val="21"/>
                      <w:lang w:val="en-US" w:eastAsia="zh-CN"/>
                    </w:rPr>
                    <w:t>2</w:t>
                  </w:r>
                </w:p>
              </w:tc>
              <w:tc>
                <w:tcPr>
                  <w:tcW w:w="1100" w:type="dxa"/>
                  <w:vMerge w:val="restart"/>
                  <w:noWrap w:val="0"/>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108.003391</w:t>
                  </w:r>
                </w:p>
              </w:tc>
              <w:tc>
                <w:tcPr>
                  <w:tcW w:w="946" w:type="dxa"/>
                  <w:vMerge w:val="restart"/>
                  <w:noWrap w:val="0"/>
                  <w:vAlign w:val="center"/>
                </w:tcPr>
                <w:p>
                  <w:pPr>
                    <w:pStyle w:val="57"/>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35.203537</w:t>
                  </w:r>
                </w:p>
              </w:tc>
              <w:tc>
                <w:tcPr>
                  <w:tcW w:w="479" w:type="pct"/>
                  <w:vMerge w:val="restart"/>
                  <w:noWrap w:val="0"/>
                  <w:vAlign w:val="center"/>
                </w:tcPr>
                <w:p>
                  <w:pPr>
                    <w:pStyle w:val="66"/>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自动在线监测</w:t>
                  </w:r>
                </w:p>
              </w:tc>
              <w:tc>
                <w:tcPr>
                  <w:tcW w:w="1043" w:type="pct"/>
                  <w:vMerge w:val="continue"/>
                  <w:noWrap w:val="0"/>
                  <w:vAlign w:val="center"/>
                </w:tcPr>
                <w:p>
                  <w:pPr>
                    <w:pStyle w:val="66"/>
                    <w:spacing w:line="240" w:lineRule="auto"/>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continue"/>
                  <w:noWrap w:val="0"/>
                  <w:vAlign w:val="center"/>
                </w:tcPr>
                <w:p>
                  <w:pPr>
                    <w:pStyle w:val="66"/>
                    <w:spacing w:line="240" w:lineRule="auto"/>
                    <w:ind w:firstLine="0" w:firstLineChars="0"/>
                    <w:jc w:val="center"/>
                    <w:rPr>
                      <w:color w:val="auto"/>
                      <w:sz w:val="21"/>
                      <w:szCs w:val="21"/>
                    </w:rPr>
                  </w:pPr>
                </w:p>
              </w:tc>
              <w:tc>
                <w:tcPr>
                  <w:tcW w:w="775" w:type="pct"/>
                  <w:noWrap w:val="0"/>
                  <w:vAlign w:val="center"/>
                </w:tcPr>
                <w:p>
                  <w:pPr>
                    <w:pStyle w:val="66"/>
                    <w:spacing w:line="240" w:lineRule="auto"/>
                    <w:ind w:firstLine="0" w:firstLineChars="0"/>
                    <w:jc w:val="center"/>
                    <w:rPr>
                      <w:color w:val="auto"/>
                      <w:sz w:val="21"/>
                      <w:szCs w:val="21"/>
                    </w:rPr>
                  </w:pPr>
                  <w:r>
                    <w:rPr>
                      <w:color w:val="auto"/>
                      <w:sz w:val="21"/>
                      <w:szCs w:val="21"/>
                    </w:rPr>
                    <w:t>二氧化硫</w:t>
                  </w:r>
                </w:p>
              </w:tc>
              <w:tc>
                <w:tcPr>
                  <w:tcW w:w="843" w:type="pct"/>
                  <w:vMerge w:val="continue"/>
                  <w:noWrap w:val="0"/>
                  <w:vAlign w:val="center"/>
                </w:tcPr>
                <w:p>
                  <w:pPr>
                    <w:pStyle w:val="66"/>
                    <w:spacing w:line="240" w:lineRule="auto"/>
                    <w:ind w:firstLine="0" w:firstLineChars="0"/>
                    <w:jc w:val="center"/>
                    <w:rPr>
                      <w:color w:val="auto"/>
                      <w:sz w:val="21"/>
                      <w:szCs w:val="21"/>
                    </w:rPr>
                  </w:pPr>
                </w:p>
              </w:tc>
              <w:tc>
                <w:tcPr>
                  <w:tcW w:w="698" w:type="pct"/>
                  <w:vMerge w:val="continue"/>
                  <w:noWrap w:val="0"/>
                  <w:vAlign w:val="center"/>
                </w:tcPr>
                <w:p>
                  <w:pPr>
                    <w:pStyle w:val="66"/>
                    <w:spacing w:line="240" w:lineRule="auto"/>
                    <w:ind w:firstLine="0" w:firstLineChars="0"/>
                    <w:jc w:val="center"/>
                    <w:rPr>
                      <w:color w:val="auto"/>
                      <w:sz w:val="21"/>
                      <w:szCs w:val="21"/>
                    </w:rPr>
                  </w:pPr>
                </w:p>
              </w:tc>
              <w:tc>
                <w:tcPr>
                  <w:tcW w:w="603" w:type="pct"/>
                  <w:vMerge w:val="continue"/>
                  <w:noWrap w:val="0"/>
                  <w:vAlign w:val="center"/>
                </w:tcPr>
                <w:p>
                  <w:pPr>
                    <w:pStyle w:val="66"/>
                    <w:spacing w:line="240" w:lineRule="auto"/>
                    <w:ind w:firstLine="0" w:firstLineChars="0"/>
                    <w:jc w:val="center"/>
                    <w:rPr>
                      <w:color w:val="auto"/>
                      <w:sz w:val="21"/>
                      <w:szCs w:val="21"/>
                    </w:rPr>
                  </w:pPr>
                </w:p>
              </w:tc>
              <w:tc>
                <w:tcPr>
                  <w:tcW w:w="479" w:type="pct"/>
                  <w:vMerge w:val="continue"/>
                  <w:noWrap w:val="0"/>
                  <w:vAlign w:val="center"/>
                </w:tcPr>
                <w:p>
                  <w:pPr>
                    <w:pStyle w:val="66"/>
                    <w:spacing w:line="240" w:lineRule="auto"/>
                    <w:ind w:firstLine="0" w:firstLineChars="0"/>
                    <w:jc w:val="center"/>
                    <w:rPr>
                      <w:color w:val="auto"/>
                      <w:sz w:val="21"/>
                      <w:szCs w:val="21"/>
                    </w:rPr>
                  </w:pPr>
                </w:p>
              </w:tc>
              <w:tc>
                <w:tcPr>
                  <w:tcW w:w="1043" w:type="pct"/>
                  <w:vMerge w:val="continue"/>
                  <w:noWrap w:val="0"/>
                  <w:vAlign w:val="center"/>
                </w:tcPr>
                <w:p>
                  <w:pPr>
                    <w:pStyle w:val="66"/>
                    <w:spacing w:line="240" w:lineRule="auto"/>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continue"/>
                  <w:noWrap w:val="0"/>
                  <w:vAlign w:val="center"/>
                </w:tcPr>
                <w:p>
                  <w:pPr>
                    <w:pStyle w:val="66"/>
                    <w:spacing w:line="240" w:lineRule="auto"/>
                    <w:ind w:firstLine="0" w:firstLineChars="0"/>
                    <w:jc w:val="center"/>
                    <w:rPr>
                      <w:color w:val="auto"/>
                      <w:sz w:val="21"/>
                      <w:szCs w:val="21"/>
                    </w:rPr>
                  </w:pPr>
                </w:p>
              </w:tc>
              <w:tc>
                <w:tcPr>
                  <w:tcW w:w="775" w:type="pct"/>
                  <w:noWrap w:val="0"/>
                  <w:vAlign w:val="center"/>
                </w:tcPr>
                <w:p>
                  <w:pPr>
                    <w:pStyle w:val="66"/>
                    <w:spacing w:line="240" w:lineRule="auto"/>
                    <w:ind w:firstLine="0" w:firstLineChars="0"/>
                    <w:jc w:val="center"/>
                    <w:rPr>
                      <w:color w:val="auto"/>
                      <w:sz w:val="21"/>
                      <w:szCs w:val="21"/>
                    </w:rPr>
                  </w:pPr>
                  <w:r>
                    <w:rPr>
                      <w:color w:val="auto"/>
                      <w:sz w:val="21"/>
                      <w:szCs w:val="21"/>
                    </w:rPr>
                    <w:t>氮氧化物</w:t>
                  </w:r>
                </w:p>
              </w:tc>
              <w:tc>
                <w:tcPr>
                  <w:tcW w:w="843" w:type="pct"/>
                  <w:vMerge w:val="continue"/>
                  <w:noWrap w:val="0"/>
                  <w:vAlign w:val="center"/>
                </w:tcPr>
                <w:p>
                  <w:pPr>
                    <w:pStyle w:val="66"/>
                    <w:spacing w:line="240" w:lineRule="auto"/>
                    <w:ind w:firstLine="0" w:firstLineChars="0"/>
                    <w:jc w:val="center"/>
                    <w:rPr>
                      <w:color w:val="auto"/>
                      <w:sz w:val="21"/>
                      <w:szCs w:val="21"/>
                    </w:rPr>
                  </w:pPr>
                </w:p>
              </w:tc>
              <w:tc>
                <w:tcPr>
                  <w:tcW w:w="698" w:type="pct"/>
                  <w:vMerge w:val="continue"/>
                  <w:noWrap w:val="0"/>
                  <w:vAlign w:val="center"/>
                </w:tcPr>
                <w:p>
                  <w:pPr>
                    <w:pStyle w:val="66"/>
                    <w:spacing w:line="240" w:lineRule="auto"/>
                    <w:ind w:firstLine="0" w:firstLineChars="0"/>
                    <w:jc w:val="center"/>
                    <w:rPr>
                      <w:color w:val="auto"/>
                      <w:sz w:val="21"/>
                      <w:szCs w:val="21"/>
                    </w:rPr>
                  </w:pPr>
                </w:p>
              </w:tc>
              <w:tc>
                <w:tcPr>
                  <w:tcW w:w="603" w:type="pct"/>
                  <w:vMerge w:val="continue"/>
                  <w:noWrap w:val="0"/>
                  <w:vAlign w:val="center"/>
                </w:tcPr>
                <w:p>
                  <w:pPr>
                    <w:pStyle w:val="66"/>
                    <w:spacing w:line="240" w:lineRule="auto"/>
                    <w:ind w:firstLine="0" w:firstLineChars="0"/>
                    <w:jc w:val="center"/>
                    <w:rPr>
                      <w:color w:val="auto"/>
                      <w:sz w:val="21"/>
                      <w:szCs w:val="21"/>
                    </w:rPr>
                  </w:pPr>
                </w:p>
              </w:tc>
              <w:tc>
                <w:tcPr>
                  <w:tcW w:w="479" w:type="pct"/>
                  <w:vMerge w:val="continue"/>
                  <w:noWrap w:val="0"/>
                  <w:vAlign w:val="center"/>
                </w:tcPr>
                <w:p>
                  <w:pPr>
                    <w:pStyle w:val="66"/>
                    <w:spacing w:line="240" w:lineRule="auto"/>
                    <w:ind w:firstLine="0" w:firstLineChars="0"/>
                    <w:jc w:val="center"/>
                    <w:rPr>
                      <w:color w:val="auto"/>
                      <w:sz w:val="21"/>
                      <w:szCs w:val="21"/>
                    </w:rPr>
                  </w:pPr>
                </w:p>
              </w:tc>
              <w:tc>
                <w:tcPr>
                  <w:tcW w:w="1043" w:type="pct"/>
                  <w:vMerge w:val="continue"/>
                  <w:noWrap w:val="0"/>
                  <w:vAlign w:val="center"/>
                </w:tcPr>
                <w:p>
                  <w:pPr>
                    <w:pStyle w:val="66"/>
                    <w:spacing w:line="240" w:lineRule="auto"/>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continue"/>
                  <w:noWrap w:val="0"/>
                  <w:vAlign w:val="center"/>
                </w:tcPr>
                <w:p>
                  <w:pPr>
                    <w:pStyle w:val="66"/>
                    <w:spacing w:line="240" w:lineRule="auto"/>
                    <w:ind w:firstLine="0" w:firstLineChars="0"/>
                    <w:jc w:val="center"/>
                    <w:rPr>
                      <w:color w:val="auto"/>
                      <w:sz w:val="21"/>
                      <w:szCs w:val="21"/>
                    </w:rPr>
                  </w:pPr>
                </w:p>
              </w:tc>
              <w:tc>
                <w:tcPr>
                  <w:tcW w:w="775" w:type="pct"/>
                  <w:noWrap w:val="0"/>
                  <w:vAlign w:val="center"/>
                </w:tcPr>
                <w:p>
                  <w:pPr>
                    <w:pStyle w:val="66"/>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氟化物</w:t>
                  </w:r>
                </w:p>
              </w:tc>
              <w:tc>
                <w:tcPr>
                  <w:tcW w:w="843" w:type="pct"/>
                  <w:vMerge w:val="continue"/>
                  <w:noWrap w:val="0"/>
                  <w:vAlign w:val="center"/>
                </w:tcPr>
                <w:p>
                  <w:pPr>
                    <w:pStyle w:val="66"/>
                    <w:spacing w:line="240" w:lineRule="auto"/>
                    <w:ind w:firstLine="0" w:firstLineChars="0"/>
                    <w:jc w:val="center"/>
                    <w:rPr>
                      <w:color w:val="auto"/>
                      <w:sz w:val="21"/>
                      <w:szCs w:val="21"/>
                    </w:rPr>
                  </w:pPr>
                </w:p>
              </w:tc>
              <w:tc>
                <w:tcPr>
                  <w:tcW w:w="698" w:type="pct"/>
                  <w:vMerge w:val="continue"/>
                  <w:noWrap w:val="0"/>
                  <w:vAlign w:val="center"/>
                </w:tcPr>
                <w:p>
                  <w:pPr>
                    <w:pStyle w:val="66"/>
                    <w:spacing w:line="240" w:lineRule="auto"/>
                    <w:ind w:firstLine="0" w:firstLineChars="0"/>
                    <w:jc w:val="center"/>
                    <w:rPr>
                      <w:color w:val="auto"/>
                      <w:sz w:val="21"/>
                      <w:szCs w:val="21"/>
                    </w:rPr>
                  </w:pPr>
                </w:p>
              </w:tc>
              <w:tc>
                <w:tcPr>
                  <w:tcW w:w="603" w:type="pct"/>
                  <w:vMerge w:val="continue"/>
                  <w:noWrap w:val="0"/>
                  <w:vAlign w:val="center"/>
                </w:tcPr>
                <w:p>
                  <w:pPr>
                    <w:pStyle w:val="66"/>
                    <w:spacing w:line="240" w:lineRule="auto"/>
                    <w:ind w:firstLine="0" w:firstLineChars="0"/>
                    <w:jc w:val="center"/>
                    <w:rPr>
                      <w:color w:val="auto"/>
                      <w:sz w:val="21"/>
                      <w:szCs w:val="21"/>
                    </w:rPr>
                  </w:pPr>
                </w:p>
              </w:tc>
              <w:tc>
                <w:tcPr>
                  <w:tcW w:w="479" w:type="pct"/>
                  <w:vMerge w:val="continue"/>
                  <w:noWrap w:val="0"/>
                  <w:vAlign w:val="center"/>
                </w:tcPr>
                <w:p>
                  <w:pPr>
                    <w:pStyle w:val="66"/>
                    <w:spacing w:line="240" w:lineRule="auto"/>
                    <w:ind w:firstLine="0" w:firstLineChars="0"/>
                    <w:jc w:val="center"/>
                    <w:rPr>
                      <w:color w:val="auto"/>
                      <w:sz w:val="21"/>
                      <w:szCs w:val="21"/>
                    </w:rPr>
                  </w:pPr>
                </w:p>
              </w:tc>
              <w:tc>
                <w:tcPr>
                  <w:tcW w:w="1043" w:type="pct"/>
                  <w:vMerge w:val="continue"/>
                  <w:noWrap w:val="0"/>
                  <w:vAlign w:val="center"/>
                </w:tcPr>
                <w:p>
                  <w:pPr>
                    <w:pStyle w:val="66"/>
                    <w:spacing w:line="240" w:lineRule="auto"/>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restart"/>
                  <w:noWrap w:val="0"/>
                  <w:vAlign w:val="center"/>
                </w:tcPr>
                <w:p>
                  <w:pPr>
                    <w:pStyle w:val="66"/>
                    <w:spacing w:line="240" w:lineRule="auto"/>
                    <w:ind w:firstLine="0" w:firstLineChars="0"/>
                    <w:jc w:val="center"/>
                    <w:rPr>
                      <w:color w:val="auto"/>
                      <w:sz w:val="21"/>
                      <w:szCs w:val="21"/>
                    </w:rPr>
                  </w:pPr>
                  <w:r>
                    <w:rPr>
                      <w:color w:val="auto"/>
                      <w:sz w:val="21"/>
                      <w:szCs w:val="21"/>
                    </w:rPr>
                    <w:t>无组织废气</w:t>
                  </w:r>
                </w:p>
              </w:tc>
              <w:tc>
                <w:tcPr>
                  <w:tcW w:w="775" w:type="pct"/>
                  <w:vMerge w:val="restart"/>
                  <w:noWrap w:val="0"/>
                  <w:vAlign w:val="center"/>
                </w:tcPr>
                <w:p>
                  <w:pPr>
                    <w:pStyle w:val="66"/>
                    <w:spacing w:line="240" w:lineRule="auto"/>
                    <w:ind w:firstLine="0" w:firstLineChars="0"/>
                    <w:jc w:val="center"/>
                    <w:rPr>
                      <w:rFonts w:hint="default" w:eastAsia="宋体"/>
                      <w:color w:val="auto"/>
                      <w:sz w:val="21"/>
                      <w:szCs w:val="21"/>
                      <w:lang w:val="en-US" w:eastAsia="zh-CN"/>
                    </w:rPr>
                  </w:pPr>
                  <w:r>
                    <w:rPr>
                      <w:color w:val="auto"/>
                      <w:sz w:val="21"/>
                      <w:szCs w:val="21"/>
                    </w:rPr>
                    <w:t>颗粒物</w:t>
                  </w:r>
                  <w:r>
                    <w:rPr>
                      <w:rFonts w:hint="eastAsia"/>
                      <w:color w:val="auto"/>
                      <w:sz w:val="21"/>
                      <w:szCs w:val="21"/>
                      <w:lang w:eastAsia="zh-CN"/>
                    </w:rPr>
                    <w:t>、</w:t>
                  </w:r>
                  <w:r>
                    <w:rPr>
                      <w:rFonts w:hint="eastAsia"/>
                      <w:color w:val="auto"/>
                      <w:sz w:val="21"/>
                      <w:szCs w:val="21"/>
                      <w:lang w:val="en-US" w:eastAsia="zh-CN"/>
                    </w:rPr>
                    <w:t>二氧化硫、氟化物</w:t>
                  </w:r>
                </w:p>
              </w:tc>
              <w:tc>
                <w:tcPr>
                  <w:tcW w:w="843" w:type="pct"/>
                  <w:noWrap w:val="0"/>
                  <w:vAlign w:val="center"/>
                </w:tcPr>
                <w:p>
                  <w:pPr>
                    <w:pStyle w:val="66"/>
                    <w:spacing w:line="240" w:lineRule="auto"/>
                    <w:ind w:firstLine="0" w:firstLineChars="0"/>
                    <w:jc w:val="center"/>
                    <w:rPr>
                      <w:color w:val="auto"/>
                      <w:sz w:val="21"/>
                      <w:szCs w:val="21"/>
                    </w:rPr>
                  </w:pPr>
                  <w:r>
                    <w:rPr>
                      <w:color w:val="auto"/>
                      <w:sz w:val="21"/>
                      <w:szCs w:val="21"/>
                    </w:rPr>
                    <w:t>厂界上风向1个监测点</w:t>
                  </w:r>
                </w:p>
              </w:tc>
              <w:tc>
                <w:tcPr>
                  <w:tcW w:w="698" w:type="pct"/>
                  <w:noWrap w:val="0"/>
                  <w:vAlign w:val="center"/>
                </w:tcPr>
                <w:p>
                  <w:pPr>
                    <w:pStyle w:val="66"/>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w:t>
                  </w:r>
                </w:p>
              </w:tc>
              <w:tc>
                <w:tcPr>
                  <w:tcW w:w="603" w:type="pct"/>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w:t>
                  </w:r>
                </w:p>
              </w:tc>
              <w:tc>
                <w:tcPr>
                  <w:tcW w:w="479" w:type="pct"/>
                  <w:vMerge w:val="restart"/>
                  <w:noWrap w:val="0"/>
                  <w:vAlign w:val="center"/>
                </w:tcPr>
                <w:p>
                  <w:pPr>
                    <w:pStyle w:val="66"/>
                    <w:spacing w:line="240" w:lineRule="auto"/>
                    <w:ind w:firstLine="0" w:firstLineChars="0"/>
                    <w:jc w:val="center"/>
                    <w:rPr>
                      <w:color w:val="auto"/>
                      <w:sz w:val="21"/>
                      <w:szCs w:val="21"/>
                    </w:rPr>
                  </w:pPr>
                  <w:r>
                    <w:rPr>
                      <w:color w:val="auto"/>
                      <w:sz w:val="21"/>
                      <w:szCs w:val="21"/>
                    </w:rPr>
                    <w:t>1次/年</w:t>
                  </w:r>
                </w:p>
              </w:tc>
              <w:tc>
                <w:tcPr>
                  <w:tcW w:w="1043" w:type="pct"/>
                  <w:vMerge w:val="restart"/>
                  <w:noWrap w:val="0"/>
                  <w:vAlign w:val="center"/>
                </w:tcPr>
                <w:p>
                  <w:pPr>
                    <w:pStyle w:val="66"/>
                    <w:spacing w:line="240" w:lineRule="auto"/>
                    <w:ind w:firstLine="0" w:firstLineChars="0"/>
                    <w:jc w:val="center"/>
                    <w:rPr>
                      <w:color w:val="auto"/>
                      <w:sz w:val="21"/>
                      <w:szCs w:val="21"/>
                    </w:rPr>
                  </w:pPr>
                  <w:r>
                    <w:rPr>
                      <w:color w:val="auto"/>
                      <w:sz w:val="21"/>
                      <w:szCs w:val="21"/>
                    </w:rPr>
                    <w:t>《砖瓦工业大气污染物排放标准》（GB29620-2013）及修改单表3标准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continue"/>
                  <w:noWrap w:val="0"/>
                  <w:vAlign w:val="center"/>
                </w:tcPr>
                <w:p>
                  <w:pPr>
                    <w:pStyle w:val="66"/>
                    <w:spacing w:line="240" w:lineRule="auto"/>
                    <w:ind w:firstLine="0" w:firstLineChars="0"/>
                    <w:jc w:val="center"/>
                    <w:rPr>
                      <w:color w:val="auto"/>
                      <w:sz w:val="21"/>
                      <w:szCs w:val="21"/>
                    </w:rPr>
                  </w:pPr>
                </w:p>
              </w:tc>
              <w:tc>
                <w:tcPr>
                  <w:tcW w:w="775" w:type="pct"/>
                  <w:vMerge w:val="continue"/>
                  <w:noWrap w:val="0"/>
                  <w:vAlign w:val="center"/>
                </w:tcPr>
                <w:p>
                  <w:pPr>
                    <w:pStyle w:val="66"/>
                    <w:spacing w:line="240" w:lineRule="auto"/>
                    <w:ind w:firstLine="0" w:firstLineChars="0"/>
                    <w:jc w:val="center"/>
                    <w:rPr>
                      <w:color w:val="auto"/>
                      <w:sz w:val="21"/>
                      <w:szCs w:val="21"/>
                    </w:rPr>
                  </w:pPr>
                </w:p>
              </w:tc>
              <w:tc>
                <w:tcPr>
                  <w:tcW w:w="843" w:type="pct"/>
                  <w:vMerge w:val="restart"/>
                  <w:noWrap w:val="0"/>
                  <w:vAlign w:val="center"/>
                </w:tcPr>
                <w:p>
                  <w:pPr>
                    <w:pStyle w:val="66"/>
                    <w:spacing w:line="240" w:lineRule="auto"/>
                    <w:ind w:firstLine="0" w:firstLineChars="0"/>
                    <w:jc w:val="center"/>
                    <w:rPr>
                      <w:color w:val="auto"/>
                      <w:sz w:val="21"/>
                      <w:szCs w:val="21"/>
                    </w:rPr>
                  </w:pPr>
                  <w:r>
                    <w:rPr>
                      <w:rFonts w:hint="eastAsia"/>
                      <w:color w:val="auto"/>
                      <w:sz w:val="21"/>
                      <w:szCs w:val="21"/>
                      <w:lang w:val="en-US" w:eastAsia="zh-CN"/>
                    </w:rPr>
                    <w:t>厂界</w:t>
                  </w:r>
                  <w:r>
                    <w:rPr>
                      <w:color w:val="auto"/>
                      <w:sz w:val="21"/>
                      <w:szCs w:val="21"/>
                    </w:rPr>
                    <w:t>下风向3个监测点</w:t>
                  </w:r>
                </w:p>
              </w:tc>
              <w:tc>
                <w:tcPr>
                  <w:tcW w:w="698" w:type="pct"/>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w:t>
                  </w:r>
                </w:p>
              </w:tc>
              <w:tc>
                <w:tcPr>
                  <w:tcW w:w="603" w:type="pct"/>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w:t>
                  </w:r>
                </w:p>
              </w:tc>
              <w:tc>
                <w:tcPr>
                  <w:tcW w:w="479" w:type="pct"/>
                  <w:vMerge w:val="continue"/>
                  <w:noWrap w:val="0"/>
                  <w:vAlign w:val="center"/>
                </w:tcPr>
                <w:p>
                  <w:pPr>
                    <w:pStyle w:val="66"/>
                    <w:spacing w:line="240" w:lineRule="auto"/>
                    <w:ind w:firstLine="0" w:firstLineChars="0"/>
                    <w:jc w:val="center"/>
                    <w:rPr>
                      <w:color w:val="auto"/>
                      <w:sz w:val="21"/>
                      <w:szCs w:val="21"/>
                    </w:rPr>
                  </w:pPr>
                </w:p>
              </w:tc>
              <w:tc>
                <w:tcPr>
                  <w:tcW w:w="1043" w:type="pct"/>
                  <w:vMerge w:val="continue"/>
                  <w:noWrap w:val="0"/>
                  <w:vAlign w:val="center"/>
                </w:tcPr>
                <w:p>
                  <w:pPr>
                    <w:pStyle w:val="66"/>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continue"/>
                  <w:noWrap w:val="0"/>
                  <w:vAlign w:val="center"/>
                </w:tcPr>
                <w:p>
                  <w:pPr>
                    <w:pStyle w:val="66"/>
                    <w:spacing w:line="240" w:lineRule="auto"/>
                    <w:ind w:firstLine="0" w:firstLineChars="0"/>
                    <w:jc w:val="center"/>
                    <w:rPr>
                      <w:color w:val="auto"/>
                      <w:sz w:val="21"/>
                      <w:szCs w:val="21"/>
                    </w:rPr>
                  </w:pPr>
                </w:p>
              </w:tc>
              <w:tc>
                <w:tcPr>
                  <w:tcW w:w="775" w:type="pct"/>
                  <w:vMerge w:val="continue"/>
                  <w:noWrap w:val="0"/>
                  <w:vAlign w:val="center"/>
                </w:tcPr>
                <w:p>
                  <w:pPr>
                    <w:pStyle w:val="66"/>
                    <w:spacing w:line="240" w:lineRule="auto"/>
                    <w:ind w:firstLine="0" w:firstLineChars="0"/>
                    <w:jc w:val="center"/>
                    <w:rPr>
                      <w:color w:val="auto"/>
                      <w:sz w:val="21"/>
                      <w:szCs w:val="21"/>
                    </w:rPr>
                  </w:pPr>
                </w:p>
              </w:tc>
              <w:tc>
                <w:tcPr>
                  <w:tcW w:w="843" w:type="pct"/>
                  <w:vMerge w:val="continue"/>
                  <w:noWrap w:val="0"/>
                  <w:vAlign w:val="center"/>
                </w:tcPr>
                <w:p>
                  <w:pPr>
                    <w:pStyle w:val="66"/>
                    <w:spacing w:line="240" w:lineRule="auto"/>
                    <w:ind w:firstLine="0" w:firstLineChars="0"/>
                    <w:jc w:val="center"/>
                    <w:rPr>
                      <w:color w:val="auto"/>
                      <w:sz w:val="21"/>
                      <w:szCs w:val="21"/>
                    </w:rPr>
                  </w:pPr>
                </w:p>
              </w:tc>
              <w:tc>
                <w:tcPr>
                  <w:tcW w:w="698" w:type="pct"/>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w:t>
                  </w:r>
                </w:p>
              </w:tc>
              <w:tc>
                <w:tcPr>
                  <w:tcW w:w="603" w:type="pct"/>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w:t>
                  </w:r>
                </w:p>
              </w:tc>
              <w:tc>
                <w:tcPr>
                  <w:tcW w:w="479" w:type="pct"/>
                  <w:vMerge w:val="continue"/>
                  <w:noWrap w:val="0"/>
                  <w:vAlign w:val="center"/>
                </w:tcPr>
                <w:p>
                  <w:pPr>
                    <w:pStyle w:val="66"/>
                    <w:spacing w:line="240" w:lineRule="auto"/>
                    <w:ind w:firstLine="0" w:firstLineChars="0"/>
                    <w:jc w:val="center"/>
                    <w:rPr>
                      <w:color w:val="auto"/>
                      <w:sz w:val="21"/>
                      <w:szCs w:val="21"/>
                    </w:rPr>
                  </w:pPr>
                </w:p>
              </w:tc>
              <w:tc>
                <w:tcPr>
                  <w:tcW w:w="1043" w:type="pct"/>
                  <w:vMerge w:val="continue"/>
                  <w:noWrap w:val="0"/>
                  <w:vAlign w:val="center"/>
                </w:tcPr>
                <w:p>
                  <w:pPr>
                    <w:pStyle w:val="66"/>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vMerge w:val="continue"/>
                  <w:noWrap w:val="0"/>
                  <w:vAlign w:val="center"/>
                </w:tcPr>
                <w:p>
                  <w:pPr>
                    <w:pStyle w:val="66"/>
                    <w:spacing w:line="240" w:lineRule="auto"/>
                    <w:ind w:firstLine="0" w:firstLineChars="0"/>
                    <w:jc w:val="center"/>
                    <w:rPr>
                      <w:color w:val="auto"/>
                      <w:sz w:val="21"/>
                      <w:szCs w:val="21"/>
                    </w:rPr>
                  </w:pPr>
                </w:p>
              </w:tc>
              <w:tc>
                <w:tcPr>
                  <w:tcW w:w="775" w:type="pct"/>
                  <w:vMerge w:val="continue"/>
                  <w:noWrap w:val="0"/>
                  <w:vAlign w:val="center"/>
                </w:tcPr>
                <w:p>
                  <w:pPr>
                    <w:pStyle w:val="66"/>
                    <w:spacing w:line="240" w:lineRule="auto"/>
                    <w:ind w:firstLine="0" w:firstLineChars="0"/>
                    <w:jc w:val="center"/>
                    <w:rPr>
                      <w:color w:val="auto"/>
                      <w:sz w:val="21"/>
                      <w:szCs w:val="21"/>
                    </w:rPr>
                  </w:pPr>
                </w:p>
              </w:tc>
              <w:tc>
                <w:tcPr>
                  <w:tcW w:w="843" w:type="pct"/>
                  <w:vMerge w:val="continue"/>
                  <w:noWrap w:val="0"/>
                  <w:vAlign w:val="center"/>
                </w:tcPr>
                <w:p>
                  <w:pPr>
                    <w:pStyle w:val="66"/>
                    <w:spacing w:line="240" w:lineRule="auto"/>
                    <w:ind w:firstLine="0" w:firstLineChars="0"/>
                    <w:jc w:val="center"/>
                    <w:rPr>
                      <w:color w:val="auto"/>
                      <w:sz w:val="21"/>
                      <w:szCs w:val="21"/>
                    </w:rPr>
                  </w:pPr>
                </w:p>
              </w:tc>
              <w:tc>
                <w:tcPr>
                  <w:tcW w:w="698" w:type="pct"/>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w:t>
                  </w:r>
                </w:p>
              </w:tc>
              <w:tc>
                <w:tcPr>
                  <w:tcW w:w="603" w:type="pct"/>
                  <w:noWrap w:val="0"/>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w:t>
                  </w:r>
                </w:p>
              </w:tc>
              <w:tc>
                <w:tcPr>
                  <w:tcW w:w="479" w:type="pct"/>
                  <w:vMerge w:val="continue"/>
                  <w:noWrap w:val="0"/>
                  <w:vAlign w:val="center"/>
                </w:tcPr>
                <w:p>
                  <w:pPr>
                    <w:pStyle w:val="66"/>
                    <w:spacing w:line="240" w:lineRule="auto"/>
                    <w:ind w:firstLine="0" w:firstLineChars="0"/>
                    <w:jc w:val="center"/>
                    <w:rPr>
                      <w:color w:val="auto"/>
                      <w:sz w:val="21"/>
                      <w:szCs w:val="21"/>
                    </w:rPr>
                  </w:pPr>
                </w:p>
              </w:tc>
              <w:tc>
                <w:tcPr>
                  <w:tcW w:w="1043" w:type="pct"/>
                  <w:vMerge w:val="continue"/>
                  <w:noWrap w:val="0"/>
                  <w:vAlign w:val="center"/>
                </w:tcPr>
                <w:p>
                  <w:pPr>
                    <w:pStyle w:val="66"/>
                    <w:spacing w:line="240" w:lineRule="auto"/>
                    <w:ind w:firstLine="0" w:firstLineChars="0"/>
                    <w:jc w:val="center"/>
                    <w:rPr>
                      <w:color w:val="auto"/>
                      <w:sz w:val="21"/>
                      <w:szCs w:val="21"/>
                    </w:rPr>
                  </w:pPr>
                </w:p>
              </w:tc>
            </w:tr>
          </w:tbl>
          <w:p>
            <w:pPr>
              <w:pStyle w:val="60"/>
              <w:ind w:left="0" w:leftChars="0" w:firstLine="0" w:firstLineChars="0"/>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3.废水污染防治措施</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（1）运营期所有生产废水必须做到100%综合利用不外排；</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（2）厂区</w:t>
            </w:r>
            <w:r>
              <w:rPr>
                <w:rFonts w:hint="eastAsia" w:cs="Times New Roman"/>
                <w:color w:val="auto"/>
                <w:sz w:val="24"/>
                <w:szCs w:val="24"/>
                <w:lang w:val="en-US" w:eastAsia="zh-CN"/>
              </w:rPr>
              <w:t>设置雨水导排系统，</w:t>
            </w:r>
            <w:r>
              <w:rPr>
                <w:rFonts w:hint="eastAsia" w:cs="Times New Roman"/>
                <w:color w:val="auto"/>
                <w:sz w:val="24"/>
                <w:szCs w:val="24"/>
                <w:lang w:eastAsia="zh-CN"/>
              </w:rPr>
              <w:t>雨水</w:t>
            </w:r>
            <w:r>
              <w:rPr>
                <w:rFonts w:hint="default" w:ascii="Times New Roman" w:hAnsi="Times New Roman" w:eastAsia="宋体" w:cs="Times New Roman"/>
                <w:color w:val="auto"/>
                <w:sz w:val="24"/>
                <w:szCs w:val="24"/>
              </w:rPr>
              <w:t>应采取收集，收集后</w:t>
            </w:r>
            <w:r>
              <w:rPr>
                <w:rFonts w:hint="eastAsia" w:cs="Times New Roman"/>
                <w:color w:val="auto"/>
                <w:sz w:val="24"/>
                <w:szCs w:val="24"/>
                <w:lang w:val="en-US" w:eastAsia="zh-CN"/>
              </w:rPr>
              <w:t>回用于绿化及场地泼洒降尘</w:t>
            </w:r>
            <w:r>
              <w:rPr>
                <w:rFonts w:hint="default" w:ascii="Times New Roman" w:hAnsi="Times New Roman" w:eastAsia="宋体" w:cs="Times New Roman"/>
                <w:color w:val="auto"/>
                <w:sz w:val="24"/>
                <w:szCs w:val="24"/>
              </w:rPr>
              <w:t>；</w:t>
            </w:r>
          </w:p>
          <w:p>
            <w:pPr>
              <w:spacing w:line="360" w:lineRule="auto"/>
              <w:ind w:right="-1" w:firstLine="480" w:firstLineChars="200"/>
              <w:contextualSpacing/>
              <w:rPr>
                <w:rFonts w:hint="eastAsia"/>
                <w:color w:val="auto"/>
                <w:sz w:val="24"/>
                <w:lang w:val="en-US" w:eastAsia="zh-CN"/>
              </w:rPr>
            </w:pPr>
            <w:r>
              <w:rPr>
                <w:color w:val="auto"/>
                <w:sz w:val="24"/>
              </w:rPr>
              <w:t>（</w:t>
            </w:r>
            <w:r>
              <w:rPr>
                <w:rFonts w:hint="eastAsia"/>
                <w:color w:val="auto"/>
                <w:sz w:val="24"/>
              </w:rPr>
              <w:t>3</w:t>
            </w:r>
            <w:r>
              <w:rPr>
                <w:color w:val="auto"/>
                <w:sz w:val="24"/>
              </w:rPr>
              <w:t>）加强生活污水</w:t>
            </w:r>
            <w:r>
              <w:rPr>
                <w:rFonts w:hint="eastAsia"/>
                <w:color w:val="auto"/>
                <w:sz w:val="24"/>
              </w:rPr>
              <w:t>及餐饮废水的管理，餐饮废水与生活污水排入</w:t>
            </w:r>
            <w:r>
              <w:rPr>
                <w:rFonts w:hint="eastAsia"/>
                <w:color w:val="auto"/>
                <w:sz w:val="24"/>
                <w:lang w:val="en-US" w:eastAsia="zh-CN"/>
              </w:rPr>
              <w:t>旱厕堆肥，洗漱废水泼洒抑尘</w:t>
            </w:r>
            <w:r>
              <w:rPr>
                <w:rFonts w:hint="eastAsia" w:cs="Times New Roman"/>
                <w:color w:val="auto"/>
                <w:sz w:val="24"/>
                <w:szCs w:val="24"/>
                <w:lang w:val="en-US" w:eastAsia="zh-CN"/>
              </w:rPr>
              <w:t>。</w:t>
            </w:r>
          </w:p>
          <w:p>
            <w:pPr>
              <w:adjustRightInd w:val="0"/>
              <w:snapToGrid w:val="0"/>
              <w:spacing w:line="360" w:lineRule="auto"/>
              <w:jc w:val="left"/>
              <w:rPr>
                <w:b/>
                <w:bCs/>
                <w:color w:val="auto"/>
                <w:sz w:val="24"/>
                <w:szCs w:val="24"/>
              </w:rPr>
            </w:pPr>
            <w:r>
              <w:rPr>
                <w:rFonts w:hint="eastAsia" w:ascii="Times New Roman" w:hAnsi="Times New Roman" w:eastAsia="宋体" w:cs="Times New Roman"/>
                <w:b/>
                <w:bCs/>
                <w:color w:val="auto"/>
                <w:kern w:val="2"/>
                <w:sz w:val="24"/>
                <w:szCs w:val="24"/>
                <w:lang w:val="en-US" w:eastAsia="zh-CN" w:bidi="ar-SA"/>
              </w:rPr>
              <w:t>4</w:t>
            </w:r>
            <w:r>
              <w:rPr>
                <w:rFonts w:hint="eastAsia" w:cs="Times New Roman"/>
                <w:b/>
                <w:bCs/>
                <w:color w:val="auto"/>
                <w:kern w:val="2"/>
                <w:sz w:val="24"/>
                <w:szCs w:val="24"/>
                <w:lang w:val="en-US" w:eastAsia="zh-CN" w:bidi="ar-SA"/>
              </w:rPr>
              <w:t>.</w:t>
            </w:r>
            <w:r>
              <w:rPr>
                <w:b/>
                <w:bCs/>
                <w:color w:val="auto"/>
                <w:sz w:val="24"/>
                <w:szCs w:val="24"/>
              </w:rPr>
              <w:t>噪声污染防治措施</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（1）控制设备噪声</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选用低噪声设备，将噪声较高的设备安装在车间中部，并安装减振底座，通过车间的隔声和安装减振底座等措施后，可降低噪声源强。</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（2）合理布局</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在厂区总图设计上科学规划，合理布局，将高噪声设备放置在厂区中间、集中管理、远离办公生活区及周边环境敏感保护目标，充分利用距离衰减和厂房隔声作用降噪，减小对外环境的影响。</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（3）基础减震</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在设备安装时，对高噪声设备采取减震、隔震等措施。对于排风管道进出口加柔性软接头，以降低风机噪声对周围环境的影响。</w:t>
            </w:r>
          </w:p>
          <w:p>
            <w:pPr>
              <w:spacing w:line="360" w:lineRule="auto"/>
              <w:ind w:firstLine="480" w:firstLineChars="200"/>
              <w:rPr>
                <w:color w:val="auto"/>
                <w:sz w:val="24"/>
                <w:szCs w:val="24"/>
              </w:rPr>
            </w:pPr>
            <w:r>
              <w:rPr>
                <w:rFonts w:hint="eastAsia"/>
                <w:color w:val="auto"/>
                <w:sz w:val="24"/>
                <w:szCs w:val="24"/>
                <w:lang w:val="en-US" w:eastAsia="zh-CN"/>
              </w:rPr>
              <w:t>（4）加强建筑物隔声措施本项目生产车间全部采用封闭式，加强生产车间隔声作用。</w:t>
            </w:r>
          </w:p>
          <w:p>
            <w:pPr>
              <w:spacing w:line="360" w:lineRule="auto"/>
              <w:ind w:firstLine="480" w:firstLineChars="200"/>
              <w:rPr>
                <w:color w:val="auto"/>
                <w:sz w:val="24"/>
                <w:szCs w:val="24"/>
              </w:rPr>
            </w:pPr>
            <w:r>
              <w:rPr>
                <w:color w:val="auto"/>
                <w:sz w:val="24"/>
                <w:szCs w:val="24"/>
              </w:rPr>
              <w:t>上述设备的减震、隔声治理措施以及优化平面布置是常用的从声源以及传播途经上减轻噪声影响方法。经过预测后，厂界噪声值达标，在技术上是可行的。</w:t>
            </w:r>
          </w:p>
          <w:p>
            <w:pPr>
              <w:spacing w:line="360" w:lineRule="auto"/>
              <w:ind w:left="420" w:leftChars="200"/>
              <w:rPr>
                <w:color w:val="auto"/>
                <w:sz w:val="24"/>
                <w:szCs w:val="24"/>
              </w:rPr>
            </w:pPr>
            <w:r>
              <w:rPr>
                <w:color w:val="auto"/>
                <w:sz w:val="24"/>
                <w:szCs w:val="24"/>
              </w:rPr>
              <w:t>（</w:t>
            </w:r>
            <w:r>
              <w:rPr>
                <w:rFonts w:hint="eastAsia"/>
                <w:color w:val="auto"/>
                <w:sz w:val="24"/>
                <w:szCs w:val="24"/>
                <w:lang w:val="en-US" w:eastAsia="zh-CN"/>
              </w:rPr>
              <w:t>5</w:t>
            </w:r>
            <w:r>
              <w:rPr>
                <w:color w:val="auto"/>
                <w:sz w:val="24"/>
                <w:szCs w:val="24"/>
              </w:rPr>
              <w:t>）运输车辆噪声污染防治措施</w:t>
            </w:r>
          </w:p>
          <w:p>
            <w:pPr>
              <w:pStyle w:val="60"/>
              <w:ind w:firstLine="422"/>
              <w:rPr>
                <w:rFonts w:hint="default" w:ascii="Times New Roman" w:hAnsi="Times New Roman" w:eastAsia="宋体" w:cs="Times New Roman"/>
                <w:b/>
                <w:bCs/>
                <w:color w:val="auto"/>
                <w:sz w:val="24"/>
                <w:szCs w:val="24"/>
                <w:lang w:val="en-US" w:eastAsia="zh-CN"/>
              </w:rPr>
            </w:pPr>
            <w:r>
              <w:rPr>
                <w:color w:val="auto"/>
                <w:sz w:val="24"/>
                <w:szCs w:val="24"/>
              </w:rPr>
              <w:t>为了降低噪声对沿线居民的影响，本次评价提出实行限速、非必要不鸣笛、禁止夜间运输等措施，采取以上措施，可最大限度地减少交通噪声对沿线居民的影响，措施可行。</w:t>
            </w:r>
          </w:p>
          <w:p>
            <w:pPr>
              <w:spacing w:line="360" w:lineRule="auto"/>
              <w:ind w:firstLine="480" w:firstLineChars="200"/>
              <w:rPr>
                <w:rFonts w:hint="default"/>
                <w:color w:val="auto"/>
                <w:sz w:val="24"/>
                <w:szCs w:val="24"/>
              </w:rPr>
            </w:pPr>
            <w:r>
              <w:rPr>
                <w:rFonts w:hint="eastAsia"/>
                <w:color w:val="auto"/>
                <w:sz w:val="24"/>
                <w:szCs w:val="24"/>
                <w:lang w:val="en-US" w:eastAsia="zh-CN"/>
              </w:rPr>
              <w:t>（6）</w:t>
            </w:r>
            <w:r>
              <w:rPr>
                <w:rFonts w:hint="default"/>
                <w:color w:val="auto"/>
                <w:sz w:val="24"/>
                <w:szCs w:val="24"/>
              </w:rPr>
              <w:t>噪声监测计划</w:t>
            </w:r>
          </w:p>
          <w:p>
            <w:pPr>
              <w:pStyle w:val="60"/>
              <w:ind w:firstLine="420"/>
              <w:rPr>
                <w:rFonts w:hint="default" w:ascii="Times New Roman" w:hAnsi="Times New Roman" w:eastAsia="宋体" w:cs="Times New Roman"/>
                <w:color w:val="auto"/>
                <w:sz w:val="24"/>
                <w:szCs w:val="24"/>
              </w:rPr>
            </w:pPr>
            <w:r>
              <w:rPr>
                <w:color w:val="auto"/>
                <w:sz w:val="24"/>
                <w:lang w:bidi="ar"/>
              </w:rPr>
              <w:t>根据《排污单位自行监测技术指南 砖瓦工业》（HJ1254—2022）、《排污单位自行监测技术指南 总则》（HJ942-2018）中要求，结合项目性质和排污特点，项目噪声检测计划如下</w:t>
            </w:r>
            <w:r>
              <w:rPr>
                <w:rFonts w:hint="default" w:ascii="Times New Roman" w:hAnsi="Times New Roman" w:eastAsia="宋体" w:cs="Times New Roman"/>
                <w:color w:val="auto"/>
                <w:sz w:val="24"/>
                <w:szCs w:val="24"/>
              </w:rPr>
              <w:t>表。</w:t>
            </w:r>
          </w:p>
          <w:p>
            <w:pPr>
              <w:pStyle w:val="14"/>
              <w:keepNext/>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default" w:ascii="Times New Roman" w:hAnsi="Times New Roman" w:eastAsia="宋体" w:cs="Times New Roman"/>
                <w:color w:val="auto"/>
                <w:lang w:val="en-US" w:eastAsia="zh-CN"/>
              </w:rPr>
              <w:t>4-1</w:t>
            </w:r>
            <w:r>
              <w:rPr>
                <w:rFonts w:hint="eastAsia" w:eastAsia="宋体" w:cs="Times New Roman"/>
                <w:color w:val="auto"/>
                <w:lang w:val="en-US" w:eastAsia="zh-CN"/>
              </w:rPr>
              <w:t>3</w:t>
            </w:r>
            <w:r>
              <w:rPr>
                <w:rFonts w:hint="default" w:ascii="Times New Roman" w:hAnsi="Times New Roman" w:eastAsia="宋体" w:cs="Times New Roman"/>
                <w:color w:val="auto"/>
                <w:lang w:val="en-US" w:eastAsia="zh-CN"/>
              </w:rPr>
              <w:t xml:space="preserve"> </w:t>
            </w:r>
            <w:r>
              <w:rPr>
                <w:rFonts w:hint="eastAsia" w:eastAsia="宋体" w:cs="Times New Roman"/>
                <w:color w:val="auto"/>
                <w:lang w:val="en-US" w:eastAsia="zh-CN"/>
              </w:rPr>
              <w:t xml:space="preserve">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噪声监测计划</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3712"/>
              <w:gridCol w:w="1768"/>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7" w:type="dxa"/>
                  <w:vAlign w:val="center"/>
                </w:tcPr>
                <w:p>
                  <w:pPr>
                    <w:pStyle w:val="57"/>
                    <w:rPr>
                      <w:rFonts w:hint="default" w:ascii="Times New Roman" w:hAnsi="Times New Roman" w:eastAsia="宋体" w:cs="Times New Roman"/>
                      <w:color w:val="auto"/>
                    </w:rPr>
                  </w:pPr>
                  <w:r>
                    <w:rPr>
                      <w:rFonts w:hint="default" w:ascii="Times New Roman" w:hAnsi="Times New Roman" w:eastAsia="宋体" w:cs="Times New Roman"/>
                      <w:color w:val="auto"/>
                    </w:rPr>
                    <w:t>项目</w:t>
                  </w:r>
                </w:p>
              </w:tc>
              <w:tc>
                <w:tcPr>
                  <w:tcW w:w="3671" w:type="dxa"/>
                  <w:vAlign w:val="center"/>
                </w:tcPr>
                <w:p>
                  <w:pPr>
                    <w:pStyle w:val="57"/>
                    <w:rPr>
                      <w:rFonts w:hint="default" w:ascii="Times New Roman" w:hAnsi="Times New Roman" w:eastAsia="宋体" w:cs="Times New Roman"/>
                      <w:color w:val="auto"/>
                    </w:rPr>
                  </w:pPr>
                  <w:r>
                    <w:rPr>
                      <w:rFonts w:hint="default" w:ascii="Times New Roman" w:hAnsi="Times New Roman" w:eastAsia="宋体" w:cs="Times New Roman"/>
                      <w:color w:val="auto"/>
                    </w:rPr>
                    <w:t>监测位置</w:t>
                  </w:r>
                </w:p>
              </w:tc>
              <w:tc>
                <w:tcPr>
                  <w:tcW w:w="1749" w:type="dxa"/>
                  <w:vAlign w:val="center"/>
                </w:tcPr>
                <w:p>
                  <w:pPr>
                    <w:pStyle w:val="57"/>
                    <w:rPr>
                      <w:rFonts w:hint="default" w:ascii="Times New Roman" w:hAnsi="Times New Roman" w:eastAsia="宋体" w:cs="Times New Roman"/>
                      <w:color w:val="auto"/>
                    </w:rPr>
                  </w:pPr>
                  <w:r>
                    <w:rPr>
                      <w:rFonts w:hint="default" w:ascii="Times New Roman" w:hAnsi="Times New Roman" w:eastAsia="宋体" w:cs="Times New Roman"/>
                      <w:color w:val="auto"/>
                    </w:rPr>
                    <w:t>监测因子</w:t>
                  </w:r>
                </w:p>
              </w:tc>
              <w:tc>
                <w:tcPr>
                  <w:tcW w:w="1684" w:type="dxa"/>
                  <w:vAlign w:val="center"/>
                </w:tcPr>
                <w:p>
                  <w:pPr>
                    <w:pStyle w:val="57"/>
                    <w:rPr>
                      <w:rFonts w:hint="default" w:ascii="Times New Roman" w:hAnsi="Times New Roman" w:eastAsia="宋体" w:cs="Times New Roman"/>
                      <w:color w:val="auto"/>
                    </w:rPr>
                  </w:pPr>
                  <w:r>
                    <w:rPr>
                      <w:rFonts w:hint="default" w:ascii="Times New Roman" w:hAnsi="Times New Roman" w:eastAsia="宋体" w:cs="Times New Roman"/>
                      <w:color w:val="auto"/>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07" w:type="dxa"/>
                  <w:vAlign w:val="center"/>
                </w:tcPr>
                <w:p>
                  <w:pPr>
                    <w:pStyle w:val="57"/>
                    <w:rPr>
                      <w:rFonts w:hint="default" w:ascii="Times New Roman" w:hAnsi="Times New Roman" w:eastAsia="宋体" w:cs="Times New Roman"/>
                      <w:color w:val="auto"/>
                    </w:rPr>
                  </w:pPr>
                  <w:r>
                    <w:rPr>
                      <w:rFonts w:hint="default" w:ascii="Times New Roman" w:hAnsi="Times New Roman" w:eastAsia="宋体" w:cs="Times New Roman"/>
                      <w:color w:val="auto"/>
                    </w:rPr>
                    <w:t>噪声</w:t>
                  </w:r>
                </w:p>
              </w:tc>
              <w:tc>
                <w:tcPr>
                  <w:tcW w:w="3671" w:type="dxa"/>
                  <w:vAlign w:val="center"/>
                </w:tcPr>
                <w:p>
                  <w:pPr>
                    <w:pStyle w:val="57"/>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厂界</w:t>
                  </w:r>
                  <w:r>
                    <w:rPr>
                      <w:rFonts w:hint="eastAsia" w:cs="Times New Roman"/>
                      <w:color w:val="auto"/>
                      <w:lang w:val="en-US" w:eastAsia="zh-CN"/>
                    </w:rPr>
                    <w:t>四周</w:t>
                  </w:r>
                </w:p>
              </w:tc>
              <w:tc>
                <w:tcPr>
                  <w:tcW w:w="1749" w:type="dxa"/>
                  <w:vAlign w:val="center"/>
                </w:tcPr>
                <w:p>
                  <w:pPr>
                    <w:pStyle w:val="57"/>
                    <w:rPr>
                      <w:rFonts w:hint="default" w:ascii="Times New Roman" w:hAnsi="Times New Roman" w:eastAsia="宋体" w:cs="Times New Roman"/>
                      <w:color w:val="auto"/>
                    </w:rPr>
                  </w:pPr>
                  <w:r>
                    <w:rPr>
                      <w:rFonts w:hint="default" w:ascii="Times New Roman" w:hAnsi="Times New Roman" w:eastAsia="宋体" w:cs="Times New Roman"/>
                      <w:i/>
                      <w:iCs/>
                      <w:color w:val="auto"/>
                    </w:rPr>
                    <w:t>L</w:t>
                  </w:r>
                  <w:r>
                    <w:rPr>
                      <w:rFonts w:hint="default" w:ascii="Times New Roman" w:hAnsi="Times New Roman" w:eastAsia="宋体" w:cs="Times New Roman"/>
                      <w:color w:val="auto"/>
                    </w:rPr>
                    <w:t>eq（A）</w:t>
                  </w:r>
                </w:p>
              </w:tc>
              <w:tc>
                <w:tcPr>
                  <w:tcW w:w="1684" w:type="dxa"/>
                  <w:vAlign w:val="center"/>
                </w:tcPr>
                <w:p>
                  <w:pPr>
                    <w:pStyle w:val="57"/>
                    <w:rPr>
                      <w:rFonts w:hint="default" w:ascii="Times New Roman" w:hAnsi="Times New Roman" w:eastAsia="宋体" w:cs="Times New Roman"/>
                      <w:color w:val="auto"/>
                    </w:rPr>
                  </w:pPr>
                  <w:r>
                    <w:rPr>
                      <w:rFonts w:hint="default" w:ascii="Times New Roman" w:hAnsi="Times New Roman" w:eastAsia="宋体" w:cs="Times New Roman"/>
                      <w:color w:val="auto"/>
                    </w:rPr>
                    <w:t>1次/季度</w:t>
                  </w:r>
                </w:p>
              </w:tc>
            </w:tr>
          </w:tbl>
          <w:p>
            <w:pPr>
              <w:spacing w:line="360" w:lineRule="auto"/>
              <w:ind w:right="-1"/>
              <w:contextualSpacing/>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5.</w:t>
            </w:r>
            <w:r>
              <w:rPr>
                <w:rFonts w:hint="default" w:ascii="Times New Roman" w:hAnsi="Times New Roman" w:eastAsia="宋体" w:cs="Times New Roman"/>
                <w:b/>
                <w:bCs/>
                <w:color w:val="auto"/>
                <w:sz w:val="24"/>
                <w:szCs w:val="24"/>
              </w:rPr>
              <w:t>固废</w:t>
            </w:r>
            <w:r>
              <w:rPr>
                <w:rFonts w:hint="eastAsia" w:cs="Times New Roman"/>
                <w:b/>
                <w:bCs/>
                <w:color w:val="auto"/>
                <w:sz w:val="24"/>
                <w:szCs w:val="24"/>
                <w:lang w:val="en-US" w:eastAsia="zh-CN"/>
              </w:rPr>
              <w:t>污染防治措施</w:t>
            </w:r>
          </w:p>
          <w:p>
            <w:pPr>
              <w:spacing w:line="360" w:lineRule="auto"/>
              <w:ind w:right="-1" w:firstLine="480" w:firstLineChars="200"/>
              <w:contextualSpacing/>
              <w:rPr>
                <w:rFonts w:hint="default"/>
                <w:color w:val="000000"/>
                <w:sz w:val="24"/>
                <w:lang w:val="en-US" w:eastAsia="zh-CN"/>
              </w:rPr>
            </w:pPr>
            <w:r>
              <w:rPr>
                <w:rFonts w:hint="eastAsia"/>
                <w:color w:val="000000"/>
                <w:sz w:val="24"/>
                <w:lang w:val="en-US" w:eastAsia="zh-CN"/>
              </w:rPr>
              <w:t>（1）一般工业固体废物污染防治措施</w:t>
            </w:r>
          </w:p>
          <w:p>
            <w:pPr>
              <w:spacing w:line="360" w:lineRule="auto"/>
              <w:ind w:right="-1" w:firstLine="480" w:firstLineChars="200"/>
              <w:contextualSpacing/>
              <w:rPr>
                <w:rFonts w:hint="default"/>
                <w:color w:val="auto"/>
                <w:sz w:val="24"/>
                <w:lang w:val="en-US" w:eastAsia="zh-CN"/>
              </w:rPr>
            </w:pPr>
            <w:r>
              <w:rPr>
                <w:rFonts w:hint="eastAsia"/>
                <w:color w:val="000000"/>
                <w:sz w:val="24"/>
                <w:lang w:val="en-US" w:eastAsia="zh-CN"/>
              </w:rPr>
              <w:t>本项目的一般工业固体废物主要为运营过程中产生的边角料、不合格砖、除尘灰、脱销脱硫脱氟废渣及炉渣等，项目产生的一般工业固体废物均作为原料回用于生产</w:t>
            </w:r>
            <w:r>
              <w:rPr>
                <w:rFonts w:hint="eastAsia"/>
                <w:color w:val="auto"/>
                <w:sz w:val="24"/>
                <w:lang w:val="en-US" w:eastAsia="zh-CN"/>
              </w:rPr>
              <w:t>；废包装袋收集后暂存至辅料库房，定期外售处理；非制砖废料收集后定期拉运至政府指定的地点处理。</w:t>
            </w:r>
          </w:p>
          <w:p>
            <w:pPr>
              <w:spacing w:line="360" w:lineRule="auto"/>
              <w:ind w:right="-1" w:firstLine="480" w:firstLineChars="200"/>
              <w:contextualSpacing/>
              <w:rPr>
                <w:rFonts w:hint="default"/>
                <w:color w:val="000000"/>
                <w:sz w:val="24"/>
                <w:lang w:val="en-US" w:eastAsia="zh-CN"/>
              </w:rPr>
            </w:pPr>
            <w:r>
              <w:rPr>
                <w:rFonts w:hint="eastAsia"/>
                <w:color w:val="000000"/>
                <w:sz w:val="24"/>
                <w:lang w:val="en-US" w:eastAsia="zh-CN"/>
              </w:rPr>
              <w:t>（2）生活垃圾及餐厨垃圾</w:t>
            </w:r>
          </w:p>
          <w:p>
            <w:pPr>
              <w:spacing w:line="360" w:lineRule="auto"/>
              <w:ind w:right="-1" w:firstLine="480" w:firstLineChars="200"/>
              <w:contextualSpacing/>
              <w:rPr>
                <w:rFonts w:hint="default"/>
                <w:color w:val="000000"/>
                <w:sz w:val="24"/>
                <w:lang w:val="en-US" w:eastAsia="zh-CN"/>
              </w:rPr>
            </w:pPr>
            <w:r>
              <w:rPr>
                <w:rFonts w:hint="eastAsia"/>
                <w:color w:val="000000"/>
                <w:sz w:val="24"/>
                <w:lang w:val="en-US" w:eastAsia="zh-CN"/>
              </w:rPr>
              <w:t>本项目产生的生活垃圾暂存至生活垃圾桶，定期拉运至附近政府指定的位置进行处理；餐厨垃圾收集后定期交环卫部门处理。</w:t>
            </w:r>
          </w:p>
          <w:p>
            <w:pPr>
              <w:spacing w:line="360" w:lineRule="auto"/>
              <w:ind w:right="-1" w:firstLine="480" w:firstLineChars="200"/>
              <w:contextualSpacing/>
              <w:rPr>
                <w:rFonts w:hint="default"/>
                <w:color w:val="000000"/>
                <w:sz w:val="24"/>
                <w:lang w:val="en-US" w:eastAsia="zh-CN"/>
              </w:rPr>
            </w:pPr>
            <w:r>
              <w:rPr>
                <w:rFonts w:hint="eastAsia"/>
                <w:color w:val="000000"/>
                <w:sz w:val="24"/>
                <w:lang w:val="en-US" w:eastAsia="zh-CN"/>
              </w:rPr>
              <w:t>（3）危险废物</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cs="Times New Roman"/>
                <w:color w:val="auto"/>
                <w:sz w:val="24"/>
                <w:szCs w:val="24"/>
                <w:lang w:val="en-US" w:eastAsia="zh-CN"/>
              </w:rPr>
              <w:t>产生的废机油及机油桶</w:t>
            </w:r>
            <w:r>
              <w:rPr>
                <w:rFonts w:hint="default" w:ascii="Times New Roman" w:hAnsi="Times New Roman" w:eastAsia="宋体" w:cs="Times New Roman"/>
                <w:color w:val="auto"/>
                <w:sz w:val="24"/>
                <w:szCs w:val="24"/>
              </w:rPr>
              <w:t>，暂存于1座10m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的危险废物暂存间，定期交有资质单位处置。</w:t>
            </w:r>
          </w:p>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根据《危险废物贮存污染控制标准》（GB18597-20</w:t>
            </w:r>
            <w:r>
              <w:rPr>
                <w:rFonts w:hint="eastAsia" w:cs="Times New Roman"/>
                <w:color w:val="auto"/>
                <w:sz w:val="24"/>
                <w:szCs w:val="24"/>
                <w:lang w:val="en-US" w:eastAsia="zh-CN"/>
              </w:rPr>
              <w:t>23</w:t>
            </w:r>
            <w:r>
              <w:rPr>
                <w:rFonts w:hint="default" w:ascii="Times New Roman" w:hAnsi="Times New Roman" w:eastAsia="宋体" w:cs="Times New Roman"/>
                <w:color w:val="auto"/>
                <w:sz w:val="24"/>
                <w:szCs w:val="24"/>
              </w:rPr>
              <w:t>）及《危险废物转移联单管理办法》（国家环境保护总局令第5号）中的规定，对本项目中危险废物的收集、运输、转移及贮存提出以下要求：</w:t>
            </w:r>
          </w:p>
          <w:p>
            <w:pPr>
              <w:pStyle w:val="73"/>
              <w:spacing w:line="360" w:lineRule="auto"/>
              <w:ind w:firstLine="504"/>
              <w:rPr>
                <w:rFonts w:hint="default" w:eastAsia="宋体"/>
                <w:color w:val="auto"/>
                <w:sz w:val="24"/>
                <w:lang w:val="en-US" w:eastAsia="zh-CN"/>
              </w:rPr>
            </w:pPr>
            <w:r>
              <w:rPr>
                <w:rFonts w:hint="eastAsia" w:eastAsia="宋体"/>
                <w:color w:val="auto"/>
                <w:sz w:val="24"/>
                <w:lang w:val="en-US" w:eastAsia="zh-CN"/>
              </w:rPr>
              <w:t>1</w:t>
            </w:r>
            <w:r>
              <w:rPr>
                <w:rFonts w:hint="eastAsia" w:eastAsia="宋体"/>
                <w:color w:val="auto"/>
                <w:sz w:val="24"/>
                <w:lang w:eastAsia="zh-CN"/>
              </w:rPr>
              <w:t>）</w:t>
            </w:r>
            <w:r>
              <w:rPr>
                <w:rFonts w:hint="eastAsia" w:eastAsia="宋体"/>
                <w:color w:val="auto"/>
                <w:sz w:val="24"/>
                <w:lang w:val="en-US" w:eastAsia="zh-CN"/>
              </w:rPr>
              <w:t>危废暂存间建设要求</w:t>
            </w:r>
          </w:p>
          <w:p>
            <w:pPr>
              <w:adjustRightInd w:val="0"/>
              <w:snapToGrid w:val="0"/>
              <w:spacing w:line="360" w:lineRule="auto"/>
              <w:ind w:firstLine="480" w:firstLineChars="200"/>
              <w:jc w:val="left"/>
              <w:textAlignment w:val="baseline"/>
              <w:rPr>
                <w:rFonts w:hint="default" w:ascii="Times New Roman" w:hAnsi="Times New Roman" w:eastAsia="宋体" w:cs="Times New Roman"/>
                <w:color w:val="auto"/>
                <w:sz w:val="24"/>
                <w:szCs w:val="24"/>
                <w:lang w:val="en-US" w:eastAsia="zh-CN"/>
              </w:rPr>
            </w:pPr>
            <w:r>
              <w:rPr>
                <w:rFonts w:hint="eastAsia" w:eastAsia="宋体"/>
                <w:color w:val="auto"/>
                <w:sz w:val="24"/>
                <w:lang w:val="en-US" w:eastAsia="zh-CN"/>
              </w:rPr>
              <w:t>①危废暂存间贮存设施地面与裙脚应采取表面防渗措施</w:t>
            </w:r>
            <w:r>
              <w:rPr>
                <w:rFonts w:hint="eastAsia" w:ascii="Times New Roman" w:hAnsi="Times New Roman" w:eastAsia="宋体" w:cs="Times New Roman"/>
                <w:color w:val="auto"/>
                <w:sz w:val="24"/>
                <w:szCs w:val="24"/>
                <w:lang w:val="en-US" w:eastAsia="zh-CN"/>
              </w:rPr>
              <w:t>；表面防渗材料应与所接触的物料或污染物相容，采用抗渗混凝土、高密度聚乙烯膜、钠基膨润土防水毯或其他防渗性能等效的材料。</w:t>
            </w:r>
          </w:p>
          <w:p>
            <w:pPr>
              <w:pStyle w:val="73"/>
              <w:spacing w:line="360" w:lineRule="auto"/>
              <w:ind w:firstLine="504"/>
              <w:rPr>
                <w:rFonts w:hint="default" w:eastAsia="宋体"/>
                <w:color w:val="auto"/>
                <w:sz w:val="24"/>
                <w:lang w:val="en-US" w:eastAsia="zh-CN"/>
              </w:rPr>
            </w:pPr>
            <w:r>
              <w:rPr>
                <w:rFonts w:hint="eastAsia" w:eastAsia="宋体"/>
                <w:color w:val="auto"/>
                <w:sz w:val="24"/>
                <w:lang w:val="en-US" w:eastAsia="zh-CN"/>
              </w:rPr>
              <w:t>②同一贮存设施宜采用相同的防渗、防腐工艺（包括防渗、防腐结构或材料），防渗、防腐材料应覆盖所有可能与废物及其渗滤液、渗漏液等接触的构筑物表面；采用不同防渗、防腐工艺应分别建设贮存分区。</w:t>
            </w:r>
          </w:p>
          <w:p>
            <w:pPr>
              <w:pStyle w:val="73"/>
              <w:spacing w:line="360" w:lineRule="auto"/>
              <w:rPr>
                <w:rFonts w:hint="default" w:eastAsia="宋体"/>
                <w:color w:val="auto"/>
                <w:sz w:val="24"/>
                <w:lang w:val="en-US" w:eastAsia="zh-CN"/>
              </w:rPr>
            </w:pPr>
            <w:r>
              <w:rPr>
                <w:rFonts w:hint="eastAsia" w:eastAsia="宋体"/>
                <w:color w:val="auto"/>
                <w:sz w:val="24"/>
                <w:lang w:val="en-US" w:eastAsia="zh-CN"/>
              </w:rPr>
              <w:t>2）危险废物贮存要求</w:t>
            </w:r>
          </w:p>
          <w:p>
            <w:pPr>
              <w:pStyle w:val="73"/>
              <w:spacing w:line="360" w:lineRule="auto"/>
              <w:ind w:firstLine="504"/>
              <w:rPr>
                <w:rFonts w:hint="eastAsia" w:eastAsia="宋体"/>
                <w:color w:val="auto"/>
                <w:sz w:val="24"/>
                <w:lang w:eastAsia="zh-CN"/>
              </w:rPr>
            </w:pPr>
            <w:r>
              <w:rPr>
                <w:rFonts w:hint="eastAsia" w:eastAsia="宋体"/>
                <w:color w:val="auto"/>
                <w:sz w:val="24"/>
                <w:lang w:val="en-US" w:eastAsia="zh-CN"/>
              </w:rPr>
              <w:t>①暂存间内通过贮存分区方式贮存液态危险废物的，应具有液体泄露堵截设施，堵截设施最小容积不应低于对应贮存区域最大液态废物容器容积或液态废物总储量1/10（二者取较大者）；</w:t>
            </w:r>
          </w:p>
          <w:p>
            <w:pPr>
              <w:pStyle w:val="73"/>
              <w:spacing w:line="360" w:lineRule="auto"/>
              <w:ind w:firstLine="504"/>
              <w:rPr>
                <w:rFonts w:hint="default" w:eastAsia="宋体"/>
                <w:color w:val="auto"/>
                <w:sz w:val="24"/>
                <w:lang w:val="en-US" w:eastAsia="zh-CN"/>
              </w:rPr>
            </w:pPr>
            <w:r>
              <w:rPr>
                <w:rFonts w:hint="eastAsia" w:eastAsia="宋体"/>
                <w:color w:val="auto"/>
                <w:sz w:val="24"/>
                <w:lang w:val="en-US" w:eastAsia="zh-CN"/>
              </w:rPr>
              <w:t>②暂存间内不同贮存区之间应采取隔离措施，隔离措施根据危险废物特性采用过道、隔板或隔墙等方式。</w:t>
            </w:r>
          </w:p>
          <w:p>
            <w:pPr>
              <w:pStyle w:val="73"/>
              <w:spacing w:line="360" w:lineRule="auto"/>
              <w:ind w:firstLine="504"/>
              <w:rPr>
                <w:rFonts w:hint="default" w:eastAsia="宋体"/>
                <w:color w:val="auto"/>
                <w:sz w:val="24"/>
                <w:lang w:val="en-US" w:eastAsia="zh-CN"/>
              </w:rPr>
            </w:pPr>
            <w:r>
              <w:rPr>
                <w:rFonts w:hint="eastAsia" w:eastAsia="宋体"/>
                <w:color w:val="auto"/>
                <w:sz w:val="24"/>
                <w:lang w:eastAsia="zh-CN"/>
              </w:rPr>
              <w:t>（</w:t>
            </w:r>
            <w:r>
              <w:rPr>
                <w:rFonts w:hint="eastAsia" w:eastAsia="宋体"/>
                <w:color w:val="auto"/>
                <w:sz w:val="24"/>
                <w:lang w:val="en-US" w:eastAsia="zh-CN"/>
              </w:rPr>
              <w:t>3</w:t>
            </w:r>
            <w:r>
              <w:rPr>
                <w:rFonts w:hint="eastAsia" w:eastAsia="宋体"/>
                <w:color w:val="auto"/>
                <w:sz w:val="24"/>
                <w:lang w:eastAsia="zh-CN"/>
              </w:rPr>
              <w:t>）</w:t>
            </w:r>
            <w:r>
              <w:rPr>
                <w:rFonts w:hint="eastAsia" w:eastAsia="宋体"/>
                <w:color w:val="auto"/>
                <w:sz w:val="24"/>
                <w:lang w:val="en-US" w:eastAsia="zh-CN"/>
              </w:rPr>
              <w:t>危险废物容器和包装物污染防治要求</w:t>
            </w:r>
          </w:p>
          <w:p>
            <w:pPr>
              <w:pStyle w:val="73"/>
              <w:spacing w:line="360" w:lineRule="auto"/>
              <w:ind w:firstLine="504"/>
              <w:rPr>
                <w:rFonts w:hint="eastAsia" w:eastAsia="宋体"/>
                <w:color w:val="auto"/>
                <w:sz w:val="24"/>
                <w:lang w:val="en-US" w:eastAsia="zh-CN"/>
              </w:rPr>
            </w:pPr>
            <w:r>
              <w:rPr>
                <w:rFonts w:hint="eastAsia" w:eastAsia="宋体"/>
                <w:color w:val="auto"/>
                <w:sz w:val="24"/>
                <w:lang w:val="en-US" w:eastAsia="zh-CN"/>
              </w:rPr>
              <w:t>①容器和包装物材质、内衬与盛装的危险废物相容；</w:t>
            </w:r>
          </w:p>
          <w:p>
            <w:pPr>
              <w:pStyle w:val="73"/>
              <w:spacing w:line="360" w:lineRule="auto"/>
              <w:ind w:firstLine="504"/>
              <w:rPr>
                <w:rFonts w:hint="default" w:eastAsia="宋体"/>
                <w:color w:val="auto"/>
                <w:sz w:val="24"/>
                <w:lang w:val="en-US" w:eastAsia="zh-CN"/>
              </w:rPr>
            </w:pPr>
            <w:r>
              <w:rPr>
                <w:rFonts w:hint="eastAsia" w:eastAsia="宋体"/>
                <w:color w:val="auto"/>
                <w:sz w:val="24"/>
                <w:lang w:val="en-US" w:eastAsia="zh-CN"/>
              </w:rPr>
              <w:t>②针对不同类别、形态、物理化学性质的危险废物，其容器和包装物应满足相应的防渗、防漏、防腐和强度等要求；</w:t>
            </w:r>
          </w:p>
          <w:p>
            <w:pPr>
              <w:pStyle w:val="73"/>
              <w:spacing w:line="360" w:lineRule="auto"/>
              <w:ind w:firstLine="504"/>
              <w:rPr>
                <w:rFonts w:hint="default" w:eastAsia="宋体"/>
                <w:color w:val="auto"/>
                <w:sz w:val="24"/>
                <w:lang w:val="en-US" w:eastAsia="zh-CN"/>
              </w:rPr>
            </w:pPr>
            <w:r>
              <w:rPr>
                <w:rFonts w:hint="eastAsia" w:eastAsia="宋体"/>
                <w:color w:val="auto"/>
                <w:sz w:val="24"/>
                <w:lang w:val="en-US" w:eastAsia="zh-CN"/>
              </w:rPr>
              <w:t>③硬质容器和包装物及其支护结构堆叠码放不应有明显变形，无破损泄露；</w:t>
            </w:r>
          </w:p>
          <w:p>
            <w:pPr>
              <w:pStyle w:val="73"/>
              <w:spacing w:line="360" w:lineRule="auto"/>
              <w:ind w:firstLine="504"/>
              <w:rPr>
                <w:rFonts w:hint="eastAsia" w:eastAsia="宋体"/>
                <w:color w:val="auto"/>
                <w:sz w:val="24"/>
                <w:lang w:val="en-US" w:eastAsia="zh-CN"/>
              </w:rPr>
            </w:pPr>
            <w:r>
              <w:rPr>
                <w:rFonts w:hint="eastAsia" w:eastAsia="宋体"/>
                <w:color w:val="auto"/>
                <w:sz w:val="24"/>
                <w:lang w:val="en-US" w:eastAsia="zh-CN"/>
              </w:rPr>
              <w:t>④柔性容器和包装物堆叠码放时应封口严密，无破损泄露；</w:t>
            </w:r>
          </w:p>
          <w:p>
            <w:pPr>
              <w:pStyle w:val="73"/>
              <w:spacing w:line="360" w:lineRule="auto"/>
              <w:ind w:firstLine="504"/>
              <w:rPr>
                <w:rFonts w:hint="eastAsia" w:eastAsia="宋体"/>
                <w:color w:val="auto"/>
                <w:sz w:val="24"/>
                <w:lang w:val="en-US" w:eastAsia="zh-CN"/>
              </w:rPr>
            </w:pPr>
            <w:r>
              <w:rPr>
                <w:rFonts w:hint="eastAsia" w:eastAsia="宋体"/>
                <w:color w:val="auto"/>
                <w:sz w:val="24"/>
                <w:lang w:val="en-US" w:eastAsia="zh-CN"/>
              </w:rPr>
              <w:t>⑤使用容器盛装液态、半固态危险废物时，容器内部应留有适当的空间，以实验因温度变化等可能引发的收缩和膨胀，防治其导致容器渗漏或永久变形；</w:t>
            </w:r>
          </w:p>
          <w:p>
            <w:pPr>
              <w:pStyle w:val="73"/>
              <w:spacing w:line="360" w:lineRule="auto"/>
              <w:ind w:firstLine="504"/>
              <w:rPr>
                <w:rFonts w:hint="default" w:eastAsia="宋体"/>
                <w:color w:val="auto"/>
                <w:sz w:val="24"/>
                <w:lang w:val="en-US" w:eastAsia="zh-CN"/>
              </w:rPr>
            </w:pPr>
            <w:r>
              <w:rPr>
                <w:rFonts w:hint="eastAsia" w:eastAsia="宋体"/>
                <w:color w:val="auto"/>
                <w:sz w:val="24"/>
                <w:lang w:val="en-US" w:eastAsia="zh-CN"/>
              </w:rPr>
              <w:t>⑥容器和包装物外表面应保持清洁；</w:t>
            </w:r>
          </w:p>
          <w:p>
            <w:pPr>
              <w:pStyle w:val="73"/>
              <w:spacing w:line="360" w:lineRule="auto"/>
              <w:ind w:firstLine="504"/>
              <w:rPr>
                <w:rFonts w:hint="default" w:eastAsia="宋体"/>
                <w:color w:val="auto"/>
                <w:sz w:val="24"/>
                <w:lang w:val="en-US" w:eastAsia="zh-CN"/>
              </w:rPr>
            </w:pPr>
            <w:r>
              <w:rPr>
                <w:rFonts w:hint="eastAsia" w:eastAsia="宋体"/>
                <w:color w:val="auto"/>
                <w:sz w:val="24"/>
                <w:lang w:val="en-US" w:eastAsia="zh-CN"/>
              </w:rPr>
              <w:t>⑦本项目的实验室废液装入闭口容器内。</w:t>
            </w:r>
          </w:p>
          <w:p>
            <w:pPr>
              <w:adjustRightInd w:val="0"/>
              <w:snapToGrid w:val="0"/>
              <w:spacing w:line="360" w:lineRule="auto"/>
              <w:ind w:firstLine="480" w:firstLineChars="200"/>
              <w:jc w:val="left"/>
              <w:textAlignment w:val="baseline"/>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警示标识</w:t>
            </w:r>
          </w:p>
          <w:p>
            <w:pPr>
              <w:adjustRightInd w:val="0"/>
              <w:snapToGrid w:val="0"/>
              <w:spacing w:line="360" w:lineRule="auto"/>
              <w:ind w:firstLine="480" w:firstLineChars="200"/>
              <w:jc w:val="left"/>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按照国家标准，危险废物标识共分两种：场所警告标志、包装容器标签。产生危险废物的企业应当按照要求设置</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应将危险废物警告标志固定于房屋外面门的一侧，靠近门口适当的高度上；当门的两侧不便于固定时，则固定于门上水平居中、高度适当的位置上</w:t>
            </w:r>
            <w:r>
              <w:rPr>
                <w:rFonts w:hint="eastAsia" w:ascii="Times New Roman" w:hAnsi="Times New Roman" w:eastAsia="宋体" w:cs="Times New Roman"/>
                <w:color w:val="auto"/>
                <w:sz w:val="24"/>
                <w:szCs w:val="24"/>
                <w:lang w:val="en-US" w:eastAsia="zh-CN"/>
              </w:rPr>
              <w:t>；</w:t>
            </w:r>
          </w:p>
          <w:p>
            <w:pPr>
              <w:adjustRightInd w:val="0"/>
              <w:snapToGrid w:val="0"/>
              <w:spacing w:line="360" w:lineRule="auto"/>
              <w:ind w:firstLine="480" w:firstLineChars="200"/>
              <w:jc w:val="left"/>
              <w:textAlignment w:val="baseline"/>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5）危险废物管理要求</w:t>
            </w:r>
          </w:p>
          <w:p>
            <w:pPr>
              <w:adjustRightInd w:val="0"/>
              <w:snapToGrid w:val="0"/>
              <w:spacing w:line="360" w:lineRule="auto"/>
              <w:ind w:firstLine="480" w:firstLineChars="200"/>
              <w:jc w:val="left"/>
              <w:textAlignment w:val="baseline"/>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①危险废物暂存至贮存设施前应对危险废物类别和特性与危险废物标签等危险废物识别标志的一致性进行核验，不一致的或类别、特性不明的不应存入；</w:t>
            </w:r>
          </w:p>
          <w:p>
            <w:pPr>
              <w:pStyle w:val="36"/>
              <w:spacing w:line="360" w:lineRule="auto"/>
              <w:ind w:firstLine="480" w:firstLineChars="200"/>
              <w:rPr>
                <w:rFonts w:hint="default"/>
                <w:color w:val="auto"/>
                <w:lang w:val="en-US" w:eastAsia="zh-CN"/>
              </w:rPr>
            </w:pPr>
            <w:r>
              <w:rPr>
                <w:rFonts w:hint="eastAsia" w:ascii="Times New Roman" w:hAnsi="Times New Roman" w:eastAsia="宋体" w:cs="Times New Roman"/>
                <w:color w:val="auto"/>
                <w:sz w:val="24"/>
                <w:szCs w:val="24"/>
                <w:lang w:val="en-US" w:eastAsia="zh-CN"/>
              </w:rPr>
              <w:t>②应定期检查危险废物的贮存状况，及时清理贮存设施地面，更换平破损泄露的危险废物贮存容器和包装物；</w:t>
            </w:r>
          </w:p>
          <w:p>
            <w:pPr>
              <w:adjustRightInd w:val="0"/>
              <w:snapToGrid w:val="0"/>
              <w:spacing w:line="360" w:lineRule="auto"/>
              <w:ind w:firstLine="480" w:firstLineChars="200"/>
              <w:jc w:val="left"/>
              <w:textAlignment w:val="baseline"/>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③暂存间运行期间，应按国家有关标准和规定建立危险废物管理台账并保存；</w:t>
            </w:r>
          </w:p>
          <w:p>
            <w:pPr>
              <w:pStyle w:val="36"/>
              <w:keepNext w:val="0"/>
              <w:keepLines w:val="0"/>
              <w:pageBreakBefore w:val="0"/>
              <w:widowControl w:val="0"/>
              <w:kinsoku/>
              <w:wordWrap/>
              <w:overflowPunct/>
              <w:topLinePunct w:val="0"/>
              <w:bidi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6）其他要求</w:t>
            </w:r>
          </w:p>
          <w:p>
            <w:pPr>
              <w:adjustRightInd w:val="0"/>
              <w:snapToGrid w:val="0"/>
              <w:spacing w:line="360" w:lineRule="auto"/>
              <w:ind w:firstLine="480" w:firstLineChars="200"/>
              <w:jc w:val="left"/>
              <w:textAlignment w:val="baseline"/>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①危险废物的运输应采取危废转移五联单制度，保证运输安全，防治非法转移和非法处置，保证危险废物的安全监控，防治危险废物污染事故的发生。</w:t>
            </w:r>
          </w:p>
          <w:p>
            <w:pPr>
              <w:adjustRightInd w:val="0"/>
              <w:snapToGrid w:val="0"/>
              <w:spacing w:line="360" w:lineRule="auto"/>
              <w:ind w:firstLine="480" w:firstLineChars="200"/>
              <w:jc w:val="left"/>
              <w:textAlignment w:val="baseline"/>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②根据防火要求，暂存间放置一定数量的灭火器以及其他灭火设施。</w:t>
            </w:r>
          </w:p>
          <w:p>
            <w:pPr>
              <w:adjustRightInd w:val="0"/>
              <w:snapToGrid w:val="0"/>
              <w:spacing w:line="360" w:lineRule="auto"/>
              <w:ind w:firstLine="480" w:firstLineChars="200"/>
              <w:jc w:val="left"/>
              <w:textAlignment w:val="baseline"/>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③如有动火作业，需远离危废暂存间。</w:t>
            </w:r>
          </w:p>
          <w:p>
            <w:pPr>
              <w:spacing w:line="360" w:lineRule="auto"/>
              <w:ind w:right="-1" w:firstLine="480" w:firstLineChars="200"/>
              <w:contextualSpacing/>
              <w:rPr>
                <w:rFonts w:hint="eastAsia"/>
                <w:color w:val="000000"/>
                <w:sz w:val="24"/>
                <w:lang w:val="en-US" w:eastAsia="zh-CN"/>
              </w:rPr>
            </w:pPr>
            <w:r>
              <w:rPr>
                <w:rFonts w:hint="eastAsia" w:ascii="Times New Roman" w:hAnsi="Times New Roman" w:eastAsia="宋体" w:cs="Times New Roman"/>
                <w:b w:val="0"/>
                <w:bCs w:val="0"/>
                <w:color w:val="auto"/>
                <w:sz w:val="24"/>
                <w:szCs w:val="24"/>
                <w:lang w:val="en-US" w:eastAsia="zh-CN"/>
              </w:rPr>
              <w:t>综上，运营期做好固体废物的防治措施，固体废物不会对周边环境产生较大影响</w:t>
            </w:r>
          </w:p>
          <w:p>
            <w:pPr>
              <w:pStyle w:val="80"/>
              <w:spacing w:before="0" w:line="360" w:lineRule="auto"/>
              <w:ind w:left="0" w:leftChars="0" w:firstLine="0" w:firstLineChars="0"/>
              <w:rPr>
                <w:rFonts w:ascii="Times New Roman" w:hAnsi="Times New Roman"/>
                <w:b/>
                <w:bCs/>
                <w:color w:val="000000"/>
                <w:kern w:val="0"/>
                <w:szCs w:val="36"/>
              </w:rPr>
            </w:pPr>
            <w:r>
              <w:rPr>
                <w:rFonts w:ascii="Times New Roman" w:hAnsi="Times New Roman"/>
                <w:b/>
                <w:bCs/>
                <w:color w:val="000000"/>
                <w:kern w:val="0"/>
                <w:szCs w:val="36"/>
              </w:rPr>
              <w:t>6</w:t>
            </w:r>
            <w:r>
              <w:rPr>
                <w:rFonts w:hint="eastAsia" w:ascii="Times New Roman" w:hAnsi="Times New Roman"/>
                <w:b/>
                <w:bCs/>
                <w:color w:val="000000"/>
                <w:kern w:val="0"/>
                <w:szCs w:val="36"/>
                <w:lang w:val="en-US" w:eastAsia="zh-CN"/>
              </w:rPr>
              <w:t>.</w:t>
            </w:r>
            <w:r>
              <w:rPr>
                <w:rFonts w:ascii="Times New Roman" w:hAnsi="Times New Roman"/>
                <w:b/>
                <w:bCs/>
                <w:color w:val="000000"/>
                <w:kern w:val="0"/>
                <w:szCs w:val="36"/>
              </w:rPr>
              <w:t>地下水</w:t>
            </w:r>
            <w:r>
              <w:rPr>
                <w:rFonts w:hint="eastAsia" w:ascii="Times New Roman" w:hAnsi="Times New Roman"/>
                <w:b/>
                <w:bCs/>
                <w:color w:val="000000"/>
                <w:kern w:val="0"/>
                <w:szCs w:val="36"/>
                <w:lang w:val="en-US" w:eastAsia="zh-CN"/>
              </w:rPr>
              <w:t>环境</w:t>
            </w:r>
            <w:r>
              <w:rPr>
                <w:rFonts w:ascii="Times New Roman" w:hAnsi="Times New Roman"/>
                <w:b/>
                <w:bCs/>
                <w:color w:val="000000"/>
                <w:kern w:val="0"/>
                <w:szCs w:val="36"/>
              </w:rPr>
              <w:t>保护措施</w:t>
            </w:r>
          </w:p>
          <w:p>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本项目地下水、土壤按照“分区防治”的原则</w:t>
            </w:r>
            <w:r>
              <w:rPr>
                <w:rFonts w:hint="default" w:ascii="Times New Roman" w:hAnsi="Times New Roman" w:cs="Times New Roman"/>
                <w:color w:val="auto"/>
                <w:sz w:val="24"/>
                <w:szCs w:val="24"/>
                <w:highlight w:val="none"/>
              </w:rPr>
              <w:t>将项目区按各功能单元所处的位置划分为重点防渗区、一般防渗区以及简单防渗区三类地下水污染防治区域：</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重点防渗区：</w:t>
            </w:r>
            <w:r>
              <w:rPr>
                <w:rFonts w:hint="eastAsia" w:cs="Times New Roman"/>
                <w:color w:val="auto"/>
                <w:sz w:val="24"/>
                <w:szCs w:val="24"/>
                <w:highlight w:val="none"/>
                <w:lang w:val="en-US" w:eastAsia="zh-CN"/>
              </w:rPr>
              <w:t>循环</w:t>
            </w:r>
            <w:r>
              <w:rPr>
                <w:rFonts w:hint="default" w:ascii="Times New Roman" w:hAnsi="Times New Roman" w:cs="Times New Roman"/>
                <w:color w:val="auto"/>
                <w:sz w:val="24"/>
                <w:szCs w:val="24"/>
                <w:highlight w:val="none"/>
              </w:rPr>
              <w:t>水池、危废暂存间</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辅料库房；</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一般防渗区：</w:t>
            </w:r>
            <w:r>
              <w:rPr>
                <w:rFonts w:hint="eastAsia" w:cs="Times New Roman"/>
                <w:color w:val="auto"/>
                <w:sz w:val="24"/>
                <w:szCs w:val="24"/>
                <w:highlight w:val="none"/>
                <w:lang w:val="en-US" w:eastAsia="zh-CN"/>
              </w:rPr>
              <w:t>原料加工车间、</w:t>
            </w:r>
            <w:r>
              <w:rPr>
                <w:rFonts w:hint="eastAsia" w:cs="Times New Roman"/>
                <w:color w:val="auto"/>
                <w:sz w:val="24"/>
                <w:szCs w:val="24"/>
                <w:highlight w:val="none"/>
                <w:lang w:eastAsia="zh-CN"/>
              </w:rPr>
              <w:t>陈化车间、煤矸石</w:t>
            </w:r>
            <w:r>
              <w:rPr>
                <w:rFonts w:hint="eastAsia" w:cs="Times New Roman"/>
                <w:color w:val="auto"/>
                <w:sz w:val="24"/>
                <w:szCs w:val="24"/>
                <w:highlight w:val="none"/>
                <w:lang w:val="en-US" w:eastAsia="zh-CN"/>
              </w:rPr>
              <w:t>堆棚</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旱厕</w:t>
            </w:r>
            <w:r>
              <w:rPr>
                <w:rFonts w:hint="default" w:ascii="Times New Roman" w:hAnsi="Times New Roman" w:cs="Times New Roman"/>
                <w:color w:val="auto"/>
                <w:sz w:val="24"/>
                <w:szCs w:val="24"/>
                <w:highlight w:val="none"/>
              </w:rPr>
              <w:t>；</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简单防渗区：</w:t>
            </w:r>
            <w:r>
              <w:rPr>
                <w:rFonts w:hint="eastAsia" w:cs="Times New Roman"/>
                <w:color w:val="auto"/>
                <w:sz w:val="24"/>
                <w:szCs w:val="24"/>
                <w:highlight w:val="none"/>
                <w:lang w:val="en-US" w:eastAsia="zh-CN"/>
              </w:rPr>
              <w:t>重点及一般防渗区外区域</w:t>
            </w:r>
            <w:r>
              <w:rPr>
                <w:rFonts w:hint="default" w:ascii="Times New Roman" w:hAnsi="Times New Roman" w:cs="Times New Roman"/>
                <w:color w:val="auto"/>
                <w:sz w:val="24"/>
                <w:szCs w:val="24"/>
                <w:highlight w:val="none"/>
              </w:rPr>
              <w:t>。</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1 \* GB3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①</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重点防渗区</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危废暂存间采用防渗、防腐处理；接缝和施工部位应密实、结合牢固，不得渗漏；管道材料应视输送介质的不同选择合适材料并做表面防腐处理，减轻管道腐蚀造成的渗漏；并进行定期检查，确保消除跑、冒、滴、漏现象发生。</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项目重点防渗区采用防渗层为至少1m厚黏土层（≤1×10</w:t>
            </w:r>
            <w:r>
              <w:rPr>
                <w:rFonts w:hint="default" w:ascii="Times New Roman" w:hAnsi="Times New Roman" w:cs="Times New Roman"/>
                <w:color w:val="auto"/>
                <w:sz w:val="24"/>
                <w:szCs w:val="24"/>
                <w:highlight w:val="none"/>
                <w:vertAlign w:val="superscript"/>
              </w:rPr>
              <w:t>-7</w:t>
            </w:r>
            <w:r>
              <w:rPr>
                <w:rFonts w:hint="default" w:ascii="Times New Roman" w:hAnsi="Times New Roman" w:cs="Times New Roman"/>
                <w:color w:val="auto"/>
                <w:sz w:val="24"/>
                <w:szCs w:val="24"/>
                <w:highlight w:val="none"/>
              </w:rPr>
              <w:t>cm/s），或2mm厚高密度聚乙烯膜，或至少2mm厚其他人工材料，渗透系数应≤1×10</w:t>
            </w:r>
            <w:r>
              <w:rPr>
                <w:rFonts w:hint="default" w:ascii="Times New Roman" w:hAnsi="Times New Roman" w:cs="Times New Roman"/>
                <w:color w:val="auto"/>
                <w:sz w:val="24"/>
                <w:szCs w:val="24"/>
                <w:highlight w:val="none"/>
                <w:vertAlign w:val="superscript"/>
              </w:rPr>
              <w:t>-10</w:t>
            </w:r>
            <w:r>
              <w:rPr>
                <w:rFonts w:hint="default" w:ascii="Times New Roman" w:hAnsi="Times New Roman" w:cs="Times New Roman"/>
                <w:color w:val="auto"/>
                <w:sz w:val="24"/>
                <w:szCs w:val="24"/>
                <w:highlight w:val="none"/>
              </w:rPr>
              <w:t>cm/s</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及</w:t>
            </w:r>
            <w:r>
              <w:rPr>
                <w:rFonts w:hint="default" w:ascii="Times New Roman" w:hAnsi="Times New Roman" w:cs="Times New Roman"/>
                <w:bCs/>
                <w:color w:val="auto"/>
                <w:sz w:val="24"/>
                <w:szCs w:val="24"/>
              </w:rPr>
              <w:t>等效黏土层</w:t>
            </w:r>
            <w:r>
              <w:rPr>
                <w:rFonts w:hint="eastAsia" w:ascii="Times New Roman" w:hAnsi="Times New Roman" w:cs="Times New Roman"/>
                <w:bCs/>
                <w:color w:val="auto"/>
                <w:sz w:val="24"/>
                <w:szCs w:val="24"/>
                <w:lang w:val="en-US" w:eastAsia="zh-CN"/>
              </w:rPr>
              <w:t>Mb</w:t>
            </w:r>
            <w:r>
              <w:rPr>
                <w:rFonts w:hint="default" w:ascii="Times New Roman" w:hAnsi="Times New Roman" w:cs="Times New Roman"/>
                <w:bCs/>
                <w:color w:val="auto"/>
                <w:sz w:val="24"/>
                <w:szCs w:val="24"/>
              </w:rPr>
              <w:t>≥1.5m</w:t>
            </w:r>
            <w:r>
              <w:rPr>
                <w:rFonts w:hint="default" w:ascii="Times New Roman" w:hAnsi="Times New Roman" w:cs="Times New Roman"/>
                <w:color w:val="auto"/>
                <w:sz w:val="24"/>
                <w:szCs w:val="24"/>
                <w:highlight w:val="none"/>
              </w:rPr>
              <w:t>。</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2 \* GB3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②</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一般防渗区</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一般防渗层地面采取粘土铺底，再在上层铺10~15cm的水泥进行硬化。一般防渗区各单元防渗层的渗透系数应≤1×10</w:t>
            </w:r>
            <w:r>
              <w:rPr>
                <w:rFonts w:hint="default" w:ascii="Times New Roman" w:hAnsi="Times New Roman" w:cs="Times New Roman"/>
                <w:color w:val="auto"/>
                <w:sz w:val="24"/>
                <w:szCs w:val="24"/>
                <w:highlight w:val="none"/>
                <w:vertAlign w:val="superscript"/>
              </w:rPr>
              <w:t>-7</w:t>
            </w:r>
            <w:r>
              <w:rPr>
                <w:rFonts w:hint="default" w:ascii="Times New Roman" w:hAnsi="Times New Roman" w:cs="Times New Roman"/>
                <w:color w:val="auto"/>
                <w:sz w:val="24"/>
                <w:szCs w:val="24"/>
                <w:highlight w:val="none"/>
              </w:rPr>
              <w:t>cm/s</w:t>
            </w:r>
            <w:r>
              <w:rPr>
                <w:rFonts w:hint="eastAsia" w:cs="Times New Roman"/>
                <w:bCs/>
                <w:color w:val="auto"/>
                <w:sz w:val="24"/>
                <w:szCs w:val="24"/>
                <w:lang w:val="en-US" w:eastAsia="zh-CN"/>
              </w:rPr>
              <w:t>及</w:t>
            </w:r>
            <w:r>
              <w:rPr>
                <w:rFonts w:hint="default" w:ascii="Times New Roman" w:hAnsi="Times New Roman" w:cs="Times New Roman"/>
                <w:bCs/>
                <w:color w:val="auto"/>
                <w:sz w:val="24"/>
                <w:szCs w:val="24"/>
              </w:rPr>
              <w:t>等效黏土层</w:t>
            </w:r>
            <w:r>
              <w:rPr>
                <w:rFonts w:hint="eastAsia" w:ascii="Times New Roman" w:hAnsi="Times New Roman" w:cs="Times New Roman"/>
                <w:bCs/>
                <w:color w:val="auto"/>
                <w:sz w:val="24"/>
                <w:szCs w:val="24"/>
                <w:lang w:val="en-US" w:eastAsia="zh-CN"/>
              </w:rPr>
              <w:t>Mb</w:t>
            </w:r>
            <w:r>
              <w:rPr>
                <w:rFonts w:hint="default" w:ascii="Times New Roman" w:hAnsi="Times New Roman" w:cs="Times New Roman"/>
                <w:bCs/>
                <w:color w:val="auto"/>
                <w:sz w:val="24"/>
                <w:szCs w:val="24"/>
              </w:rPr>
              <w:t>≥6.0m</w:t>
            </w:r>
            <w:r>
              <w:rPr>
                <w:rFonts w:hint="default" w:ascii="Times New Roman" w:hAnsi="Times New Roman" w:cs="Times New Roman"/>
                <w:color w:val="auto"/>
                <w:sz w:val="24"/>
                <w:szCs w:val="24"/>
                <w:highlight w:val="none"/>
              </w:rPr>
              <w:t>。</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③简单防渗区</w:t>
            </w:r>
          </w:p>
          <w:p>
            <w:pPr>
              <w:pageBreakBefore w:val="0"/>
              <w:widowControl w:val="0"/>
              <w:kinsoku/>
              <w:wordWrap/>
              <w:overflowPunct/>
              <w:topLinePunct w:val="0"/>
              <w:autoSpaceDE/>
              <w:autoSpaceDN/>
              <w:bidi w:val="0"/>
              <w:spacing w:line="360" w:lineRule="auto"/>
              <w:ind w:firstLine="51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一般地面硬。</w:t>
            </w:r>
          </w:p>
          <w:p>
            <w:pPr>
              <w:pageBreakBefore w:val="0"/>
              <w:widowControl w:val="0"/>
              <w:kinsoku/>
              <w:wordWrap/>
              <w:overflowPunct/>
              <w:topLinePunct w:val="0"/>
              <w:autoSpaceDE/>
              <w:autoSpaceDN/>
              <w:bidi w:val="0"/>
              <w:spacing w:line="360" w:lineRule="auto"/>
              <w:ind w:firstLine="513"/>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本项目地下水防渗共分为3个区，具体分区见</w:t>
            </w:r>
            <w:r>
              <w:rPr>
                <w:rFonts w:hint="eastAsia" w:cs="Times New Roman"/>
                <w:color w:val="auto"/>
                <w:sz w:val="24"/>
                <w:szCs w:val="24"/>
                <w:highlight w:val="none"/>
                <w:lang w:val="en-US" w:eastAsia="zh-CN"/>
              </w:rPr>
              <w:t>下</w:t>
            </w:r>
            <w:r>
              <w:rPr>
                <w:rFonts w:hint="default" w:ascii="Times New Roman" w:hAnsi="Times New Roman" w:cs="Times New Roman"/>
                <w:color w:val="auto"/>
                <w:sz w:val="24"/>
                <w:szCs w:val="24"/>
                <w:highlight w:val="none"/>
              </w:rPr>
              <w:t>表</w:t>
            </w:r>
            <w:r>
              <w:rPr>
                <w:rFonts w:hint="eastAsia" w:cs="Times New Roman"/>
                <w:color w:val="auto"/>
                <w:sz w:val="24"/>
                <w:szCs w:val="24"/>
                <w:highlight w:val="none"/>
                <w:lang w:eastAsia="zh-CN"/>
              </w:rPr>
              <w:t>。</w:t>
            </w:r>
          </w:p>
          <w:p>
            <w:pPr>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表4-1</w:t>
            </w:r>
            <w:r>
              <w:rPr>
                <w:rFonts w:hint="eastAsia" w:cs="Times New Roman"/>
                <w:b/>
                <w:bCs/>
                <w:color w:val="auto"/>
                <w:highlight w:val="none"/>
                <w:lang w:val="en-US" w:eastAsia="zh-CN"/>
              </w:rPr>
              <w:t>6</w:t>
            </w:r>
            <w:r>
              <w:rPr>
                <w:rFonts w:hint="default" w:ascii="Times New Roman" w:hAnsi="Times New Roman" w:cs="Times New Roman"/>
                <w:b/>
                <w:bCs/>
                <w:color w:val="auto"/>
                <w:highlight w:val="none"/>
              </w:rPr>
              <w:t xml:space="preserve">  </w:t>
            </w:r>
            <w:r>
              <w:rPr>
                <w:rFonts w:hint="eastAsia" w:cs="Times New Roman"/>
                <w:b/>
                <w:bCs/>
                <w:color w:val="auto"/>
                <w:highlight w:val="none"/>
                <w:lang w:val="en-US" w:eastAsia="zh-CN"/>
              </w:rPr>
              <w:t xml:space="preserve"> </w:t>
            </w:r>
            <w:r>
              <w:rPr>
                <w:rFonts w:hint="default" w:ascii="Times New Roman" w:hAnsi="Times New Roman" w:cs="Times New Roman"/>
                <w:b/>
                <w:bCs/>
                <w:color w:val="auto"/>
                <w:highlight w:val="none"/>
              </w:rPr>
              <w:t>地下水防渗分区表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3766"/>
              <w:gridCol w:w="13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2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区域名称</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分区类别</w:t>
                  </w:r>
                </w:p>
              </w:tc>
              <w:tc>
                <w:tcPr>
                  <w:tcW w:w="15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防渗系数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2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重点及一般防渗区外其他区域</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简单防渗区</w:t>
                  </w:r>
                </w:p>
              </w:tc>
              <w:tc>
                <w:tcPr>
                  <w:tcW w:w="15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一般硬化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2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原料加工</w:t>
                  </w:r>
                  <w:r>
                    <w:rPr>
                      <w:rFonts w:hint="eastAsia"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lang w:val="en-US" w:eastAsia="zh-CN"/>
                    </w:rPr>
                    <w:t>、陈化车间、煤矸石</w:t>
                  </w:r>
                  <w:r>
                    <w:rPr>
                      <w:rFonts w:hint="eastAsia" w:cs="Times New Roman"/>
                      <w:color w:val="auto"/>
                      <w:sz w:val="21"/>
                      <w:szCs w:val="21"/>
                      <w:highlight w:val="none"/>
                      <w:lang w:val="en-US" w:eastAsia="zh-CN"/>
                    </w:rPr>
                    <w:t>堆棚</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旱厕</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一般防渗区</w:t>
                  </w:r>
                </w:p>
              </w:tc>
              <w:tc>
                <w:tcPr>
                  <w:tcW w:w="15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Cs/>
                      <w:color w:val="auto"/>
                      <w:szCs w:val="21"/>
                    </w:rPr>
                    <w:t>等效黏土层</w:t>
                  </w:r>
                  <w:r>
                    <w:rPr>
                      <w:rFonts w:hint="eastAsia" w:ascii="Times New Roman" w:hAnsi="Times New Roman" w:cs="Times New Roman"/>
                      <w:bCs/>
                      <w:color w:val="auto"/>
                      <w:szCs w:val="21"/>
                      <w:lang w:val="en-US" w:eastAsia="zh-CN"/>
                    </w:rPr>
                    <w:t>Mb</w:t>
                  </w:r>
                  <w:r>
                    <w:rPr>
                      <w:rFonts w:hint="default" w:ascii="Times New Roman" w:hAnsi="Times New Roman" w:cs="Times New Roman"/>
                      <w:bCs/>
                      <w:color w:val="auto"/>
                      <w:szCs w:val="21"/>
                    </w:rPr>
                    <w:t>≥1.5m，防渗系数K≤1×10</w:t>
                  </w:r>
                  <w:r>
                    <w:rPr>
                      <w:rFonts w:hint="default" w:ascii="Times New Roman" w:hAnsi="Times New Roman" w:cs="Times New Roman"/>
                      <w:bCs/>
                      <w:color w:val="auto"/>
                      <w:szCs w:val="21"/>
                      <w:vertAlign w:val="superscript"/>
                    </w:rPr>
                    <w:t>-7</w:t>
                  </w:r>
                  <w:r>
                    <w:rPr>
                      <w:rFonts w:hint="default" w:ascii="Times New Roman" w:hAnsi="Times New Roman" w:cs="Times New Roman"/>
                      <w:bCs/>
                      <w:color w:val="auto"/>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2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循环水池</w:t>
                  </w:r>
                  <w:r>
                    <w:rPr>
                      <w:rFonts w:hint="default" w:ascii="Times New Roman" w:hAnsi="Times New Roman" w:eastAsia="宋体" w:cs="Times New Roman"/>
                      <w:color w:val="auto"/>
                      <w:sz w:val="21"/>
                      <w:szCs w:val="21"/>
                      <w:highlight w:val="none"/>
                      <w:lang w:val="en-US" w:eastAsia="zh-CN"/>
                    </w:rPr>
                    <w:t>、危废暂存间、辅料库房</w:t>
                  </w:r>
                </w:p>
              </w:tc>
              <w:tc>
                <w:tcPr>
                  <w:tcW w:w="8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重点防渗区</w:t>
                  </w:r>
                </w:p>
              </w:tc>
              <w:tc>
                <w:tcPr>
                  <w:tcW w:w="15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Cs/>
                      <w:color w:val="auto"/>
                      <w:szCs w:val="21"/>
                    </w:rPr>
                    <w:t>等效黏土层</w:t>
                  </w:r>
                  <w:r>
                    <w:rPr>
                      <w:rFonts w:hint="eastAsia" w:ascii="Times New Roman" w:hAnsi="Times New Roman" w:cs="Times New Roman"/>
                      <w:bCs/>
                      <w:color w:val="auto"/>
                      <w:szCs w:val="21"/>
                      <w:lang w:val="en-US" w:eastAsia="zh-CN"/>
                    </w:rPr>
                    <w:t>Mb</w:t>
                  </w:r>
                  <w:r>
                    <w:rPr>
                      <w:rFonts w:hint="default" w:ascii="Times New Roman" w:hAnsi="Times New Roman" w:cs="Times New Roman"/>
                      <w:bCs/>
                      <w:color w:val="auto"/>
                      <w:szCs w:val="21"/>
                    </w:rPr>
                    <w:t>≥6.0m、防渗系数K≤1×10</w:t>
                  </w:r>
                  <w:r>
                    <w:rPr>
                      <w:rFonts w:hint="default" w:ascii="Times New Roman" w:hAnsi="Times New Roman" w:cs="Times New Roman"/>
                      <w:bCs/>
                      <w:color w:val="auto"/>
                      <w:szCs w:val="21"/>
                      <w:vertAlign w:val="superscript"/>
                    </w:rPr>
                    <w:t>-10</w:t>
                  </w:r>
                  <w:r>
                    <w:rPr>
                      <w:rFonts w:hint="default" w:ascii="Times New Roman" w:hAnsi="Times New Roman" w:cs="Times New Roman"/>
                      <w:bCs/>
                      <w:color w:val="auto"/>
                      <w:szCs w:val="21"/>
                    </w:rPr>
                    <w:t>cm/s</w:t>
                  </w:r>
                </w:p>
              </w:tc>
            </w:tr>
          </w:tbl>
          <w:p>
            <w:pPr>
              <w:pStyle w:val="60"/>
              <w:ind w:firstLine="422"/>
              <w:rPr>
                <w:rFonts w:hint="eastAsia" w:cs="Times New Roman"/>
                <w:b/>
                <w:bCs/>
                <w:color w:val="auto"/>
                <w:sz w:val="24"/>
                <w:szCs w:val="24"/>
                <w:lang w:val="en-US" w:eastAsia="zh-CN"/>
              </w:rPr>
            </w:pPr>
            <w:r>
              <w:rPr>
                <w:rFonts w:hint="default" w:ascii="Times New Roman" w:hAnsi="Times New Roman" w:cs="Times New Roman"/>
                <w:color w:val="auto"/>
                <w:sz w:val="24"/>
                <w:szCs w:val="24"/>
                <w:highlight w:val="none"/>
              </w:rPr>
              <w:t>综上所述，项目在落实上述各环保措施后</w:t>
            </w:r>
            <w:r>
              <w:rPr>
                <w:rFonts w:hint="eastAsia" w:cs="Times New Roman"/>
                <w:color w:val="auto"/>
                <w:sz w:val="24"/>
                <w:szCs w:val="24"/>
                <w:highlight w:val="none"/>
                <w:lang w:val="en-US" w:eastAsia="zh-CN"/>
              </w:rPr>
              <w:t>对</w:t>
            </w:r>
            <w:r>
              <w:rPr>
                <w:rFonts w:hint="default" w:ascii="Times New Roman" w:hAnsi="Times New Roman" w:cs="Times New Roman"/>
                <w:color w:val="auto"/>
                <w:sz w:val="24"/>
                <w:szCs w:val="24"/>
                <w:highlight w:val="none"/>
              </w:rPr>
              <w:t>项目区域的地下水环境影响甚微。</w:t>
            </w:r>
          </w:p>
          <w:p>
            <w:pPr>
              <w:spacing w:line="360" w:lineRule="auto"/>
              <w:ind w:right="-1"/>
              <w:contextualSpacing/>
              <w:rPr>
                <w:rFonts w:hint="default"/>
                <w:b/>
                <w:bCs/>
                <w:color w:val="000000"/>
                <w:sz w:val="24"/>
                <w:lang w:val="en-US" w:eastAsia="zh-CN"/>
              </w:rPr>
            </w:pPr>
            <w:r>
              <w:rPr>
                <w:rFonts w:hint="eastAsia"/>
                <w:b/>
                <w:bCs/>
                <w:color w:val="000000"/>
                <w:sz w:val="24"/>
                <w:lang w:val="en-US" w:eastAsia="zh-CN"/>
              </w:rPr>
              <w:t>7.土壤环境保护措施</w:t>
            </w:r>
          </w:p>
          <w:p>
            <w:pPr>
              <w:adjustRightInd w:val="0"/>
              <w:snapToGrid w:val="0"/>
              <w:spacing w:line="360" w:lineRule="auto"/>
              <w:ind w:firstLine="480" w:firstLineChars="200"/>
              <w:rPr>
                <w:color w:val="auto"/>
                <w:sz w:val="24"/>
                <w:szCs w:val="24"/>
              </w:rPr>
            </w:pPr>
            <w:r>
              <w:rPr>
                <w:color w:val="auto"/>
                <w:sz w:val="24"/>
                <w:szCs w:val="24"/>
              </w:rPr>
              <w:t>（1）污染防治措施</w:t>
            </w:r>
          </w:p>
          <w:p>
            <w:pPr>
              <w:adjustRightInd w:val="0"/>
              <w:snapToGrid w:val="0"/>
              <w:spacing w:line="360" w:lineRule="auto"/>
              <w:ind w:firstLine="480" w:firstLineChars="200"/>
              <w:rPr>
                <w:color w:val="auto"/>
                <w:sz w:val="24"/>
                <w:szCs w:val="24"/>
              </w:rPr>
            </w:pPr>
            <w:r>
              <w:rPr>
                <w:color w:val="auto"/>
                <w:sz w:val="24"/>
                <w:szCs w:val="24"/>
              </w:rPr>
              <w:t>针对本工程可能发生的土壤污染途径，土壤污染防治措施按照“源头控制、过程防控、跟踪监测”相结合的原则，从污染物的产生、运移、扩散、应急响应全阶段进行控。本项目将选择先进成熟、可靠的工艺技术，并且对产生的废物进行合理的回用和治理，尽可能从源头上减少污染物排放；严格按照国家相关规范要求，对工艺、设备堆场采取相应的措施，以防止和降低污染物的跑、冒、滴、漏，将环境风险事故降低到最低。提出以下污染防控措施：</w:t>
            </w:r>
          </w:p>
          <w:p>
            <w:pPr>
              <w:adjustRightInd w:val="0"/>
              <w:snapToGrid w:val="0"/>
              <w:spacing w:line="360" w:lineRule="auto"/>
              <w:ind w:firstLine="480" w:firstLineChars="200"/>
              <w:rPr>
                <w:color w:val="auto"/>
                <w:sz w:val="24"/>
                <w:szCs w:val="24"/>
              </w:rPr>
            </w:pPr>
            <w:r>
              <w:rPr>
                <w:rFonts w:hint="eastAsia"/>
                <w:color w:val="auto"/>
                <w:sz w:val="24"/>
                <w:szCs w:val="24"/>
                <w:lang w:val="en-US" w:eastAsia="zh-CN"/>
              </w:rPr>
              <w:t>①</w:t>
            </w:r>
            <w:r>
              <w:rPr>
                <w:color w:val="auto"/>
                <w:sz w:val="24"/>
                <w:szCs w:val="24"/>
              </w:rPr>
              <w:t>禁止生活垃圾乱堆乱放，厂内设置固定垃圾桶统一收集生活垃圾，运至当地生活垃圾</w:t>
            </w:r>
            <w:r>
              <w:rPr>
                <w:rFonts w:hint="eastAsia"/>
                <w:color w:val="auto"/>
                <w:sz w:val="24"/>
                <w:szCs w:val="24"/>
                <w:lang w:val="en-US" w:eastAsia="zh-CN"/>
              </w:rPr>
              <w:t>转运站</w:t>
            </w:r>
            <w:r>
              <w:rPr>
                <w:color w:val="auto"/>
                <w:sz w:val="24"/>
                <w:szCs w:val="24"/>
              </w:rPr>
              <w:t>；</w:t>
            </w:r>
          </w:p>
          <w:p>
            <w:pPr>
              <w:adjustRightInd w:val="0"/>
              <w:snapToGrid w:val="0"/>
              <w:spacing w:line="360" w:lineRule="auto"/>
              <w:ind w:firstLine="480" w:firstLineChars="200"/>
              <w:rPr>
                <w:color w:val="auto"/>
                <w:sz w:val="24"/>
                <w:szCs w:val="24"/>
              </w:rPr>
            </w:pPr>
            <w:r>
              <w:rPr>
                <w:rFonts w:hint="eastAsia"/>
                <w:color w:val="auto"/>
                <w:sz w:val="24"/>
                <w:szCs w:val="24"/>
                <w:lang w:val="en-US" w:eastAsia="zh-CN"/>
              </w:rPr>
              <w:t>②</w:t>
            </w:r>
            <w:r>
              <w:rPr>
                <w:color w:val="auto"/>
                <w:sz w:val="24"/>
                <w:szCs w:val="24"/>
              </w:rPr>
              <w:t>产生的危废需要按照危废管理要求</w:t>
            </w:r>
            <w:r>
              <w:rPr>
                <w:rFonts w:hint="eastAsia"/>
                <w:color w:val="auto"/>
                <w:sz w:val="24"/>
                <w:szCs w:val="24"/>
                <w:lang w:val="en-US" w:eastAsia="zh-CN"/>
              </w:rPr>
              <w:t>暂存至危废暂存间内</w:t>
            </w:r>
            <w:r>
              <w:rPr>
                <w:color w:val="auto"/>
                <w:sz w:val="24"/>
                <w:szCs w:val="24"/>
              </w:rPr>
              <w:t>，同时放置于专用收集桶内，加盖桶盖，禁止露天堆放，定期委托有资质单位处置；</w:t>
            </w:r>
          </w:p>
          <w:p>
            <w:pPr>
              <w:adjustRightInd w:val="0"/>
              <w:snapToGrid w:val="0"/>
              <w:spacing w:line="360" w:lineRule="auto"/>
              <w:ind w:firstLine="480" w:firstLineChars="200"/>
              <w:rPr>
                <w:rFonts w:hint="eastAsia" w:eastAsia="宋体"/>
                <w:color w:val="auto"/>
                <w:sz w:val="24"/>
                <w:szCs w:val="24"/>
                <w:lang w:eastAsia="zh-CN"/>
              </w:rPr>
            </w:pPr>
            <w:r>
              <w:rPr>
                <w:rFonts w:hint="eastAsia"/>
                <w:color w:val="auto"/>
                <w:sz w:val="24"/>
                <w:szCs w:val="24"/>
                <w:lang w:val="en-US" w:eastAsia="zh-CN"/>
              </w:rPr>
              <w:t>③</w:t>
            </w:r>
            <w:r>
              <w:rPr>
                <w:color w:val="auto"/>
                <w:sz w:val="24"/>
                <w:szCs w:val="24"/>
              </w:rPr>
              <w:t>加强对</w:t>
            </w:r>
            <w:r>
              <w:rPr>
                <w:rFonts w:hint="eastAsia"/>
                <w:color w:val="auto"/>
                <w:sz w:val="24"/>
                <w:szCs w:val="24"/>
                <w:lang w:val="en-US" w:eastAsia="zh-CN"/>
              </w:rPr>
              <w:t>煤矸石堆棚、循环水池、危险废物暂存间</w:t>
            </w:r>
            <w:r>
              <w:rPr>
                <w:color w:val="auto"/>
                <w:sz w:val="24"/>
                <w:szCs w:val="24"/>
              </w:rPr>
              <w:t>的管理，严防发生破损泄漏现象</w:t>
            </w:r>
            <w:r>
              <w:rPr>
                <w:rFonts w:hint="eastAsia"/>
                <w:color w:val="auto"/>
                <w:sz w:val="24"/>
                <w:szCs w:val="24"/>
                <w:lang w:eastAsia="zh-CN"/>
              </w:rPr>
              <w:t>；</w:t>
            </w:r>
          </w:p>
          <w:p>
            <w:pPr>
              <w:adjustRightInd w:val="0"/>
              <w:snapToGrid w:val="0"/>
              <w:spacing w:line="360" w:lineRule="auto"/>
              <w:ind w:firstLine="480" w:firstLineChars="200"/>
              <w:rPr>
                <w:rFonts w:hint="eastAsia" w:eastAsia="宋体"/>
                <w:color w:val="auto"/>
                <w:sz w:val="24"/>
                <w:szCs w:val="24"/>
                <w:lang w:eastAsia="zh-CN"/>
              </w:rPr>
            </w:pPr>
            <w:r>
              <w:rPr>
                <w:rFonts w:hint="eastAsia"/>
                <w:color w:val="auto"/>
                <w:sz w:val="24"/>
                <w:szCs w:val="24"/>
                <w:lang w:val="en-US" w:eastAsia="zh-CN"/>
              </w:rPr>
              <w:t>④</w:t>
            </w:r>
            <w:r>
              <w:rPr>
                <w:color w:val="auto"/>
                <w:sz w:val="24"/>
                <w:szCs w:val="24"/>
              </w:rPr>
              <w:t>应加强绿化措施，种植具有较强吸附能力的植物为主</w:t>
            </w:r>
            <w:r>
              <w:rPr>
                <w:rFonts w:hint="eastAsia"/>
                <w:color w:val="auto"/>
                <w:sz w:val="24"/>
                <w:szCs w:val="24"/>
                <w:lang w:eastAsia="zh-CN"/>
              </w:rPr>
              <w:t>；</w:t>
            </w:r>
          </w:p>
          <w:p>
            <w:pPr>
              <w:adjustRightInd w:val="0"/>
              <w:snapToGrid w:val="0"/>
              <w:spacing w:line="360" w:lineRule="auto"/>
              <w:ind w:firstLine="480" w:firstLineChars="200"/>
              <w:rPr>
                <w:color w:val="auto"/>
                <w:sz w:val="24"/>
                <w:szCs w:val="24"/>
              </w:rPr>
            </w:pPr>
            <w:r>
              <w:rPr>
                <w:rFonts w:hint="eastAsia"/>
                <w:color w:val="auto"/>
                <w:sz w:val="24"/>
                <w:szCs w:val="24"/>
                <w:lang w:val="en-US" w:eastAsia="zh-CN"/>
              </w:rPr>
              <w:t>⑤</w:t>
            </w:r>
            <w:r>
              <w:rPr>
                <w:color w:val="auto"/>
                <w:sz w:val="24"/>
                <w:szCs w:val="24"/>
              </w:rPr>
              <w:t>过程控制措施主要为分区防渗措施，见地下水分析章节。</w:t>
            </w:r>
          </w:p>
          <w:p>
            <w:pPr>
              <w:adjustRightInd w:val="0"/>
              <w:snapToGrid w:val="0"/>
              <w:spacing w:line="360" w:lineRule="auto"/>
              <w:ind w:firstLine="480" w:firstLineChars="200"/>
              <w:jc w:val="left"/>
              <w:rPr>
                <w:color w:val="auto"/>
                <w:sz w:val="24"/>
                <w:szCs w:val="24"/>
              </w:rPr>
            </w:pPr>
            <w:r>
              <w:rPr>
                <w:color w:val="auto"/>
                <w:sz w:val="24"/>
                <w:szCs w:val="24"/>
              </w:rPr>
              <w:t>综上，正常情况下，运营期产生的废水、废气、固体废物和危险废物均有妥善的处置措施</w:t>
            </w:r>
            <w:r>
              <w:rPr>
                <w:rFonts w:hint="eastAsia"/>
                <w:color w:val="auto"/>
                <w:sz w:val="24"/>
                <w:szCs w:val="24"/>
                <w:lang w:eastAsia="zh-CN"/>
              </w:rPr>
              <w:t>，</w:t>
            </w:r>
            <w:r>
              <w:rPr>
                <w:rFonts w:hint="eastAsia"/>
                <w:color w:val="auto"/>
                <w:sz w:val="24"/>
                <w:szCs w:val="24"/>
                <w:lang w:val="en-US" w:eastAsia="zh-CN"/>
              </w:rPr>
              <w:t>在</w:t>
            </w:r>
            <w:r>
              <w:rPr>
                <w:color w:val="auto"/>
                <w:sz w:val="24"/>
                <w:szCs w:val="24"/>
              </w:rPr>
              <w:t>严格执行各项环保措施</w:t>
            </w:r>
            <w:r>
              <w:rPr>
                <w:rFonts w:hint="eastAsia"/>
                <w:color w:val="auto"/>
                <w:sz w:val="24"/>
                <w:szCs w:val="24"/>
                <w:lang w:val="en-US" w:eastAsia="zh-CN"/>
              </w:rPr>
              <w:t>下</w:t>
            </w:r>
            <w:r>
              <w:rPr>
                <w:color w:val="auto"/>
                <w:sz w:val="24"/>
                <w:szCs w:val="24"/>
              </w:rPr>
              <w:t>，</w:t>
            </w:r>
            <w:r>
              <w:rPr>
                <w:rFonts w:hint="eastAsia"/>
                <w:color w:val="auto"/>
                <w:sz w:val="24"/>
                <w:szCs w:val="24"/>
                <w:lang w:val="en-US" w:eastAsia="zh-CN"/>
              </w:rPr>
              <w:t>可避免污染物对土壤的影响</w:t>
            </w:r>
            <w:r>
              <w:rPr>
                <w:color w:val="auto"/>
                <w:sz w:val="24"/>
                <w:szCs w:val="24"/>
              </w:rPr>
              <w:t>。</w:t>
            </w:r>
          </w:p>
          <w:p>
            <w:pPr>
              <w:adjustRightInd w:val="0"/>
              <w:snapToGrid w:val="0"/>
              <w:spacing w:line="360" w:lineRule="auto"/>
              <w:ind w:firstLine="480" w:firstLineChars="200"/>
              <w:rPr>
                <w:color w:val="auto"/>
                <w:sz w:val="24"/>
                <w:szCs w:val="24"/>
              </w:rPr>
            </w:pPr>
            <w:r>
              <w:rPr>
                <w:color w:val="auto"/>
                <w:sz w:val="24"/>
                <w:szCs w:val="24"/>
              </w:rPr>
              <w:t>（2）跟踪监测</w:t>
            </w:r>
          </w:p>
          <w:p>
            <w:pPr>
              <w:adjustRightInd w:val="0"/>
              <w:snapToGrid w:val="0"/>
              <w:spacing w:line="360" w:lineRule="auto"/>
              <w:ind w:firstLine="480" w:firstLineChars="200"/>
              <w:rPr>
                <w:color w:val="auto"/>
                <w:sz w:val="24"/>
                <w:szCs w:val="24"/>
              </w:rPr>
            </w:pPr>
            <w:r>
              <w:rPr>
                <w:color w:val="auto"/>
                <w:sz w:val="24"/>
                <w:szCs w:val="24"/>
              </w:rPr>
              <w:t>土壤环境跟踪监测措施包括制定跟踪监测计划、建立跟踪监测制度，以便及时发现问题，采取</w:t>
            </w:r>
            <w:r>
              <w:rPr>
                <w:rFonts w:hint="eastAsia"/>
                <w:color w:val="auto"/>
                <w:sz w:val="24"/>
                <w:szCs w:val="24"/>
                <w:lang w:val="en-US" w:eastAsia="zh-CN"/>
              </w:rPr>
              <w:t>补救</w:t>
            </w:r>
            <w:r>
              <w:rPr>
                <w:color w:val="auto"/>
                <w:sz w:val="24"/>
                <w:szCs w:val="24"/>
              </w:rPr>
              <w:t>措施。</w:t>
            </w:r>
          </w:p>
          <w:p>
            <w:pPr>
              <w:pStyle w:val="66"/>
              <w:ind w:firstLine="480"/>
              <w:rPr>
                <w:b/>
                <w:bCs/>
                <w:color w:val="auto"/>
                <w:sz w:val="21"/>
                <w:szCs w:val="21"/>
              </w:rPr>
            </w:pPr>
            <w:r>
              <w:rPr>
                <w:color w:val="auto"/>
                <w:sz w:val="24"/>
                <w:szCs w:val="24"/>
              </w:rPr>
              <w:t>具体土壤监测计划见表4-1</w:t>
            </w:r>
            <w:r>
              <w:rPr>
                <w:rFonts w:hint="eastAsia"/>
                <w:color w:val="auto"/>
                <w:sz w:val="24"/>
                <w:szCs w:val="24"/>
                <w:lang w:val="en-US" w:eastAsia="zh-CN"/>
              </w:rPr>
              <w:t>9</w:t>
            </w:r>
            <w:r>
              <w:rPr>
                <w:color w:val="auto"/>
                <w:sz w:val="24"/>
                <w:szCs w:val="24"/>
              </w:rPr>
              <w:t>。</w:t>
            </w:r>
          </w:p>
          <w:p>
            <w:pPr>
              <w:pStyle w:val="66"/>
              <w:spacing w:line="240" w:lineRule="auto"/>
              <w:ind w:firstLine="0" w:firstLineChars="0"/>
              <w:jc w:val="center"/>
              <w:rPr>
                <w:b/>
                <w:bCs/>
                <w:color w:val="auto"/>
                <w:sz w:val="21"/>
                <w:szCs w:val="21"/>
              </w:rPr>
            </w:pPr>
            <w:r>
              <w:rPr>
                <w:b/>
                <w:bCs/>
                <w:color w:val="auto"/>
                <w:sz w:val="21"/>
                <w:szCs w:val="21"/>
              </w:rPr>
              <w:t>表4-1</w:t>
            </w:r>
            <w:r>
              <w:rPr>
                <w:rFonts w:hint="eastAsia"/>
                <w:b/>
                <w:bCs/>
                <w:color w:val="auto"/>
                <w:sz w:val="21"/>
                <w:szCs w:val="21"/>
                <w:lang w:val="en-US" w:eastAsia="zh-CN"/>
              </w:rPr>
              <w:t xml:space="preserve">9 </w:t>
            </w:r>
            <w:r>
              <w:rPr>
                <w:b/>
                <w:bCs/>
                <w:color w:val="auto"/>
                <w:sz w:val="21"/>
                <w:szCs w:val="21"/>
              </w:rPr>
              <w:t xml:space="preserve">  土壤监测计划</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57"/>
              <w:gridCol w:w="1190"/>
              <w:gridCol w:w="1214"/>
              <w:gridCol w:w="1109"/>
              <w:gridCol w:w="76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80"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监测类别</w:t>
                  </w:r>
                </w:p>
              </w:tc>
              <w:tc>
                <w:tcPr>
                  <w:tcW w:w="606"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监测</w:t>
                  </w:r>
                </w:p>
                <w:p>
                  <w:pPr>
                    <w:pStyle w:val="66"/>
                    <w:spacing w:line="240" w:lineRule="auto"/>
                    <w:ind w:firstLine="0" w:firstLineChars="0"/>
                    <w:jc w:val="center"/>
                    <w:rPr>
                      <w:b w:val="0"/>
                      <w:bCs w:val="0"/>
                      <w:color w:val="auto"/>
                      <w:sz w:val="21"/>
                      <w:szCs w:val="21"/>
                    </w:rPr>
                  </w:pPr>
                  <w:r>
                    <w:rPr>
                      <w:b w:val="0"/>
                      <w:bCs w:val="0"/>
                      <w:color w:val="auto"/>
                      <w:sz w:val="21"/>
                      <w:szCs w:val="21"/>
                    </w:rPr>
                    <w:t>项目</w:t>
                  </w:r>
                </w:p>
              </w:tc>
              <w:tc>
                <w:tcPr>
                  <w:tcW w:w="748"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监测点位置</w:t>
                  </w:r>
                </w:p>
              </w:tc>
              <w:tc>
                <w:tcPr>
                  <w:tcW w:w="1304" w:type="pct"/>
                  <w:gridSpan w:val="2"/>
                  <w:noWrap w:val="0"/>
                  <w:vAlign w:val="center"/>
                </w:tcPr>
                <w:p>
                  <w:pPr>
                    <w:pStyle w:val="66"/>
                    <w:spacing w:line="240" w:lineRule="auto"/>
                    <w:ind w:firstLine="0" w:firstLineChars="0"/>
                    <w:jc w:val="center"/>
                    <w:rPr>
                      <w:rFonts w:hint="eastAsia" w:eastAsia="宋体"/>
                      <w:b w:val="0"/>
                      <w:bCs w:val="0"/>
                      <w:color w:val="auto"/>
                      <w:sz w:val="21"/>
                      <w:szCs w:val="21"/>
                      <w:lang w:val="en-US" w:eastAsia="zh-CN"/>
                    </w:rPr>
                  </w:pPr>
                  <w:r>
                    <w:rPr>
                      <w:rFonts w:hint="eastAsia"/>
                      <w:b w:val="0"/>
                      <w:bCs w:val="0"/>
                      <w:color w:val="auto"/>
                      <w:sz w:val="21"/>
                      <w:szCs w:val="21"/>
                      <w:lang w:val="en-US" w:eastAsia="zh-CN"/>
                    </w:rPr>
                    <w:t>坐标</w:t>
                  </w:r>
                </w:p>
              </w:tc>
              <w:tc>
                <w:tcPr>
                  <w:tcW w:w="489"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监测频率</w:t>
                  </w:r>
                </w:p>
              </w:tc>
              <w:tc>
                <w:tcPr>
                  <w:tcW w:w="1370" w:type="pct"/>
                  <w:vMerge w:val="restart"/>
                  <w:noWrap w:val="0"/>
                  <w:vAlign w:val="center"/>
                </w:tcPr>
                <w:p>
                  <w:pPr>
                    <w:pStyle w:val="66"/>
                    <w:spacing w:line="240" w:lineRule="auto"/>
                    <w:ind w:firstLine="0" w:firstLineChars="0"/>
                    <w:jc w:val="center"/>
                    <w:rPr>
                      <w:b w:val="0"/>
                      <w:bCs w:val="0"/>
                      <w:color w:val="auto"/>
                      <w:sz w:val="21"/>
                      <w:szCs w:val="21"/>
                    </w:rPr>
                  </w:pPr>
                  <w:r>
                    <w:rPr>
                      <w:b w:val="0"/>
                      <w:bCs w:val="0"/>
                      <w:color w:val="auto"/>
                      <w:sz w:val="21"/>
                      <w:szCs w:val="21"/>
                    </w:rPr>
                    <w:t>监控标准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80" w:type="pct"/>
                  <w:vMerge w:val="continue"/>
                  <w:noWrap w:val="0"/>
                  <w:vAlign w:val="center"/>
                </w:tcPr>
                <w:p>
                  <w:pPr>
                    <w:pStyle w:val="66"/>
                    <w:spacing w:line="240" w:lineRule="auto"/>
                    <w:ind w:firstLine="0" w:firstLineChars="0"/>
                    <w:jc w:val="center"/>
                    <w:rPr>
                      <w:b w:val="0"/>
                      <w:bCs w:val="0"/>
                      <w:color w:val="auto"/>
                      <w:sz w:val="21"/>
                      <w:szCs w:val="21"/>
                    </w:rPr>
                  </w:pPr>
                </w:p>
              </w:tc>
              <w:tc>
                <w:tcPr>
                  <w:tcW w:w="606" w:type="pct"/>
                  <w:vMerge w:val="continue"/>
                  <w:noWrap w:val="0"/>
                  <w:vAlign w:val="center"/>
                </w:tcPr>
                <w:p>
                  <w:pPr>
                    <w:pStyle w:val="66"/>
                    <w:spacing w:line="240" w:lineRule="auto"/>
                    <w:ind w:firstLine="0" w:firstLineChars="0"/>
                    <w:jc w:val="center"/>
                    <w:rPr>
                      <w:b w:val="0"/>
                      <w:bCs w:val="0"/>
                      <w:color w:val="auto"/>
                      <w:sz w:val="21"/>
                      <w:szCs w:val="21"/>
                    </w:rPr>
                  </w:pPr>
                </w:p>
              </w:tc>
              <w:tc>
                <w:tcPr>
                  <w:tcW w:w="748" w:type="pct"/>
                  <w:vMerge w:val="continue"/>
                  <w:noWrap w:val="0"/>
                  <w:vAlign w:val="center"/>
                </w:tcPr>
                <w:p>
                  <w:pPr>
                    <w:pStyle w:val="66"/>
                    <w:spacing w:line="240" w:lineRule="auto"/>
                    <w:ind w:firstLine="0" w:firstLineChars="0"/>
                    <w:jc w:val="center"/>
                    <w:rPr>
                      <w:b w:val="0"/>
                      <w:bCs w:val="0"/>
                      <w:color w:val="auto"/>
                      <w:sz w:val="21"/>
                      <w:szCs w:val="21"/>
                    </w:rPr>
                  </w:pPr>
                </w:p>
              </w:tc>
              <w:tc>
                <w:tcPr>
                  <w:tcW w:w="661" w:type="pct"/>
                  <w:noWrap w:val="0"/>
                  <w:vAlign w:val="center"/>
                </w:tcPr>
                <w:p>
                  <w:pPr>
                    <w:pStyle w:val="66"/>
                    <w:spacing w:line="240" w:lineRule="auto"/>
                    <w:ind w:firstLine="0" w:firstLineChars="0"/>
                    <w:jc w:val="center"/>
                    <w:rPr>
                      <w:rFonts w:hint="default"/>
                      <w:b w:val="0"/>
                      <w:bCs w:val="0"/>
                      <w:color w:val="auto"/>
                      <w:sz w:val="21"/>
                      <w:szCs w:val="21"/>
                      <w:lang w:val="en-US" w:eastAsia="zh-CN"/>
                    </w:rPr>
                  </w:pPr>
                  <w:r>
                    <w:rPr>
                      <w:rFonts w:hint="eastAsia"/>
                      <w:b w:val="0"/>
                      <w:bCs w:val="0"/>
                      <w:color w:val="auto"/>
                      <w:sz w:val="21"/>
                      <w:szCs w:val="21"/>
                      <w:lang w:val="en-US" w:eastAsia="zh-CN"/>
                    </w:rPr>
                    <w:t>X</w:t>
                  </w:r>
                </w:p>
              </w:tc>
              <w:tc>
                <w:tcPr>
                  <w:tcW w:w="642" w:type="pct"/>
                  <w:noWrap w:val="0"/>
                  <w:vAlign w:val="center"/>
                </w:tcPr>
                <w:p>
                  <w:pPr>
                    <w:pStyle w:val="66"/>
                    <w:spacing w:line="240" w:lineRule="auto"/>
                    <w:ind w:firstLine="0" w:firstLineChars="0"/>
                    <w:jc w:val="center"/>
                    <w:rPr>
                      <w:rFonts w:hint="default"/>
                      <w:b w:val="0"/>
                      <w:bCs w:val="0"/>
                      <w:color w:val="auto"/>
                      <w:sz w:val="21"/>
                      <w:szCs w:val="21"/>
                      <w:lang w:val="en-US" w:eastAsia="zh-CN"/>
                    </w:rPr>
                  </w:pPr>
                  <w:r>
                    <w:rPr>
                      <w:rFonts w:hint="eastAsia"/>
                      <w:b w:val="0"/>
                      <w:bCs w:val="0"/>
                      <w:color w:val="auto"/>
                      <w:sz w:val="21"/>
                      <w:szCs w:val="21"/>
                      <w:lang w:val="en-US" w:eastAsia="zh-CN"/>
                    </w:rPr>
                    <w:t>Y</w:t>
                  </w:r>
                </w:p>
              </w:tc>
              <w:tc>
                <w:tcPr>
                  <w:tcW w:w="489" w:type="pct"/>
                  <w:vMerge w:val="continue"/>
                  <w:noWrap w:val="0"/>
                  <w:vAlign w:val="center"/>
                </w:tcPr>
                <w:p>
                  <w:pPr>
                    <w:pStyle w:val="66"/>
                    <w:spacing w:line="240" w:lineRule="auto"/>
                    <w:ind w:firstLine="0" w:firstLineChars="0"/>
                    <w:jc w:val="center"/>
                    <w:rPr>
                      <w:b/>
                      <w:bCs/>
                      <w:color w:val="auto"/>
                      <w:sz w:val="21"/>
                      <w:szCs w:val="21"/>
                    </w:rPr>
                  </w:pPr>
                </w:p>
              </w:tc>
              <w:tc>
                <w:tcPr>
                  <w:tcW w:w="1370" w:type="pct"/>
                  <w:vMerge w:val="continue"/>
                  <w:noWrap w:val="0"/>
                  <w:vAlign w:val="center"/>
                </w:tcPr>
                <w:p>
                  <w:pPr>
                    <w:pStyle w:val="66"/>
                    <w:spacing w:line="240" w:lineRule="auto"/>
                    <w:ind w:firstLine="0" w:firstLineChars="0"/>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pct"/>
                  <w:vMerge w:val="restart"/>
                  <w:noWrap w:val="0"/>
                  <w:vAlign w:val="center"/>
                </w:tcPr>
                <w:p>
                  <w:pPr>
                    <w:pStyle w:val="66"/>
                    <w:spacing w:line="240" w:lineRule="auto"/>
                    <w:ind w:firstLine="0" w:firstLineChars="0"/>
                    <w:jc w:val="center"/>
                    <w:rPr>
                      <w:color w:val="auto"/>
                      <w:sz w:val="21"/>
                      <w:szCs w:val="21"/>
                    </w:rPr>
                  </w:pPr>
                  <w:r>
                    <w:rPr>
                      <w:color w:val="auto"/>
                      <w:sz w:val="21"/>
                      <w:szCs w:val="21"/>
                    </w:rPr>
                    <w:t>土壤</w:t>
                  </w:r>
                </w:p>
              </w:tc>
              <w:tc>
                <w:tcPr>
                  <w:tcW w:w="606" w:type="pct"/>
                  <w:vMerge w:val="restart"/>
                  <w:noWrap w:val="0"/>
                  <w:vAlign w:val="center"/>
                </w:tcPr>
                <w:p>
                  <w:pPr>
                    <w:pStyle w:val="66"/>
                    <w:spacing w:line="240" w:lineRule="auto"/>
                    <w:ind w:firstLine="0" w:firstLineChars="0"/>
                    <w:rPr>
                      <w:color w:val="auto"/>
                      <w:sz w:val="21"/>
                      <w:szCs w:val="21"/>
                    </w:rPr>
                  </w:pPr>
                  <w:r>
                    <w:rPr>
                      <w:color w:val="auto"/>
                      <w:sz w:val="21"/>
                      <w:szCs w:val="21"/>
                    </w:rPr>
                    <w:t>pH、石油烃、砷、镉、铬（六价）、铜、铅、汞和镍</w:t>
                  </w:r>
                </w:p>
              </w:tc>
              <w:tc>
                <w:tcPr>
                  <w:tcW w:w="748" w:type="pct"/>
                  <w:noWrap w:val="0"/>
                  <w:vAlign w:val="center"/>
                </w:tcPr>
                <w:p>
                  <w:pPr>
                    <w:adjustRightInd w:val="0"/>
                    <w:snapToGrid w:val="0"/>
                    <w:spacing w:line="240" w:lineRule="auto"/>
                    <w:ind w:firstLine="0" w:firstLineChars="0"/>
                    <w:jc w:val="center"/>
                    <w:rPr>
                      <w:rFonts w:hint="default" w:eastAsia="宋体"/>
                      <w:color w:val="auto"/>
                      <w:sz w:val="21"/>
                      <w:szCs w:val="21"/>
                      <w:lang w:val="en-US" w:eastAsia="zh-CN"/>
                    </w:rPr>
                  </w:pPr>
                  <w:r>
                    <w:rPr>
                      <w:rFonts w:hint="default" w:ascii="Times New Roman" w:hAnsi="Times New Roman" w:cs="Times New Roman"/>
                      <w:bCs/>
                      <w:color w:val="auto"/>
                      <w:szCs w:val="21"/>
                      <w:highlight w:val="none"/>
                    </w:rPr>
                    <w:t>脱硫塔附近</w:t>
                  </w:r>
                </w:p>
              </w:tc>
              <w:tc>
                <w:tcPr>
                  <w:tcW w:w="1080" w:type="dxa"/>
                  <w:noWrap w:val="0"/>
                  <w:vAlign w:val="center"/>
                </w:tcPr>
                <w:p>
                  <w:pPr>
                    <w:pStyle w:val="66"/>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108.003370</w:t>
                  </w:r>
                </w:p>
              </w:tc>
              <w:tc>
                <w:tcPr>
                  <w:tcW w:w="1050" w:type="dxa"/>
                  <w:noWrap w:val="0"/>
                  <w:vAlign w:val="center"/>
                </w:tcPr>
                <w:p>
                  <w:pPr>
                    <w:pStyle w:val="66"/>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35.203552</w:t>
                  </w:r>
                </w:p>
              </w:tc>
              <w:tc>
                <w:tcPr>
                  <w:tcW w:w="489" w:type="pct"/>
                  <w:vMerge w:val="restart"/>
                  <w:noWrap w:val="0"/>
                  <w:vAlign w:val="center"/>
                </w:tcPr>
                <w:p>
                  <w:pPr>
                    <w:pStyle w:val="66"/>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1次/年</w:t>
                  </w:r>
                </w:p>
              </w:tc>
              <w:tc>
                <w:tcPr>
                  <w:tcW w:w="1370" w:type="pct"/>
                  <w:vMerge w:val="restart"/>
                  <w:noWrap w:val="0"/>
                  <w:vAlign w:val="center"/>
                </w:tcPr>
                <w:p>
                  <w:pPr>
                    <w:pStyle w:val="66"/>
                    <w:spacing w:line="240" w:lineRule="auto"/>
                    <w:ind w:firstLine="0" w:firstLineChars="0"/>
                    <w:jc w:val="center"/>
                    <w:rPr>
                      <w:color w:val="auto"/>
                      <w:sz w:val="21"/>
                      <w:szCs w:val="21"/>
                    </w:rPr>
                  </w:pPr>
                  <w:r>
                    <w:rPr>
                      <w:color w:val="auto"/>
                      <w:sz w:val="21"/>
                      <w:szCs w:val="21"/>
                    </w:rPr>
                    <w:t>《土壤环境质量 建设用地土壤污染风险管控标准（试行）》（GB36600-2018）第二类用地标准（筛选值）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0" w:type="pct"/>
                  <w:vMerge w:val="continue"/>
                  <w:noWrap w:val="0"/>
                  <w:vAlign w:val="center"/>
                </w:tcPr>
                <w:p>
                  <w:pPr>
                    <w:pStyle w:val="66"/>
                    <w:spacing w:line="240" w:lineRule="auto"/>
                    <w:ind w:firstLine="0" w:firstLineChars="0"/>
                    <w:jc w:val="center"/>
                    <w:rPr>
                      <w:color w:val="auto"/>
                      <w:sz w:val="21"/>
                      <w:szCs w:val="21"/>
                    </w:rPr>
                  </w:pPr>
                </w:p>
              </w:tc>
              <w:tc>
                <w:tcPr>
                  <w:tcW w:w="606" w:type="pct"/>
                  <w:vMerge w:val="continue"/>
                  <w:noWrap w:val="0"/>
                  <w:vAlign w:val="center"/>
                </w:tcPr>
                <w:p>
                  <w:pPr>
                    <w:pStyle w:val="66"/>
                    <w:spacing w:line="240" w:lineRule="auto"/>
                    <w:ind w:firstLine="0" w:firstLineChars="0"/>
                    <w:jc w:val="center"/>
                    <w:rPr>
                      <w:color w:val="auto"/>
                      <w:sz w:val="21"/>
                      <w:szCs w:val="21"/>
                    </w:rPr>
                  </w:pPr>
                </w:p>
              </w:tc>
              <w:tc>
                <w:tcPr>
                  <w:tcW w:w="748" w:type="pct"/>
                  <w:noWrap w:val="0"/>
                  <w:vAlign w:val="center"/>
                </w:tcPr>
                <w:p>
                  <w:pPr>
                    <w:adjustRightInd w:val="0"/>
                    <w:snapToGrid w:val="0"/>
                    <w:spacing w:line="240" w:lineRule="auto"/>
                    <w:ind w:left="0" w:leftChars="-4" w:hanging="8" w:hangingChars="4"/>
                    <w:jc w:val="center"/>
                    <w:rPr>
                      <w:rFonts w:hint="eastAsia" w:eastAsia="宋体"/>
                      <w:color w:val="auto"/>
                      <w:sz w:val="21"/>
                      <w:szCs w:val="21"/>
                      <w:lang w:val="en-US" w:eastAsia="zh-CN"/>
                    </w:rPr>
                  </w:pPr>
                  <w:r>
                    <w:rPr>
                      <w:rFonts w:hint="eastAsia" w:cs="Times New Roman"/>
                      <w:bCs/>
                      <w:color w:val="auto"/>
                      <w:szCs w:val="21"/>
                      <w:highlight w:val="none"/>
                      <w:lang w:val="en-US" w:eastAsia="zh-CN"/>
                    </w:rPr>
                    <w:t>煤矸石</w:t>
                  </w:r>
                  <w:r>
                    <w:rPr>
                      <w:rFonts w:hint="default" w:ascii="Times New Roman" w:hAnsi="Times New Roman" w:cs="Times New Roman"/>
                      <w:bCs/>
                      <w:color w:val="auto"/>
                      <w:szCs w:val="21"/>
                      <w:highlight w:val="none"/>
                    </w:rPr>
                    <w:t>堆棚</w:t>
                  </w:r>
                  <w:r>
                    <w:rPr>
                      <w:rFonts w:hint="eastAsia" w:cs="Times New Roman"/>
                      <w:bCs/>
                      <w:color w:val="auto"/>
                      <w:szCs w:val="21"/>
                      <w:highlight w:val="none"/>
                      <w:lang w:val="en-US" w:eastAsia="zh-CN"/>
                    </w:rPr>
                    <w:t>附近</w:t>
                  </w:r>
                </w:p>
              </w:tc>
              <w:tc>
                <w:tcPr>
                  <w:tcW w:w="1080" w:type="dxa"/>
                  <w:noWrap w:val="0"/>
                  <w:vAlign w:val="center"/>
                </w:tcPr>
                <w:p>
                  <w:pPr>
                    <w:pStyle w:val="66"/>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108.002979</w:t>
                  </w:r>
                </w:p>
              </w:tc>
              <w:tc>
                <w:tcPr>
                  <w:tcW w:w="1050" w:type="dxa"/>
                  <w:noWrap w:val="0"/>
                  <w:vAlign w:val="center"/>
                </w:tcPr>
                <w:p>
                  <w:pPr>
                    <w:pStyle w:val="66"/>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35.202764</w:t>
                  </w:r>
                </w:p>
              </w:tc>
              <w:tc>
                <w:tcPr>
                  <w:tcW w:w="489" w:type="pct"/>
                  <w:vMerge w:val="continue"/>
                  <w:noWrap w:val="0"/>
                  <w:vAlign w:val="center"/>
                </w:tcPr>
                <w:p>
                  <w:pPr>
                    <w:pStyle w:val="66"/>
                    <w:spacing w:line="240" w:lineRule="auto"/>
                    <w:ind w:firstLine="0" w:firstLineChars="0"/>
                    <w:jc w:val="center"/>
                    <w:rPr>
                      <w:color w:val="auto"/>
                      <w:sz w:val="21"/>
                      <w:szCs w:val="21"/>
                    </w:rPr>
                  </w:pPr>
                </w:p>
              </w:tc>
              <w:tc>
                <w:tcPr>
                  <w:tcW w:w="1370" w:type="pct"/>
                  <w:vMerge w:val="continue"/>
                  <w:noWrap w:val="0"/>
                  <w:vAlign w:val="center"/>
                </w:tcPr>
                <w:p>
                  <w:pPr>
                    <w:pStyle w:val="66"/>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0" w:type="pct"/>
                  <w:vMerge w:val="continue"/>
                  <w:noWrap w:val="0"/>
                  <w:vAlign w:val="center"/>
                </w:tcPr>
                <w:p>
                  <w:pPr>
                    <w:pStyle w:val="66"/>
                    <w:spacing w:line="240" w:lineRule="auto"/>
                    <w:ind w:firstLine="0" w:firstLineChars="0"/>
                    <w:jc w:val="center"/>
                    <w:rPr>
                      <w:color w:val="auto"/>
                      <w:sz w:val="21"/>
                      <w:szCs w:val="21"/>
                    </w:rPr>
                  </w:pPr>
                </w:p>
              </w:tc>
              <w:tc>
                <w:tcPr>
                  <w:tcW w:w="606" w:type="pct"/>
                  <w:vMerge w:val="continue"/>
                  <w:noWrap w:val="0"/>
                  <w:vAlign w:val="center"/>
                </w:tcPr>
                <w:p>
                  <w:pPr>
                    <w:pStyle w:val="66"/>
                    <w:spacing w:line="240" w:lineRule="auto"/>
                    <w:ind w:firstLine="0" w:firstLineChars="0"/>
                    <w:jc w:val="center"/>
                    <w:rPr>
                      <w:color w:val="auto"/>
                      <w:sz w:val="21"/>
                      <w:szCs w:val="21"/>
                    </w:rPr>
                  </w:pPr>
                </w:p>
              </w:tc>
              <w:tc>
                <w:tcPr>
                  <w:tcW w:w="748" w:type="pct"/>
                  <w:noWrap w:val="0"/>
                  <w:vAlign w:val="center"/>
                </w:tcPr>
                <w:p>
                  <w:pPr>
                    <w:adjustRightInd w:val="0"/>
                    <w:snapToGrid w:val="0"/>
                    <w:spacing w:line="240" w:lineRule="auto"/>
                    <w:ind w:firstLine="0" w:firstLineChars="0"/>
                    <w:jc w:val="center"/>
                    <w:rPr>
                      <w:rFonts w:hint="default"/>
                      <w:color w:val="auto"/>
                      <w:sz w:val="21"/>
                      <w:szCs w:val="21"/>
                      <w:lang w:val="en-US" w:eastAsia="zh-CN"/>
                    </w:rPr>
                  </w:pPr>
                  <w:r>
                    <w:rPr>
                      <w:rFonts w:hint="default" w:ascii="Times New Roman" w:hAnsi="Times New Roman" w:cs="Times New Roman"/>
                      <w:bCs/>
                      <w:color w:val="auto"/>
                      <w:szCs w:val="21"/>
                      <w:highlight w:val="none"/>
                    </w:rPr>
                    <w:t>厂界外50m范围农田</w:t>
                  </w:r>
                </w:p>
              </w:tc>
              <w:tc>
                <w:tcPr>
                  <w:tcW w:w="1080" w:type="dxa"/>
                  <w:noWrap w:val="0"/>
                  <w:vAlign w:val="center"/>
                </w:tcPr>
                <w:p>
                  <w:pPr>
                    <w:pStyle w:val="66"/>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108.003411</w:t>
                  </w:r>
                </w:p>
              </w:tc>
              <w:tc>
                <w:tcPr>
                  <w:tcW w:w="1050" w:type="dxa"/>
                  <w:noWrap w:val="0"/>
                  <w:vAlign w:val="center"/>
                </w:tcPr>
                <w:p>
                  <w:pPr>
                    <w:pStyle w:val="66"/>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35.202780</w:t>
                  </w:r>
                </w:p>
              </w:tc>
              <w:tc>
                <w:tcPr>
                  <w:tcW w:w="489" w:type="pct"/>
                  <w:vMerge w:val="continue"/>
                  <w:noWrap w:val="0"/>
                  <w:vAlign w:val="center"/>
                </w:tcPr>
                <w:p>
                  <w:pPr>
                    <w:pStyle w:val="66"/>
                    <w:spacing w:line="240" w:lineRule="auto"/>
                    <w:ind w:firstLine="0" w:firstLineChars="0"/>
                    <w:jc w:val="center"/>
                    <w:rPr>
                      <w:color w:val="auto"/>
                      <w:sz w:val="21"/>
                      <w:szCs w:val="21"/>
                    </w:rPr>
                  </w:pPr>
                </w:p>
              </w:tc>
              <w:tc>
                <w:tcPr>
                  <w:tcW w:w="1370" w:type="pct"/>
                  <w:vMerge w:val="continue"/>
                  <w:noWrap w:val="0"/>
                  <w:vAlign w:val="center"/>
                </w:tcPr>
                <w:p>
                  <w:pPr>
                    <w:pStyle w:val="66"/>
                    <w:spacing w:line="240" w:lineRule="auto"/>
                    <w:ind w:firstLine="0" w:firstLineChars="0"/>
                    <w:jc w:val="center"/>
                    <w:rPr>
                      <w:color w:val="auto"/>
                      <w:sz w:val="21"/>
                      <w:szCs w:val="21"/>
                    </w:rPr>
                  </w:pPr>
                </w:p>
              </w:tc>
            </w:tr>
          </w:tbl>
          <w:p>
            <w:pPr>
              <w:spacing w:line="360" w:lineRule="auto"/>
              <w:ind w:right="-1" w:firstLine="480" w:firstLineChars="200"/>
              <w:contextualSpacing/>
              <w:rPr>
                <w:rFonts w:hint="eastAsia" w:eastAsia="宋体"/>
                <w:color w:val="000000"/>
                <w:sz w:val="24"/>
                <w:lang w:val="en-US" w:eastAsia="zh-CN"/>
              </w:rPr>
            </w:pPr>
            <w:r>
              <w:rPr>
                <w:rFonts w:hint="eastAsia"/>
                <w:color w:val="000000"/>
                <w:sz w:val="24"/>
                <w:lang w:val="en-US" w:eastAsia="zh-CN"/>
              </w:rPr>
              <w:t>综上，</w:t>
            </w:r>
            <w:r>
              <w:rPr>
                <w:rFonts w:hint="default" w:ascii="Times New Roman" w:hAnsi="Times New Roman" w:cs="Times New Roman"/>
                <w:color w:val="auto"/>
                <w:sz w:val="24"/>
                <w:szCs w:val="24"/>
                <w:highlight w:val="none"/>
              </w:rPr>
              <w:t>项目在落实上述各环保措施后</w:t>
            </w:r>
            <w:r>
              <w:rPr>
                <w:rFonts w:hint="eastAsia" w:cs="Times New Roman"/>
                <w:color w:val="auto"/>
                <w:sz w:val="24"/>
                <w:szCs w:val="24"/>
                <w:highlight w:val="none"/>
                <w:lang w:val="en-US" w:eastAsia="zh-CN"/>
              </w:rPr>
              <w:t>对</w:t>
            </w:r>
            <w:r>
              <w:rPr>
                <w:rFonts w:hint="default" w:ascii="Times New Roman" w:hAnsi="Times New Roman" w:cs="Times New Roman"/>
                <w:color w:val="auto"/>
                <w:sz w:val="24"/>
                <w:szCs w:val="24"/>
                <w:highlight w:val="none"/>
              </w:rPr>
              <w:t>项目</w:t>
            </w:r>
            <w:r>
              <w:rPr>
                <w:rFonts w:hint="eastAsia" w:cs="Times New Roman"/>
                <w:color w:val="auto"/>
                <w:sz w:val="24"/>
                <w:szCs w:val="24"/>
                <w:highlight w:val="none"/>
                <w:lang w:val="en-US" w:eastAsia="zh-CN"/>
              </w:rPr>
              <w:t>周边土壤</w:t>
            </w:r>
            <w:r>
              <w:rPr>
                <w:rFonts w:hint="default" w:ascii="Times New Roman" w:hAnsi="Times New Roman" w:cs="Times New Roman"/>
                <w:color w:val="auto"/>
                <w:sz w:val="24"/>
                <w:szCs w:val="24"/>
                <w:highlight w:val="none"/>
              </w:rPr>
              <w:t>环境影响甚微</w:t>
            </w:r>
            <w:r>
              <w:rPr>
                <w:rFonts w:hint="eastAsia" w:cs="Times New Roman"/>
                <w:color w:val="auto"/>
                <w:sz w:val="24"/>
                <w:szCs w:val="24"/>
                <w:highlight w:val="none"/>
                <w:lang w:eastAsia="zh-CN"/>
              </w:rPr>
              <w:t>。</w:t>
            </w:r>
          </w:p>
          <w:p>
            <w:pPr>
              <w:spacing w:line="360" w:lineRule="auto"/>
              <w:contextualSpacing/>
              <w:rPr>
                <w:rFonts w:hint="eastAsia" w:hAnsi="宋体"/>
                <w:b/>
                <w:bCs/>
                <w:color w:val="auto"/>
                <w:sz w:val="24"/>
                <w:szCs w:val="24"/>
              </w:rPr>
            </w:pPr>
            <w:r>
              <w:rPr>
                <w:rFonts w:hint="eastAsia" w:hAnsi="宋体"/>
                <w:b/>
                <w:bCs/>
                <w:color w:val="auto"/>
                <w:sz w:val="24"/>
                <w:szCs w:val="24"/>
                <w:lang w:val="en-US" w:eastAsia="zh-CN"/>
              </w:rPr>
              <w:t>8.</w:t>
            </w:r>
            <w:r>
              <w:rPr>
                <w:rFonts w:hint="eastAsia" w:hAnsi="宋体"/>
                <w:b/>
                <w:bCs/>
                <w:color w:val="auto"/>
                <w:sz w:val="24"/>
                <w:szCs w:val="24"/>
              </w:rPr>
              <w:t>环境风险防范措施</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（1）废气治理风险事故风险防范措施</w:t>
            </w:r>
          </w:p>
          <w:p>
            <w:pPr>
              <w:spacing w:line="360" w:lineRule="auto"/>
              <w:ind w:firstLine="480" w:firstLineChars="200"/>
              <w:contextualSpacing/>
              <w:rPr>
                <w:rFonts w:hint="eastAsia" w:hAnsi="宋体" w:eastAsia="宋体"/>
                <w:color w:val="auto"/>
                <w:sz w:val="24"/>
                <w:szCs w:val="24"/>
                <w:lang w:eastAsia="zh-CN"/>
              </w:rPr>
            </w:pPr>
            <w:r>
              <w:rPr>
                <w:rFonts w:hint="eastAsia" w:hAnsi="宋体"/>
                <w:color w:val="auto"/>
                <w:sz w:val="24"/>
                <w:szCs w:val="24"/>
              </w:rPr>
              <w:t>①对隧道窑、管道、阀门、接口处都要定期检查，严禁跑、冒、滴、漏现象的发生；应定期对布袋除尘器等进行维护，及时清灰和更换滤袋，做好对炉体运行状况的检查和滤袋的维护，避免高温和低温对滤袋寿命的影响；</w:t>
            </w:r>
            <w:r>
              <w:rPr>
                <w:rFonts w:hint="eastAsia" w:hAnsi="宋体"/>
                <w:color w:val="auto"/>
                <w:sz w:val="24"/>
                <w:szCs w:val="24"/>
                <w:lang w:val="en-US" w:eastAsia="zh-CN"/>
              </w:rPr>
              <w:t>隧道窑烟气处理系统</w:t>
            </w:r>
            <w:r>
              <w:rPr>
                <w:rFonts w:hint="eastAsia" w:hAnsi="宋体"/>
                <w:color w:val="auto"/>
                <w:sz w:val="24"/>
                <w:szCs w:val="24"/>
              </w:rPr>
              <w:t>定期巡检，加强日常维护工作；应针对除尘装置、脱硫塔、SNCR脱硝系统、在线监测设备等制定相应的维护和检修操作规程，定期组织员工培训学习，加强日常值守和监控，一旦发现异常及时检修配备应急电源，作为突然停电时备用电供应；除尘器等废气处理设施，脱硫系统、脱硝系统配套设施采用计算机自动控制和视频监控设备，随时监控污染物浓度，一旦发现隐患及时解决</w:t>
            </w:r>
            <w:r>
              <w:rPr>
                <w:rFonts w:hint="eastAsia" w:hAnsi="宋体"/>
                <w:color w:val="auto"/>
                <w:sz w:val="24"/>
                <w:szCs w:val="24"/>
                <w:lang w:eastAsia="zh-CN"/>
              </w:rPr>
              <w:t>。</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2</w:t>
            </w:r>
            <w:r>
              <w:rPr>
                <w:rFonts w:hint="eastAsia" w:hAnsi="宋体"/>
                <w:color w:val="auto"/>
                <w:sz w:val="24"/>
                <w:szCs w:val="24"/>
                <w:lang w:eastAsia="zh-CN"/>
              </w:rPr>
              <w:t>）</w:t>
            </w:r>
            <w:r>
              <w:rPr>
                <w:rFonts w:hint="eastAsia" w:hAnsi="宋体"/>
                <w:color w:val="auto"/>
                <w:sz w:val="24"/>
                <w:szCs w:val="24"/>
                <w:lang w:val="en-US" w:eastAsia="zh-CN"/>
              </w:rPr>
              <w:t>循环水池废水</w:t>
            </w:r>
            <w:r>
              <w:rPr>
                <w:rFonts w:hint="eastAsia" w:hAnsi="宋体"/>
                <w:color w:val="auto"/>
                <w:sz w:val="24"/>
                <w:szCs w:val="24"/>
              </w:rPr>
              <w:t>泄露风险事故</w:t>
            </w:r>
          </w:p>
          <w:p>
            <w:pPr>
              <w:spacing w:line="360" w:lineRule="auto"/>
              <w:ind w:firstLine="480" w:firstLineChars="200"/>
              <w:contextualSpacing/>
              <w:rPr>
                <w:rFonts w:hint="default" w:hAnsi="宋体"/>
                <w:color w:val="auto"/>
                <w:sz w:val="24"/>
                <w:szCs w:val="24"/>
                <w:lang w:val="en-US" w:eastAsia="zh-CN"/>
              </w:rPr>
            </w:pPr>
            <w:r>
              <w:rPr>
                <w:rFonts w:hint="eastAsia" w:hAnsi="宋体"/>
                <w:color w:val="auto"/>
                <w:sz w:val="24"/>
                <w:szCs w:val="24"/>
                <w:lang w:val="en-US" w:eastAsia="zh-CN"/>
              </w:rPr>
              <w:t>①循环水池严格按照重点防渗区建设，并设符合要求的围堰：</w:t>
            </w:r>
          </w:p>
          <w:p>
            <w:pPr>
              <w:spacing w:line="360" w:lineRule="auto"/>
              <w:ind w:firstLine="480" w:firstLineChars="200"/>
              <w:contextualSpacing/>
              <w:rPr>
                <w:rFonts w:hAnsi="宋体"/>
                <w:color w:val="auto"/>
                <w:sz w:val="24"/>
              </w:rPr>
            </w:pPr>
            <w:r>
              <w:rPr>
                <w:rFonts w:hint="eastAsia" w:hAnsi="宋体"/>
                <w:color w:val="auto"/>
                <w:sz w:val="24"/>
                <w:szCs w:val="24"/>
                <w:lang w:val="en-US" w:eastAsia="zh-CN"/>
              </w:rPr>
              <w:t>②制定环境风险排查制度，循环水池为重点排查区域；</w:t>
            </w:r>
            <w:r>
              <w:rPr>
                <w:rFonts w:hint="eastAsia" w:hAnsi="宋体"/>
                <w:color w:val="auto"/>
                <w:sz w:val="24"/>
                <w:lang w:val="en-US" w:eastAsia="zh-CN"/>
              </w:rPr>
              <w:t>定期对循环水池及管线进行风险排查并做好记录</w:t>
            </w:r>
            <w:r>
              <w:rPr>
                <w:rFonts w:hint="eastAsia" w:hAnsi="宋体"/>
                <w:color w:val="auto"/>
                <w:sz w:val="24"/>
              </w:rPr>
              <w:t>；</w:t>
            </w:r>
          </w:p>
          <w:p>
            <w:pPr>
              <w:spacing w:line="360" w:lineRule="auto"/>
              <w:ind w:firstLine="480" w:firstLineChars="200"/>
              <w:contextualSpacing/>
              <w:rPr>
                <w:rFonts w:hint="eastAsia" w:hAnsi="宋体"/>
                <w:color w:val="auto"/>
                <w:sz w:val="24"/>
                <w:lang w:val="en-US" w:eastAsia="zh-CN"/>
              </w:rPr>
            </w:pPr>
            <w:r>
              <w:rPr>
                <w:rFonts w:hint="eastAsia" w:hAnsi="宋体"/>
                <w:color w:val="auto"/>
                <w:sz w:val="24"/>
                <w:lang w:val="en-US" w:eastAsia="zh-CN"/>
              </w:rPr>
              <w:t>③做好暴雨期水池水量的控制，避免因溢流导致循环池废水泄露。</w:t>
            </w:r>
          </w:p>
          <w:p>
            <w:pPr>
              <w:spacing w:line="360" w:lineRule="auto"/>
              <w:ind w:firstLine="480" w:firstLineChars="200"/>
              <w:contextualSpacing/>
              <w:rPr>
                <w:rFonts w:hint="eastAsia" w:hAnsi="宋体"/>
                <w:color w:val="auto"/>
                <w:sz w:val="24"/>
                <w:szCs w:val="24"/>
                <w:lang w:eastAsia="zh-CN"/>
              </w:rPr>
            </w:pPr>
            <w:r>
              <w:rPr>
                <w:rFonts w:hint="eastAsia" w:hAnsi="宋体"/>
                <w:color w:val="auto"/>
                <w:sz w:val="24"/>
                <w:szCs w:val="24"/>
                <w:lang w:eastAsia="zh-CN"/>
              </w:rPr>
              <w:t>（</w:t>
            </w:r>
            <w:r>
              <w:rPr>
                <w:rFonts w:hint="eastAsia" w:hAnsi="宋体"/>
                <w:color w:val="auto"/>
                <w:sz w:val="24"/>
                <w:szCs w:val="24"/>
                <w:lang w:val="en-US" w:eastAsia="zh-CN"/>
              </w:rPr>
              <w:t>3</w:t>
            </w:r>
            <w:r>
              <w:rPr>
                <w:rFonts w:hint="eastAsia" w:hAnsi="宋体"/>
                <w:color w:val="auto"/>
                <w:sz w:val="24"/>
                <w:szCs w:val="24"/>
                <w:lang w:eastAsia="zh-CN"/>
              </w:rPr>
              <w:t>）机油、废机油泄露风险事故</w:t>
            </w:r>
          </w:p>
          <w:p>
            <w:pPr>
              <w:spacing w:line="360" w:lineRule="auto"/>
              <w:ind w:firstLine="480" w:firstLineChars="200"/>
              <w:contextualSpacing/>
              <w:rPr>
                <w:rFonts w:hint="eastAsia" w:hAnsi="宋体"/>
                <w:color w:val="auto"/>
                <w:sz w:val="24"/>
                <w:szCs w:val="24"/>
                <w:lang w:eastAsia="zh-CN"/>
              </w:rPr>
            </w:pPr>
            <w:r>
              <w:rPr>
                <w:rFonts w:hint="eastAsia" w:hAnsi="宋体"/>
                <w:color w:val="auto"/>
                <w:sz w:val="24"/>
                <w:szCs w:val="24"/>
                <w:lang w:eastAsia="zh-CN"/>
              </w:rPr>
              <w:t>①危险废物在危废暂存间内要采取隔离贮存，生产过程中产生的危废及时收集；</w:t>
            </w:r>
          </w:p>
          <w:p>
            <w:pPr>
              <w:spacing w:line="360" w:lineRule="auto"/>
              <w:ind w:firstLine="480" w:firstLineChars="200"/>
              <w:contextualSpacing/>
              <w:rPr>
                <w:rFonts w:hint="eastAsia" w:hAnsi="宋体" w:eastAsia="宋体"/>
                <w:color w:val="auto"/>
                <w:sz w:val="24"/>
                <w:szCs w:val="24"/>
                <w:lang w:eastAsia="zh-CN"/>
              </w:rPr>
            </w:pPr>
            <w:r>
              <w:rPr>
                <w:rFonts w:hint="eastAsia" w:hAnsi="宋体"/>
                <w:color w:val="auto"/>
                <w:sz w:val="24"/>
                <w:szCs w:val="24"/>
                <w:lang w:eastAsia="zh-CN"/>
              </w:rPr>
              <w:t>②危废暂存间由专人负责管理，并配备可靠的个人安全防护用品，岗位应设置安全操作规程和注意事项；</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③加强跑冒滴漏管理，对破损的容器及阀门及时更换，确保设备完好，以防物料泄漏；</w:t>
            </w:r>
          </w:p>
          <w:p>
            <w:pPr>
              <w:spacing w:line="360" w:lineRule="auto"/>
              <w:ind w:firstLine="480" w:firstLineChars="200"/>
              <w:contextualSpacing/>
              <w:rPr>
                <w:rFonts w:hint="eastAsia" w:hAnsi="宋体" w:eastAsia="宋体"/>
                <w:color w:val="auto"/>
                <w:sz w:val="24"/>
                <w:szCs w:val="24"/>
                <w:lang w:eastAsia="zh-CN"/>
              </w:rPr>
            </w:pPr>
            <w:r>
              <w:rPr>
                <w:rFonts w:hint="eastAsia" w:hAnsi="宋体"/>
                <w:color w:val="auto"/>
                <w:sz w:val="24"/>
                <w:szCs w:val="24"/>
              </w:rPr>
              <w:t>④存储废机油的容器内须留够足够空间，容器顶部与液体表面之间保留100mm以上的空间。液体危险废物需将盛装容器放置在防泄漏托盘内，达到二次保护的作用</w:t>
            </w:r>
            <w:r>
              <w:rPr>
                <w:rFonts w:hint="eastAsia" w:hAnsi="宋体"/>
                <w:color w:val="auto"/>
                <w:sz w:val="24"/>
                <w:szCs w:val="24"/>
                <w:lang w:eastAsia="zh-CN"/>
              </w:rPr>
              <w:t>。</w:t>
            </w:r>
          </w:p>
          <w:p>
            <w:pPr>
              <w:spacing w:line="360" w:lineRule="auto"/>
              <w:ind w:firstLine="480" w:firstLineChars="200"/>
              <w:contextualSpacing/>
              <w:rPr>
                <w:rFonts w:hint="eastAsia" w:hAnsi="宋体"/>
                <w:color w:val="auto"/>
                <w:sz w:val="24"/>
                <w:szCs w:val="24"/>
                <w:lang w:eastAsia="zh-CN"/>
              </w:rPr>
            </w:pPr>
            <w:r>
              <w:rPr>
                <w:rFonts w:hint="eastAsia" w:hAnsi="宋体"/>
                <w:color w:val="auto"/>
                <w:sz w:val="24"/>
                <w:szCs w:val="24"/>
                <w:lang w:eastAsia="zh-CN"/>
              </w:rPr>
              <w:t>（</w:t>
            </w:r>
            <w:r>
              <w:rPr>
                <w:rFonts w:hint="eastAsia" w:hAnsi="宋体"/>
                <w:color w:val="auto"/>
                <w:sz w:val="24"/>
                <w:szCs w:val="24"/>
                <w:lang w:val="en-US" w:eastAsia="zh-CN"/>
              </w:rPr>
              <w:t>4</w:t>
            </w:r>
            <w:r>
              <w:rPr>
                <w:rFonts w:hint="eastAsia" w:hAnsi="宋体"/>
                <w:color w:val="auto"/>
                <w:sz w:val="24"/>
                <w:szCs w:val="24"/>
                <w:lang w:eastAsia="zh-CN"/>
              </w:rPr>
              <w:t>）煤矸石发生火灾风险事故</w:t>
            </w:r>
          </w:p>
          <w:p>
            <w:pPr>
              <w:spacing w:line="360" w:lineRule="auto"/>
              <w:ind w:firstLine="480" w:firstLineChars="200"/>
              <w:contextualSpacing/>
              <w:rPr>
                <w:rFonts w:hint="eastAsia" w:hAnsi="宋体"/>
                <w:color w:val="auto"/>
                <w:sz w:val="24"/>
                <w:szCs w:val="24"/>
                <w:lang w:eastAsia="zh-CN"/>
              </w:rPr>
            </w:pPr>
            <w:r>
              <w:rPr>
                <w:rFonts w:hint="eastAsia" w:hAnsi="宋体"/>
                <w:color w:val="auto"/>
                <w:sz w:val="24"/>
                <w:szCs w:val="24"/>
                <w:lang w:eastAsia="zh-CN"/>
              </w:rPr>
              <w:t>①尽可能避免煤矸石在厂区的大量堆积；</w:t>
            </w:r>
          </w:p>
          <w:p>
            <w:pPr>
              <w:spacing w:line="360" w:lineRule="auto"/>
              <w:ind w:firstLine="480" w:firstLineChars="200"/>
              <w:contextualSpacing/>
              <w:rPr>
                <w:rFonts w:hint="eastAsia" w:hAnsi="宋体"/>
                <w:color w:val="auto"/>
                <w:sz w:val="24"/>
                <w:szCs w:val="24"/>
                <w:lang w:eastAsia="zh-CN"/>
              </w:rPr>
            </w:pPr>
            <w:r>
              <w:rPr>
                <w:rFonts w:hint="eastAsia" w:hAnsi="宋体"/>
                <w:color w:val="auto"/>
                <w:sz w:val="24"/>
                <w:szCs w:val="24"/>
                <w:lang w:eastAsia="zh-CN"/>
              </w:rPr>
              <w:t>②未处理完的煤矸石需堆积储存的应分堆储存，避免长时间堆积，定期对其进行撒水，降低其内部温度；</w:t>
            </w:r>
          </w:p>
          <w:p>
            <w:pPr>
              <w:spacing w:line="360" w:lineRule="auto"/>
              <w:ind w:firstLine="480" w:firstLineChars="200"/>
              <w:contextualSpacing/>
              <w:rPr>
                <w:rFonts w:hint="eastAsia" w:hAnsi="宋体"/>
                <w:color w:val="auto"/>
                <w:sz w:val="24"/>
                <w:szCs w:val="24"/>
                <w:lang w:eastAsia="zh-CN"/>
              </w:rPr>
            </w:pPr>
            <w:r>
              <w:rPr>
                <w:rFonts w:hint="eastAsia" w:hAnsi="宋体"/>
                <w:color w:val="auto"/>
                <w:sz w:val="24"/>
                <w:szCs w:val="24"/>
                <w:lang w:eastAsia="zh-CN"/>
              </w:rPr>
              <w:t>③煤矸石堆存至煤矸石堆棚，堆棚需按照一般防渗区建设，煤矸石储存库配备一定数量的消防灭火设施。</w:t>
            </w:r>
          </w:p>
          <w:p>
            <w:pPr>
              <w:spacing w:line="360" w:lineRule="auto"/>
              <w:ind w:firstLine="480" w:firstLineChars="200"/>
              <w:contextualSpacing/>
              <w:rPr>
                <w:rFonts w:hint="default" w:hAnsi="宋体" w:eastAsia="宋体"/>
                <w:color w:val="auto"/>
                <w:sz w:val="24"/>
                <w:szCs w:val="24"/>
                <w:lang w:val="en-US" w:eastAsia="zh-CN"/>
              </w:rPr>
            </w:pPr>
            <w:r>
              <w:rPr>
                <w:rFonts w:hint="eastAsia" w:hAnsi="宋体"/>
                <w:color w:val="auto"/>
                <w:sz w:val="24"/>
                <w:szCs w:val="24"/>
                <w:lang w:eastAsia="zh-CN"/>
              </w:rPr>
              <w:t>（</w:t>
            </w:r>
            <w:r>
              <w:rPr>
                <w:rFonts w:hint="eastAsia" w:hAnsi="宋体"/>
                <w:color w:val="auto"/>
                <w:sz w:val="24"/>
                <w:szCs w:val="24"/>
                <w:lang w:val="en-US" w:eastAsia="zh-CN"/>
              </w:rPr>
              <w:t>5</w:t>
            </w:r>
            <w:r>
              <w:rPr>
                <w:rFonts w:hint="eastAsia" w:hAnsi="宋体"/>
                <w:color w:val="auto"/>
                <w:sz w:val="24"/>
                <w:szCs w:val="24"/>
                <w:lang w:eastAsia="zh-CN"/>
              </w:rPr>
              <w:t>）</w:t>
            </w:r>
            <w:r>
              <w:rPr>
                <w:rFonts w:hint="eastAsia" w:hAnsi="宋体"/>
                <w:color w:val="auto"/>
                <w:sz w:val="24"/>
                <w:szCs w:val="24"/>
                <w:lang w:val="en-US" w:eastAsia="zh-CN"/>
              </w:rPr>
              <w:t>其他风险防范措施</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①远离火种、热源、易燃、可燃物，工作场所严禁吸烟。</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rPr>
              <w:t>②注意密闭操作，加强通风，库房应设置防火、易燃等警示标牌；配备专业人员对存储间进行定期检查。</w:t>
            </w:r>
          </w:p>
          <w:p>
            <w:pPr>
              <w:spacing w:line="360" w:lineRule="auto"/>
              <w:ind w:firstLine="480" w:firstLineChars="200"/>
              <w:contextualSpacing/>
              <w:rPr>
                <w:rFonts w:hint="eastAsia" w:hAnsi="宋体"/>
                <w:color w:val="auto"/>
                <w:sz w:val="24"/>
                <w:szCs w:val="24"/>
              </w:rPr>
            </w:pPr>
            <w:r>
              <w:rPr>
                <w:rFonts w:hint="eastAsia" w:hAnsi="宋体"/>
                <w:color w:val="auto"/>
                <w:sz w:val="24"/>
                <w:szCs w:val="24"/>
                <w:lang w:val="en-US" w:eastAsia="zh-CN"/>
              </w:rPr>
              <w:t>③</w:t>
            </w:r>
            <w:r>
              <w:rPr>
                <w:rFonts w:hint="eastAsia" w:hAnsi="宋体"/>
                <w:color w:val="auto"/>
                <w:sz w:val="24"/>
                <w:szCs w:val="24"/>
              </w:rPr>
              <w:t>存储间应防火防爆，严格按消防要求进行设计建设，按照《建筑灭火器配置设计规范》（GB50140－2005），对项目区内可能发生火灾的各类场所、工艺装置区、主要建筑物等，根据其火灾危险性、区域大小等实际情况，分别配置一定数量不同类型、不同规格的移动式灭火器材，以便及时扑救初始零星火灾；</w:t>
            </w:r>
          </w:p>
          <w:p>
            <w:pPr>
              <w:spacing w:line="360" w:lineRule="auto"/>
              <w:ind w:firstLine="480" w:firstLineChars="200"/>
              <w:contextualSpacing/>
              <w:rPr>
                <w:rFonts w:hint="eastAsia" w:hAnsi="宋体" w:eastAsia="宋体"/>
                <w:color w:val="auto"/>
                <w:sz w:val="24"/>
                <w:szCs w:val="24"/>
                <w:lang w:eastAsia="zh-CN"/>
              </w:rPr>
            </w:pPr>
            <w:r>
              <w:rPr>
                <w:rFonts w:hint="eastAsia" w:hAnsi="宋体"/>
                <w:color w:val="auto"/>
                <w:sz w:val="24"/>
                <w:szCs w:val="24"/>
                <w:lang w:val="en-US" w:eastAsia="zh-CN"/>
              </w:rPr>
              <w:t>③</w:t>
            </w:r>
            <w:r>
              <w:rPr>
                <w:rFonts w:hint="eastAsia" w:hAnsi="宋体"/>
                <w:color w:val="auto"/>
                <w:sz w:val="24"/>
                <w:szCs w:val="24"/>
              </w:rPr>
              <w:t>制定突发环境事件应急预案，建立应急小组，负责应急突发性事件的组织、指挥、抢修、控制、协调等应急响应行动；配备消防器材、救生器、防护面罩、胶皮手套、急救用品、沙袋、吸收棉、收集桶等应急物资或设备</w:t>
            </w:r>
            <w:r>
              <w:rPr>
                <w:rFonts w:hint="eastAsia" w:hAnsi="宋体"/>
                <w:color w:val="auto"/>
                <w:sz w:val="24"/>
                <w:szCs w:val="24"/>
                <w:lang w:eastAsia="zh-CN"/>
              </w:rPr>
              <w:t>。</w:t>
            </w:r>
          </w:p>
          <w:p>
            <w:pPr>
              <w:spacing w:line="360" w:lineRule="auto"/>
              <w:ind w:firstLine="480" w:firstLineChars="200"/>
              <w:contextualSpacing/>
              <w:rPr>
                <w:rFonts w:hint="eastAsia" w:hAnsi="宋体"/>
                <w:color w:val="auto"/>
                <w:sz w:val="21"/>
                <w:szCs w:val="21"/>
              </w:rPr>
            </w:pPr>
            <w:r>
              <w:rPr>
                <w:rFonts w:hint="eastAsia" w:hAnsi="宋体"/>
                <w:color w:val="auto"/>
                <w:sz w:val="24"/>
                <w:szCs w:val="24"/>
              </w:rPr>
              <w:t>综合以上分析，项目生产过程中无重</w:t>
            </w:r>
            <w:r>
              <w:rPr>
                <w:rFonts w:hint="eastAsia" w:hAnsi="宋体"/>
                <w:color w:val="auto"/>
                <w:sz w:val="24"/>
                <w:szCs w:val="24"/>
                <w:lang w:val="en-US" w:eastAsia="zh-CN"/>
              </w:rPr>
              <w:t>大</w:t>
            </w:r>
            <w:r>
              <w:rPr>
                <w:rFonts w:hint="eastAsia" w:hAnsi="宋体"/>
                <w:color w:val="auto"/>
                <w:sz w:val="24"/>
                <w:szCs w:val="24"/>
              </w:rPr>
              <w:t>危险源。当出现事故时，采取紧急的工程应急措施；针对不同环节的事故风险，应从运输、贮存、生产全过程及末端治理进行全面的风险管理和防范；要备足、备全应急救援物资和设备。同时为有效预防和减少突发环境事件的发生，建立快速、科学、高效的突发环境事故的应急处理机制，最大限度减轻灾难事故的危害，维护</w:t>
            </w:r>
            <w:r>
              <w:rPr>
                <w:rFonts w:hint="eastAsia" w:hAnsi="宋体"/>
                <w:color w:val="auto"/>
                <w:sz w:val="24"/>
                <w:szCs w:val="24"/>
                <w:lang w:val="en-US" w:eastAsia="zh-CN"/>
              </w:rPr>
              <w:t>企业</w:t>
            </w:r>
            <w:r>
              <w:rPr>
                <w:rFonts w:hint="eastAsia" w:hAnsi="宋体"/>
                <w:color w:val="auto"/>
                <w:sz w:val="24"/>
                <w:szCs w:val="24"/>
              </w:rPr>
              <w:t>及周围广大人民群众的生命和财产安全、生态安全及环境安全，实现社会经济的全面、协调、可持续发展，因此，在完善以上措施情况下，本环评认为项目环境风险可接受。</w:t>
            </w:r>
          </w:p>
          <w:p>
            <w:pPr>
              <w:pStyle w:val="80"/>
              <w:spacing w:before="0" w:line="360" w:lineRule="auto"/>
              <w:ind w:firstLine="0" w:firstLineChars="0"/>
              <w:rPr>
                <w:rFonts w:ascii="Times New Roman" w:hAnsi="Times New Roman"/>
                <w:b/>
                <w:bCs/>
                <w:color w:val="000000"/>
                <w:kern w:val="0"/>
                <w:szCs w:val="36"/>
              </w:rPr>
            </w:pPr>
            <w:r>
              <w:rPr>
                <w:rFonts w:hint="eastAsia" w:ascii="Times New Roman" w:hAnsi="Times New Roman"/>
                <w:b/>
                <w:bCs/>
                <w:color w:val="000000"/>
                <w:kern w:val="0"/>
                <w:szCs w:val="36"/>
                <w:lang w:val="en-US" w:eastAsia="zh-CN"/>
              </w:rPr>
              <w:t>9.</w:t>
            </w:r>
            <w:r>
              <w:rPr>
                <w:rFonts w:ascii="Times New Roman" w:hAnsi="Times New Roman"/>
                <w:b/>
                <w:bCs/>
                <w:color w:val="000000"/>
                <w:kern w:val="0"/>
                <w:szCs w:val="36"/>
              </w:rPr>
              <w:t>闭矿期环境治理措施</w:t>
            </w:r>
          </w:p>
          <w:p>
            <w:pPr>
              <w:spacing w:line="360" w:lineRule="auto"/>
              <w:ind w:firstLine="480" w:firstLineChars="200"/>
              <w:jc w:val="left"/>
              <w:rPr>
                <w:color w:val="000000"/>
                <w:sz w:val="24"/>
              </w:rPr>
            </w:pPr>
            <w:r>
              <w:rPr>
                <w:color w:val="000000"/>
                <w:sz w:val="24"/>
              </w:rPr>
              <w:t>本项目建设单位按照本项目“矿山地质环境保护与土地复垦方案”的相关要求，及时对开采结束区域进行地质环境保护与植被恢复工作。</w:t>
            </w:r>
          </w:p>
          <w:p>
            <w:pPr>
              <w:numPr>
                <w:ilvl w:val="0"/>
                <w:numId w:val="2"/>
              </w:numPr>
              <w:spacing w:line="360" w:lineRule="auto"/>
              <w:ind w:firstLine="480"/>
              <w:jc w:val="left"/>
              <w:rPr>
                <w:color w:val="000000"/>
                <w:sz w:val="24"/>
              </w:rPr>
            </w:pPr>
            <w:r>
              <w:rPr>
                <w:color w:val="000000"/>
                <w:sz w:val="24"/>
              </w:rPr>
              <w:t>土壤的剥离、储存</w:t>
            </w:r>
          </w:p>
          <w:p>
            <w:pPr>
              <w:spacing w:line="360" w:lineRule="auto"/>
              <w:ind w:firstLine="480" w:firstLineChars="200"/>
              <w:jc w:val="left"/>
              <w:rPr>
                <w:color w:val="000000"/>
                <w:sz w:val="24"/>
              </w:rPr>
            </w:pPr>
            <w:r>
              <w:rPr>
                <w:color w:val="000000"/>
                <w:sz w:val="24"/>
              </w:rPr>
              <w:t>在前期开采过程中应有计划地将表土单独剥离，在项目区南侧设表土堆场，将土壤储存起来，并视实际需要有计划地对表土堆场进行土地平整，在堆场周边修建排水系统，防止雨水对土壤的冲刷和侵蚀。如果表土堆场中的土壤在一定时间内（2～3年）暂不移植到采空区时，应在表土堆场中先行种植草类植物，可起到防止土壤流失、改善土壤结构的作用。在矿山关闭一段进行一段复土植被，此时遵循剥离、复土、植被的顺序，将剥离出来的土壤一部分立即摊放到经平整后的复土区，使用不完的剥离土则仍然储存于表土堆场中，以备利用。</w:t>
            </w:r>
          </w:p>
          <w:p>
            <w:pPr>
              <w:numPr>
                <w:ilvl w:val="0"/>
                <w:numId w:val="2"/>
              </w:numPr>
              <w:spacing w:line="360" w:lineRule="auto"/>
              <w:ind w:firstLine="480"/>
              <w:jc w:val="left"/>
              <w:rPr>
                <w:color w:val="000000"/>
                <w:sz w:val="24"/>
              </w:rPr>
            </w:pPr>
            <w:r>
              <w:rPr>
                <w:color w:val="000000"/>
                <w:sz w:val="24"/>
              </w:rPr>
              <w:t>植物措施</w:t>
            </w:r>
          </w:p>
          <w:p>
            <w:pPr>
              <w:spacing w:line="360" w:lineRule="auto"/>
              <w:ind w:right="-1" w:firstLine="480" w:firstLineChars="200"/>
              <w:contextualSpacing/>
              <w:rPr>
                <w:rFonts w:hint="eastAsia" w:eastAsia="宋体"/>
                <w:color w:val="000000"/>
                <w:sz w:val="24"/>
                <w:lang w:val="en-US" w:eastAsia="zh-CN"/>
              </w:rPr>
            </w:pPr>
            <w:r>
              <w:rPr>
                <w:color w:val="000000"/>
                <w:sz w:val="24"/>
              </w:rPr>
              <w:t>选择植物应选择生长快、适应性强、抗逆性好的植物；优先考虑选择固氮物种和乡土物种，并且需要综合考虑经济价值和生态效益。进行植被恢复时，应将乔、灌、草综合起来进行恢复，采场平台覆土种草种树，覆土厚度0.5m，种植树，覆土厚度0.5m，采场边坡种植藤本植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53" w:type="dxa"/>
            <w:noWrap w:val="0"/>
            <w:tcMar>
              <w:left w:w="28" w:type="dxa"/>
              <w:right w:w="28" w:type="dxa"/>
            </w:tcMar>
            <w:vAlign w:val="center"/>
          </w:tcPr>
          <w:p>
            <w:pPr>
              <w:adjustRightInd w:val="0"/>
              <w:snapToGrid w:val="0"/>
              <w:jc w:val="both"/>
              <w:rPr>
                <w:rFonts w:hint="eastAsia" w:eastAsia="宋体"/>
                <w:bCs/>
                <w:color w:val="000000"/>
                <w:spacing w:val="10"/>
                <w:sz w:val="24"/>
                <w:lang w:val="en-US" w:eastAsia="zh-CN"/>
              </w:rPr>
            </w:pPr>
            <w:r>
              <w:rPr>
                <w:rFonts w:hint="eastAsia"/>
                <w:bCs/>
                <w:color w:val="000000"/>
                <w:spacing w:val="10"/>
                <w:sz w:val="24"/>
                <w:lang w:val="en-US" w:eastAsia="zh-CN"/>
              </w:rPr>
              <w:t>其他</w:t>
            </w:r>
          </w:p>
        </w:tc>
        <w:tc>
          <w:tcPr>
            <w:tcW w:w="8457" w:type="dxa"/>
            <w:noWrap w:val="0"/>
            <w:vAlign w:val="center"/>
          </w:tcPr>
          <w:p>
            <w:pPr>
              <w:spacing w:line="360" w:lineRule="auto"/>
              <w:ind w:right="-1"/>
              <w:contextualSpacing/>
              <w:jc w:val="center"/>
              <w:rPr>
                <w:rFonts w:hint="eastAsia" w:eastAsia="宋体"/>
                <w:color w:val="000000"/>
                <w:sz w:val="24"/>
                <w:lang w:val="en-US" w:eastAsia="zh-CN"/>
              </w:rPr>
            </w:pPr>
            <w:r>
              <w:rPr>
                <w:rFonts w:hint="eastAsia"/>
                <w:color w:val="000000"/>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53" w:type="dxa"/>
            <w:noWrap w:val="0"/>
            <w:tcMar>
              <w:left w:w="28" w:type="dxa"/>
              <w:right w:w="28" w:type="dxa"/>
            </w:tcMar>
            <w:vAlign w:val="center"/>
          </w:tcPr>
          <w:p>
            <w:pPr>
              <w:adjustRightInd w:val="0"/>
              <w:snapToGrid w:val="0"/>
              <w:jc w:val="center"/>
              <w:rPr>
                <w:rFonts w:hint="default"/>
                <w:bCs/>
                <w:color w:val="000000"/>
                <w:spacing w:val="10"/>
                <w:sz w:val="24"/>
                <w:lang w:val="en-US" w:eastAsia="zh-CN"/>
              </w:rPr>
            </w:pPr>
            <w:r>
              <w:rPr>
                <w:rFonts w:hint="eastAsia"/>
                <w:bCs/>
                <w:color w:val="000000"/>
                <w:spacing w:val="10"/>
                <w:sz w:val="24"/>
                <w:lang w:val="en-US" w:eastAsia="zh-CN"/>
              </w:rPr>
              <w:t>环保投资</w:t>
            </w:r>
          </w:p>
        </w:tc>
        <w:tc>
          <w:tcPr>
            <w:tcW w:w="8457" w:type="dxa"/>
            <w:noWrap w:val="0"/>
            <w:vAlign w:val="center"/>
          </w:tcPr>
          <w:p>
            <w:pPr>
              <w:pStyle w:val="60"/>
              <w:ind w:firstLine="4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项目总投资</w:t>
            </w:r>
            <w:r>
              <w:rPr>
                <w:rFonts w:hint="eastAsia" w:cs="Times New Roman"/>
                <w:color w:val="auto"/>
                <w:sz w:val="24"/>
                <w:szCs w:val="24"/>
                <w:lang w:val="en-US" w:eastAsia="zh-CN"/>
              </w:rPr>
              <w:t>1280</w:t>
            </w:r>
            <w:r>
              <w:rPr>
                <w:rFonts w:hint="default" w:ascii="Times New Roman" w:hAnsi="Times New Roman" w:eastAsia="宋体" w:cs="Times New Roman"/>
                <w:color w:val="auto"/>
                <w:sz w:val="24"/>
                <w:szCs w:val="24"/>
              </w:rPr>
              <w:t>万元，其中环保投资</w:t>
            </w:r>
            <w:r>
              <w:rPr>
                <w:rFonts w:hint="eastAsia" w:cs="Times New Roman"/>
                <w:color w:val="auto"/>
                <w:sz w:val="24"/>
                <w:szCs w:val="24"/>
                <w:lang w:val="en-US" w:eastAsia="zh-CN"/>
              </w:rPr>
              <w:t>104.9</w:t>
            </w:r>
            <w:r>
              <w:rPr>
                <w:rFonts w:hint="default" w:ascii="Times New Roman" w:hAnsi="Times New Roman" w:eastAsia="宋体" w:cs="Times New Roman"/>
                <w:color w:val="auto"/>
                <w:sz w:val="24"/>
                <w:szCs w:val="24"/>
              </w:rPr>
              <w:t>万元，占总投资的</w:t>
            </w:r>
            <w:r>
              <w:rPr>
                <w:rFonts w:hint="eastAsia" w:cs="Times New Roman"/>
                <w:color w:val="auto"/>
                <w:sz w:val="24"/>
                <w:szCs w:val="24"/>
                <w:lang w:val="en-US" w:eastAsia="zh-CN"/>
              </w:rPr>
              <w:t>8.19</w:t>
            </w:r>
            <w:r>
              <w:rPr>
                <w:rFonts w:hint="default" w:ascii="Times New Roman" w:hAnsi="Times New Roman" w:eastAsia="宋体" w:cs="Times New Roman"/>
                <w:color w:val="auto"/>
                <w:sz w:val="24"/>
                <w:szCs w:val="24"/>
              </w:rPr>
              <w:t>%。</w:t>
            </w:r>
          </w:p>
          <w:p>
            <w:pPr>
              <w:pStyle w:val="14"/>
              <w:keepNext/>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default" w:ascii="Times New Roman" w:hAnsi="Times New Roman" w:eastAsia="宋体" w:cs="Times New Roman"/>
                <w:color w:val="auto"/>
                <w:lang w:val="en-US" w:eastAsia="zh-CN"/>
              </w:rPr>
              <w:t>4-</w:t>
            </w:r>
            <w:r>
              <w:rPr>
                <w:rFonts w:hint="eastAsia" w:eastAsia="宋体" w:cs="Times New Roman"/>
                <w:color w:val="auto"/>
                <w:lang w:val="en-US" w:eastAsia="zh-CN"/>
              </w:rPr>
              <w:t>21</w:t>
            </w:r>
            <w:r>
              <w:rPr>
                <w:rFonts w:hint="default" w:ascii="Times New Roman" w:hAnsi="Times New Roman" w:eastAsia="宋体" w:cs="Times New Roman"/>
                <w:color w:val="auto"/>
                <w:lang w:val="en-US" w:eastAsia="zh-CN"/>
              </w:rPr>
              <w:t xml:space="preserve">  </w:t>
            </w:r>
            <w:r>
              <w:rPr>
                <w:rFonts w:hint="eastAsia" w:eastAsia="宋体" w:cs="Times New Roman"/>
                <w:color w:val="auto"/>
                <w:lang w:val="en-US" w:eastAsia="zh-CN"/>
              </w:rPr>
              <w:t xml:space="preserve"> </w:t>
            </w:r>
            <w:r>
              <w:rPr>
                <w:rFonts w:hint="default" w:ascii="Times New Roman" w:hAnsi="Times New Roman" w:eastAsia="宋体" w:cs="Times New Roman"/>
                <w:color w:val="auto"/>
              </w:rPr>
              <w:t>环保投资估算一览表</w:t>
            </w:r>
          </w:p>
          <w:tbl>
            <w:tblPr>
              <w:tblStyle w:val="3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5"/>
              <w:gridCol w:w="640"/>
              <w:gridCol w:w="1217"/>
              <w:gridCol w:w="3950"/>
              <w:gridCol w:w="84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Align w:val="center"/>
                </w:tcPr>
                <w:p>
                  <w:pPr>
                    <w:pStyle w:val="57"/>
                  </w:pPr>
                  <w:r>
                    <w:t>污染类别</w:t>
                  </w:r>
                </w:p>
              </w:tc>
              <w:tc>
                <w:tcPr>
                  <w:tcW w:w="1217" w:type="dxa"/>
                  <w:vAlign w:val="center"/>
                </w:tcPr>
                <w:p>
                  <w:pPr>
                    <w:pStyle w:val="57"/>
                  </w:pPr>
                  <w:r>
                    <w:rPr>
                      <w:rFonts w:hint="eastAsia"/>
                    </w:rPr>
                    <w:t>项目</w:t>
                  </w:r>
                </w:p>
              </w:tc>
              <w:tc>
                <w:tcPr>
                  <w:tcW w:w="3950" w:type="dxa"/>
                  <w:vAlign w:val="center"/>
                </w:tcPr>
                <w:p>
                  <w:pPr>
                    <w:pStyle w:val="57"/>
                  </w:pPr>
                  <w:r>
                    <w:t>环保措施</w:t>
                  </w:r>
                </w:p>
              </w:tc>
              <w:tc>
                <w:tcPr>
                  <w:tcW w:w="841" w:type="dxa"/>
                  <w:vAlign w:val="center"/>
                </w:tcPr>
                <w:p>
                  <w:pPr>
                    <w:pStyle w:val="57"/>
                  </w:pPr>
                  <w:r>
                    <w:t>数量（套）</w:t>
                  </w:r>
                </w:p>
              </w:tc>
              <w:tc>
                <w:tcPr>
                  <w:tcW w:w="1066" w:type="dxa"/>
                  <w:vAlign w:val="center"/>
                </w:tcPr>
                <w:p>
                  <w:pPr>
                    <w:pStyle w:val="57"/>
                  </w:pPr>
                  <w: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restart"/>
                  <w:vAlign w:val="center"/>
                </w:tcPr>
                <w:p>
                  <w:pPr>
                    <w:pStyle w:val="57"/>
                  </w:pPr>
                  <w:r>
                    <w:t>废气</w:t>
                  </w:r>
                </w:p>
              </w:tc>
              <w:tc>
                <w:tcPr>
                  <w:tcW w:w="650" w:type="dxa"/>
                  <w:gridSpan w:val="2"/>
                  <w:vAlign w:val="center"/>
                </w:tcPr>
                <w:p>
                  <w:pPr>
                    <w:pStyle w:val="57"/>
                    <w:rPr>
                      <w:rFonts w:hint="eastAsia" w:eastAsia="宋体"/>
                      <w:color w:val="FF0000"/>
                      <w:lang w:val="en-US" w:eastAsia="zh-CN"/>
                    </w:rPr>
                  </w:pPr>
                  <w:r>
                    <w:rPr>
                      <w:rFonts w:hint="eastAsia"/>
                      <w:color w:val="FF0000"/>
                      <w:lang w:val="en-US" w:eastAsia="zh-CN"/>
                    </w:rPr>
                    <w:t>施工期</w:t>
                  </w:r>
                </w:p>
              </w:tc>
              <w:tc>
                <w:tcPr>
                  <w:tcW w:w="1217" w:type="dxa"/>
                  <w:vAlign w:val="center"/>
                </w:tcPr>
                <w:p>
                  <w:pPr>
                    <w:pStyle w:val="57"/>
                    <w:rPr>
                      <w:rFonts w:hint="eastAsia" w:eastAsia="宋体"/>
                      <w:color w:val="FF0000"/>
                      <w:lang w:val="en-US" w:eastAsia="zh-CN"/>
                    </w:rPr>
                  </w:pPr>
                  <w:r>
                    <w:rPr>
                      <w:rFonts w:hint="eastAsia"/>
                      <w:color w:val="FF0000"/>
                      <w:lang w:val="en-US" w:eastAsia="zh-CN"/>
                    </w:rPr>
                    <w:t>扬尘</w:t>
                  </w:r>
                </w:p>
              </w:tc>
              <w:tc>
                <w:tcPr>
                  <w:tcW w:w="3950" w:type="dxa"/>
                  <w:vAlign w:val="center"/>
                </w:tcPr>
                <w:p>
                  <w:pPr>
                    <w:pStyle w:val="57"/>
                    <w:rPr>
                      <w:rFonts w:hint="default" w:eastAsia="宋体"/>
                      <w:color w:val="FF0000"/>
                      <w:lang w:val="en-US" w:eastAsia="zh-CN"/>
                    </w:rPr>
                  </w:pPr>
                  <w:r>
                    <w:rPr>
                      <w:color w:val="FF0000"/>
                      <w:sz w:val="21"/>
                      <w:szCs w:val="21"/>
                    </w:rPr>
                    <w:t>6个百分百”防治施工期扬尘污染</w:t>
                  </w:r>
                  <w:r>
                    <w:rPr>
                      <w:rFonts w:hint="eastAsia"/>
                      <w:color w:val="FF0000"/>
                      <w:sz w:val="21"/>
                      <w:szCs w:val="21"/>
                      <w:lang w:eastAsia="zh-CN"/>
                    </w:rPr>
                    <w:t>、</w:t>
                  </w:r>
                  <w:r>
                    <w:rPr>
                      <w:rFonts w:hint="eastAsia"/>
                      <w:color w:val="FF0000"/>
                      <w:sz w:val="21"/>
                      <w:szCs w:val="21"/>
                      <w:lang w:val="en-US" w:eastAsia="zh-CN"/>
                    </w:rPr>
                    <w:t>洒水车</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eastAsia" w:eastAsia="宋体"/>
                      <w:color w:val="FF0000"/>
                      <w:lang w:val="en-US" w:eastAsia="zh-CN"/>
                    </w:rPr>
                  </w:pPr>
                  <w:r>
                    <w:rPr>
                      <w:rFonts w:hint="eastAsia"/>
                      <w:color w:val="FF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restart"/>
                  <w:vAlign w:val="center"/>
                </w:tcPr>
                <w:p>
                  <w:pPr>
                    <w:pStyle w:val="57"/>
                    <w:rPr>
                      <w:rFonts w:hint="eastAsia" w:eastAsia="宋体"/>
                      <w:lang w:val="en-US" w:eastAsia="zh-CN"/>
                    </w:rPr>
                  </w:pPr>
                  <w:r>
                    <w:rPr>
                      <w:rFonts w:hint="eastAsia"/>
                      <w:lang w:val="en-US" w:eastAsia="zh-CN"/>
                    </w:rPr>
                    <w:t>运营期</w:t>
                  </w:r>
                </w:p>
              </w:tc>
              <w:tc>
                <w:tcPr>
                  <w:tcW w:w="1217" w:type="dxa"/>
                  <w:vAlign w:val="center"/>
                </w:tcPr>
                <w:p>
                  <w:pPr>
                    <w:pStyle w:val="57"/>
                  </w:pPr>
                  <w:r>
                    <w:t>破碎筛分粉尘</w:t>
                  </w:r>
                </w:p>
              </w:tc>
              <w:tc>
                <w:tcPr>
                  <w:tcW w:w="3950" w:type="dxa"/>
                  <w:vAlign w:val="center"/>
                </w:tcPr>
                <w:p>
                  <w:pPr>
                    <w:pStyle w:val="57"/>
                  </w:pPr>
                  <w:r>
                    <w:rPr>
                      <w:rFonts w:hint="eastAsia"/>
                      <w:lang w:val="en-US" w:eastAsia="zh-CN"/>
                    </w:rPr>
                    <w:t>3个</w:t>
                  </w:r>
                  <w:r>
                    <w:t>集气罩+</w:t>
                  </w:r>
                  <w:r>
                    <w:rPr>
                      <w:rFonts w:hint="eastAsia"/>
                      <w:lang w:val="en-US" w:eastAsia="zh-CN"/>
                    </w:rPr>
                    <w:t>1套</w:t>
                  </w:r>
                  <w:r>
                    <w:t>布袋除尘</w:t>
                  </w:r>
                </w:p>
              </w:tc>
              <w:tc>
                <w:tcPr>
                  <w:tcW w:w="841" w:type="dxa"/>
                  <w:vAlign w:val="center"/>
                </w:tcPr>
                <w:p>
                  <w:pPr>
                    <w:pStyle w:val="57"/>
                  </w:pPr>
                  <w:r>
                    <w:t>1</w:t>
                  </w:r>
                </w:p>
              </w:tc>
              <w:tc>
                <w:tcPr>
                  <w:tcW w:w="1066" w:type="dxa"/>
                  <w:vAlign w:val="center"/>
                </w:tcPr>
                <w:p>
                  <w:pPr>
                    <w:pStyle w:val="57"/>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vMerge w:val="restart"/>
                  <w:vAlign w:val="center"/>
                </w:tcPr>
                <w:p>
                  <w:pPr>
                    <w:pStyle w:val="57"/>
                    <w:rPr>
                      <w:color w:val="auto"/>
                    </w:rPr>
                  </w:pPr>
                  <w:r>
                    <w:rPr>
                      <w:color w:val="auto"/>
                    </w:rPr>
                    <w:t>隧道窑烟气</w:t>
                  </w:r>
                </w:p>
              </w:tc>
              <w:tc>
                <w:tcPr>
                  <w:tcW w:w="3950" w:type="dxa"/>
                  <w:vAlign w:val="center"/>
                </w:tcPr>
                <w:p>
                  <w:pPr>
                    <w:pStyle w:val="57"/>
                    <w:rPr>
                      <w:rFonts w:hint="default" w:eastAsia="宋体"/>
                      <w:color w:val="auto"/>
                      <w:lang w:val="en-US" w:eastAsia="zh-CN"/>
                    </w:rPr>
                  </w:pPr>
                  <w:r>
                    <w:rPr>
                      <w:color w:val="auto"/>
                    </w:rPr>
                    <w:t>SNCR脱硝+</w:t>
                  </w:r>
                  <w:r>
                    <w:rPr>
                      <w:rFonts w:hint="eastAsia"/>
                      <w:color w:val="auto"/>
                      <w:lang w:val="en-US" w:eastAsia="zh-CN"/>
                    </w:rPr>
                    <w:t>袋式除尘+</w:t>
                  </w:r>
                  <w:r>
                    <w:rPr>
                      <w:rFonts w:hint="eastAsia"/>
                      <w:color w:val="auto"/>
                    </w:rPr>
                    <w:t>湿</w:t>
                  </w:r>
                  <w:r>
                    <w:rPr>
                      <w:color w:val="auto"/>
                    </w:rPr>
                    <w:t>法</w:t>
                  </w:r>
                  <w:r>
                    <w:rPr>
                      <w:rFonts w:hint="eastAsia"/>
                      <w:color w:val="auto"/>
                      <w:lang w:eastAsia="zh-CN"/>
                    </w:rPr>
                    <w:t>（</w:t>
                  </w:r>
                  <w:r>
                    <w:rPr>
                      <w:rFonts w:hint="eastAsia"/>
                      <w:color w:val="auto"/>
                      <w:lang w:val="en-US" w:eastAsia="zh-CN"/>
                    </w:rPr>
                    <w:t>喷淋</w:t>
                  </w:r>
                  <w:r>
                    <w:rPr>
                      <w:rFonts w:hint="eastAsia"/>
                      <w:color w:val="auto"/>
                      <w:lang w:eastAsia="zh-CN"/>
                    </w:rPr>
                    <w:t>）</w:t>
                  </w:r>
                  <w:r>
                    <w:rPr>
                      <w:color w:val="auto"/>
                    </w:rPr>
                    <w:t>脱硫</w:t>
                  </w:r>
                  <w:r>
                    <w:rPr>
                      <w:rFonts w:hint="eastAsia"/>
                      <w:color w:val="auto"/>
                      <w:lang w:val="en-US" w:eastAsia="zh-CN"/>
                    </w:rPr>
                    <w:t>并协同</w:t>
                  </w:r>
                  <w:r>
                    <w:rPr>
                      <w:color w:val="auto"/>
                    </w:rPr>
                    <w:t>脱氟</w:t>
                  </w:r>
                  <w:r>
                    <w:rPr>
                      <w:rFonts w:hint="eastAsia"/>
                      <w:color w:val="auto"/>
                      <w:lang w:val="en-US" w:eastAsia="zh-CN"/>
                    </w:rPr>
                    <w:t>烟气处理设施+33m高排气筒</w:t>
                  </w:r>
                </w:p>
              </w:tc>
              <w:tc>
                <w:tcPr>
                  <w:tcW w:w="841" w:type="dxa"/>
                  <w:vAlign w:val="center"/>
                </w:tcPr>
                <w:p>
                  <w:pPr>
                    <w:pStyle w:val="57"/>
                    <w:rPr>
                      <w:color w:val="auto"/>
                    </w:rPr>
                  </w:pPr>
                  <w:r>
                    <w:rPr>
                      <w:color w:val="auto"/>
                    </w:rPr>
                    <w:t>1</w:t>
                  </w:r>
                </w:p>
              </w:tc>
              <w:tc>
                <w:tcPr>
                  <w:tcW w:w="1066" w:type="dxa"/>
                  <w:vAlign w:val="center"/>
                </w:tcPr>
                <w:p>
                  <w:pPr>
                    <w:pStyle w:val="57"/>
                    <w:rPr>
                      <w:color w:val="auto"/>
                    </w:rPr>
                  </w:pPr>
                  <w:r>
                    <w:rPr>
                      <w:rFonts w:hint="eastAsia"/>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vMerge w:val="continue"/>
                  <w:vAlign w:val="center"/>
                </w:tcPr>
                <w:p>
                  <w:pPr>
                    <w:pStyle w:val="57"/>
                    <w:rPr>
                      <w:color w:val="auto"/>
                    </w:rPr>
                  </w:pPr>
                </w:p>
              </w:tc>
              <w:tc>
                <w:tcPr>
                  <w:tcW w:w="3950" w:type="dxa"/>
                  <w:vAlign w:val="center"/>
                </w:tcPr>
                <w:p>
                  <w:pPr>
                    <w:pStyle w:val="57"/>
                    <w:rPr>
                      <w:rFonts w:hint="default" w:eastAsia="宋体"/>
                      <w:color w:val="FF0000"/>
                      <w:lang w:val="en-US" w:eastAsia="zh-CN"/>
                    </w:rPr>
                  </w:pPr>
                  <w:r>
                    <w:rPr>
                      <w:rFonts w:hint="eastAsia"/>
                      <w:color w:val="FF0000"/>
                      <w:lang w:val="en-US" w:eastAsia="zh-CN"/>
                    </w:rPr>
                    <w:t>固定污染源自动在线监测设备</w:t>
                  </w:r>
                </w:p>
              </w:tc>
              <w:tc>
                <w:tcPr>
                  <w:tcW w:w="841" w:type="dxa"/>
                  <w:vAlign w:val="center"/>
                </w:tcPr>
                <w:p>
                  <w:pPr>
                    <w:pStyle w:val="57"/>
                    <w:rPr>
                      <w:rFonts w:hint="eastAsia" w:eastAsia="宋体"/>
                      <w:color w:val="FF0000"/>
                      <w:lang w:val="en-US" w:eastAsia="zh-CN"/>
                    </w:rPr>
                  </w:pPr>
                  <w:r>
                    <w:rPr>
                      <w:rFonts w:hint="eastAsia"/>
                      <w:color w:val="FF0000"/>
                      <w:lang w:val="en-US" w:eastAsia="zh-CN"/>
                    </w:rPr>
                    <w:t>1</w:t>
                  </w:r>
                </w:p>
              </w:tc>
              <w:tc>
                <w:tcPr>
                  <w:tcW w:w="1066" w:type="dxa"/>
                  <w:vAlign w:val="center"/>
                </w:tcPr>
                <w:p>
                  <w:pPr>
                    <w:pStyle w:val="57"/>
                    <w:rPr>
                      <w:rFonts w:hint="default" w:eastAsia="宋体"/>
                      <w:color w:val="FF0000"/>
                      <w:lang w:val="en-US" w:eastAsia="zh-CN"/>
                    </w:rPr>
                  </w:pPr>
                  <w:r>
                    <w:rPr>
                      <w:rFonts w:hint="eastAsia"/>
                      <w:color w:val="FF0000"/>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vAlign w:val="center"/>
                </w:tcPr>
                <w:p>
                  <w:pPr>
                    <w:pStyle w:val="57"/>
                  </w:pPr>
                  <w:r>
                    <w:t>粘土矿区扬尘</w:t>
                  </w:r>
                </w:p>
              </w:tc>
              <w:tc>
                <w:tcPr>
                  <w:tcW w:w="3950" w:type="dxa"/>
                  <w:vAlign w:val="center"/>
                </w:tcPr>
                <w:p>
                  <w:pPr>
                    <w:pStyle w:val="57"/>
                    <w:rPr>
                      <w:rFonts w:hint="default" w:eastAsia="宋体"/>
                      <w:lang w:val="en-US" w:eastAsia="zh-CN"/>
                    </w:rPr>
                  </w:pPr>
                  <w:r>
                    <w:t>洒水</w:t>
                  </w:r>
                  <w:r>
                    <w:rPr>
                      <w:rFonts w:hint="eastAsia"/>
                      <w:lang w:val="en-US" w:eastAsia="zh-CN"/>
                    </w:rPr>
                    <w:t>+喷雾降尘、洒水车及雾炮机</w:t>
                  </w:r>
                </w:p>
              </w:tc>
              <w:tc>
                <w:tcPr>
                  <w:tcW w:w="841" w:type="dxa"/>
                  <w:vAlign w:val="center"/>
                </w:tcPr>
                <w:p>
                  <w:pPr>
                    <w:pStyle w:val="57"/>
                  </w:pPr>
                  <w:r>
                    <w:t>1</w:t>
                  </w:r>
                </w:p>
              </w:tc>
              <w:tc>
                <w:tcPr>
                  <w:tcW w:w="1066" w:type="dxa"/>
                  <w:vAlign w:val="center"/>
                </w:tcPr>
                <w:p>
                  <w:pPr>
                    <w:pStyle w:val="57"/>
                    <w:rPr>
                      <w:rFonts w:hint="eastAsia" w:eastAsia="宋体"/>
                      <w:lang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noWrap/>
                  <w:vAlign w:val="center"/>
                </w:tcPr>
                <w:p>
                  <w:pPr>
                    <w:pStyle w:val="57"/>
                    <w:rPr>
                      <w:rFonts w:hint="eastAsia" w:eastAsia="宋体"/>
                      <w:color w:val="auto"/>
                      <w:lang w:val="en-US" w:eastAsia="zh-CN"/>
                    </w:rPr>
                  </w:pPr>
                  <w:r>
                    <w:rPr>
                      <w:color w:val="auto"/>
                    </w:rPr>
                    <w:t>煤/煤矸石</w:t>
                  </w:r>
                  <w:r>
                    <w:rPr>
                      <w:rFonts w:hint="eastAsia"/>
                      <w:color w:val="auto"/>
                      <w:lang w:val="en-US" w:eastAsia="zh-CN"/>
                    </w:rPr>
                    <w:t>堆棚</w:t>
                  </w:r>
                </w:p>
              </w:tc>
              <w:tc>
                <w:tcPr>
                  <w:tcW w:w="3950" w:type="dxa"/>
                  <w:noWrap/>
                  <w:vAlign w:val="center"/>
                </w:tcPr>
                <w:p>
                  <w:pPr>
                    <w:pStyle w:val="57"/>
                    <w:rPr>
                      <w:rFonts w:hint="default" w:eastAsia="宋体"/>
                      <w:color w:val="auto"/>
                      <w:lang w:val="en-US" w:eastAsia="zh-CN"/>
                    </w:rPr>
                  </w:pPr>
                  <w:r>
                    <w:rPr>
                      <w:color w:val="auto"/>
                    </w:rPr>
                    <w:t>洒水抑尘</w:t>
                  </w:r>
                  <w:r>
                    <w:rPr>
                      <w:rFonts w:hint="eastAsia"/>
                      <w:color w:val="auto"/>
                      <w:lang w:val="en-US" w:eastAsia="zh-CN"/>
                    </w:rPr>
                    <w:t>+全封闭式堆棚</w:t>
                  </w:r>
                </w:p>
              </w:tc>
              <w:tc>
                <w:tcPr>
                  <w:tcW w:w="841" w:type="dxa"/>
                  <w:vAlign w:val="center"/>
                </w:tcPr>
                <w:p>
                  <w:pPr>
                    <w:pStyle w:val="57"/>
                    <w:rPr>
                      <w:color w:val="auto"/>
                    </w:rPr>
                  </w:pPr>
                  <w:r>
                    <w:rPr>
                      <w:color w:val="auto"/>
                    </w:rPr>
                    <w:t>1</w:t>
                  </w:r>
                </w:p>
              </w:tc>
              <w:tc>
                <w:tcPr>
                  <w:tcW w:w="1066" w:type="dxa"/>
                  <w:noWrap/>
                  <w:vAlign w:val="center"/>
                </w:tcPr>
                <w:p>
                  <w:pPr>
                    <w:pStyle w:val="57"/>
                    <w:rPr>
                      <w:color w:val="auto"/>
                    </w:rPr>
                  </w:pPr>
                  <w:r>
                    <w:rPr>
                      <w:rFonts w:hint="eastAsia"/>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noWrap/>
                  <w:vAlign w:val="center"/>
                </w:tcPr>
                <w:p>
                  <w:pPr>
                    <w:pStyle w:val="57"/>
                    <w:rPr>
                      <w:color w:val="auto"/>
                    </w:rPr>
                  </w:pPr>
                  <w:r>
                    <w:rPr>
                      <w:color w:val="auto"/>
                    </w:rPr>
                    <w:t>运输道路扬尘</w:t>
                  </w:r>
                </w:p>
              </w:tc>
              <w:tc>
                <w:tcPr>
                  <w:tcW w:w="3950" w:type="dxa"/>
                  <w:noWrap/>
                  <w:vAlign w:val="center"/>
                </w:tcPr>
                <w:p>
                  <w:pPr>
                    <w:pStyle w:val="57"/>
                    <w:rPr>
                      <w:color w:val="auto"/>
                    </w:rPr>
                  </w:pPr>
                  <w:r>
                    <w:rPr>
                      <w:color w:val="auto"/>
                    </w:rPr>
                    <w:t>加盖篷布+车辆清洗</w:t>
                  </w:r>
                  <w:r>
                    <w:rPr>
                      <w:rFonts w:hint="eastAsia"/>
                      <w:color w:val="auto"/>
                    </w:rPr>
                    <w:t>+道路洒水</w:t>
                  </w:r>
                </w:p>
              </w:tc>
              <w:tc>
                <w:tcPr>
                  <w:tcW w:w="841" w:type="dxa"/>
                  <w:vAlign w:val="center"/>
                </w:tcPr>
                <w:p>
                  <w:pPr>
                    <w:pStyle w:val="57"/>
                    <w:rPr>
                      <w:color w:val="auto"/>
                    </w:rPr>
                  </w:pPr>
                  <w:r>
                    <w:rPr>
                      <w:color w:val="auto"/>
                    </w:rPr>
                    <w:t>1</w:t>
                  </w:r>
                </w:p>
              </w:tc>
              <w:tc>
                <w:tcPr>
                  <w:tcW w:w="1066" w:type="dxa"/>
                  <w:noWrap/>
                  <w:vAlign w:val="center"/>
                </w:tcPr>
                <w:p>
                  <w:pPr>
                    <w:pStyle w:val="57"/>
                    <w:rPr>
                      <w:color w:val="auto"/>
                    </w:rPr>
                  </w:pPr>
                  <w:r>
                    <w:rPr>
                      <w:rFonts w:hint="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restart"/>
                  <w:vAlign w:val="center"/>
                </w:tcPr>
                <w:p>
                  <w:pPr>
                    <w:pStyle w:val="57"/>
                  </w:pPr>
                  <w:r>
                    <w:t>废水</w:t>
                  </w:r>
                </w:p>
              </w:tc>
              <w:tc>
                <w:tcPr>
                  <w:tcW w:w="645" w:type="dxa"/>
                  <w:vAlign w:val="center"/>
                </w:tcPr>
                <w:p>
                  <w:pPr>
                    <w:pStyle w:val="57"/>
                    <w:rPr>
                      <w:rFonts w:hint="default" w:eastAsia="宋体"/>
                      <w:lang w:val="en-US" w:eastAsia="zh-CN"/>
                    </w:rPr>
                  </w:pPr>
                  <w:r>
                    <w:rPr>
                      <w:rFonts w:hint="eastAsia"/>
                      <w:lang w:val="en-US" w:eastAsia="zh-CN"/>
                    </w:rPr>
                    <w:t>运营期</w:t>
                  </w:r>
                </w:p>
              </w:tc>
              <w:tc>
                <w:tcPr>
                  <w:tcW w:w="1217" w:type="dxa"/>
                  <w:vAlign w:val="center"/>
                </w:tcPr>
                <w:p>
                  <w:pPr>
                    <w:pStyle w:val="57"/>
                    <w:rPr>
                      <w:color w:val="auto"/>
                    </w:rPr>
                  </w:pPr>
                  <w:r>
                    <w:rPr>
                      <w:color w:val="auto"/>
                    </w:rPr>
                    <w:t>生活污水</w:t>
                  </w:r>
                </w:p>
              </w:tc>
              <w:tc>
                <w:tcPr>
                  <w:tcW w:w="3950" w:type="dxa"/>
                  <w:vAlign w:val="center"/>
                </w:tcPr>
                <w:p>
                  <w:pPr>
                    <w:pStyle w:val="57"/>
                    <w:rPr>
                      <w:rFonts w:hint="default" w:eastAsia="宋体"/>
                      <w:color w:val="auto"/>
                      <w:lang w:val="en-US" w:eastAsia="zh-CN"/>
                    </w:rPr>
                  </w:pPr>
                  <w:r>
                    <w:rPr>
                      <w:rFonts w:hint="eastAsia"/>
                      <w:color w:val="auto"/>
                      <w:lang w:val="en-US" w:eastAsia="zh-CN"/>
                    </w:rPr>
                    <w:t>洗漱废水泼洒抑尘、生活污物旱厕堆肥</w:t>
                  </w:r>
                </w:p>
              </w:tc>
              <w:tc>
                <w:tcPr>
                  <w:tcW w:w="841" w:type="dxa"/>
                  <w:vAlign w:val="center"/>
                </w:tcPr>
                <w:p>
                  <w:pPr>
                    <w:pStyle w:val="57"/>
                    <w:rPr>
                      <w:color w:val="auto"/>
                    </w:rPr>
                  </w:pPr>
                  <w:r>
                    <w:rPr>
                      <w:color w:val="auto"/>
                    </w:rPr>
                    <w:t>1</w:t>
                  </w:r>
                </w:p>
              </w:tc>
              <w:tc>
                <w:tcPr>
                  <w:tcW w:w="1066" w:type="dxa"/>
                  <w:vAlign w:val="center"/>
                </w:tcPr>
                <w:p>
                  <w:pPr>
                    <w:pStyle w:val="57"/>
                    <w:rPr>
                      <w:color w:val="auto"/>
                    </w:rPr>
                  </w:pPr>
                  <w:r>
                    <w:rPr>
                      <w:rFonts w:hint="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Align w:val="center"/>
                </w:tcPr>
                <w:p>
                  <w:pPr>
                    <w:pStyle w:val="57"/>
                    <w:rPr>
                      <w:rFonts w:hint="eastAsia" w:eastAsia="宋体"/>
                      <w:color w:val="FF0000"/>
                      <w:lang w:val="en-US" w:eastAsia="zh-CN"/>
                    </w:rPr>
                  </w:pPr>
                  <w:r>
                    <w:rPr>
                      <w:rFonts w:hint="eastAsia"/>
                      <w:color w:val="FF0000"/>
                      <w:lang w:val="en-US" w:eastAsia="zh-CN"/>
                    </w:rPr>
                    <w:t>施工期</w:t>
                  </w:r>
                </w:p>
              </w:tc>
              <w:tc>
                <w:tcPr>
                  <w:tcW w:w="1217" w:type="dxa"/>
                  <w:vAlign w:val="center"/>
                </w:tcPr>
                <w:p>
                  <w:pPr>
                    <w:pStyle w:val="57"/>
                    <w:rPr>
                      <w:rFonts w:hint="eastAsia" w:eastAsia="宋体"/>
                      <w:color w:val="FF0000"/>
                      <w:lang w:val="en-US" w:eastAsia="zh-CN"/>
                    </w:rPr>
                  </w:pPr>
                  <w:r>
                    <w:rPr>
                      <w:rFonts w:hint="eastAsia"/>
                      <w:color w:val="FF0000"/>
                      <w:lang w:val="en-US" w:eastAsia="zh-CN"/>
                    </w:rPr>
                    <w:t>生活污水</w:t>
                  </w:r>
                </w:p>
              </w:tc>
              <w:tc>
                <w:tcPr>
                  <w:tcW w:w="3950" w:type="dxa"/>
                  <w:vAlign w:val="center"/>
                </w:tcPr>
                <w:p>
                  <w:pPr>
                    <w:pStyle w:val="57"/>
                    <w:rPr>
                      <w:rFonts w:hint="eastAsia"/>
                      <w:color w:val="FF0000"/>
                      <w:lang w:val="en-US" w:eastAsia="zh-CN"/>
                    </w:rPr>
                  </w:pPr>
                  <w:r>
                    <w:rPr>
                      <w:color w:val="FF0000"/>
                      <w:szCs w:val="21"/>
                    </w:rPr>
                    <w:t>施工人员</w:t>
                  </w:r>
                  <w:r>
                    <w:rPr>
                      <w:rFonts w:hint="eastAsia"/>
                      <w:color w:val="FF0000"/>
                      <w:szCs w:val="21"/>
                      <w:lang w:val="en-US" w:eastAsia="zh-CN"/>
                    </w:rPr>
                    <w:t>洗漱废水泼洒抑尘，生活污物利用旱厕堆肥</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default" w:eastAsia="宋体"/>
                      <w:color w:val="FF0000"/>
                      <w:lang w:val="en-US" w:eastAsia="zh-CN"/>
                    </w:rPr>
                  </w:pPr>
                  <w:r>
                    <w:rPr>
                      <w:rFonts w:hint="eastAsia"/>
                      <w:color w:val="FF000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restart"/>
                  <w:vAlign w:val="center"/>
                </w:tcPr>
                <w:p>
                  <w:pPr>
                    <w:pStyle w:val="57"/>
                  </w:pPr>
                  <w:r>
                    <w:t>噪声</w:t>
                  </w:r>
                </w:p>
              </w:tc>
              <w:tc>
                <w:tcPr>
                  <w:tcW w:w="645" w:type="dxa"/>
                  <w:vAlign w:val="center"/>
                </w:tcPr>
                <w:p>
                  <w:pPr>
                    <w:pStyle w:val="57"/>
                    <w:rPr>
                      <w:rFonts w:hint="eastAsia" w:eastAsia="宋体"/>
                      <w:lang w:val="en-US" w:eastAsia="zh-CN"/>
                    </w:rPr>
                  </w:pPr>
                  <w:r>
                    <w:rPr>
                      <w:rFonts w:hint="eastAsia"/>
                      <w:lang w:val="en-US" w:eastAsia="zh-CN"/>
                    </w:rPr>
                    <w:t>运营期</w:t>
                  </w:r>
                </w:p>
              </w:tc>
              <w:tc>
                <w:tcPr>
                  <w:tcW w:w="1217" w:type="dxa"/>
                  <w:vAlign w:val="center"/>
                </w:tcPr>
                <w:p>
                  <w:pPr>
                    <w:pStyle w:val="57"/>
                    <w:rPr>
                      <w:color w:val="auto"/>
                    </w:rPr>
                  </w:pPr>
                  <w:r>
                    <w:rPr>
                      <w:color w:val="auto"/>
                    </w:rPr>
                    <w:t>设备噪声</w:t>
                  </w:r>
                </w:p>
              </w:tc>
              <w:tc>
                <w:tcPr>
                  <w:tcW w:w="3950" w:type="dxa"/>
                  <w:vAlign w:val="center"/>
                </w:tcPr>
                <w:p>
                  <w:pPr>
                    <w:pStyle w:val="57"/>
                    <w:rPr>
                      <w:rFonts w:hint="default" w:eastAsia="宋体"/>
                      <w:color w:val="auto"/>
                      <w:lang w:val="en-US" w:eastAsia="zh-CN"/>
                    </w:rPr>
                  </w:pPr>
                  <w:r>
                    <w:rPr>
                      <w:color w:val="auto"/>
                    </w:rPr>
                    <w:t>选用低噪设备+基础减振+厂房隔声</w:t>
                  </w:r>
                  <w:r>
                    <w:rPr>
                      <w:rFonts w:hint="eastAsia"/>
                      <w:color w:val="auto"/>
                      <w:lang w:val="en-US" w:eastAsia="zh-CN"/>
                    </w:rPr>
                    <w:t>+空降高差降噪</w:t>
                  </w:r>
                </w:p>
              </w:tc>
              <w:tc>
                <w:tcPr>
                  <w:tcW w:w="841" w:type="dxa"/>
                  <w:vAlign w:val="center"/>
                </w:tcPr>
                <w:p>
                  <w:pPr>
                    <w:pStyle w:val="57"/>
                    <w:rPr>
                      <w:color w:val="auto"/>
                    </w:rPr>
                  </w:pPr>
                  <w:r>
                    <w:rPr>
                      <w:color w:val="auto"/>
                    </w:rPr>
                    <w:t>/</w:t>
                  </w:r>
                </w:p>
              </w:tc>
              <w:tc>
                <w:tcPr>
                  <w:tcW w:w="1066" w:type="dxa"/>
                  <w:vAlign w:val="center"/>
                </w:tcPr>
                <w:p>
                  <w:pPr>
                    <w:pStyle w:val="57"/>
                    <w:rPr>
                      <w:color w:val="auto"/>
                    </w:rPr>
                  </w:pPr>
                  <w:r>
                    <w:rPr>
                      <w:rFonts w:hint="eastAsia"/>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45" w:type="dxa"/>
                  <w:gridSpan w:val="2"/>
                  <w:vMerge w:val="continue"/>
                  <w:vAlign w:val="center"/>
                </w:tcPr>
                <w:p>
                  <w:pPr>
                    <w:pStyle w:val="57"/>
                  </w:pPr>
                </w:p>
              </w:tc>
              <w:tc>
                <w:tcPr>
                  <w:tcW w:w="645" w:type="dxa"/>
                  <w:vAlign w:val="center"/>
                </w:tcPr>
                <w:p>
                  <w:pPr>
                    <w:pStyle w:val="57"/>
                    <w:rPr>
                      <w:rFonts w:hint="eastAsia" w:eastAsia="宋体"/>
                      <w:lang w:val="en-US" w:eastAsia="zh-CN"/>
                    </w:rPr>
                  </w:pPr>
                  <w:r>
                    <w:rPr>
                      <w:rFonts w:hint="eastAsia"/>
                      <w:lang w:val="en-US" w:eastAsia="zh-CN"/>
                    </w:rPr>
                    <w:t>施工期</w:t>
                  </w:r>
                </w:p>
              </w:tc>
              <w:tc>
                <w:tcPr>
                  <w:tcW w:w="1217" w:type="dxa"/>
                  <w:vAlign w:val="center"/>
                </w:tcPr>
                <w:p>
                  <w:pPr>
                    <w:pStyle w:val="57"/>
                    <w:rPr>
                      <w:rFonts w:hint="default" w:eastAsia="宋体"/>
                      <w:color w:val="FF0000"/>
                      <w:lang w:val="en-US" w:eastAsia="zh-CN"/>
                    </w:rPr>
                  </w:pPr>
                  <w:r>
                    <w:rPr>
                      <w:rFonts w:hint="eastAsia"/>
                      <w:color w:val="FF0000"/>
                      <w:lang w:val="en-US" w:eastAsia="zh-CN"/>
                    </w:rPr>
                    <w:t>设备噪声</w:t>
                  </w:r>
                </w:p>
              </w:tc>
              <w:tc>
                <w:tcPr>
                  <w:tcW w:w="3950" w:type="dxa"/>
                  <w:vAlign w:val="center"/>
                </w:tcPr>
                <w:p>
                  <w:pPr>
                    <w:pStyle w:val="57"/>
                    <w:rPr>
                      <w:color w:val="FF0000"/>
                    </w:rPr>
                  </w:pPr>
                  <w:r>
                    <w:rPr>
                      <w:color w:val="FF0000"/>
                      <w:szCs w:val="21"/>
                    </w:rPr>
                    <w:t>采用低噪声施工机械，定期进行维护保养，夜间停止施工作业。合理布置施工作业面</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eastAsia" w:eastAsia="宋体"/>
                      <w:color w:val="FF0000"/>
                      <w:lang w:val="en-US" w:eastAsia="zh-CN"/>
                    </w:rPr>
                  </w:pPr>
                  <w:r>
                    <w:rPr>
                      <w:rFonts w:hint="eastAsia"/>
                      <w:color w:val="FF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restart"/>
                  <w:vAlign w:val="center"/>
                </w:tcPr>
                <w:p>
                  <w:pPr>
                    <w:pStyle w:val="57"/>
                  </w:pPr>
                  <w:r>
                    <w:t>固废</w:t>
                  </w:r>
                </w:p>
              </w:tc>
              <w:tc>
                <w:tcPr>
                  <w:tcW w:w="645" w:type="dxa"/>
                  <w:vMerge w:val="restart"/>
                  <w:vAlign w:val="center"/>
                </w:tcPr>
                <w:p>
                  <w:pPr>
                    <w:pStyle w:val="57"/>
                    <w:rPr>
                      <w:rFonts w:hint="eastAsia" w:eastAsia="宋体"/>
                      <w:lang w:val="en-US" w:eastAsia="zh-CN"/>
                    </w:rPr>
                  </w:pPr>
                  <w:r>
                    <w:rPr>
                      <w:rFonts w:hint="eastAsia"/>
                      <w:lang w:val="en-US" w:eastAsia="zh-CN"/>
                    </w:rPr>
                    <w:t>运营期</w:t>
                  </w:r>
                </w:p>
              </w:tc>
              <w:tc>
                <w:tcPr>
                  <w:tcW w:w="1217" w:type="dxa"/>
                  <w:vAlign w:val="center"/>
                </w:tcPr>
                <w:p>
                  <w:pPr>
                    <w:pStyle w:val="57"/>
                    <w:rPr>
                      <w:color w:val="auto"/>
                    </w:rPr>
                  </w:pPr>
                  <w:r>
                    <w:rPr>
                      <w:rFonts w:hint="eastAsia"/>
                      <w:color w:val="auto"/>
                    </w:rPr>
                    <w:t>废机油及机油桶</w:t>
                  </w:r>
                </w:p>
              </w:tc>
              <w:tc>
                <w:tcPr>
                  <w:tcW w:w="3950" w:type="dxa"/>
                  <w:vAlign w:val="center"/>
                </w:tcPr>
                <w:p>
                  <w:pPr>
                    <w:pStyle w:val="57"/>
                    <w:rPr>
                      <w:color w:val="auto"/>
                    </w:rPr>
                  </w:pPr>
                  <w:r>
                    <w:rPr>
                      <w:color w:val="auto"/>
                    </w:rPr>
                    <w:t>危废暂存间</w:t>
                  </w:r>
                  <w:r>
                    <w:rPr>
                      <w:rFonts w:hint="eastAsia"/>
                      <w:color w:val="auto"/>
                      <w:lang w:eastAsia="zh-CN"/>
                    </w:rPr>
                    <w:t>（</w:t>
                  </w:r>
                  <w:r>
                    <w:rPr>
                      <w:rFonts w:hint="eastAsia"/>
                      <w:color w:val="auto"/>
                      <w:lang w:val="en-US" w:eastAsia="zh-CN"/>
                    </w:rPr>
                    <w:t>10m</w:t>
                  </w:r>
                  <w:r>
                    <w:rPr>
                      <w:rFonts w:hint="eastAsia"/>
                      <w:color w:val="auto"/>
                      <w:vertAlign w:val="superscript"/>
                      <w:lang w:val="en-US" w:eastAsia="zh-CN"/>
                    </w:rPr>
                    <w:t>2</w:t>
                  </w:r>
                  <w:r>
                    <w:rPr>
                      <w:rFonts w:hint="eastAsia"/>
                      <w:color w:val="auto"/>
                      <w:lang w:eastAsia="zh-CN"/>
                    </w:rPr>
                    <w:t>）</w:t>
                  </w:r>
                  <w:r>
                    <w:rPr>
                      <w:color w:val="auto"/>
                    </w:rPr>
                    <w:t>暂存，定期交有资质单位处置</w:t>
                  </w:r>
                </w:p>
              </w:tc>
              <w:tc>
                <w:tcPr>
                  <w:tcW w:w="841" w:type="dxa"/>
                  <w:vAlign w:val="center"/>
                </w:tcPr>
                <w:p>
                  <w:pPr>
                    <w:pStyle w:val="57"/>
                    <w:rPr>
                      <w:color w:val="auto"/>
                    </w:rPr>
                  </w:pPr>
                  <w:r>
                    <w:rPr>
                      <w:color w:val="auto"/>
                    </w:rPr>
                    <w:t>1</w:t>
                  </w:r>
                </w:p>
              </w:tc>
              <w:tc>
                <w:tcPr>
                  <w:tcW w:w="1066" w:type="dxa"/>
                  <w:vAlign w:val="center"/>
                </w:tcPr>
                <w:p>
                  <w:pPr>
                    <w:pStyle w:val="57"/>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Merge w:val="continue"/>
                  <w:vAlign w:val="center"/>
                </w:tcPr>
                <w:p>
                  <w:pPr>
                    <w:pStyle w:val="57"/>
                  </w:pPr>
                </w:p>
              </w:tc>
              <w:tc>
                <w:tcPr>
                  <w:tcW w:w="1217" w:type="dxa"/>
                  <w:vAlign w:val="center"/>
                </w:tcPr>
                <w:p>
                  <w:pPr>
                    <w:pStyle w:val="57"/>
                  </w:pPr>
                  <w:r>
                    <w:t>生活垃圾</w:t>
                  </w:r>
                  <w:r>
                    <w:rPr>
                      <w:rFonts w:hint="eastAsia"/>
                    </w:rPr>
                    <w:t>、餐厨垃圾</w:t>
                  </w:r>
                </w:p>
              </w:tc>
              <w:tc>
                <w:tcPr>
                  <w:tcW w:w="3950" w:type="dxa"/>
                  <w:vAlign w:val="center"/>
                </w:tcPr>
                <w:p>
                  <w:pPr>
                    <w:pStyle w:val="57"/>
                  </w:pPr>
                  <w:r>
                    <w:t>垃圾收集桶</w:t>
                  </w:r>
                </w:p>
              </w:tc>
              <w:tc>
                <w:tcPr>
                  <w:tcW w:w="841" w:type="dxa"/>
                  <w:vAlign w:val="center"/>
                </w:tcPr>
                <w:p>
                  <w:pPr>
                    <w:pStyle w:val="57"/>
                  </w:pPr>
                  <w:r>
                    <w:t>1</w:t>
                  </w:r>
                </w:p>
              </w:tc>
              <w:tc>
                <w:tcPr>
                  <w:tcW w:w="1066" w:type="dxa"/>
                  <w:vAlign w:val="center"/>
                </w:tcPr>
                <w:p>
                  <w:pPr>
                    <w:pStyle w:val="57"/>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Merge w:val="continue"/>
                  <w:vAlign w:val="center"/>
                </w:tcPr>
                <w:p>
                  <w:pPr>
                    <w:pStyle w:val="57"/>
                  </w:pPr>
                </w:p>
              </w:tc>
              <w:tc>
                <w:tcPr>
                  <w:tcW w:w="1217" w:type="dxa"/>
                  <w:vMerge w:val="restart"/>
                  <w:vAlign w:val="center"/>
                </w:tcPr>
                <w:p>
                  <w:pPr>
                    <w:pStyle w:val="57"/>
                    <w:rPr>
                      <w:rFonts w:hint="eastAsia" w:eastAsia="宋体"/>
                      <w:color w:val="auto"/>
                      <w:lang w:val="en-US" w:eastAsia="zh-CN"/>
                    </w:rPr>
                  </w:pPr>
                  <w:r>
                    <w:rPr>
                      <w:rFonts w:hint="eastAsia"/>
                      <w:color w:val="auto"/>
                      <w:lang w:val="en-US" w:eastAsia="zh-CN"/>
                    </w:rPr>
                    <w:t>一般固体废物</w:t>
                  </w:r>
                </w:p>
              </w:tc>
              <w:tc>
                <w:tcPr>
                  <w:tcW w:w="3950" w:type="dxa"/>
                  <w:vAlign w:val="center"/>
                </w:tcPr>
                <w:p>
                  <w:pPr>
                    <w:pStyle w:val="57"/>
                    <w:rPr>
                      <w:rFonts w:hint="default" w:eastAsia="宋体"/>
                      <w:color w:val="auto"/>
                      <w:lang w:val="en-US" w:eastAsia="zh-CN"/>
                    </w:rPr>
                  </w:pPr>
                  <w:r>
                    <w:rPr>
                      <w:color w:val="auto"/>
                    </w:rPr>
                    <w:t>不合格产品、边角料、脱硫废渣、除尘器收集粉尘</w:t>
                  </w:r>
                  <w:r>
                    <w:rPr>
                      <w:rFonts w:hint="eastAsia"/>
                      <w:color w:val="auto"/>
                      <w:lang w:val="en-US" w:eastAsia="zh-CN"/>
                    </w:rPr>
                    <w:t>收集后回用于生产</w:t>
                  </w:r>
                </w:p>
              </w:tc>
              <w:tc>
                <w:tcPr>
                  <w:tcW w:w="841" w:type="dxa"/>
                  <w:vAlign w:val="center"/>
                </w:tcPr>
                <w:p>
                  <w:pPr>
                    <w:pStyle w:val="57"/>
                    <w:rPr>
                      <w:rFonts w:hint="eastAsia" w:eastAsia="宋体"/>
                      <w:color w:val="auto"/>
                      <w:lang w:val="en-US" w:eastAsia="zh-CN"/>
                    </w:rPr>
                  </w:pPr>
                  <w:r>
                    <w:rPr>
                      <w:rFonts w:hint="eastAsia"/>
                      <w:color w:val="auto"/>
                      <w:lang w:val="en-US" w:eastAsia="zh-CN"/>
                    </w:rPr>
                    <w:t>/</w:t>
                  </w:r>
                </w:p>
              </w:tc>
              <w:tc>
                <w:tcPr>
                  <w:tcW w:w="1066" w:type="dxa"/>
                  <w:vAlign w:val="center"/>
                </w:tcPr>
                <w:p>
                  <w:pPr>
                    <w:pStyle w:val="57"/>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Merge w:val="continue"/>
                  <w:vAlign w:val="center"/>
                </w:tcPr>
                <w:p>
                  <w:pPr>
                    <w:pStyle w:val="57"/>
                  </w:pPr>
                </w:p>
              </w:tc>
              <w:tc>
                <w:tcPr>
                  <w:tcW w:w="1217" w:type="dxa"/>
                  <w:vMerge w:val="continue"/>
                  <w:vAlign w:val="center"/>
                </w:tcPr>
                <w:p>
                  <w:pPr>
                    <w:pStyle w:val="57"/>
                    <w:rPr>
                      <w:rFonts w:hint="eastAsia"/>
                      <w:lang w:val="en-US" w:eastAsia="zh-CN"/>
                    </w:rPr>
                  </w:pPr>
                </w:p>
              </w:tc>
              <w:tc>
                <w:tcPr>
                  <w:tcW w:w="3950" w:type="dxa"/>
                  <w:vAlign w:val="center"/>
                </w:tcPr>
                <w:p>
                  <w:pPr>
                    <w:pStyle w:val="57"/>
                    <w:rPr>
                      <w:rFonts w:hint="default" w:eastAsia="宋体"/>
                      <w:color w:val="FF0000"/>
                      <w:lang w:val="en-US" w:eastAsia="zh-CN"/>
                    </w:rPr>
                  </w:pPr>
                  <w:r>
                    <w:rPr>
                      <w:rFonts w:hint="eastAsia"/>
                      <w:color w:val="auto"/>
                      <w:lang w:val="en-US" w:eastAsia="zh-CN"/>
                    </w:rPr>
                    <w:t>废包装袋收集后外售处理</w:t>
                  </w:r>
                </w:p>
              </w:tc>
              <w:tc>
                <w:tcPr>
                  <w:tcW w:w="841" w:type="dxa"/>
                  <w:vAlign w:val="center"/>
                </w:tcPr>
                <w:p>
                  <w:pPr>
                    <w:pStyle w:val="57"/>
                    <w:rPr>
                      <w:rFonts w:hint="eastAsia" w:eastAsia="宋体"/>
                      <w:color w:val="auto"/>
                      <w:lang w:val="en-US" w:eastAsia="zh-CN"/>
                    </w:rPr>
                  </w:pPr>
                  <w:r>
                    <w:rPr>
                      <w:rFonts w:hint="eastAsia"/>
                      <w:color w:val="auto"/>
                      <w:lang w:val="en-US" w:eastAsia="zh-CN"/>
                    </w:rPr>
                    <w:t>/</w:t>
                  </w:r>
                </w:p>
              </w:tc>
              <w:tc>
                <w:tcPr>
                  <w:tcW w:w="1066" w:type="dxa"/>
                  <w:vAlign w:val="center"/>
                </w:tcPr>
                <w:p>
                  <w:pPr>
                    <w:pStyle w:val="57"/>
                    <w:rPr>
                      <w:rFonts w:hint="default" w:eastAsia="宋体"/>
                      <w:color w:val="auto"/>
                      <w:lang w:val="en-US" w:eastAsia="zh-CN"/>
                    </w:rPr>
                  </w:pPr>
                  <w:r>
                    <w:rPr>
                      <w:rFonts w:hint="eastAsia"/>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Merge w:val="continue"/>
                  <w:vAlign w:val="center"/>
                </w:tcPr>
                <w:p>
                  <w:pPr>
                    <w:pStyle w:val="57"/>
                  </w:pPr>
                </w:p>
              </w:tc>
              <w:tc>
                <w:tcPr>
                  <w:tcW w:w="1217" w:type="dxa"/>
                  <w:vMerge w:val="continue"/>
                  <w:vAlign w:val="center"/>
                </w:tcPr>
                <w:p>
                  <w:pPr>
                    <w:pStyle w:val="57"/>
                    <w:rPr>
                      <w:rFonts w:hint="eastAsia"/>
                      <w:lang w:val="en-US" w:eastAsia="zh-CN"/>
                    </w:rPr>
                  </w:pPr>
                </w:p>
              </w:tc>
              <w:tc>
                <w:tcPr>
                  <w:tcW w:w="3950" w:type="dxa"/>
                  <w:vAlign w:val="center"/>
                </w:tcPr>
                <w:p>
                  <w:pPr>
                    <w:pStyle w:val="57"/>
                    <w:rPr>
                      <w:rFonts w:hint="default"/>
                      <w:color w:val="auto"/>
                      <w:lang w:val="en-US" w:eastAsia="zh-CN"/>
                    </w:rPr>
                  </w:pPr>
                  <w:r>
                    <w:rPr>
                      <w:rFonts w:hint="eastAsia"/>
                      <w:color w:val="auto"/>
                      <w:lang w:val="en-US" w:eastAsia="zh-CN"/>
                    </w:rPr>
                    <w:t>非制砖废料拉运至政府指定地点</w:t>
                  </w:r>
                </w:p>
              </w:tc>
              <w:tc>
                <w:tcPr>
                  <w:tcW w:w="841" w:type="dxa"/>
                  <w:vAlign w:val="center"/>
                </w:tcPr>
                <w:p>
                  <w:pPr>
                    <w:pStyle w:val="57"/>
                    <w:rPr>
                      <w:rFonts w:hint="default"/>
                      <w:color w:val="auto"/>
                      <w:lang w:val="en-US" w:eastAsia="zh-CN"/>
                    </w:rPr>
                  </w:pPr>
                  <w:r>
                    <w:rPr>
                      <w:rFonts w:hint="eastAsia"/>
                      <w:color w:val="auto"/>
                      <w:lang w:val="en-US" w:eastAsia="zh-CN"/>
                    </w:rPr>
                    <w:t>/</w:t>
                  </w:r>
                </w:p>
              </w:tc>
              <w:tc>
                <w:tcPr>
                  <w:tcW w:w="1066" w:type="dxa"/>
                  <w:vAlign w:val="center"/>
                </w:tcPr>
                <w:p>
                  <w:pPr>
                    <w:pStyle w:val="57"/>
                    <w:rPr>
                      <w:rFonts w:hint="default"/>
                      <w:color w:val="auto"/>
                      <w:lang w:val="en-US" w:eastAsia="zh-CN"/>
                    </w:rPr>
                  </w:pPr>
                  <w:r>
                    <w:rPr>
                      <w:rFonts w:hint="eastAsia"/>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Align w:val="center"/>
                </w:tcPr>
                <w:p>
                  <w:pPr>
                    <w:pStyle w:val="57"/>
                    <w:rPr>
                      <w:rFonts w:hint="eastAsia" w:eastAsia="宋体"/>
                      <w:color w:val="FF0000"/>
                      <w:lang w:val="en-US" w:eastAsia="zh-CN"/>
                    </w:rPr>
                  </w:pPr>
                  <w:r>
                    <w:rPr>
                      <w:rFonts w:hint="eastAsia"/>
                      <w:color w:val="FF0000"/>
                      <w:lang w:val="en-US" w:eastAsia="zh-CN"/>
                    </w:rPr>
                    <w:t>施工期</w:t>
                  </w:r>
                </w:p>
              </w:tc>
              <w:tc>
                <w:tcPr>
                  <w:tcW w:w="5167" w:type="dxa"/>
                  <w:gridSpan w:val="2"/>
                  <w:vAlign w:val="center"/>
                </w:tcPr>
                <w:p>
                  <w:pPr>
                    <w:pStyle w:val="57"/>
                    <w:rPr>
                      <w:rFonts w:hint="eastAsia"/>
                      <w:color w:val="FF0000"/>
                      <w:lang w:val="en-US" w:eastAsia="zh-CN"/>
                    </w:rPr>
                  </w:pPr>
                  <w:r>
                    <w:rPr>
                      <w:color w:val="FF0000"/>
                      <w:szCs w:val="21"/>
                    </w:rPr>
                    <w:t>生活垃圾</w:t>
                  </w:r>
                  <w:r>
                    <w:rPr>
                      <w:rFonts w:hint="eastAsia"/>
                      <w:color w:val="FF0000"/>
                      <w:szCs w:val="21"/>
                      <w:lang w:val="en-US" w:eastAsia="zh-CN"/>
                    </w:rPr>
                    <w:t>收集至</w:t>
                  </w:r>
                  <w:r>
                    <w:rPr>
                      <w:color w:val="FF0000"/>
                      <w:szCs w:val="21"/>
                    </w:rPr>
                    <w:t>垃圾收集仓，定期运送至</w:t>
                  </w:r>
                  <w:r>
                    <w:rPr>
                      <w:rFonts w:hint="eastAsia"/>
                      <w:color w:val="FF0000"/>
                      <w:szCs w:val="21"/>
                      <w:lang w:val="en-US" w:eastAsia="zh-CN"/>
                    </w:rPr>
                    <w:t>附近</w:t>
                  </w:r>
                  <w:r>
                    <w:rPr>
                      <w:color w:val="FF0000"/>
                      <w:szCs w:val="21"/>
                    </w:rPr>
                    <w:t>生活垃圾暂存点处置；建筑垃圾及时清运，可利用的拉运至附近建筑垃圾再利用企业回用，不能利用的拉运至政府制定地方处置</w:t>
                  </w:r>
                </w:p>
              </w:tc>
              <w:tc>
                <w:tcPr>
                  <w:tcW w:w="841" w:type="dxa"/>
                  <w:vAlign w:val="center"/>
                </w:tcPr>
                <w:p>
                  <w:pPr>
                    <w:pStyle w:val="57"/>
                    <w:rPr>
                      <w:rFonts w:hint="default"/>
                      <w:color w:val="FF0000"/>
                      <w:lang w:val="en-US" w:eastAsia="zh-CN"/>
                    </w:rPr>
                  </w:pPr>
                  <w:r>
                    <w:rPr>
                      <w:rFonts w:hint="eastAsia"/>
                      <w:color w:val="FF0000"/>
                      <w:lang w:val="en-US" w:eastAsia="zh-CN"/>
                    </w:rPr>
                    <w:t>/</w:t>
                  </w:r>
                </w:p>
              </w:tc>
              <w:tc>
                <w:tcPr>
                  <w:tcW w:w="1066" w:type="dxa"/>
                  <w:vAlign w:val="center"/>
                </w:tcPr>
                <w:p>
                  <w:pPr>
                    <w:pStyle w:val="57"/>
                    <w:rPr>
                      <w:rFonts w:hint="default"/>
                      <w:color w:val="FF0000"/>
                      <w:lang w:val="en-US" w:eastAsia="zh-CN"/>
                    </w:rPr>
                  </w:pPr>
                  <w:r>
                    <w:rPr>
                      <w:rFonts w:hint="eastAsia"/>
                      <w:color w:val="FF0000"/>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Align w:val="center"/>
                </w:tcPr>
                <w:p>
                  <w:pPr>
                    <w:pStyle w:val="57"/>
                  </w:pPr>
                  <w:r>
                    <w:rPr>
                      <w:rFonts w:hint="eastAsia"/>
                    </w:rPr>
                    <w:t>其他</w:t>
                  </w:r>
                </w:p>
              </w:tc>
              <w:tc>
                <w:tcPr>
                  <w:tcW w:w="1217" w:type="dxa"/>
                  <w:vAlign w:val="center"/>
                </w:tcPr>
                <w:p>
                  <w:pPr>
                    <w:pStyle w:val="57"/>
                  </w:pPr>
                  <w:r>
                    <w:rPr>
                      <w:rFonts w:hint="eastAsia"/>
                    </w:rPr>
                    <w:t>地下水防治</w:t>
                  </w:r>
                </w:p>
              </w:tc>
              <w:tc>
                <w:tcPr>
                  <w:tcW w:w="3950" w:type="dxa"/>
                  <w:vAlign w:val="center"/>
                </w:tcPr>
                <w:p>
                  <w:pPr>
                    <w:pStyle w:val="57"/>
                  </w:pPr>
                  <w:r>
                    <w:rPr>
                      <w:rFonts w:hint="eastAsia"/>
                    </w:rPr>
                    <w:t>分区防渗</w:t>
                  </w:r>
                </w:p>
              </w:tc>
              <w:tc>
                <w:tcPr>
                  <w:tcW w:w="841" w:type="dxa"/>
                  <w:vAlign w:val="center"/>
                </w:tcPr>
                <w:p>
                  <w:pPr>
                    <w:pStyle w:val="57"/>
                  </w:pPr>
                  <w:r>
                    <w:rPr>
                      <w:rFonts w:hint="eastAsia"/>
                    </w:rPr>
                    <w:t>1</w:t>
                  </w:r>
                </w:p>
              </w:tc>
              <w:tc>
                <w:tcPr>
                  <w:tcW w:w="1066" w:type="dxa"/>
                  <w:vAlign w:val="center"/>
                </w:tcPr>
                <w:p>
                  <w:pPr>
                    <w:pStyle w:val="57"/>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Align w:val="center"/>
                </w:tcPr>
                <w:p>
                  <w:pPr>
                    <w:pStyle w:val="57"/>
                  </w:pPr>
                  <w:r>
                    <w:rPr>
                      <w:rFonts w:hint="eastAsia"/>
                    </w:rPr>
                    <w:t>环境风险</w:t>
                  </w:r>
                </w:p>
              </w:tc>
              <w:tc>
                <w:tcPr>
                  <w:tcW w:w="1217" w:type="dxa"/>
                  <w:vAlign w:val="center"/>
                </w:tcPr>
                <w:p>
                  <w:pPr>
                    <w:pStyle w:val="57"/>
                  </w:pPr>
                  <w:r>
                    <w:rPr>
                      <w:rFonts w:hint="eastAsia"/>
                    </w:rPr>
                    <w:t>环境风险</w:t>
                  </w:r>
                </w:p>
              </w:tc>
              <w:tc>
                <w:tcPr>
                  <w:tcW w:w="3950" w:type="dxa"/>
                  <w:vAlign w:val="center"/>
                </w:tcPr>
                <w:p>
                  <w:pPr>
                    <w:pStyle w:val="57"/>
                  </w:pPr>
                  <w:r>
                    <w:rPr>
                      <w:rFonts w:hint="eastAsia"/>
                    </w:rPr>
                    <w:t>消防器材</w:t>
                  </w:r>
                </w:p>
              </w:tc>
              <w:tc>
                <w:tcPr>
                  <w:tcW w:w="841" w:type="dxa"/>
                  <w:vAlign w:val="center"/>
                </w:tcPr>
                <w:p>
                  <w:pPr>
                    <w:pStyle w:val="57"/>
                  </w:pPr>
                  <w:r>
                    <w:rPr>
                      <w:rFonts w:hint="eastAsia"/>
                    </w:rPr>
                    <w:t>1</w:t>
                  </w:r>
                </w:p>
              </w:tc>
              <w:tc>
                <w:tcPr>
                  <w:tcW w:w="1066" w:type="dxa"/>
                  <w:vAlign w:val="center"/>
                </w:tcPr>
                <w:p>
                  <w:pPr>
                    <w:pStyle w:val="57"/>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Merge w:val="restart"/>
                  <w:vAlign w:val="center"/>
                </w:tcPr>
                <w:p>
                  <w:pPr>
                    <w:pStyle w:val="57"/>
                    <w:rPr>
                      <w:rFonts w:hint="default" w:eastAsia="宋体"/>
                      <w:lang w:val="en-US" w:eastAsia="zh-CN"/>
                    </w:rPr>
                  </w:pPr>
                  <w:r>
                    <w:rPr>
                      <w:rFonts w:hint="eastAsia"/>
                      <w:lang w:val="en-US" w:eastAsia="zh-CN"/>
                    </w:rPr>
                    <w:t>生态措施</w:t>
                  </w:r>
                </w:p>
              </w:tc>
              <w:tc>
                <w:tcPr>
                  <w:tcW w:w="1217" w:type="dxa"/>
                  <w:vAlign w:val="center"/>
                </w:tcPr>
                <w:p>
                  <w:pPr>
                    <w:pStyle w:val="57"/>
                    <w:rPr>
                      <w:rFonts w:hint="eastAsia" w:eastAsia="宋体"/>
                      <w:color w:val="FF0000"/>
                      <w:lang w:val="en-US" w:eastAsia="zh-CN"/>
                    </w:rPr>
                  </w:pPr>
                  <w:r>
                    <w:rPr>
                      <w:rFonts w:hint="eastAsia"/>
                      <w:color w:val="FF0000"/>
                      <w:lang w:val="en-US" w:eastAsia="zh-CN"/>
                    </w:rPr>
                    <w:t>施工期</w:t>
                  </w:r>
                </w:p>
              </w:tc>
              <w:tc>
                <w:tcPr>
                  <w:tcW w:w="3950" w:type="dxa"/>
                  <w:vAlign w:val="center"/>
                </w:tcPr>
                <w:p>
                  <w:pPr>
                    <w:pStyle w:val="57"/>
                    <w:rPr>
                      <w:rFonts w:hint="eastAsia" w:eastAsia="宋体"/>
                      <w:color w:val="FF0000"/>
                      <w:lang w:eastAsia="zh-CN"/>
                    </w:rPr>
                  </w:pPr>
                  <w:r>
                    <w:rPr>
                      <w:color w:val="FF0000"/>
                      <w:szCs w:val="21"/>
                    </w:rPr>
                    <w:t>设置临时排水沟和沉砂池</w:t>
                  </w:r>
                  <w:r>
                    <w:rPr>
                      <w:rFonts w:hint="eastAsia"/>
                      <w:color w:val="FF0000"/>
                      <w:szCs w:val="21"/>
                      <w:lang w:eastAsia="zh-CN"/>
                    </w:rPr>
                    <w:t>、</w:t>
                  </w:r>
                  <w:r>
                    <w:rPr>
                      <w:rFonts w:hint="default"/>
                      <w:color w:val="FF0000"/>
                      <w:szCs w:val="21"/>
                      <w:lang w:val="en-US" w:eastAsia="zh-CN"/>
                    </w:rPr>
                    <w:t>剥离的表土临时堆放于</w:t>
                  </w:r>
                  <w:r>
                    <w:rPr>
                      <w:rFonts w:hint="eastAsia"/>
                      <w:color w:val="FF0000"/>
                      <w:szCs w:val="21"/>
                      <w:lang w:val="en-US" w:eastAsia="zh-CN"/>
                    </w:rPr>
                    <w:t>表土堆场</w:t>
                  </w:r>
                  <w:r>
                    <w:rPr>
                      <w:rFonts w:hint="default"/>
                      <w:color w:val="FF0000"/>
                      <w:szCs w:val="21"/>
                      <w:lang w:val="en-US" w:eastAsia="zh-CN"/>
                    </w:rPr>
                    <w:t>，用于采空区复垦土及绿化覆土回用</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default" w:eastAsia="宋体"/>
                      <w:color w:val="FF0000"/>
                      <w:lang w:val="en-US" w:eastAsia="zh-CN"/>
                    </w:rPr>
                  </w:pPr>
                  <w:r>
                    <w:rPr>
                      <w:rFonts w:hint="eastAsia"/>
                      <w:color w:val="FF000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Merge w:val="continue"/>
                  <w:vAlign w:val="center"/>
                </w:tcPr>
                <w:p>
                  <w:pPr>
                    <w:pStyle w:val="57"/>
                    <w:rPr>
                      <w:rFonts w:hint="eastAsia"/>
                      <w:lang w:val="en-US" w:eastAsia="zh-CN"/>
                    </w:rPr>
                  </w:pPr>
                </w:p>
              </w:tc>
              <w:tc>
                <w:tcPr>
                  <w:tcW w:w="1217" w:type="dxa"/>
                  <w:vAlign w:val="center"/>
                </w:tcPr>
                <w:p>
                  <w:pPr>
                    <w:pStyle w:val="57"/>
                    <w:rPr>
                      <w:rFonts w:hint="eastAsia" w:eastAsia="宋体"/>
                      <w:color w:val="FF0000"/>
                      <w:lang w:val="en-US" w:eastAsia="zh-CN"/>
                    </w:rPr>
                  </w:pPr>
                  <w:r>
                    <w:rPr>
                      <w:rFonts w:hint="eastAsia"/>
                      <w:color w:val="FF0000"/>
                      <w:lang w:val="en-US" w:eastAsia="zh-CN"/>
                    </w:rPr>
                    <w:t>运营期</w:t>
                  </w:r>
                </w:p>
              </w:tc>
              <w:tc>
                <w:tcPr>
                  <w:tcW w:w="3950" w:type="dxa"/>
                  <w:vAlign w:val="center"/>
                </w:tcPr>
                <w:p>
                  <w:pPr>
                    <w:pStyle w:val="57"/>
                    <w:rPr>
                      <w:rFonts w:hint="eastAsia" w:eastAsia="宋体"/>
                      <w:color w:val="FF0000"/>
                      <w:lang w:eastAsia="zh-CN"/>
                    </w:rPr>
                  </w:pPr>
                  <w:r>
                    <w:rPr>
                      <w:rFonts w:hint="eastAsia"/>
                      <w:color w:val="FF0000"/>
                      <w:lang w:val="en-US" w:eastAsia="zh-CN"/>
                    </w:rPr>
                    <w:t>修建</w:t>
                  </w:r>
                  <w:r>
                    <w:rPr>
                      <w:rFonts w:hint="eastAsia"/>
                      <w:color w:val="FF0000"/>
                    </w:rPr>
                    <w:t>截排水沟为长约250m，断面0.5×0.5m明沟</w:t>
                  </w:r>
                  <w:r>
                    <w:rPr>
                      <w:rFonts w:hint="eastAsia"/>
                      <w:color w:val="FF0000"/>
                      <w:lang w:eastAsia="zh-CN"/>
                    </w:rPr>
                    <w:t>，</w:t>
                  </w:r>
                  <w:r>
                    <w:rPr>
                      <w:rFonts w:hint="eastAsia"/>
                      <w:color w:val="FF0000"/>
                      <w:lang w:val="en-US" w:eastAsia="zh-CN"/>
                    </w:rPr>
                    <w:t>厂界围墙高1m</w:t>
                  </w:r>
                  <w:r>
                    <w:rPr>
                      <w:rFonts w:hint="eastAsia"/>
                      <w:color w:val="FF0000"/>
                    </w:rPr>
                    <w:t>；</w:t>
                  </w:r>
                  <w:r>
                    <w:rPr>
                      <w:rFonts w:hint="eastAsia"/>
                      <w:color w:val="FF0000"/>
                      <w:lang w:val="en-US" w:eastAsia="zh-CN"/>
                    </w:rPr>
                    <w:t>厂区</w:t>
                  </w:r>
                  <w:r>
                    <w:rPr>
                      <w:rFonts w:hint="eastAsia"/>
                      <w:color w:val="FF0000"/>
                    </w:rPr>
                    <w:t>设置</w:t>
                  </w:r>
                  <w:r>
                    <w:rPr>
                      <w:rFonts w:hint="eastAsia"/>
                      <w:color w:val="FF0000"/>
                      <w:lang w:val="en-US" w:eastAsia="zh-CN"/>
                    </w:rPr>
                    <w:t>300</w:t>
                  </w:r>
                  <w:r>
                    <w:rPr>
                      <w:rFonts w:hint="eastAsia"/>
                      <w:color w:val="FF0000"/>
                    </w:rPr>
                    <w:t>m</w:t>
                  </w:r>
                  <w:r>
                    <w:rPr>
                      <w:rFonts w:hint="eastAsia"/>
                      <w:color w:val="FF0000"/>
                      <w:vertAlign w:val="superscript"/>
                    </w:rPr>
                    <w:t>3</w:t>
                  </w:r>
                  <w:r>
                    <w:rPr>
                      <w:rFonts w:hint="eastAsia"/>
                      <w:color w:val="FF0000"/>
                    </w:rPr>
                    <w:t>雨水收集池</w:t>
                  </w:r>
                  <w:r>
                    <w:rPr>
                      <w:rFonts w:hint="eastAsia"/>
                      <w:color w:val="FF0000"/>
                      <w:lang w:eastAsia="zh-CN"/>
                    </w:rPr>
                    <w:t>；</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default" w:eastAsia="宋体"/>
                      <w:color w:val="FF0000"/>
                      <w:lang w:val="en-US" w:eastAsia="zh-CN"/>
                    </w:rPr>
                  </w:pPr>
                  <w:r>
                    <w:rPr>
                      <w:rFonts w:hint="eastAsia"/>
                      <w:color w:val="FF000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8" w:type="dxa"/>
                  <w:gridSpan w:val="6"/>
                  <w:vAlign w:val="center"/>
                </w:tcPr>
                <w:p>
                  <w:pPr>
                    <w:pStyle w:val="57"/>
                  </w:pPr>
                  <w:r>
                    <w:t>合计</w:t>
                  </w:r>
                </w:p>
              </w:tc>
              <w:tc>
                <w:tcPr>
                  <w:tcW w:w="1066" w:type="dxa"/>
                  <w:noWrap/>
                  <w:vAlign w:val="center"/>
                </w:tcPr>
                <w:p>
                  <w:pPr>
                    <w:pStyle w:val="57"/>
                    <w:rPr>
                      <w:rFonts w:hint="default" w:eastAsia="宋体"/>
                      <w:lang w:val="en-US" w:eastAsia="zh-CN"/>
                    </w:rPr>
                  </w:pPr>
                  <w:r>
                    <w:rPr>
                      <w:rFonts w:hint="eastAsia"/>
                      <w:lang w:val="en-US" w:eastAsia="zh-CN"/>
                    </w:rPr>
                    <w:t>104.9</w:t>
                  </w:r>
                </w:p>
              </w:tc>
            </w:tr>
          </w:tbl>
          <w:p>
            <w:pPr>
              <w:spacing w:line="360" w:lineRule="auto"/>
              <w:ind w:right="-1"/>
              <w:contextualSpacing/>
              <w:jc w:val="center"/>
              <w:rPr>
                <w:rFonts w:hint="eastAsia"/>
                <w:color w:val="000000"/>
                <w:sz w:val="24"/>
                <w:lang w:val="en-US" w:eastAsia="zh-CN"/>
              </w:rPr>
            </w:pPr>
          </w:p>
        </w:tc>
      </w:tr>
    </w:tbl>
    <w:p>
      <w:pPr>
        <w:pStyle w:val="2"/>
        <w:keepNext w:val="0"/>
        <w:keepLines w:val="0"/>
        <w:pageBreakBefore w:val="0"/>
        <w:kinsoku/>
        <w:wordWrap/>
        <w:overflowPunct/>
        <w:topLinePunct w:val="0"/>
        <w:autoSpaceDE/>
        <w:autoSpaceDN/>
        <w:bidi w:val="0"/>
        <w:adjustRightInd/>
        <w:spacing w:before="0" w:after="0" w:line="360" w:lineRule="auto"/>
        <w:ind w:left="0" w:leftChars="0" w:right="0"/>
        <w:textAlignment w:val="auto"/>
      </w:pPr>
    </w:p>
    <w:p>
      <w:pPr>
        <w:pStyle w:val="3"/>
        <w:keepNext w:val="0"/>
        <w:keepLines w:val="0"/>
        <w:pageBreakBefore w:val="0"/>
        <w:kinsoku/>
        <w:wordWrap/>
        <w:overflowPunct/>
        <w:topLinePunct w:val="0"/>
        <w:autoSpaceDE/>
        <w:autoSpaceDN/>
        <w:bidi w:val="0"/>
        <w:adjustRightInd/>
        <w:spacing w:after="0" w:line="360" w:lineRule="auto"/>
        <w:ind w:left="0" w:leftChars="0" w:right="0"/>
        <w:textAlignment w:val="auto"/>
      </w:pPr>
    </w:p>
    <w:p>
      <w:pPr>
        <w:keepNext w:val="0"/>
        <w:keepLines w:val="0"/>
        <w:pageBreakBefore w:val="0"/>
        <w:kinsoku/>
        <w:wordWrap/>
        <w:overflowPunct/>
        <w:topLinePunct w:val="0"/>
        <w:autoSpaceDE/>
        <w:autoSpaceDN/>
        <w:bidi w:val="0"/>
        <w:adjustRightInd/>
        <w:spacing w:line="360" w:lineRule="auto"/>
        <w:ind w:left="0" w:leftChars="0" w:right="0"/>
        <w:textAlignment w:val="auto"/>
      </w:pPr>
    </w:p>
    <w:p>
      <w:pPr>
        <w:pStyle w:val="2"/>
        <w:keepNext w:val="0"/>
        <w:keepLines w:val="0"/>
        <w:pageBreakBefore w:val="0"/>
        <w:kinsoku/>
        <w:wordWrap/>
        <w:overflowPunct/>
        <w:topLinePunct w:val="0"/>
        <w:autoSpaceDE/>
        <w:autoSpaceDN/>
        <w:bidi w:val="0"/>
        <w:adjustRightInd/>
        <w:spacing w:before="0" w:after="0" w:line="360" w:lineRule="auto"/>
        <w:ind w:left="0" w:leftChars="0" w:right="0"/>
        <w:textAlignment w:val="auto"/>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五、</w:t>
      </w:r>
      <w:bookmarkStart w:id="5" w:name="_Hlk54167917"/>
      <w:r>
        <w:rPr>
          <w:rFonts w:hint="eastAsia" w:ascii="宋体" w:hAnsi="宋体" w:eastAsia="宋体" w:cs="宋体"/>
          <w:b/>
          <w:bCs/>
          <w:snapToGrid w:val="0"/>
          <w:color w:val="auto"/>
          <w:sz w:val="30"/>
          <w:szCs w:val="30"/>
        </w:rPr>
        <w:t>环境保护措施监督检查清单</w:t>
      </w:r>
      <w:bookmarkEnd w:id="5"/>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403"/>
        <w:gridCol w:w="1023"/>
        <w:gridCol w:w="3928"/>
        <w:gridCol w:w="15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Merge w:val="restart"/>
            <w:tcBorders>
              <w:tl2br w:val="single" w:color="auto" w:sz="4" w:space="0"/>
            </w:tcBorders>
            <w:noWrap w:val="0"/>
            <w:vAlign w:val="top"/>
          </w:tcPr>
          <w:p>
            <w:pPr>
              <w:pStyle w:val="24"/>
              <w:adjustRightInd w:val="0"/>
              <w:snapToGrid w:val="0"/>
              <w:spacing w:before="72" w:beforeLines="30" w:beforeAutospacing="0" w:after="0" w:afterAutospacing="0"/>
              <w:jc w:val="center"/>
              <w:outlineLvl w:val="0"/>
              <w:rPr>
                <w:rFonts w:ascii="Times New Roman" w:hAnsi="Times New Roman"/>
                <w:color w:val="auto"/>
                <w:kern w:val="2"/>
                <w:sz w:val="21"/>
                <w:szCs w:val="21"/>
              </w:rPr>
            </w:pPr>
            <w:r>
              <w:rPr>
                <w:rFonts w:ascii="Times New Roman" w:hAnsi="Times New Roman"/>
                <w:color w:val="auto"/>
                <w:kern w:val="2"/>
                <w:sz w:val="21"/>
                <w:szCs w:val="21"/>
              </w:rPr>
              <w:t xml:space="preserve">       </w:t>
            </w:r>
          </w:p>
          <w:p>
            <w:pPr>
              <w:pStyle w:val="24"/>
              <w:adjustRightInd w:val="0"/>
              <w:snapToGrid w:val="0"/>
              <w:spacing w:before="72" w:beforeLines="30" w:beforeAutospacing="0" w:after="0" w:afterAutospacing="0"/>
              <w:jc w:val="center"/>
              <w:outlineLvl w:val="0"/>
              <w:rPr>
                <w:rFonts w:ascii="Times New Roman" w:hAnsi="Times New Roman"/>
                <w:color w:val="auto"/>
                <w:kern w:val="2"/>
                <w:sz w:val="21"/>
                <w:szCs w:val="21"/>
              </w:rPr>
            </w:pPr>
            <w:r>
              <w:rPr>
                <w:rFonts w:ascii="Times New Roman" w:hAnsi="Times New Roman"/>
                <w:color w:val="auto"/>
                <w:kern w:val="2"/>
                <w:sz w:val="21"/>
                <w:szCs w:val="21"/>
              </w:rPr>
              <w:t xml:space="preserve">     内容        </w:t>
            </w:r>
          </w:p>
          <w:p>
            <w:pPr>
              <w:pStyle w:val="24"/>
              <w:adjustRightInd w:val="0"/>
              <w:snapToGrid w:val="0"/>
              <w:spacing w:before="0" w:beforeAutospacing="0" w:after="0" w:afterAutospacing="0" w:line="14" w:lineRule="auto"/>
              <w:outlineLvl w:val="0"/>
              <w:rPr>
                <w:rFonts w:ascii="Times New Roman" w:hAnsi="Times New Roman"/>
                <w:color w:val="auto"/>
                <w:kern w:val="2"/>
                <w:sz w:val="21"/>
                <w:szCs w:val="21"/>
              </w:rPr>
            </w:pPr>
            <w:r>
              <w:rPr>
                <w:rFonts w:ascii="Times New Roman" w:hAnsi="Times New Roman"/>
                <w:color w:val="auto"/>
                <w:kern w:val="2"/>
                <w:sz w:val="21"/>
                <w:szCs w:val="21"/>
              </w:rPr>
              <w:t xml:space="preserve">  </w:t>
            </w:r>
          </w:p>
          <w:p>
            <w:pPr>
              <w:pStyle w:val="24"/>
              <w:adjustRightInd w:val="0"/>
              <w:snapToGrid w:val="0"/>
              <w:spacing w:before="0" w:beforeAutospacing="0" w:after="0" w:afterAutospacing="0"/>
              <w:outlineLvl w:val="0"/>
              <w:rPr>
                <w:rFonts w:ascii="Times New Roman" w:hAnsi="Times New Roman"/>
                <w:color w:val="auto"/>
                <w:kern w:val="2"/>
                <w:sz w:val="21"/>
                <w:szCs w:val="21"/>
              </w:rPr>
            </w:pPr>
            <w:r>
              <w:rPr>
                <w:rFonts w:ascii="Times New Roman" w:hAnsi="Times New Roman"/>
                <w:color w:val="auto"/>
                <w:kern w:val="2"/>
                <w:sz w:val="21"/>
                <w:szCs w:val="21"/>
              </w:rPr>
              <w:t>要素</w:t>
            </w:r>
          </w:p>
        </w:tc>
        <w:tc>
          <w:tcPr>
            <w:tcW w:w="2354" w:type="pct"/>
            <w:gridSpan w:val="2"/>
            <w:noWrap w:val="0"/>
            <w:vAlign w:val="center"/>
          </w:tcPr>
          <w:p>
            <w:pPr>
              <w:pStyle w:val="24"/>
              <w:adjustRightInd w:val="0"/>
              <w:snapToGrid w:val="0"/>
              <w:spacing w:before="0" w:beforeAutospacing="0" w:after="0" w:afterAutospacing="0"/>
              <w:jc w:val="center"/>
              <w:outlineLvl w:val="0"/>
              <w:rPr>
                <w:rFonts w:ascii="Times New Roman" w:hAnsi="Times New Roman"/>
                <w:color w:val="auto"/>
                <w:kern w:val="2"/>
                <w:sz w:val="21"/>
                <w:szCs w:val="21"/>
              </w:rPr>
            </w:pPr>
            <w:r>
              <w:rPr>
                <w:rFonts w:ascii="Times New Roman" w:hAnsi="Times New Roman"/>
                <w:color w:val="auto"/>
                <w:kern w:val="2"/>
                <w:sz w:val="21"/>
                <w:szCs w:val="21"/>
              </w:rPr>
              <w:t>施工期</w:t>
            </w:r>
          </w:p>
        </w:tc>
        <w:tc>
          <w:tcPr>
            <w:tcW w:w="2022" w:type="pct"/>
            <w:gridSpan w:val="2"/>
            <w:noWrap w:val="0"/>
            <w:vAlign w:val="center"/>
          </w:tcPr>
          <w:p>
            <w:pPr>
              <w:pStyle w:val="24"/>
              <w:adjustRightInd w:val="0"/>
              <w:snapToGrid w:val="0"/>
              <w:spacing w:before="0" w:beforeAutospacing="0" w:after="0" w:afterAutospacing="0"/>
              <w:jc w:val="center"/>
              <w:outlineLvl w:val="0"/>
              <w:rPr>
                <w:rFonts w:ascii="Times New Roman" w:hAnsi="Times New Roman"/>
                <w:color w:val="auto"/>
                <w:kern w:val="2"/>
                <w:sz w:val="21"/>
                <w:szCs w:val="21"/>
              </w:rPr>
            </w:pPr>
            <w:r>
              <w:rPr>
                <w:rFonts w:ascii="Times New Roman" w:hAnsi="Times New Roman"/>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Merge w:val="continue"/>
            <w:noWrap w:val="0"/>
            <w:vAlign w:val="top"/>
          </w:tcPr>
          <w:p>
            <w:pPr>
              <w:pStyle w:val="24"/>
              <w:adjustRightInd w:val="0"/>
              <w:snapToGrid w:val="0"/>
              <w:spacing w:before="0" w:beforeAutospacing="0" w:after="0" w:afterAutospacing="0"/>
              <w:ind w:firstLine="840"/>
              <w:jc w:val="center"/>
              <w:outlineLvl w:val="0"/>
              <w:rPr>
                <w:rFonts w:ascii="Times New Roman" w:hAnsi="Times New Roman"/>
                <w:color w:val="auto"/>
                <w:kern w:val="2"/>
                <w:sz w:val="21"/>
                <w:szCs w:val="21"/>
              </w:rPr>
            </w:pPr>
          </w:p>
        </w:tc>
        <w:tc>
          <w:tcPr>
            <w:tcW w:w="1979" w:type="pct"/>
            <w:noWrap w:val="0"/>
            <w:vAlign w:val="center"/>
          </w:tcPr>
          <w:p>
            <w:pPr>
              <w:pStyle w:val="24"/>
              <w:adjustRightInd w:val="0"/>
              <w:snapToGrid w:val="0"/>
              <w:spacing w:before="0" w:beforeAutospacing="0" w:after="0" w:afterAutospacing="0"/>
              <w:jc w:val="center"/>
              <w:outlineLvl w:val="0"/>
              <w:rPr>
                <w:rFonts w:ascii="Times New Roman" w:hAnsi="Times New Roman"/>
                <w:color w:val="auto"/>
                <w:kern w:val="2"/>
                <w:sz w:val="21"/>
                <w:szCs w:val="21"/>
              </w:rPr>
            </w:pPr>
            <w:r>
              <w:rPr>
                <w:rFonts w:ascii="Times New Roman" w:hAnsi="Times New Roman"/>
                <w:color w:val="auto"/>
                <w:kern w:val="2"/>
                <w:sz w:val="21"/>
                <w:szCs w:val="21"/>
              </w:rPr>
              <w:t>环境保护措施</w:t>
            </w:r>
          </w:p>
        </w:tc>
        <w:tc>
          <w:tcPr>
            <w:tcW w:w="374" w:type="pct"/>
            <w:noWrap w:val="0"/>
            <w:vAlign w:val="center"/>
          </w:tcPr>
          <w:p>
            <w:pPr>
              <w:pStyle w:val="24"/>
              <w:adjustRightInd w:val="0"/>
              <w:snapToGrid w:val="0"/>
              <w:spacing w:before="0" w:beforeAutospacing="0" w:after="0" w:afterAutospacing="0"/>
              <w:jc w:val="center"/>
              <w:outlineLvl w:val="0"/>
              <w:rPr>
                <w:rFonts w:ascii="Times New Roman" w:hAnsi="Times New Roman"/>
                <w:color w:val="auto"/>
                <w:kern w:val="2"/>
                <w:sz w:val="21"/>
                <w:szCs w:val="21"/>
              </w:rPr>
            </w:pPr>
            <w:r>
              <w:rPr>
                <w:rFonts w:ascii="Times New Roman" w:hAnsi="Times New Roman"/>
                <w:color w:val="auto"/>
                <w:kern w:val="2"/>
                <w:sz w:val="21"/>
                <w:szCs w:val="21"/>
              </w:rPr>
              <w:t>验收要求</w:t>
            </w:r>
          </w:p>
        </w:tc>
        <w:tc>
          <w:tcPr>
            <w:tcW w:w="1439" w:type="pct"/>
            <w:noWrap w:val="0"/>
            <w:vAlign w:val="center"/>
          </w:tcPr>
          <w:p>
            <w:pPr>
              <w:pStyle w:val="24"/>
              <w:adjustRightInd w:val="0"/>
              <w:snapToGrid w:val="0"/>
              <w:spacing w:before="0" w:beforeAutospacing="0" w:after="0" w:afterAutospacing="0"/>
              <w:jc w:val="center"/>
              <w:outlineLvl w:val="0"/>
              <w:rPr>
                <w:rFonts w:ascii="Times New Roman" w:hAnsi="Times New Roman"/>
                <w:color w:val="auto"/>
                <w:kern w:val="2"/>
                <w:sz w:val="21"/>
                <w:szCs w:val="21"/>
              </w:rPr>
            </w:pPr>
            <w:r>
              <w:rPr>
                <w:rFonts w:ascii="Times New Roman" w:hAnsi="Times New Roman"/>
                <w:color w:val="auto"/>
                <w:kern w:val="2"/>
                <w:sz w:val="21"/>
                <w:szCs w:val="21"/>
              </w:rPr>
              <w:t>环境保护措施</w:t>
            </w:r>
          </w:p>
        </w:tc>
        <w:tc>
          <w:tcPr>
            <w:tcW w:w="583" w:type="pct"/>
            <w:noWrap w:val="0"/>
            <w:vAlign w:val="center"/>
          </w:tcPr>
          <w:p>
            <w:pPr>
              <w:pStyle w:val="24"/>
              <w:adjustRightInd w:val="0"/>
              <w:snapToGrid w:val="0"/>
              <w:spacing w:before="0" w:beforeAutospacing="0" w:after="0" w:afterAutospacing="0"/>
              <w:jc w:val="center"/>
              <w:outlineLvl w:val="0"/>
              <w:rPr>
                <w:rFonts w:ascii="Times New Roman" w:hAnsi="Times New Roman"/>
                <w:color w:val="auto"/>
                <w:kern w:val="2"/>
                <w:sz w:val="21"/>
                <w:szCs w:val="21"/>
              </w:rPr>
            </w:pPr>
            <w:r>
              <w:rPr>
                <w:rFonts w:ascii="Times New Roman" w:hAnsi="Times New Roman"/>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陆生生态</w:t>
            </w:r>
          </w:p>
        </w:tc>
        <w:tc>
          <w:tcPr>
            <w:tcW w:w="1979" w:type="pct"/>
            <w:noWrap w:val="0"/>
            <w:vAlign w:val="center"/>
          </w:tcPr>
          <w:p>
            <w:pPr>
              <w:adjustRightInd w:val="0"/>
              <w:snapToGrid w:val="0"/>
              <w:jc w:val="both"/>
              <w:rPr>
                <w:color w:val="auto"/>
                <w:szCs w:val="21"/>
              </w:rPr>
            </w:pPr>
            <w:r>
              <w:rPr>
                <w:color w:val="auto"/>
                <w:szCs w:val="21"/>
              </w:rPr>
              <w:t>（1）施工活动在项目占地范围内进行，不越界占用周边耕地，在项目占地范围内，以最大限度减小地表扰动为原则，尽量减少永久占地和临时占地。</w:t>
            </w:r>
          </w:p>
          <w:p>
            <w:pPr>
              <w:adjustRightInd w:val="0"/>
              <w:snapToGrid w:val="0"/>
              <w:jc w:val="both"/>
              <w:rPr>
                <w:color w:val="auto"/>
                <w:szCs w:val="21"/>
              </w:rPr>
            </w:pPr>
            <w:r>
              <w:rPr>
                <w:color w:val="auto"/>
                <w:szCs w:val="21"/>
              </w:rPr>
              <w:t>（2）加强对施工人员的管理，施工过程中不捕杀野生动物，不随意砍伐区域植物。</w:t>
            </w:r>
          </w:p>
          <w:p>
            <w:pPr>
              <w:adjustRightInd w:val="0"/>
              <w:snapToGrid w:val="0"/>
              <w:jc w:val="both"/>
              <w:rPr>
                <w:color w:val="auto"/>
                <w:szCs w:val="21"/>
              </w:rPr>
            </w:pPr>
            <w:r>
              <w:rPr>
                <w:color w:val="auto"/>
                <w:szCs w:val="21"/>
              </w:rPr>
              <w:t>（3）设置临时排水沟和沉砂池及植物措施，减轻水土流失等措施减小影响。</w:t>
            </w:r>
          </w:p>
          <w:p>
            <w:pPr>
              <w:adjustRightInd w:val="0"/>
              <w:snapToGrid w:val="0"/>
              <w:jc w:val="both"/>
              <w:rPr>
                <w:color w:val="auto"/>
                <w:szCs w:val="21"/>
              </w:rPr>
            </w:pPr>
            <w:r>
              <w:rPr>
                <w:color w:val="auto"/>
                <w:szCs w:val="21"/>
              </w:rPr>
              <w:t>（4）充分利用区域内自然地形地貌，尽可能减少占地面积，减少对植被的破坏面积；施工期应避开雨天与大风天气，减少水土流失量。</w:t>
            </w:r>
          </w:p>
          <w:p>
            <w:pPr>
              <w:adjustRightInd w:val="0"/>
              <w:snapToGrid w:val="0"/>
              <w:jc w:val="both"/>
              <w:rPr>
                <w:color w:val="auto"/>
                <w:szCs w:val="21"/>
              </w:rPr>
            </w:pPr>
            <w:r>
              <w:rPr>
                <w:color w:val="auto"/>
                <w:szCs w:val="21"/>
              </w:rPr>
              <w:t>（5）项目建设过程中必须将项目周边的绿化同时考虑，种植乔、灌、草相结合的立体防护林带，并要做好施工场地得防护措施，建设扬尘对周围环境的影响。</w:t>
            </w:r>
          </w:p>
          <w:p>
            <w:pPr>
              <w:adjustRightInd w:val="0"/>
              <w:snapToGrid w:val="0"/>
              <w:jc w:val="both"/>
              <w:rPr>
                <w:color w:val="auto"/>
                <w:szCs w:val="21"/>
              </w:rPr>
            </w:pPr>
            <w:r>
              <w:rPr>
                <w:color w:val="auto"/>
                <w:szCs w:val="21"/>
              </w:rPr>
              <w:t>（6）加强施工人员的各类卫生管理，避免生活污水和施工废水排入沟道，最大限度保护动物生境。</w:t>
            </w:r>
          </w:p>
          <w:p>
            <w:pPr>
              <w:adjustRightInd w:val="0"/>
              <w:snapToGrid w:val="0"/>
              <w:jc w:val="both"/>
              <w:rPr>
                <w:color w:val="auto"/>
                <w:szCs w:val="21"/>
              </w:rPr>
            </w:pPr>
            <w:r>
              <w:rPr>
                <w:color w:val="auto"/>
                <w:szCs w:val="21"/>
              </w:rPr>
              <w:t>（7）物料运输要严格遵守作业制度，采用车况良好的斗车，避免过量装料，防止松散土石料的散落，减少水土流失。</w:t>
            </w:r>
          </w:p>
          <w:p>
            <w:pPr>
              <w:adjustRightInd w:val="0"/>
              <w:snapToGrid w:val="0"/>
              <w:jc w:val="both"/>
              <w:rPr>
                <w:color w:val="auto"/>
                <w:szCs w:val="21"/>
              </w:rPr>
            </w:pPr>
            <w:r>
              <w:rPr>
                <w:color w:val="auto"/>
                <w:szCs w:val="21"/>
              </w:rPr>
              <w:t>（8）禁止在工程占地范围外、植被良好的地区进行取土石活动，以减少水土流失损坏面积。</w:t>
            </w:r>
          </w:p>
          <w:p>
            <w:pPr>
              <w:adjustRightInd w:val="0"/>
              <w:snapToGrid w:val="0"/>
              <w:jc w:val="both"/>
              <w:rPr>
                <w:color w:val="auto"/>
                <w:szCs w:val="21"/>
              </w:rPr>
            </w:pPr>
            <w:r>
              <w:rPr>
                <w:color w:val="auto"/>
                <w:szCs w:val="21"/>
              </w:rPr>
              <w:t>（9）本项目地形地貌较为复杂，通过优化平纵面尽量减少填挖高度，力求填挖平衡，挖方段土石方尽量利用。</w:t>
            </w:r>
          </w:p>
          <w:p>
            <w:pPr>
              <w:adjustRightInd w:val="0"/>
              <w:snapToGrid w:val="0"/>
              <w:jc w:val="both"/>
              <w:rPr>
                <w:color w:val="auto"/>
                <w:szCs w:val="21"/>
              </w:rPr>
            </w:pPr>
            <w:r>
              <w:rPr>
                <w:color w:val="auto"/>
                <w:szCs w:val="21"/>
              </w:rPr>
              <w:t>（10）施工中应尽量减少植被占压、破坏。即尽量选择荒地为临时用地，对树木减少破坏，能移栽的尽量利用。</w:t>
            </w:r>
          </w:p>
          <w:p>
            <w:pPr>
              <w:adjustRightInd w:val="0"/>
              <w:snapToGrid w:val="0"/>
              <w:jc w:val="both"/>
              <w:rPr>
                <w:rFonts w:hint="default"/>
                <w:color w:val="auto"/>
                <w:szCs w:val="21"/>
                <w:lang w:val="en-US" w:eastAsia="zh-CN"/>
              </w:rPr>
            </w:pPr>
            <w:r>
              <w:rPr>
                <w:rFonts w:hint="eastAsia"/>
                <w:color w:val="auto"/>
                <w:szCs w:val="21"/>
                <w:lang w:val="en-US" w:eastAsia="zh-CN"/>
              </w:rPr>
              <w:t>（11）严格本项目水土保持方案报告表进行施工期的施工</w:t>
            </w:r>
          </w:p>
          <w:p>
            <w:pPr>
              <w:adjustRightInd w:val="0"/>
              <w:snapToGrid w:val="0"/>
              <w:jc w:val="both"/>
              <w:rPr>
                <w:rFonts w:hint="default"/>
                <w:color w:val="auto"/>
                <w:szCs w:val="21"/>
              </w:rPr>
            </w:pPr>
            <w:r>
              <w:rPr>
                <w:rFonts w:hint="default"/>
                <w:color w:val="auto"/>
                <w:szCs w:val="21"/>
                <w:lang w:val="en-US" w:eastAsia="zh-CN"/>
              </w:rPr>
              <w:t>①尽可能地缩短疏松地面的裸露时间，合理安排施工时间，尽量避开雨天施工。</w:t>
            </w:r>
          </w:p>
          <w:p>
            <w:pPr>
              <w:adjustRightInd w:val="0"/>
              <w:snapToGrid w:val="0"/>
              <w:jc w:val="both"/>
              <w:rPr>
                <w:rFonts w:hint="default"/>
                <w:color w:val="auto"/>
                <w:szCs w:val="21"/>
              </w:rPr>
            </w:pPr>
            <w:r>
              <w:rPr>
                <w:rFonts w:hint="default"/>
                <w:color w:val="auto"/>
                <w:szCs w:val="21"/>
                <w:lang w:val="en-US" w:eastAsia="zh-CN"/>
              </w:rPr>
              <w:t>②在雨季和汛期到来之前，应备齐工程临时防护用的物料及各种防汛物资，随时采取临时防护措施，以减轻雨水对主体工程的破坏和最大限度减少土壤的流失。</w:t>
            </w:r>
          </w:p>
          <w:p>
            <w:pPr>
              <w:adjustRightInd w:val="0"/>
              <w:snapToGrid w:val="0"/>
              <w:jc w:val="both"/>
              <w:rPr>
                <w:rFonts w:hint="default"/>
                <w:color w:val="auto"/>
                <w:szCs w:val="21"/>
              </w:rPr>
            </w:pPr>
            <w:r>
              <w:rPr>
                <w:rFonts w:hint="default"/>
                <w:color w:val="auto"/>
                <w:szCs w:val="21"/>
                <w:lang w:val="en-US" w:eastAsia="zh-CN"/>
              </w:rPr>
              <w:t>③施工机械和施工人员要按照施工总体平面布置图进行作业，不得乱占土地，施工机械、土石及其它建筑材料不得乱停乱放，防止损坏地表加剧水土流失。</w:t>
            </w:r>
          </w:p>
          <w:p>
            <w:pPr>
              <w:adjustRightInd w:val="0"/>
              <w:snapToGrid w:val="0"/>
              <w:jc w:val="both"/>
              <w:rPr>
                <w:rFonts w:hint="default"/>
                <w:color w:val="auto"/>
                <w:szCs w:val="21"/>
                <w:lang w:val="en-US" w:eastAsia="zh-CN"/>
              </w:rPr>
            </w:pPr>
            <w:r>
              <w:rPr>
                <w:rFonts w:hint="default"/>
                <w:color w:val="auto"/>
                <w:szCs w:val="21"/>
                <w:lang w:val="en-US" w:eastAsia="zh-CN"/>
              </w:rPr>
              <w:t>④对全体施工人员进行水保知识的宣传和规范施工、文明施工的教育，以增强其水土保持意识，将造成水土流失的人为因素降至最小。</w:t>
            </w:r>
          </w:p>
          <w:p>
            <w:pPr>
              <w:adjustRightInd w:val="0"/>
              <w:snapToGrid w:val="0"/>
              <w:jc w:val="both"/>
              <w:rPr>
                <w:rFonts w:hint="default"/>
                <w:color w:val="auto"/>
                <w:szCs w:val="21"/>
              </w:rPr>
            </w:pPr>
            <w:r>
              <w:rPr>
                <w:rFonts w:hint="default"/>
                <w:color w:val="auto"/>
                <w:szCs w:val="21"/>
                <w:lang w:val="en-US" w:eastAsia="zh-CN"/>
              </w:rPr>
              <w:t>⑤建设单位、施工单位应积极配合水保部门的监督检查。</w:t>
            </w:r>
          </w:p>
          <w:p>
            <w:pPr>
              <w:adjustRightInd w:val="0"/>
              <w:snapToGrid w:val="0"/>
              <w:jc w:val="both"/>
              <w:rPr>
                <w:rFonts w:hint="default"/>
                <w:color w:val="auto"/>
                <w:szCs w:val="21"/>
              </w:rPr>
            </w:pPr>
            <w:r>
              <w:rPr>
                <w:rFonts w:hint="eastAsia"/>
                <w:color w:val="auto"/>
                <w:szCs w:val="21"/>
                <w:lang w:val="en-US" w:eastAsia="zh-CN"/>
              </w:rPr>
              <w:t>（12）施工期临时防护措施</w:t>
            </w:r>
            <w:r>
              <w:rPr>
                <w:rFonts w:hint="default"/>
                <w:color w:val="auto"/>
                <w:szCs w:val="21"/>
                <w:lang w:val="en-US" w:eastAsia="zh-CN"/>
              </w:rPr>
              <w:t xml:space="preserve"> </w:t>
            </w:r>
          </w:p>
          <w:p>
            <w:pPr>
              <w:adjustRightInd w:val="0"/>
              <w:snapToGrid w:val="0"/>
              <w:jc w:val="both"/>
              <w:rPr>
                <w:rFonts w:hint="default"/>
                <w:color w:val="auto"/>
                <w:szCs w:val="21"/>
              </w:rPr>
            </w:pPr>
            <w:r>
              <w:rPr>
                <w:rFonts w:hint="default"/>
                <w:color w:val="auto"/>
                <w:szCs w:val="21"/>
                <w:lang w:val="en-US" w:eastAsia="zh-CN"/>
              </w:rPr>
              <w:t>施工期的临时防护措施主要有：临时拦挡、临时防洪排水、临时绿化等措施，以预防因施工活动引发的水土流失，把施工活动造成的水土流失降至最低。施工期间的临时防护措施主要有：</w:t>
            </w:r>
          </w:p>
          <w:p>
            <w:pPr>
              <w:adjustRightInd w:val="0"/>
              <w:snapToGrid w:val="0"/>
              <w:jc w:val="both"/>
              <w:rPr>
                <w:rFonts w:hint="default"/>
                <w:color w:val="auto"/>
                <w:szCs w:val="21"/>
              </w:rPr>
            </w:pPr>
            <w:r>
              <w:rPr>
                <w:rFonts w:hint="default"/>
                <w:color w:val="auto"/>
                <w:szCs w:val="21"/>
                <w:lang w:val="en-US" w:eastAsia="zh-CN"/>
              </w:rPr>
              <w:t>①土方临时拦挡防护：各区施工初期，基础开挖的土方，要先将本区拟利用的部分集中堆放于空闲地或利用区域附近，高堆土边坡四周用编织土袋拦挡，表面覆盖密目网防护。</w:t>
            </w:r>
          </w:p>
          <w:p>
            <w:pPr>
              <w:adjustRightInd w:val="0"/>
              <w:snapToGrid w:val="0"/>
              <w:jc w:val="both"/>
              <w:rPr>
                <w:rFonts w:hint="default"/>
                <w:color w:val="auto"/>
                <w:szCs w:val="21"/>
              </w:rPr>
            </w:pPr>
            <w:r>
              <w:rPr>
                <w:rFonts w:hint="default"/>
                <w:color w:val="auto"/>
                <w:szCs w:val="21"/>
                <w:lang w:val="en-US" w:eastAsia="zh-CN"/>
              </w:rPr>
              <w:t>②各施工区段布设临时截（排）水沟。在基础开挖过程中，布设截排水沟及场地临时蓄水坑槽，防止各种水源进入开挖基础，影响施工进度。</w:t>
            </w:r>
          </w:p>
          <w:p>
            <w:pPr>
              <w:adjustRightInd w:val="0"/>
              <w:snapToGrid w:val="0"/>
              <w:jc w:val="both"/>
              <w:rPr>
                <w:rFonts w:hint="default"/>
                <w:color w:val="auto"/>
                <w:szCs w:val="21"/>
                <w:lang w:val="en-US" w:eastAsia="zh-CN"/>
              </w:rPr>
            </w:pPr>
            <w:r>
              <w:rPr>
                <w:rFonts w:hint="default"/>
                <w:color w:val="auto"/>
                <w:szCs w:val="21"/>
                <w:lang w:val="en-US" w:eastAsia="zh-CN"/>
              </w:rPr>
              <w:t>③工程弃土、弃渣等应及时处理，定期运至弃土（渣）</w:t>
            </w:r>
          </w:p>
          <w:p>
            <w:pPr>
              <w:adjustRightInd w:val="0"/>
              <w:snapToGrid w:val="0"/>
              <w:jc w:val="both"/>
              <w:rPr>
                <w:rFonts w:hint="default"/>
                <w:color w:val="auto"/>
                <w:szCs w:val="21"/>
                <w:lang w:val="en-US" w:eastAsia="zh-CN"/>
              </w:rPr>
            </w:pPr>
            <w:r>
              <w:rPr>
                <w:rFonts w:hint="default"/>
                <w:color w:val="auto"/>
                <w:szCs w:val="21"/>
                <w:lang w:val="en-US" w:eastAsia="zh-CN"/>
              </w:rPr>
              <w:t>场掩埋处理</w:t>
            </w:r>
          </w:p>
          <w:p>
            <w:pPr>
              <w:adjustRightInd w:val="0"/>
              <w:snapToGrid w:val="0"/>
              <w:jc w:val="both"/>
              <w:rPr>
                <w:color w:val="auto"/>
                <w:szCs w:val="21"/>
              </w:rPr>
            </w:pPr>
            <w:r>
              <w:rPr>
                <w:rFonts w:hint="eastAsia" w:ascii="Times New Roman" w:hAnsi="Times New Roman" w:eastAsia="宋体" w:cs="Times New Roman"/>
                <w:color w:val="auto"/>
                <w:szCs w:val="21"/>
                <w:lang w:val="en-US" w:eastAsia="zh-CN"/>
              </w:rPr>
              <w:t>（13）根据本项目水土保持方案报告表内容</w:t>
            </w:r>
            <w:r>
              <w:rPr>
                <w:rFonts w:hint="default" w:ascii="Times New Roman" w:hAnsi="Times New Roman" w:eastAsia="宋体" w:cs="Times New Roman"/>
                <w:color w:val="auto"/>
                <w:szCs w:val="21"/>
                <w:lang w:val="en-US" w:eastAsia="zh-CN"/>
              </w:rPr>
              <w:t>，项目建设中为恢复和保持绿化区土壤肥力，提高林草成活率和确保林草正常生长，按水土保持技术规范要求，在项目开工建设前，对表层有机土进行剥离并单独堆存，在项目后期绿化时进行表土回覆。因本项目为原有场地基础上的改建砖窑生产线项目，项目扰动原地貌无表土可剥离，因此，本方案不进行表土剥离设计</w:t>
            </w:r>
            <w:r>
              <w:rPr>
                <w:rFonts w:hint="eastAsia" w:ascii="Times New Roman" w:hAnsi="Times New Roman" w:eastAsia="宋体" w:cs="Times New Roman"/>
                <w:color w:val="auto"/>
                <w:szCs w:val="21"/>
                <w:lang w:val="en-US" w:eastAsia="zh-CN"/>
              </w:rPr>
              <w:t>。</w:t>
            </w:r>
          </w:p>
        </w:tc>
        <w:tc>
          <w:tcPr>
            <w:tcW w:w="374" w:type="pct"/>
            <w:noWrap w:val="0"/>
            <w:vAlign w:val="center"/>
          </w:tcPr>
          <w:p>
            <w:pPr>
              <w:adjustRightInd w:val="0"/>
              <w:snapToGrid w:val="0"/>
              <w:jc w:val="center"/>
              <w:rPr>
                <w:color w:val="auto"/>
                <w:szCs w:val="21"/>
              </w:rPr>
            </w:pPr>
            <w:r>
              <w:rPr>
                <w:color w:val="auto"/>
                <w:szCs w:val="21"/>
              </w:rPr>
              <w:t>/</w:t>
            </w:r>
          </w:p>
        </w:tc>
        <w:tc>
          <w:tcPr>
            <w:tcW w:w="1439" w:type="pct"/>
            <w:noWrap w:val="0"/>
            <w:vAlign w:val="center"/>
          </w:tcPr>
          <w:p>
            <w:pPr>
              <w:adjustRightInd w:val="0"/>
              <w:snapToGrid w:val="0"/>
              <w:rPr>
                <w:rFonts w:hint="eastAsia" w:eastAsia="宋体"/>
                <w:color w:val="auto"/>
                <w:szCs w:val="21"/>
                <w:lang w:val="en-US" w:eastAsia="zh-CN"/>
              </w:rPr>
            </w:pPr>
            <w:r>
              <w:rPr>
                <w:rFonts w:hint="eastAsia"/>
                <w:color w:val="auto"/>
                <w:szCs w:val="21"/>
                <w:lang w:val="en-US" w:eastAsia="zh-CN"/>
              </w:rPr>
              <w:t>粘土</w:t>
            </w:r>
            <w:r>
              <w:rPr>
                <w:color w:val="auto"/>
                <w:szCs w:val="21"/>
              </w:rPr>
              <w:t>开采应严格按照国土部门核准的开采方案进行开采；在开采区周围修建截排水沟</w:t>
            </w:r>
            <w:r>
              <w:rPr>
                <w:rFonts w:hint="eastAsia"/>
                <w:color w:val="auto"/>
                <w:szCs w:val="21"/>
                <w:lang w:val="en-US" w:eastAsia="zh-CN"/>
              </w:rPr>
              <w:t>及厂界修建围墙</w:t>
            </w:r>
            <w:r>
              <w:rPr>
                <w:color w:val="auto"/>
                <w:szCs w:val="21"/>
              </w:rPr>
              <w:t>防止水土流失，截排水沟为长约</w:t>
            </w:r>
            <w:r>
              <w:rPr>
                <w:rFonts w:hint="eastAsia"/>
                <w:color w:val="auto"/>
                <w:szCs w:val="21"/>
                <w:lang w:val="en-US" w:eastAsia="zh-CN"/>
              </w:rPr>
              <w:t>180</w:t>
            </w:r>
            <w:r>
              <w:rPr>
                <w:color w:val="auto"/>
                <w:szCs w:val="21"/>
              </w:rPr>
              <w:t>m，断面0.5×0.5m明沟</w:t>
            </w:r>
            <w:r>
              <w:rPr>
                <w:rFonts w:hint="eastAsia"/>
                <w:color w:val="auto"/>
                <w:szCs w:val="21"/>
                <w:lang w:eastAsia="zh-CN"/>
              </w:rPr>
              <w:t>，</w:t>
            </w:r>
            <w:r>
              <w:rPr>
                <w:rFonts w:hint="eastAsia"/>
                <w:color w:val="auto"/>
                <w:szCs w:val="21"/>
                <w:lang w:val="en-US" w:eastAsia="zh-CN"/>
              </w:rPr>
              <w:t>厂界围墙高1m</w:t>
            </w:r>
            <w:r>
              <w:rPr>
                <w:color w:val="auto"/>
                <w:szCs w:val="21"/>
              </w:rPr>
              <w:t>；</w:t>
            </w:r>
            <w:r>
              <w:rPr>
                <w:rFonts w:hint="eastAsia"/>
                <w:color w:val="auto"/>
                <w:szCs w:val="21"/>
                <w:lang w:val="en-US" w:eastAsia="zh-CN"/>
              </w:rPr>
              <w:t>项目区</w:t>
            </w:r>
            <w:r>
              <w:rPr>
                <w:color w:val="auto"/>
                <w:szCs w:val="21"/>
              </w:rPr>
              <w:t>设置</w:t>
            </w:r>
            <w:r>
              <w:rPr>
                <w:rFonts w:hint="eastAsia"/>
                <w:color w:val="auto"/>
                <w:szCs w:val="21"/>
                <w:lang w:val="en-US" w:eastAsia="zh-CN"/>
              </w:rPr>
              <w:t>250</w:t>
            </w:r>
            <w:r>
              <w:rPr>
                <w:color w:val="auto"/>
                <w:szCs w:val="21"/>
              </w:rPr>
              <w:t>m</w:t>
            </w:r>
            <w:r>
              <w:rPr>
                <w:color w:val="auto"/>
                <w:szCs w:val="21"/>
                <w:vertAlign w:val="superscript"/>
              </w:rPr>
              <w:t>3</w:t>
            </w:r>
            <w:r>
              <w:rPr>
                <w:color w:val="auto"/>
                <w:szCs w:val="21"/>
              </w:rPr>
              <w:t>雨水收集池，</w:t>
            </w:r>
            <w:r>
              <w:rPr>
                <w:color w:val="auto"/>
              </w:rPr>
              <w:t>将雨水收集后回用于生产</w:t>
            </w:r>
            <w:r>
              <w:rPr>
                <w:color w:val="auto"/>
                <w:szCs w:val="21"/>
              </w:rPr>
              <w:t>；加强矿区及生产厂区的植被恢复工作，同时在项目砖厂生产及生活区设置</w:t>
            </w:r>
            <w:r>
              <w:rPr>
                <w:rFonts w:hint="eastAsia"/>
                <w:color w:val="auto"/>
                <w:szCs w:val="21"/>
                <w:lang w:val="en-US" w:eastAsia="zh-CN"/>
              </w:rPr>
              <w:t>300</w:t>
            </w:r>
            <w:r>
              <w:rPr>
                <w:color w:val="auto"/>
                <w:szCs w:val="21"/>
              </w:rPr>
              <w:t>m</w:t>
            </w:r>
            <w:r>
              <w:rPr>
                <w:color w:val="auto"/>
                <w:szCs w:val="21"/>
                <w:vertAlign w:val="superscript"/>
              </w:rPr>
              <w:t>2</w:t>
            </w:r>
            <w:r>
              <w:rPr>
                <w:color w:val="auto"/>
                <w:szCs w:val="21"/>
              </w:rPr>
              <w:t>的绿化面积；及时对开采完成的区域进行复垦，要做到采完一片，及时复垦处理一片。不允许复垦区裸地暴露时间超过一年</w:t>
            </w:r>
            <w:r>
              <w:rPr>
                <w:rFonts w:hint="eastAsia"/>
                <w:color w:val="auto"/>
                <w:szCs w:val="21"/>
                <w:lang w:val="en-US" w:eastAsia="zh-CN"/>
              </w:rPr>
              <w:t>.</w:t>
            </w:r>
          </w:p>
        </w:tc>
        <w:tc>
          <w:tcPr>
            <w:tcW w:w="583" w:type="pct"/>
            <w:noWrap w:val="0"/>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水生生态</w:t>
            </w:r>
          </w:p>
        </w:tc>
        <w:tc>
          <w:tcPr>
            <w:tcW w:w="1979" w:type="pct"/>
            <w:noWrap w:val="0"/>
            <w:vAlign w:val="center"/>
          </w:tcPr>
          <w:p>
            <w:pPr>
              <w:adjustRightInd w:val="0"/>
              <w:snapToGrid w:val="0"/>
              <w:jc w:val="center"/>
              <w:rPr>
                <w:color w:val="auto"/>
                <w:szCs w:val="21"/>
              </w:rPr>
            </w:pPr>
            <w:r>
              <w:rPr>
                <w:color w:val="auto"/>
                <w:szCs w:val="21"/>
              </w:rPr>
              <w:t>/</w:t>
            </w:r>
          </w:p>
        </w:tc>
        <w:tc>
          <w:tcPr>
            <w:tcW w:w="374" w:type="pct"/>
            <w:noWrap w:val="0"/>
            <w:vAlign w:val="center"/>
          </w:tcPr>
          <w:p>
            <w:pPr>
              <w:adjustRightInd w:val="0"/>
              <w:snapToGrid w:val="0"/>
              <w:rPr>
                <w:color w:val="auto"/>
                <w:szCs w:val="21"/>
              </w:rPr>
            </w:pPr>
            <w:r>
              <w:rPr>
                <w:color w:val="auto"/>
                <w:szCs w:val="21"/>
              </w:rPr>
              <w:t>/</w:t>
            </w:r>
          </w:p>
        </w:tc>
        <w:tc>
          <w:tcPr>
            <w:tcW w:w="1439" w:type="pct"/>
            <w:noWrap w:val="0"/>
            <w:vAlign w:val="center"/>
          </w:tcPr>
          <w:p>
            <w:pPr>
              <w:adjustRightInd w:val="0"/>
              <w:snapToGrid w:val="0"/>
              <w:rPr>
                <w:color w:val="auto"/>
                <w:szCs w:val="21"/>
              </w:rPr>
            </w:pPr>
            <w:r>
              <w:rPr>
                <w:color w:val="auto"/>
                <w:szCs w:val="21"/>
              </w:rPr>
              <w:t>/</w:t>
            </w:r>
          </w:p>
        </w:tc>
        <w:tc>
          <w:tcPr>
            <w:tcW w:w="583" w:type="pct"/>
            <w:noWrap w:val="0"/>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地表水环境</w:t>
            </w:r>
          </w:p>
        </w:tc>
        <w:tc>
          <w:tcPr>
            <w:tcW w:w="1979" w:type="pct"/>
            <w:noWrap w:val="0"/>
            <w:vAlign w:val="center"/>
          </w:tcPr>
          <w:p>
            <w:pPr>
              <w:adjustRightInd w:val="0"/>
              <w:snapToGrid w:val="0"/>
              <w:jc w:val="center"/>
              <w:rPr>
                <w:color w:val="auto"/>
                <w:szCs w:val="21"/>
              </w:rPr>
            </w:pPr>
            <w:r>
              <w:rPr>
                <w:color w:val="auto"/>
                <w:szCs w:val="21"/>
              </w:rPr>
              <w:t>施工人员生活污水场内抑尘</w:t>
            </w:r>
          </w:p>
        </w:tc>
        <w:tc>
          <w:tcPr>
            <w:tcW w:w="374" w:type="pct"/>
            <w:noWrap w:val="0"/>
            <w:vAlign w:val="center"/>
          </w:tcPr>
          <w:p>
            <w:pPr>
              <w:adjustRightInd w:val="0"/>
              <w:snapToGrid w:val="0"/>
              <w:jc w:val="center"/>
              <w:rPr>
                <w:color w:val="auto"/>
                <w:szCs w:val="21"/>
              </w:rPr>
            </w:pPr>
            <w:r>
              <w:rPr>
                <w:color w:val="auto"/>
                <w:szCs w:val="21"/>
              </w:rPr>
              <w:t>不外排</w:t>
            </w:r>
          </w:p>
        </w:tc>
        <w:tc>
          <w:tcPr>
            <w:tcW w:w="1439" w:type="pct"/>
            <w:noWrap w:val="0"/>
            <w:vAlign w:val="center"/>
          </w:tcPr>
          <w:p>
            <w:pPr>
              <w:adjustRightInd w:val="0"/>
              <w:snapToGrid w:val="0"/>
              <w:jc w:val="center"/>
              <w:rPr>
                <w:color w:val="auto"/>
                <w:szCs w:val="21"/>
              </w:rPr>
            </w:pPr>
            <w:r>
              <w:rPr>
                <w:color w:val="auto"/>
                <w:szCs w:val="21"/>
              </w:rPr>
              <w:t>雨污分流制；</w:t>
            </w:r>
            <w:r>
              <w:rPr>
                <w:color w:val="auto"/>
              </w:rPr>
              <w:t>在厂区内设置</w:t>
            </w:r>
            <w:r>
              <w:rPr>
                <w:rFonts w:hint="eastAsia"/>
                <w:color w:val="auto"/>
                <w:lang w:val="en-US" w:eastAsia="zh-CN"/>
              </w:rPr>
              <w:t>250</w:t>
            </w:r>
            <w:r>
              <w:rPr>
                <w:color w:val="auto"/>
                <w:szCs w:val="21"/>
              </w:rPr>
              <w:t>m</w:t>
            </w:r>
            <w:r>
              <w:rPr>
                <w:color w:val="auto"/>
                <w:szCs w:val="21"/>
                <w:vertAlign w:val="superscript"/>
              </w:rPr>
              <w:t>3</w:t>
            </w:r>
            <w:r>
              <w:rPr>
                <w:color w:val="auto"/>
                <w:szCs w:val="21"/>
              </w:rPr>
              <w:t>雨水收集池，</w:t>
            </w:r>
            <w:r>
              <w:rPr>
                <w:color w:val="auto"/>
              </w:rPr>
              <w:t>将雨水收集后</w:t>
            </w:r>
            <w:r>
              <w:rPr>
                <w:rFonts w:hint="eastAsia"/>
                <w:color w:val="auto"/>
                <w:lang w:val="en-US" w:eastAsia="zh-CN"/>
              </w:rPr>
              <w:t>回用</w:t>
            </w:r>
            <w:r>
              <w:rPr>
                <w:color w:val="auto"/>
              </w:rPr>
              <w:t>；</w:t>
            </w:r>
            <w:r>
              <w:rPr>
                <w:rFonts w:hint="eastAsia"/>
                <w:color w:val="auto"/>
                <w:lang w:val="en-US" w:eastAsia="zh-CN"/>
              </w:rPr>
              <w:t>洗漱废水泼洒抑尘、</w:t>
            </w:r>
            <w:r>
              <w:rPr>
                <w:color w:val="auto"/>
                <w:szCs w:val="21"/>
              </w:rPr>
              <w:t>餐饮废水与生活</w:t>
            </w:r>
            <w:r>
              <w:rPr>
                <w:rFonts w:hint="eastAsia"/>
                <w:color w:val="auto"/>
                <w:szCs w:val="21"/>
              </w:rPr>
              <w:t>污水</w:t>
            </w:r>
            <w:r>
              <w:rPr>
                <w:color w:val="auto"/>
                <w:szCs w:val="21"/>
              </w:rPr>
              <w:t>进入</w:t>
            </w:r>
            <w:r>
              <w:rPr>
                <w:rFonts w:hint="eastAsia"/>
                <w:color w:val="auto"/>
                <w:szCs w:val="21"/>
                <w:lang w:val="en-US" w:eastAsia="zh-CN"/>
              </w:rPr>
              <w:t>旱厕堆肥，不外排。</w:t>
            </w:r>
          </w:p>
        </w:tc>
        <w:tc>
          <w:tcPr>
            <w:tcW w:w="583" w:type="pct"/>
            <w:noWrap w:val="0"/>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委托处理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地下水及土壤环境</w:t>
            </w:r>
          </w:p>
        </w:tc>
        <w:tc>
          <w:tcPr>
            <w:tcW w:w="1979" w:type="pct"/>
            <w:noWrap w:val="0"/>
            <w:vAlign w:val="center"/>
          </w:tcPr>
          <w:p>
            <w:pPr>
              <w:adjustRightInd w:val="0"/>
              <w:snapToGrid w:val="0"/>
              <w:jc w:val="center"/>
              <w:rPr>
                <w:color w:val="auto"/>
                <w:szCs w:val="21"/>
              </w:rPr>
            </w:pPr>
            <w:r>
              <w:rPr>
                <w:color w:val="auto"/>
                <w:szCs w:val="21"/>
              </w:rPr>
              <w:t>/</w:t>
            </w:r>
          </w:p>
        </w:tc>
        <w:tc>
          <w:tcPr>
            <w:tcW w:w="374" w:type="pct"/>
            <w:noWrap w:val="0"/>
            <w:vAlign w:val="center"/>
          </w:tcPr>
          <w:p>
            <w:pPr>
              <w:adjustRightInd w:val="0"/>
              <w:snapToGrid w:val="0"/>
              <w:jc w:val="center"/>
              <w:rPr>
                <w:color w:val="auto"/>
                <w:szCs w:val="21"/>
              </w:rPr>
            </w:pPr>
            <w:r>
              <w:rPr>
                <w:color w:val="auto"/>
                <w:szCs w:val="21"/>
              </w:rPr>
              <w:t>/</w:t>
            </w:r>
          </w:p>
        </w:tc>
        <w:tc>
          <w:tcPr>
            <w:tcW w:w="1439" w:type="pct"/>
            <w:noWrap w:val="0"/>
            <w:vAlign w:val="center"/>
          </w:tcPr>
          <w:p>
            <w:pPr>
              <w:adjustRightInd w:val="0"/>
              <w:snapToGrid w:val="0"/>
              <w:rPr>
                <w:color w:val="auto"/>
                <w:szCs w:val="21"/>
              </w:rPr>
            </w:pPr>
            <w:r>
              <w:rPr>
                <w:rFonts w:hint="eastAsia"/>
                <w:color w:val="auto"/>
                <w:szCs w:val="21"/>
                <w:lang w:val="en-US" w:eastAsia="zh-CN"/>
              </w:rPr>
              <w:t>厂区进行分区防渗，脱硫塔水池、</w:t>
            </w:r>
            <w:r>
              <w:rPr>
                <w:rFonts w:hint="default"/>
                <w:color w:val="auto"/>
                <w:szCs w:val="21"/>
                <w:lang w:val="en-US" w:eastAsia="zh-CN"/>
              </w:rPr>
              <w:t>危废暂存间</w:t>
            </w:r>
            <w:r>
              <w:rPr>
                <w:rFonts w:hint="eastAsia"/>
                <w:color w:val="auto"/>
                <w:szCs w:val="21"/>
                <w:lang w:val="en-US" w:eastAsia="zh-CN"/>
              </w:rPr>
              <w:t>、辅料库房达到重点防渗要求，</w:t>
            </w:r>
            <w:r>
              <w:rPr>
                <w:rFonts w:hint="default"/>
                <w:color w:val="auto"/>
                <w:szCs w:val="21"/>
                <w:lang w:val="en-US" w:eastAsia="zh-CN"/>
              </w:rPr>
              <w:t>等效黏土防渗层Mb≥</w:t>
            </w:r>
            <w:r>
              <w:rPr>
                <w:rFonts w:hint="eastAsia"/>
                <w:color w:val="auto"/>
                <w:szCs w:val="21"/>
                <w:lang w:val="en-US" w:eastAsia="zh-CN"/>
              </w:rPr>
              <w:t>6</w:t>
            </w:r>
            <w:r>
              <w:rPr>
                <w:rFonts w:hint="default"/>
                <w:color w:val="auto"/>
                <w:szCs w:val="21"/>
                <w:lang w:val="en-US" w:eastAsia="zh-CN"/>
              </w:rPr>
              <w:t>m</w:t>
            </w:r>
            <w:r>
              <w:rPr>
                <w:rFonts w:hint="eastAsia"/>
                <w:color w:val="auto"/>
                <w:szCs w:val="21"/>
                <w:lang w:val="en-US" w:eastAsia="zh-CN"/>
              </w:rPr>
              <w:t>，</w:t>
            </w:r>
            <w:r>
              <w:rPr>
                <w:rFonts w:hint="default"/>
                <w:color w:val="auto"/>
                <w:szCs w:val="21"/>
                <w:lang w:val="en-US" w:eastAsia="zh-CN"/>
              </w:rPr>
              <w:t>渗透系数小于</w:t>
            </w:r>
            <w:r>
              <w:rPr>
                <w:rFonts w:hint="eastAsia"/>
                <w:color w:val="auto"/>
                <w:szCs w:val="21"/>
                <w:lang w:val="en-US" w:eastAsia="zh-CN"/>
              </w:rPr>
              <w:t>≤1×10</w:t>
            </w:r>
            <w:r>
              <w:rPr>
                <w:rFonts w:hint="eastAsia"/>
                <w:color w:val="auto"/>
                <w:szCs w:val="21"/>
                <w:vertAlign w:val="superscript"/>
                <w:lang w:val="en-US" w:eastAsia="zh-CN"/>
              </w:rPr>
              <w:t>-10</w:t>
            </w:r>
            <w:r>
              <w:rPr>
                <w:rFonts w:hint="eastAsia"/>
                <w:color w:val="auto"/>
                <w:szCs w:val="21"/>
                <w:lang w:val="en-US" w:eastAsia="zh-CN"/>
              </w:rPr>
              <w:t>cm/s；</w:t>
            </w:r>
            <w:r>
              <w:rPr>
                <w:rFonts w:hint="default"/>
                <w:color w:val="auto"/>
                <w:szCs w:val="21"/>
                <w:lang w:val="en-US" w:eastAsia="zh-CN"/>
              </w:rPr>
              <w:t>原料加工车间、</w:t>
            </w:r>
            <w:r>
              <w:rPr>
                <w:rFonts w:hint="default"/>
                <w:color w:val="auto"/>
                <w:szCs w:val="21"/>
                <w:lang w:eastAsia="zh-CN"/>
              </w:rPr>
              <w:t>陈化车间、煤矸石堆棚</w:t>
            </w:r>
            <w:r>
              <w:rPr>
                <w:rFonts w:hint="default"/>
                <w:color w:val="auto"/>
                <w:szCs w:val="21"/>
              </w:rPr>
              <w:t>、</w:t>
            </w:r>
            <w:r>
              <w:rPr>
                <w:rFonts w:hint="eastAsia"/>
                <w:color w:val="auto"/>
                <w:szCs w:val="21"/>
                <w:lang w:val="en-US" w:eastAsia="zh-CN"/>
              </w:rPr>
              <w:t>旱厕进行一般防渗，要求</w:t>
            </w:r>
            <w:r>
              <w:rPr>
                <w:rFonts w:hint="default"/>
                <w:color w:val="auto"/>
                <w:szCs w:val="21"/>
              </w:rPr>
              <w:t>黏土层</w:t>
            </w:r>
            <w:r>
              <w:rPr>
                <w:rFonts w:hint="eastAsia"/>
                <w:color w:val="auto"/>
                <w:szCs w:val="21"/>
                <w:lang w:val="en-US" w:eastAsia="zh-CN"/>
              </w:rPr>
              <w:t>Mb</w:t>
            </w:r>
            <w:r>
              <w:rPr>
                <w:rFonts w:hint="default"/>
                <w:color w:val="auto"/>
                <w:szCs w:val="21"/>
              </w:rPr>
              <w:t>≥1.5m，防渗系数K≤1×10</w:t>
            </w:r>
            <w:r>
              <w:rPr>
                <w:rFonts w:hint="default"/>
                <w:color w:val="auto"/>
                <w:szCs w:val="21"/>
                <w:vertAlign w:val="superscript"/>
              </w:rPr>
              <w:t>-7</w:t>
            </w:r>
            <w:r>
              <w:rPr>
                <w:rFonts w:hint="default"/>
                <w:color w:val="auto"/>
                <w:szCs w:val="21"/>
              </w:rPr>
              <w:t>cm/s</w:t>
            </w:r>
            <w:r>
              <w:rPr>
                <w:rFonts w:hint="eastAsia"/>
                <w:color w:val="auto"/>
                <w:szCs w:val="21"/>
                <w:lang w:eastAsia="zh-CN"/>
              </w:rPr>
              <w:t>；</w:t>
            </w:r>
            <w:r>
              <w:rPr>
                <w:rFonts w:hint="default"/>
                <w:color w:val="auto"/>
                <w:szCs w:val="21"/>
              </w:rPr>
              <w:t>简单防渗区</w:t>
            </w:r>
            <w:r>
              <w:rPr>
                <w:rFonts w:hint="eastAsia"/>
                <w:color w:val="auto"/>
                <w:szCs w:val="21"/>
                <w:lang w:eastAsia="zh-CN"/>
              </w:rPr>
              <w:t>；</w:t>
            </w:r>
            <w:r>
              <w:rPr>
                <w:rFonts w:hint="default"/>
                <w:color w:val="auto"/>
                <w:szCs w:val="21"/>
                <w:lang w:val="en-US" w:eastAsia="zh-CN"/>
              </w:rPr>
              <w:t>重点及一般防渗区外区域</w:t>
            </w:r>
          </w:p>
        </w:tc>
        <w:tc>
          <w:tcPr>
            <w:tcW w:w="583" w:type="pct"/>
            <w:noWrap w:val="0"/>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声环境</w:t>
            </w:r>
          </w:p>
        </w:tc>
        <w:tc>
          <w:tcPr>
            <w:tcW w:w="1979" w:type="pct"/>
            <w:noWrap w:val="0"/>
            <w:vAlign w:val="center"/>
          </w:tcPr>
          <w:p>
            <w:pPr>
              <w:adjustRightInd w:val="0"/>
              <w:snapToGrid w:val="0"/>
              <w:jc w:val="center"/>
              <w:rPr>
                <w:color w:val="auto"/>
                <w:szCs w:val="21"/>
              </w:rPr>
            </w:pPr>
            <w:r>
              <w:rPr>
                <w:color w:val="auto"/>
                <w:szCs w:val="21"/>
              </w:rPr>
              <w:t>采用低噪声施工机械，定期进行维护保养，夜间停止施工作业。合理布置施工作业面</w:t>
            </w:r>
          </w:p>
        </w:tc>
        <w:tc>
          <w:tcPr>
            <w:tcW w:w="374" w:type="pct"/>
            <w:noWrap w:val="0"/>
            <w:vAlign w:val="center"/>
          </w:tcPr>
          <w:p>
            <w:pPr>
              <w:adjustRightInd w:val="0"/>
              <w:snapToGrid w:val="0"/>
              <w:jc w:val="center"/>
              <w:rPr>
                <w:color w:val="auto"/>
                <w:szCs w:val="21"/>
              </w:rPr>
            </w:pPr>
            <w:r>
              <w:rPr>
                <w:color w:val="auto"/>
                <w:szCs w:val="21"/>
              </w:rPr>
              <w:t>满足（GB12523-2011）《建筑施工场界环境噪声排放标准》中昼间≤ 70dB（A），夜间≤ 55dB（A）</w:t>
            </w:r>
          </w:p>
        </w:tc>
        <w:tc>
          <w:tcPr>
            <w:tcW w:w="1439" w:type="pct"/>
            <w:noWrap w:val="0"/>
            <w:vAlign w:val="center"/>
          </w:tcPr>
          <w:p>
            <w:pPr>
              <w:adjustRightInd w:val="0"/>
              <w:snapToGrid w:val="0"/>
              <w:jc w:val="both"/>
              <w:rPr>
                <w:rFonts w:hint="eastAsia"/>
                <w:color w:val="auto"/>
                <w:szCs w:val="21"/>
                <w:lang w:val="en-US" w:eastAsia="zh-CN"/>
              </w:rPr>
            </w:pPr>
            <w:r>
              <w:rPr>
                <w:rFonts w:hint="eastAsia"/>
                <w:color w:val="auto"/>
                <w:szCs w:val="21"/>
                <w:lang w:val="en-US" w:eastAsia="zh-CN"/>
              </w:rPr>
              <w:t>①控制设备噪声</w:t>
            </w:r>
          </w:p>
          <w:p>
            <w:pPr>
              <w:adjustRightInd w:val="0"/>
              <w:snapToGrid w:val="0"/>
              <w:jc w:val="both"/>
              <w:rPr>
                <w:rFonts w:hint="eastAsia"/>
                <w:color w:val="auto"/>
                <w:szCs w:val="21"/>
                <w:lang w:val="en-US" w:eastAsia="zh-CN"/>
              </w:rPr>
            </w:pPr>
            <w:r>
              <w:rPr>
                <w:rFonts w:hint="eastAsia"/>
                <w:color w:val="auto"/>
                <w:szCs w:val="21"/>
                <w:lang w:val="en-US" w:eastAsia="zh-CN"/>
              </w:rPr>
              <w:t>选用低噪声设备，将噪声较高的设备安装在车间中部，并安装减振底座，通过车间的隔声和安装减振底座等措施后，可降低噪声源强。</w:t>
            </w:r>
          </w:p>
          <w:p>
            <w:pPr>
              <w:adjustRightInd w:val="0"/>
              <w:snapToGrid w:val="0"/>
              <w:jc w:val="both"/>
              <w:rPr>
                <w:rFonts w:hint="eastAsia"/>
                <w:color w:val="auto"/>
                <w:szCs w:val="21"/>
                <w:lang w:val="en-US" w:eastAsia="zh-CN"/>
              </w:rPr>
            </w:pPr>
            <w:r>
              <w:rPr>
                <w:rFonts w:hint="eastAsia"/>
                <w:color w:val="auto"/>
                <w:szCs w:val="21"/>
                <w:lang w:val="en-US" w:eastAsia="zh-CN"/>
              </w:rPr>
              <w:t>②合理布局</w:t>
            </w:r>
          </w:p>
          <w:p>
            <w:pPr>
              <w:adjustRightInd w:val="0"/>
              <w:snapToGrid w:val="0"/>
              <w:jc w:val="both"/>
              <w:rPr>
                <w:rFonts w:hint="eastAsia"/>
                <w:color w:val="auto"/>
                <w:szCs w:val="21"/>
                <w:lang w:val="en-US" w:eastAsia="zh-CN"/>
              </w:rPr>
            </w:pPr>
            <w:r>
              <w:rPr>
                <w:rFonts w:hint="eastAsia"/>
                <w:color w:val="auto"/>
                <w:szCs w:val="21"/>
                <w:lang w:val="en-US" w:eastAsia="zh-CN"/>
              </w:rPr>
              <w:t>在厂区总图设计上科学规划，合理布局，将高噪声设备放置在厂区中间、集中管理、远离办公生活区及周边环境敏感保护目标，充分利用距离衰减和厂房隔声作用降噪，减小对外环境的影响。</w:t>
            </w:r>
          </w:p>
          <w:p>
            <w:pPr>
              <w:adjustRightInd w:val="0"/>
              <w:snapToGrid w:val="0"/>
              <w:jc w:val="both"/>
              <w:rPr>
                <w:rFonts w:hint="eastAsia"/>
                <w:color w:val="auto"/>
                <w:szCs w:val="21"/>
                <w:lang w:val="en-US" w:eastAsia="zh-CN"/>
              </w:rPr>
            </w:pPr>
            <w:r>
              <w:rPr>
                <w:rFonts w:hint="eastAsia"/>
                <w:color w:val="auto"/>
                <w:szCs w:val="21"/>
                <w:lang w:val="en-US" w:eastAsia="zh-CN"/>
              </w:rPr>
              <w:t>③基础减震</w:t>
            </w:r>
          </w:p>
          <w:p>
            <w:pPr>
              <w:adjustRightInd w:val="0"/>
              <w:snapToGrid w:val="0"/>
              <w:jc w:val="both"/>
              <w:rPr>
                <w:rFonts w:hint="eastAsia"/>
                <w:color w:val="auto"/>
                <w:szCs w:val="21"/>
                <w:lang w:val="en-US" w:eastAsia="zh-CN"/>
              </w:rPr>
            </w:pPr>
            <w:r>
              <w:rPr>
                <w:rFonts w:hint="eastAsia"/>
                <w:color w:val="auto"/>
                <w:szCs w:val="21"/>
                <w:lang w:val="en-US" w:eastAsia="zh-CN"/>
              </w:rPr>
              <w:t>在设备安装时，对高噪声设备采取减震、隔震等措施。对于排风管道进出口加柔性软接头，以降低分机噪声对周围环境的影响。</w:t>
            </w:r>
          </w:p>
          <w:p>
            <w:pPr>
              <w:adjustRightInd w:val="0"/>
              <w:snapToGrid w:val="0"/>
              <w:jc w:val="both"/>
              <w:rPr>
                <w:color w:val="auto"/>
                <w:szCs w:val="21"/>
              </w:rPr>
            </w:pPr>
            <w:r>
              <w:rPr>
                <w:rFonts w:hint="eastAsia"/>
                <w:color w:val="auto"/>
                <w:szCs w:val="21"/>
                <w:lang w:val="en-US" w:eastAsia="zh-CN"/>
              </w:rPr>
              <w:t>④加强建筑物隔声措施本项目生产车间全部采用封闭式，加强了生产车间隔声作用。</w:t>
            </w:r>
          </w:p>
        </w:tc>
        <w:tc>
          <w:tcPr>
            <w:tcW w:w="583" w:type="pct"/>
            <w:noWrap w:val="0"/>
            <w:vAlign w:val="center"/>
          </w:tcPr>
          <w:p>
            <w:pPr>
              <w:adjustRightInd w:val="0"/>
              <w:snapToGrid w:val="0"/>
              <w:jc w:val="center"/>
              <w:rPr>
                <w:color w:val="auto"/>
                <w:szCs w:val="21"/>
              </w:rPr>
            </w:pPr>
            <w:r>
              <w:rPr>
                <w:color w:val="auto"/>
                <w:szCs w:val="21"/>
              </w:rPr>
              <w:t>执行《工业企业厂界环境噪声排放标准》（GB12348-2008）2类标准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振动</w:t>
            </w:r>
          </w:p>
        </w:tc>
        <w:tc>
          <w:tcPr>
            <w:tcW w:w="1979" w:type="pct"/>
            <w:noWrap w:val="0"/>
            <w:vAlign w:val="center"/>
          </w:tcPr>
          <w:p>
            <w:pPr>
              <w:adjustRightInd w:val="0"/>
              <w:snapToGrid w:val="0"/>
              <w:rPr>
                <w:color w:val="auto"/>
                <w:szCs w:val="21"/>
              </w:rPr>
            </w:pPr>
            <w:r>
              <w:rPr>
                <w:color w:val="auto"/>
                <w:szCs w:val="21"/>
              </w:rPr>
              <w:t>/</w:t>
            </w:r>
          </w:p>
        </w:tc>
        <w:tc>
          <w:tcPr>
            <w:tcW w:w="374" w:type="pct"/>
            <w:noWrap w:val="0"/>
            <w:vAlign w:val="center"/>
          </w:tcPr>
          <w:p>
            <w:pPr>
              <w:adjustRightInd w:val="0"/>
              <w:snapToGrid w:val="0"/>
              <w:jc w:val="center"/>
              <w:rPr>
                <w:color w:val="auto"/>
                <w:szCs w:val="21"/>
              </w:rPr>
            </w:pPr>
            <w:r>
              <w:rPr>
                <w:color w:val="auto"/>
                <w:szCs w:val="21"/>
              </w:rPr>
              <w:t>/</w:t>
            </w:r>
          </w:p>
        </w:tc>
        <w:tc>
          <w:tcPr>
            <w:tcW w:w="1439" w:type="pct"/>
            <w:noWrap w:val="0"/>
            <w:vAlign w:val="center"/>
          </w:tcPr>
          <w:p>
            <w:pPr>
              <w:adjustRightInd w:val="0"/>
              <w:snapToGrid w:val="0"/>
              <w:rPr>
                <w:color w:val="auto"/>
                <w:szCs w:val="21"/>
              </w:rPr>
            </w:pPr>
            <w:r>
              <w:rPr>
                <w:color w:val="auto"/>
                <w:szCs w:val="21"/>
              </w:rPr>
              <w:t>/</w:t>
            </w:r>
          </w:p>
        </w:tc>
        <w:tc>
          <w:tcPr>
            <w:tcW w:w="583" w:type="pct"/>
            <w:noWrap w:val="0"/>
            <w:vAlign w:val="center"/>
          </w:tcPr>
          <w:p>
            <w:pPr>
              <w:adjustRightInd w:val="0"/>
              <w:snapToGrid w:val="0"/>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23" w:type="pct"/>
            <w:noWrap w:val="0"/>
            <w:vAlign w:val="center"/>
          </w:tcPr>
          <w:p>
            <w:pPr>
              <w:adjustRightInd w:val="0"/>
              <w:snapToGrid w:val="0"/>
              <w:jc w:val="center"/>
              <w:rPr>
                <w:color w:val="auto"/>
                <w:szCs w:val="21"/>
              </w:rPr>
            </w:pPr>
            <w:r>
              <w:rPr>
                <w:color w:val="auto"/>
                <w:szCs w:val="21"/>
              </w:rPr>
              <w:t>大气环境</w:t>
            </w:r>
          </w:p>
        </w:tc>
        <w:tc>
          <w:tcPr>
            <w:tcW w:w="1979" w:type="pct"/>
            <w:noWrap w:val="0"/>
            <w:vAlign w:val="center"/>
          </w:tcPr>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color w:val="auto"/>
                <w:sz w:val="21"/>
                <w:szCs w:val="21"/>
              </w:rPr>
            </w:pPr>
            <w:r>
              <w:rPr>
                <w:color w:val="auto"/>
                <w:sz w:val="21"/>
                <w:szCs w:val="21"/>
              </w:rPr>
              <w:t>（1）参照“6个百分百”防治施工期扬尘污染，施工工地周边100%围挡、物料堆放100%覆盖、施工现场地面100%硬化、工地100%湿法作业、渣土车辆100%密闭运输；施工单位其纳入日常动态监管范围，加大施工扬尘污染的治理力度，确保大气污染防治要求落到实处；</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（2）土方开挖等施工采用湿法作业方式。施工场地、道路合理调配土方量，做到挖填方平衡，减少扬尘产生量</w:t>
            </w:r>
            <w:r>
              <w:rPr>
                <w:rFonts w:hint="eastAsia"/>
                <w:color w:val="auto"/>
                <w:sz w:val="21"/>
                <w:szCs w:val="21"/>
                <w:lang w:eastAsia="zh-CN"/>
              </w:rPr>
              <w:t>；</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（3）施工单位需配备洒水车1辆，每日对施工场地及运输道路洒水，确保地表湿度，减少起尘量</w:t>
            </w:r>
            <w:r>
              <w:rPr>
                <w:rFonts w:hint="eastAsia"/>
                <w:color w:val="auto"/>
                <w:sz w:val="21"/>
                <w:szCs w:val="21"/>
                <w:lang w:eastAsia="zh-CN"/>
              </w:rPr>
              <w:t>；</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（4）施工工地周围和材料堆放场采取覆盖防尘布遮盖；粉状材料运输车辆全覆盖</w:t>
            </w:r>
            <w:r>
              <w:rPr>
                <w:rFonts w:hint="eastAsia"/>
                <w:color w:val="auto"/>
                <w:sz w:val="21"/>
                <w:szCs w:val="21"/>
                <w:lang w:eastAsia="zh-CN"/>
              </w:rPr>
              <w:t>；</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5）合理制定施工布局及时间安排，在开挖区配备洒水软管等洒水降尘设施，降低表土剥离、装卸过程起尘量；土方运输车辆装载高度不得超过槽帮上沿，限速行驶，避免物料沿途撒漏。同时要按照批准路线和时限清运</w:t>
            </w:r>
            <w:r>
              <w:rPr>
                <w:rFonts w:hint="eastAsia"/>
                <w:color w:val="auto"/>
                <w:sz w:val="21"/>
                <w:szCs w:val="21"/>
                <w:lang w:eastAsia="zh-CN"/>
              </w:rPr>
              <w:t>；</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（6）开挖区及道路定期洒水降尘，大风天气下严禁排土作业，并用防风抑尘网苫盖</w:t>
            </w:r>
            <w:r>
              <w:rPr>
                <w:rFonts w:hint="eastAsia"/>
                <w:color w:val="auto"/>
                <w:sz w:val="21"/>
                <w:szCs w:val="21"/>
                <w:lang w:eastAsia="zh-CN"/>
              </w:rPr>
              <w:t>；</w:t>
            </w:r>
          </w:p>
          <w:p>
            <w:pPr>
              <w:pStyle w:val="26"/>
              <w:ind w:left="0" w:leftChars="0" w:firstLine="0" w:firstLineChars="0"/>
              <w:jc w:val="both"/>
              <w:rPr>
                <w:color w:val="auto"/>
                <w:sz w:val="21"/>
                <w:szCs w:val="21"/>
              </w:rPr>
            </w:pPr>
            <w:r>
              <w:rPr>
                <w:color w:val="auto"/>
                <w:sz w:val="21"/>
                <w:szCs w:val="21"/>
              </w:rPr>
              <w:t>（7）加强施工管理，做到文明施工，严禁野蛮施工及在大风天气下施工作业</w:t>
            </w:r>
          </w:p>
        </w:tc>
        <w:tc>
          <w:tcPr>
            <w:tcW w:w="374" w:type="pct"/>
            <w:noWrap w:val="0"/>
            <w:vAlign w:val="center"/>
          </w:tcPr>
          <w:p>
            <w:pPr>
              <w:adjustRightInd w:val="0"/>
              <w:snapToGrid w:val="0"/>
              <w:rPr>
                <w:color w:val="auto"/>
                <w:szCs w:val="21"/>
              </w:rPr>
            </w:pPr>
            <w:r>
              <w:rPr>
                <w:color w:val="auto"/>
                <w:szCs w:val="21"/>
              </w:rPr>
              <w:t>项目施工期扬尘和施工车辆尾气排放执行《大气污染物综合排放标准》（GB16297-1996）中的无组织排放监控浓度限值</w:t>
            </w:r>
          </w:p>
        </w:tc>
        <w:tc>
          <w:tcPr>
            <w:tcW w:w="1439" w:type="pct"/>
            <w:tcBorders>
              <w:bottom w:val="single" w:color="000000" w:sz="6" w:space="0"/>
            </w:tcBorders>
            <w:noWrap w:val="0"/>
            <w:vAlign w:val="center"/>
          </w:tcPr>
          <w:p>
            <w:pPr>
              <w:adjustRightInd w:val="0"/>
              <w:snapToGrid w:val="0"/>
              <w:jc w:val="both"/>
              <w:rPr>
                <w:color w:val="auto"/>
              </w:rPr>
            </w:pPr>
            <w:r>
              <w:rPr>
                <w:rFonts w:hint="eastAsia"/>
                <w:color w:val="auto"/>
                <w:lang w:val="en-US" w:eastAsia="zh-CN"/>
              </w:rPr>
              <w:t>①</w:t>
            </w:r>
            <w:r>
              <w:rPr>
                <w:color w:val="auto"/>
              </w:rPr>
              <w:t>破碎、筛分有组织废气防治措施</w:t>
            </w:r>
          </w:p>
          <w:p>
            <w:pPr>
              <w:adjustRightInd w:val="0"/>
              <w:snapToGrid w:val="0"/>
              <w:jc w:val="both"/>
              <w:rPr>
                <w:color w:val="auto"/>
              </w:rPr>
            </w:pPr>
            <w:r>
              <w:rPr>
                <w:color w:val="auto"/>
              </w:rPr>
              <w:t>项目破碎工序给料机、筛分及破碎设备上方安装集气罩对产生粉尘进行收集，收集的粉尘通过管道引至布袋除尘器处理达标后通过15m高排气筒（DA001）</w:t>
            </w:r>
            <w:r>
              <w:rPr>
                <w:rFonts w:hint="eastAsia"/>
                <w:color w:val="auto"/>
                <w:lang w:val="en-US" w:eastAsia="zh-CN"/>
              </w:rPr>
              <w:t>排放</w:t>
            </w:r>
            <w:r>
              <w:rPr>
                <w:color w:val="auto"/>
              </w:rPr>
              <w:t>；集气罩集尘效率90%，布袋除尘器除尘效率9</w:t>
            </w:r>
            <w:r>
              <w:rPr>
                <w:rFonts w:hint="eastAsia"/>
                <w:color w:val="auto"/>
                <w:lang w:val="en-US" w:eastAsia="zh-CN"/>
              </w:rPr>
              <w:t>8</w:t>
            </w:r>
            <w:r>
              <w:rPr>
                <w:color w:val="auto"/>
              </w:rPr>
              <w:t>%，经处理后排放浓度满足《砖瓦工业大气污染物排放标准》（GB29620-2013）表2</w:t>
            </w:r>
            <w:r>
              <w:rPr>
                <w:rFonts w:hint="eastAsia"/>
                <w:color w:val="auto"/>
                <w:lang w:val="en-US" w:eastAsia="zh-CN"/>
              </w:rPr>
              <w:t>排放</w:t>
            </w:r>
            <w:r>
              <w:rPr>
                <w:color w:val="auto"/>
              </w:rPr>
              <w:t>限值。</w:t>
            </w:r>
          </w:p>
          <w:p>
            <w:pPr>
              <w:adjustRightInd w:val="0"/>
              <w:snapToGrid w:val="0"/>
              <w:rPr>
                <w:color w:val="auto"/>
              </w:rPr>
            </w:pPr>
            <w:r>
              <w:rPr>
                <w:rFonts w:hint="eastAsia"/>
                <w:color w:val="auto"/>
              </w:rPr>
              <w:t>②</w:t>
            </w:r>
            <w:r>
              <w:rPr>
                <w:color w:val="auto"/>
              </w:rPr>
              <w:t>隧道窑有组织废气防治措施</w:t>
            </w:r>
          </w:p>
          <w:p>
            <w:pPr>
              <w:adjustRightInd w:val="0"/>
              <w:snapToGrid w:val="0"/>
              <w:rPr>
                <w:color w:val="auto"/>
              </w:rPr>
            </w:pPr>
            <w:r>
              <w:rPr>
                <w:color w:val="auto"/>
              </w:rPr>
              <w:t>项目隧道窑干燥、焙烧废气经</w:t>
            </w:r>
            <w:r>
              <w:rPr>
                <w:rFonts w:hint="eastAsia"/>
                <w:color w:val="auto"/>
              </w:rPr>
              <w:t>引风机送至</w:t>
            </w:r>
            <w:r>
              <w:rPr>
                <w:color w:val="auto"/>
              </w:rPr>
              <w:t>SNCR脱硝+</w:t>
            </w:r>
            <w:r>
              <w:rPr>
                <w:rFonts w:hint="eastAsia"/>
                <w:color w:val="auto"/>
                <w:lang w:val="en-US" w:eastAsia="zh-CN"/>
              </w:rPr>
              <w:t>袋式除尘+</w:t>
            </w:r>
            <w:r>
              <w:rPr>
                <w:rFonts w:hint="eastAsia"/>
                <w:color w:val="auto"/>
              </w:rPr>
              <w:t>湿</w:t>
            </w:r>
            <w:r>
              <w:rPr>
                <w:color w:val="auto"/>
              </w:rPr>
              <w:t>法</w:t>
            </w:r>
            <w:r>
              <w:rPr>
                <w:rFonts w:hint="eastAsia"/>
                <w:color w:val="auto"/>
                <w:lang w:eastAsia="zh-CN"/>
              </w:rPr>
              <w:t>（</w:t>
            </w:r>
            <w:r>
              <w:rPr>
                <w:rFonts w:hint="eastAsia"/>
                <w:color w:val="auto"/>
                <w:lang w:val="en-US" w:eastAsia="zh-CN"/>
              </w:rPr>
              <w:t>喷淋</w:t>
            </w:r>
            <w:r>
              <w:rPr>
                <w:rFonts w:hint="eastAsia"/>
                <w:color w:val="auto"/>
                <w:lang w:eastAsia="zh-CN"/>
              </w:rPr>
              <w:t>）</w:t>
            </w:r>
            <w:r>
              <w:rPr>
                <w:color w:val="auto"/>
              </w:rPr>
              <w:t>脱硫</w:t>
            </w:r>
            <w:r>
              <w:rPr>
                <w:rFonts w:hint="eastAsia"/>
                <w:color w:val="auto"/>
                <w:lang w:val="en-US" w:eastAsia="zh-CN"/>
              </w:rPr>
              <w:t>并协同</w:t>
            </w:r>
            <w:r>
              <w:rPr>
                <w:color w:val="auto"/>
              </w:rPr>
              <w:t>脱氟</w:t>
            </w:r>
            <w:r>
              <w:rPr>
                <w:rFonts w:hint="eastAsia"/>
                <w:color w:val="auto"/>
                <w:lang w:val="en-US" w:eastAsia="zh-CN"/>
              </w:rPr>
              <w:t>烟气处理设施</w:t>
            </w:r>
            <w:r>
              <w:rPr>
                <w:color w:val="auto"/>
              </w:rPr>
              <w:t>处理后经</w:t>
            </w:r>
            <w:r>
              <w:rPr>
                <w:rFonts w:hint="eastAsia"/>
                <w:color w:val="auto"/>
                <w:lang w:val="en-US" w:eastAsia="zh-CN"/>
              </w:rPr>
              <w:t>33</w:t>
            </w:r>
            <w:r>
              <w:rPr>
                <w:color w:val="auto"/>
              </w:rPr>
              <w:t>m高排气筒</w:t>
            </w:r>
            <w:r>
              <w:rPr>
                <w:rFonts w:hint="eastAsia"/>
                <w:color w:val="auto"/>
              </w:rPr>
              <w:t>（DA</w:t>
            </w:r>
            <w:r>
              <w:rPr>
                <w:color w:val="auto"/>
              </w:rPr>
              <w:t>002</w:t>
            </w:r>
            <w:r>
              <w:rPr>
                <w:rFonts w:hint="eastAsia"/>
                <w:color w:val="auto"/>
              </w:rPr>
              <w:t>）</w:t>
            </w:r>
            <w:r>
              <w:rPr>
                <w:color w:val="auto"/>
              </w:rPr>
              <w:t>排放。</w:t>
            </w:r>
          </w:p>
          <w:p>
            <w:pPr>
              <w:pStyle w:val="27"/>
              <w:spacing w:after="0"/>
              <w:ind w:left="0" w:leftChars="0" w:firstLine="0"/>
              <w:rPr>
                <w:color w:val="auto"/>
                <w:kern w:val="2"/>
                <w:sz w:val="21"/>
                <w:szCs w:val="21"/>
              </w:rPr>
            </w:pPr>
            <w:r>
              <w:rPr>
                <w:rFonts w:hint="eastAsia"/>
                <w:color w:val="auto"/>
                <w:kern w:val="2"/>
                <w:sz w:val="21"/>
                <w:szCs w:val="21"/>
              </w:rPr>
              <w:t>③</w:t>
            </w:r>
            <w:r>
              <w:rPr>
                <w:color w:val="auto"/>
                <w:kern w:val="2"/>
                <w:sz w:val="21"/>
                <w:szCs w:val="21"/>
              </w:rPr>
              <w:t>粘土矿区扬尘防治措施</w:t>
            </w:r>
          </w:p>
          <w:p>
            <w:pPr>
              <w:pStyle w:val="27"/>
              <w:spacing w:after="0"/>
              <w:ind w:left="0" w:leftChars="0" w:firstLine="0"/>
              <w:rPr>
                <w:color w:val="auto"/>
                <w:kern w:val="2"/>
                <w:sz w:val="21"/>
                <w:szCs w:val="21"/>
              </w:rPr>
            </w:pPr>
            <w:r>
              <w:rPr>
                <w:color w:val="auto"/>
                <w:kern w:val="2"/>
                <w:sz w:val="21"/>
                <w:szCs w:val="21"/>
              </w:rPr>
              <w:t>项目粘土矿区采取</w:t>
            </w:r>
            <w:r>
              <w:rPr>
                <w:rFonts w:hint="eastAsia"/>
                <w:color w:val="auto"/>
                <w:kern w:val="2"/>
                <w:sz w:val="21"/>
                <w:szCs w:val="21"/>
              </w:rPr>
              <w:t>取土前洒水（降低74%以上扬尘）及取土过程喷雾降尘（</w:t>
            </w:r>
            <w:r>
              <w:rPr>
                <w:rFonts w:hint="eastAsia"/>
                <w:color w:val="auto"/>
                <w:kern w:val="2"/>
                <w:sz w:val="21"/>
                <w:szCs w:val="21"/>
                <w:lang w:val="en-US" w:eastAsia="zh-CN"/>
              </w:rPr>
              <w:t>降低</w:t>
            </w:r>
            <w:r>
              <w:rPr>
                <w:rFonts w:hint="eastAsia"/>
                <w:color w:val="auto"/>
                <w:kern w:val="2"/>
                <w:sz w:val="21"/>
                <w:szCs w:val="21"/>
              </w:rPr>
              <w:t>74%以上扬尘）</w:t>
            </w:r>
            <w:r>
              <w:rPr>
                <w:color w:val="auto"/>
                <w:kern w:val="2"/>
                <w:sz w:val="21"/>
                <w:szCs w:val="21"/>
              </w:rPr>
              <w:t>方式降低扬尘排放。</w:t>
            </w:r>
          </w:p>
          <w:p>
            <w:pPr>
              <w:pStyle w:val="27"/>
              <w:spacing w:after="0"/>
              <w:ind w:left="0" w:leftChars="0" w:firstLine="0"/>
              <w:rPr>
                <w:rFonts w:hint="default"/>
                <w:color w:val="auto"/>
                <w:kern w:val="2"/>
                <w:sz w:val="21"/>
                <w:szCs w:val="21"/>
                <w:lang w:val="en-US" w:eastAsia="zh-CN"/>
              </w:rPr>
            </w:pPr>
            <w:r>
              <w:rPr>
                <w:rFonts w:hint="eastAsia"/>
                <w:color w:val="auto"/>
                <w:kern w:val="2"/>
                <w:sz w:val="21"/>
                <w:szCs w:val="21"/>
                <w:lang w:val="en-US" w:eastAsia="zh-CN"/>
              </w:rPr>
              <w:t>④粘土装卸及堆放粉尘防治措施</w:t>
            </w:r>
          </w:p>
          <w:p>
            <w:pPr>
              <w:pStyle w:val="27"/>
              <w:spacing w:after="0"/>
              <w:ind w:left="0" w:leftChars="0" w:firstLine="0"/>
              <w:rPr>
                <w:rFonts w:hint="eastAsia" w:eastAsia="宋体"/>
                <w:color w:val="auto"/>
                <w:kern w:val="2"/>
                <w:sz w:val="21"/>
                <w:szCs w:val="21"/>
                <w:lang w:val="en-US" w:eastAsia="zh-CN"/>
              </w:rPr>
            </w:pPr>
            <w:r>
              <w:rPr>
                <w:rFonts w:hint="eastAsia"/>
                <w:color w:val="auto"/>
                <w:kern w:val="2"/>
                <w:sz w:val="21"/>
                <w:szCs w:val="21"/>
                <w:lang w:val="en-US" w:eastAsia="zh-CN"/>
              </w:rPr>
              <w:t>项目粘土开采区采用开采前洒水、开采过程中雾炮喷雾及堆放在全封闭式车间内等措施，洒水及喷雾的控制效率为74%，全封闭式堆棚的控制效率为99%。</w:t>
            </w:r>
          </w:p>
          <w:p>
            <w:pPr>
              <w:pStyle w:val="27"/>
              <w:spacing w:after="0"/>
              <w:ind w:left="0" w:leftChars="0" w:firstLine="0"/>
              <w:rPr>
                <w:color w:val="auto"/>
                <w:kern w:val="2"/>
                <w:sz w:val="21"/>
                <w:szCs w:val="21"/>
              </w:rPr>
            </w:pPr>
            <w:r>
              <w:rPr>
                <w:rFonts w:hint="eastAsia"/>
                <w:color w:val="auto"/>
                <w:kern w:val="2"/>
                <w:sz w:val="21"/>
                <w:szCs w:val="21"/>
              </w:rPr>
              <w:t>④</w:t>
            </w:r>
            <w:r>
              <w:rPr>
                <w:rFonts w:hint="eastAsia"/>
                <w:color w:val="auto"/>
                <w:kern w:val="2"/>
                <w:sz w:val="21"/>
                <w:szCs w:val="21"/>
                <w:lang w:val="en-US" w:eastAsia="zh-CN"/>
              </w:rPr>
              <w:t>煤矸石堆棚</w:t>
            </w:r>
            <w:r>
              <w:rPr>
                <w:color w:val="auto"/>
                <w:kern w:val="2"/>
                <w:sz w:val="21"/>
                <w:szCs w:val="21"/>
              </w:rPr>
              <w:t>粉尘</w:t>
            </w:r>
          </w:p>
          <w:p>
            <w:pPr>
              <w:pStyle w:val="27"/>
              <w:spacing w:after="0"/>
              <w:ind w:left="0" w:leftChars="0" w:firstLine="0"/>
              <w:rPr>
                <w:color w:val="auto"/>
                <w:kern w:val="2"/>
                <w:sz w:val="21"/>
                <w:szCs w:val="21"/>
              </w:rPr>
            </w:pPr>
            <w:r>
              <w:rPr>
                <w:color w:val="auto"/>
                <w:kern w:val="2"/>
                <w:sz w:val="21"/>
                <w:szCs w:val="21"/>
              </w:rPr>
              <w:t>项目</w:t>
            </w:r>
            <w:r>
              <w:rPr>
                <w:rFonts w:hint="eastAsia"/>
                <w:color w:val="auto"/>
                <w:kern w:val="2"/>
                <w:sz w:val="21"/>
                <w:szCs w:val="21"/>
                <w:lang w:val="en-US" w:eastAsia="zh-CN"/>
              </w:rPr>
              <w:t>煤矸石储存于全封闭式堆棚内</w:t>
            </w:r>
            <w:r>
              <w:rPr>
                <w:color w:val="auto"/>
                <w:kern w:val="2"/>
                <w:sz w:val="21"/>
                <w:szCs w:val="21"/>
              </w:rPr>
              <w:t>，煤矸石堆棚采用</w:t>
            </w:r>
            <w:r>
              <w:rPr>
                <w:rFonts w:hint="eastAsia"/>
                <w:color w:val="auto"/>
                <w:kern w:val="2"/>
                <w:sz w:val="21"/>
                <w:szCs w:val="21"/>
              </w:rPr>
              <w:t>洒水+</w:t>
            </w:r>
            <w:r>
              <w:rPr>
                <w:rFonts w:hint="eastAsia"/>
                <w:color w:val="auto"/>
                <w:kern w:val="2"/>
                <w:sz w:val="21"/>
                <w:szCs w:val="21"/>
                <w:lang w:val="en-US" w:eastAsia="zh-CN"/>
              </w:rPr>
              <w:t>全</w:t>
            </w:r>
            <w:r>
              <w:rPr>
                <w:color w:val="auto"/>
                <w:kern w:val="2"/>
                <w:sz w:val="21"/>
                <w:szCs w:val="21"/>
              </w:rPr>
              <w:t>封闭式</w:t>
            </w:r>
            <w:r>
              <w:rPr>
                <w:rFonts w:hint="eastAsia"/>
                <w:color w:val="auto"/>
                <w:kern w:val="2"/>
                <w:sz w:val="21"/>
                <w:szCs w:val="21"/>
              </w:rPr>
              <w:t>措施。</w:t>
            </w:r>
          </w:p>
          <w:p>
            <w:pPr>
              <w:pStyle w:val="27"/>
              <w:spacing w:after="0"/>
              <w:ind w:left="0" w:leftChars="0" w:firstLine="0"/>
              <w:rPr>
                <w:color w:val="auto"/>
                <w:kern w:val="2"/>
                <w:sz w:val="21"/>
                <w:szCs w:val="21"/>
              </w:rPr>
            </w:pPr>
            <w:r>
              <w:rPr>
                <w:rFonts w:hint="eastAsia"/>
                <w:color w:val="auto"/>
                <w:kern w:val="2"/>
                <w:sz w:val="21"/>
                <w:szCs w:val="21"/>
              </w:rPr>
              <w:t>⑤</w:t>
            </w:r>
            <w:r>
              <w:rPr>
                <w:color w:val="auto"/>
                <w:kern w:val="2"/>
                <w:sz w:val="21"/>
                <w:szCs w:val="21"/>
              </w:rPr>
              <w:t>破碎、筛分粉尘</w:t>
            </w:r>
          </w:p>
          <w:p>
            <w:pPr>
              <w:pStyle w:val="27"/>
              <w:spacing w:after="0"/>
              <w:ind w:left="0" w:leftChars="0" w:firstLine="0"/>
              <w:rPr>
                <w:color w:val="auto"/>
                <w:kern w:val="2"/>
                <w:sz w:val="21"/>
                <w:szCs w:val="21"/>
              </w:rPr>
            </w:pPr>
            <w:r>
              <w:rPr>
                <w:color w:val="auto"/>
                <w:kern w:val="2"/>
                <w:sz w:val="21"/>
                <w:szCs w:val="21"/>
              </w:rPr>
              <w:t>项目运营期原料煤矸石</w:t>
            </w:r>
            <w:r>
              <w:rPr>
                <w:rFonts w:hint="eastAsia"/>
                <w:color w:val="auto"/>
                <w:kern w:val="2"/>
                <w:sz w:val="21"/>
                <w:szCs w:val="21"/>
              </w:rPr>
              <w:t>、</w:t>
            </w:r>
            <w:r>
              <w:rPr>
                <w:color w:val="auto"/>
                <w:kern w:val="2"/>
                <w:sz w:val="21"/>
                <w:szCs w:val="21"/>
              </w:rPr>
              <w:t>粘土在破碎、筛分工序在密闭车间进行，集气罩未收集</w:t>
            </w:r>
            <w:r>
              <w:rPr>
                <w:rFonts w:hint="eastAsia"/>
                <w:color w:val="auto"/>
                <w:kern w:val="2"/>
                <w:sz w:val="21"/>
                <w:szCs w:val="21"/>
              </w:rPr>
              <w:t>（10%）</w:t>
            </w:r>
            <w:r>
              <w:rPr>
                <w:color w:val="auto"/>
                <w:kern w:val="2"/>
                <w:sz w:val="21"/>
                <w:szCs w:val="21"/>
              </w:rPr>
              <w:t>的</w:t>
            </w:r>
            <w:r>
              <w:rPr>
                <w:rFonts w:hint="eastAsia"/>
                <w:color w:val="auto"/>
                <w:kern w:val="2"/>
                <w:sz w:val="21"/>
                <w:szCs w:val="21"/>
              </w:rPr>
              <w:t>粉尘通过车间沉降降低无组织粉尘排放量</w:t>
            </w:r>
            <w:r>
              <w:rPr>
                <w:color w:val="auto"/>
                <w:kern w:val="2"/>
                <w:sz w:val="21"/>
                <w:szCs w:val="21"/>
              </w:rPr>
              <w:t>。</w:t>
            </w:r>
          </w:p>
          <w:p>
            <w:pPr>
              <w:pStyle w:val="27"/>
              <w:spacing w:after="0"/>
              <w:ind w:left="0" w:leftChars="0" w:firstLine="0"/>
              <w:rPr>
                <w:color w:val="auto"/>
                <w:kern w:val="2"/>
                <w:sz w:val="21"/>
                <w:szCs w:val="21"/>
              </w:rPr>
            </w:pPr>
            <w:r>
              <w:rPr>
                <w:rFonts w:hint="eastAsia"/>
                <w:color w:val="auto"/>
                <w:kern w:val="2"/>
                <w:sz w:val="21"/>
                <w:szCs w:val="21"/>
              </w:rPr>
              <w:t>⑥运输车辆动力起尘</w:t>
            </w:r>
          </w:p>
          <w:p>
            <w:pPr>
              <w:pStyle w:val="27"/>
              <w:keepNext w:val="0"/>
              <w:keepLines w:val="0"/>
              <w:pageBreakBefore w:val="0"/>
              <w:widowControl w:val="0"/>
              <w:kinsoku/>
              <w:wordWrap/>
              <w:overflowPunct/>
              <w:topLinePunct w:val="0"/>
              <w:autoSpaceDE/>
              <w:autoSpaceDN/>
              <w:bidi w:val="0"/>
              <w:adjustRightInd/>
              <w:snapToGrid/>
              <w:spacing w:after="0"/>
              <w:ind w:left="0" w:leftChars="0" w:firstLine="0"/>
              <w:jc w:val="both"/>
              <w:textAlignment w:val="auto"/>
              <w:rPr>
                <w:rFonts w:hint="eastAsia" w:eastAsia="宋体"/>
                <w:color w:val="auto"/>
                <w:lang w:eastAsia="zh-CN"/>
              </w:rPr>
            </w:pPr>
            <w:r>
              <w:rPr>
                <w:color w:val="auto"/>
                <w:kern w:val="2"/>
                <w:sz w:val="21"/>
                <w:szCs w:val="21"/>
              </w:rPr>
              <w:t>运输车厂内行驶时，车速控制在10km/h以下、路面硬化、车辆清扫并采取洒水措施</w:t>
            </w:r>
            <w:r>
              <w:rPr>
                <w:rFonts w:hint="eastAsia"/>
                <w:color w:val="auto"/>
                <w:kern w:val="2"/>
                <w:sz w:val="21"/>
                <w:szCs w:val="21"/>
              </w:rPr>
              <w:t>可降低扬尘</w:t>
            </w:r>
            <w:r>
              <w:rPr>
                <w:rFonts w:hint="eastAsia"/>
                <w:color w:val="auto"/>
                <w:kern w:val="2"/>
                <w:sz w:val="21"/>
                <w:szCs w:val="21"/>
                <w:lang w:eastAsia="zh-CN"/>
              </w:rPr>
              <w:t>。</w:t>
            </w:r>
          </w:p>
        </w:tc>
        <w:tc>
          <w:tcPr>
            <w:tcW w:w="583" w:type="pct"/>
            <w:tcBorders>
              <w:bottom w:val="single" w:color="000000" w:sz="6" w:space="0"/>
            </w:tcBorders>
            <w:noWrap w:val="0"/>
            <w:vAlign w:val="center"/>
          </w:tcPr>
          <w:p>
            <w:pPr>
              <w:adjustRightInd w:val="0"/>
              <w:snapToGrid w:val="0"/>
              <w:rPr>
                <w:color w:val="auto"/>
                <w:szCs w:val="21"/>
              </w:rPr>
            </w:pPr>
            <w:r>
              <w:rPr>
                <w:color w:val="auto"/>
                <w:szCs w:val="21"/>
              </w:rPr>
              <w:t>《砖瓦工业大气污染物排放标准》（GB29620-2013）中标准限值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固体废物</w:t>
            </w:r>
          </w:p>
        </w:tc>
        <w:tc>
          <w:tcPr>
            <w:tcW w:w="1979" w:type="pct"/>
            <w:noWrap w:val="0"/>
            <w:vAlign w:val="center"/>
          </w:tcPr>
          <w:p>
            <w:pPr>
              <w:adjustRightInd w:val="0"/>
              <w:snapToGrid w:val="0"/>
              <w:jc w:val="both"/>
              <w:rPr>
                <w:color w:val="auto"/>
                <w:szCs w:val="21"/>
              </w:rPr>
            </w:pPr>
            <w:r>
              <w:rPr>
                <w:color w:val="auto"/>
                <w:szCs w:val="21"/>
              </w:rPr>
              <w:t>生活垃圾应定点堆放，场区设置垃圾收集仓，定点收集，定期运送至</w:t>
            </w:r>
            <w:r>
              <w:rPr>
                <w:rFonts w:hint="eastAsia"/>
                <w:color w:val="auto"/>
                <w:szCs w:val="21"/>
                <w:lang w:val="en-US" w:eastAsia="zh-CN"/>
              </w:rPr>
              <w:t>附近</w:t>
            </w:r>
            <w:r>
              <w:rPr>
                <w:color w:val="auto"/>
                <w:szCs w:val="21"/>
              </w:rPr>
              <w:t>生活垃圾暂存点处置；建筑垃圾及时清运，可利用的拉运至附近建筑垃圾再利用企业回用，不能利用的拉运至政府制定地方处置</w:t>
            </w:r>
          </w:p>
        </w:tc>
        <w:tc>
          <w:tcPr>
            <w:tcW w:w="374" w:type="pct"/>
            <w:noWrap w:val="0"/>
            <w:vAlign w:val="center"/>
          </w:tcPr>
          <w:p>
            <w:pPr>
              <w:adjustRightInd w:val="0"/>
              <w:snapToGrid w:val="0"/>
              <w:jc w:val="center"/>
              <w:rPr>
                <w:color w:val="auto"/>
                <w:szCs w:val="21"/>
              </w:rPr>
            </w:pPr>
            <w:r>
              <w:rPr>
                <w:color w:val="auto"/>
                <w:szCs w:val="21"/>
              </w:rPr>
              <w:t>执行《一般工业固体废物贮存和填埋污染控制标准》（GB18599-2020）</w:t>
            </w:r>
          </w:p>
        </w:tc>
        <w:tc>
          <w:tcPr>
            <w:tcW w:w="1439" w:type="pct"/>
            <w:noWrap w:val="0"/>
            <w:vAlign w:val="center"/>
          </w:tcPr>
          <w:p>
            <w:pPr>
              <w:adjustRightInd w:val="0"/>
              <w:snapToGrid w:val="0"/>
              <w:rPr>
                <w:rFonts w:hint="eastAsia" w:eastAsia="宋体"/>
                <w:color w:val="auto"/>
                <w:szCs w:val="21"/>
                <w:lang w:eastAsia="zh-CN"/>
              </w:rPr>
            </w:pPr>
            <w:r>
              <w:rPr>
                <w:rFonts w:hint="eastAsia"/>
                <w:color w:val="auto"/>
                <w:szCs w:val="21"/>
                <w:lang w:val="en-US" w:eastAsia="zh-CN"/>
              </w:rPr>
              <w:t>运营过程中产生的边角料、不合格砖、除尘灰、脱销脱硫脱氟废渣及炉渣回用于生产</w:t>
            </w:r>
            <w:r>
              <w:rPr>
                <w:color w:val="auto"/>
                <w:szCs w:val="21"/>
              </w:rPr>
              <w:t>；</w:t>
            </w:r>
            <w:r>
              <w:rPr>
                <w:rFonts w:hint="eastAsia"/>
                <w:color w:val="auto"/>
                <w:szCs w:val="21"/>
                <w:lang w:val="en-US" w:eastAsia="zh-CN"/>
              </w:rPr>
              <w:t>废包装袋收集后定期外售，非制砖废料收集后定期拉运至政府指定的地点处理；生活垃圾暂存至生活垃圾桶，定期拉运至附近政府指定的位置进行处理；产生的废机油及机油桶，暂存于1座10m</w:t>
            </w:r>
            <w:r>
              <w:rPr>
                <w:rFonts w:hint="eastAsia"/>
                <w:color w:val="auto"/>
                <w:szCs w:val="21"/>
                <w:vertAlign w:val="superscript"/>
                <w:lang w:val="en-US" w:eastAsia="zh-CN"/>
              </w:rPr>
              <w:t>2</w:t>
            </w:r>
            <w:r>
              <w:rPr>
                <w:rFonts w:hint="eastAsia"/>
                <w:color w:val="auto"/>
                <w:szCs w:val="21"/>
                <w:lang w:val="en-US" w:eastAsia="zh-CN"/>
              </w:rPr>
              <w:t>的危险废物暂存间，定期交有资质单位处置；</w:t>
            </w:r>
            <w:r>
              <w:rPr>
                <w:color w:val="auto"/>
                <w:szCs w:val="21"/>
              </w:rPr>
              <w:t>厨余垃圾由餐厨垃圾收集车定期清运收集处置</w:t>
            </w:r>
            <w:r>
              <w:rPr>
                <w:rFonts w:hint="eastAsia"/>
                <w:color w:val="auto"/>
                <w:szCs w:val="21"/>
                <w:lang w:eastAsia="zh-CN"/>
              </w:rPr>
              <w:t>。</w:t>
            </w:r>
          </w:p>
        </w:tc>
        <w:tc>
          <w:tcPr>
            <w:tcW w:w="583" w:type="pct"/>
            <w:noWrap w:val="0"/>
            <w:vAlign w:val="center"/>
          </w:tcPr>
          <w:p>
            <w:pPr>
              <w:adjustRightInd w:val="0"/>
              <w:snapToGrid w:val="0"/>
              <w:rPr>
                <w:rFonts w:hint="default" w:eastAsia="宋体"/>
                <w:color w:val="auto"/>
                <w:szCs w:val="21"/>
                <w:lang w:val="en-US" w:eastAsia="zh-CN"/>
              </w:rPr>
            </w:pPr>
            <w:r>
              <w:rPr>
                <w:rFonts w:hint="eastAsia"/>
                <w:color w:val="auto"/>
                <w:szCs w:val="21"/>
                <w:lang w:val="en-US" w:eastAsia="zh-CN"/>
              </w:rPr>
              <w:t>一般固体废物</w:t>
            </w:r>
            <w:r>
              <w:rPr>
                <w:color w:val="auto"/>
                <w:szCs w:val="21"/>
              </w:rPr>
              <w:t>执行《一般工业固体废物贮存和填埋污染控制标准》（GB18599-2020）</w:t>
            </w:r>
            <w:r>
              <w:rPr>
                <w:rFonts w:hint="eastAsia"/>
                <w:color w:val="auto"/>
                <w:szCs w:val="21"/>
                <w:lang w:eastAsia="zh-CN"/>
              </w:rPr>
              <w:t>；</w:t>
            </w:r>
            <w:r>
              <w:rPr>
                <w:rFonts w:hint="eastAsia"/>
                <w:color w:val="auto"/>
                <w:szCs w:val="21"/>
                <w:lang w:val="en-US" w:eastAsia="zh-CN"/>
              </w:rPr>
              <w:t>危险废物执行《危险废物贮存污染控制标准》（GB18597-2023）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电磁环境</w:t>
            </w:r>
          </w:p>
        </w:tc>
        <w:tc>
          <w:tcPr>
            <w:tcW w:w="1979" w:type="pct"/>
            <w:noWrap w:val="0"/>
            <w:vAlign w:val="center"/>
          </w:tcPr>
          <w:p>
            <w:pPr>
              <w:adjustRightInd w:val="0"/>
              <w:snapToGrid w:val="0"/>
              <w:jc w:val="center"/>
              <w:rPr>
                <w:color w:val="auto"/>
                <w:szCs w:val="21"/>
              </w:rPr>
            </w:pPr>
            <w:r>
              <w:rPr>
                <w:color w:val="auto"/>
                <w:szCs w:val="21"/>
              </w:rPr>
              <w:t>/</w:t>
            </w:r>
          </w:p>
        </w:tc>
        <w:tc>
          <w:tcPr>
            <w:tcW w:w="374" w:type="pct"/>
            <w:noWrap w:val="0"/>
            <w:vAlign w:val="center"/>
          </w:tcPr>
          <w:p>
            <w:pPr>
              <w:adjustRightInd w:val="0"/>
              <w:snapToGrid w:val="0"/>
              <w:rPr>
                <w:color w:val="auto"/>
                <w:szCs w:val="21"/>
              </w:rPr>
            </w:pPr>
            <w:r>
              <w:rPr>
                <w:color w:val="auto"/>
                <w:szCs w:val="21"/>
              </w:rPr>
              <w:t>/</w:t>
            </w:r>
          </w:p>
        </w:tc>
        <w:tc>
          <w:tcPr>
            <w:tcW w:w="1439" w:type="pct"/>
            <w:noWrap w:val="0"/>
            <w:vAlign w:val="center"/>
          </w:tcPr>
          <w:p>
            <w:pPr>
              <w:adjustRightInd w:val="0"/>
              <w:snapToGrid w:val="0"/>
              <w:rPr>
                <w:color w:val="auto"/>
                <w:szCs w:val="21"/>
              </w:rPr>
            </w:pPr>
            <w:r>
              <w:rPr>
                <w:color w:val="auto"/>
                <w:szCs w:val="21"/>
              </w:rPr>
              <w:t>/</w:t>
            </w:r>
          </w:p>
        </w:tc>
        <w:tc>
          <w:tcPr>
            <w:tcW w:w="583" w:type="pct"/>
            <w:noWrap w:val="0"/>
            <w:vAlign w:val="center"/>
          </w:tcPr>
          <w:p>
            <w:pPr>
              <w:adjustRightInd w:val="0"/>
              <w:snapToGrid w:val="0"/>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环境风险</w:t>
            </w:r>
          </w:p>
        </w:tc>
        <w:tc>
          <w:tcPr>
            <w:tcW w:w="1979" w:type="pct"/>
            <w:noWrap w:val="0"/>
            <w:vAlign w:val="center"/>
          </w:tcPr>
          <w:p>
            <w:pPr>
              <w:adjustRightInd w:val="0"/>
              <w:snapToGrid w:val="0"/>
              <w:jc w:val="center"/>
              <w:rPr>
                <w:color w:val="auto"/>
                <w:szCs w:val="21"/>
              </w:rPr>
            </w:pPr>
            <w:r>
              <w:rPr>
                <w:color w:val="auto"/>
                <w:szCs w:val="21"/>
              </w:rPr>
              <w:t>/</w:t>
            </w:r>
          </w:p>
        </w:tc>
        <w:tc>
          <w:tcPr>
            <w:tcW w:w="374" w:type="pct"/>
            <w:noWrap w:val="0"/>
            <w:vAlign w:val="center"/>
          </w:tcPr>
          <w:p>
            <w:pPr>
              <w:adjustRightInd w:val="0"/>
              <w:snapToGrid w:val="0"/>
              <w:rPr>
                <w:color w:val="auto"/>
                <w:szCs w:val="21"/>
              </w:rPr>
            </w:pPr>
            <w:r>
              <w:rPr>
                <w:color w:val="auto"/>
                <w:szCs w:val="21"/>
              </w:rPr>
              <w:t>/</w:t>
            </w:r>
          </w:p>
        </w:tc>
        <w:tc>
          <w:tcPr>
            <w:tcW w:w="1439" w:type="pct"/>
            <w:noWrap w:val="0"/>
            <w:vAlign w:val="center"/>
          </w:tcPr>
          <w:p>
            <w:pPr>
              <w:adjustRightInd w:val="0"/>
              <w:snapToGrid w:val="0"/>
              <w:rPr>
                <w:rFonts w:hint="eastAsia"/>
                <w:color w:val="auto"/>
                <w:szCs w:val="21"/>
              </w:rPr>
            </w:pPr>
            <w:r>
              <w:rPr>
                <w:rFonts w:hint="eastAsia"/>
                <w:color w:val="auto"/>
                <w:szCs w:val="21"/>
              </w:rPr>
              <w:t>（1）废气治理风险事故风险防范措施</w:t>
            </w:r>
          </w:p>
          <w:p>
            <w:pPr>
              <w:adjustRightInd w:val="0"/>
              <w:snapToGrid w:val="0"/>
              <w:rPr>
                <w:rFonts w:hint="eastAsia"/>
                <w:color w:val="auto"/>
                <w:szCs w:val="21"/>
                <w:lang w:eastAsia="zh-CN"/>
              </w:rPr>
            </w:pPr>
            <w:r>
              <w:rPr>
                <w:rFonts w:hint="eastAsia"/>
                <w:color w:val="auto"/>
                <w:szCs w:val="21"/>
              </w:rPr>
              <w:t>①对隧道窑、管道、阀门、接口处都要定期检查，严禁跑、冒、滴、漏现象的发生；应定期对布袋除尘器等进行维护，及时清灰和更换滤袋，做好对炉体运行状况的检查和滤袋的维护，避免高温和低温对滤袋寿命的影响；</w:t>
            </w:r>
            <w:r>
              <w:rPr>
                <w:rFonts w:hint="eastAsia"/>
                <w:color w:val="auto"/>
                <w:szCs w:val="21"/>
                <w:lang w:val="en-US" w:eastAsia="zh-CN"/>
              </w:rPr>
              <w:t>隧道窑烟气处理系统</w:t>
            </w:r>
            <w:r>
              <w:rPr>
                <w:rFonts w:hint="eastAsia"/>
                <w:color w:val="auto"/>
                <w:szCs w:val="21"/>
              </w:rPr>
              <w:t>定期巡检，加强日常维护工作；应针对除尘装置、脱硫塔、SNCR脱硝系统、在线监测设备等制定相应的维护和检修操作规程，定期组织员工培训学习，加强日常值守和监控，一旦发现异常及时检修配备应急电源，作为突然停电时备用电供应；除尘器等废气处理设施，脱硫系统、脱硝系统配套设施采用计算机自动控制和视频监控设备，随时监控污染物浓度，一旦发现隐患及时解决</w:t>
            </w:r>
            <w:r>
              <w:rPr>
                <w:rFonts w:hint="eastAsia"/>
                <w:color w:val="auto"/>
                <w:szCs w:val="21"/>
                <w:lang w:eastAsia="zh-CN"/>
              </w:rPr>
              <w:t>。</w:t>
            </w:r>
          </w:p>
          <w:p>
            <w:pPr>
              <w:adjustRightInd w:val="0"/>
              <w:snapToGrid w:val="0"/>
              <w:rPr>
                <w:rFonts w:hint="eastAsia"/>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rFonts w:hint="eastAsia"/>
                <w:color w:val="auto"/>
                <w:szCs w:val="21"/>
                <w:lang w:val="en-US" w:eastAsia="zh-CN"/>
              </w:rPr>
              <w:t>循环水池废水</w:t>
            </w:r>
            <w:r>
              <w:rPr>
                <w:rFonts w:hint="eastAsia"/>
                <w:color w:val="auto"/>
                <w:szCs w:val="21"/>
              </w:rPr>
              <w:t>泄露风险事故</w:t>
            </w:r>
          </w:p>
          <w:p>
            <w:pPr>
              <w:adjustRightInd w:val="0"/>
              <w:snapToGrid w:val="0"/>
              <w:rPr>
                <w:rFonts w:hint="default"/>
                <w:color w:val="auto"/>
                <w:szCs w:val="21"/>
                <w:lang w:val="en-US" w:eastAsia="zh-CN"/>
              </w:rPr>
            </w:pPr>
            <w:r>
              <w:rPr>
                <w:rFonts w:hint="eastAsia"/>
                <w:color w:val="auto"/>
                <w:szCs w:val="21"/>
                <w:lang w:val="en-US" w:eastAsia="zh-CN"/>
              </w:rPr>
              <w:t>①循环水池严格按照重点防渗区建设，并设符合要求的围堰；</w:t>
            </w:r>
          </w:p>
          <w:p>
            <w:pPr>
              <w:adjustRightInd w:val="0"/>
              <w:snapToGrid w:val="0"/>
              <w:rPr>
                <w:rFonts w:hint="eastAsia"/>
                <w:color w:val="auto"/>
                <w:szCs w:val="21"/>
              </w:rPr>
            </w:pPr>
            <w:r>
              <w:rPr>
                <w:rFonts w:hint="eastAsia"/>
                <w:color w:val="auto"/>
                <w:szCs w:val="21"/>
              </w:rPr>
              <w:t>②制定环境风险排查制度，循环水池为重点排查区域</w:t>
            </w:r>
            <w:r>
              <w:rPr>
                <w:rFonts w:hint="eastAsia"/>
                <w:color w:val="auto"/>
                <w:szCs w:val="21"/>
                <w:lang w:eastAsia="zh-CN"/>
              </w:rPr>
              <w:t>，</w:t>
            </w:r>
            <w:r>
              <w:rPr>
                <w:rFonts w:hint="eastAsia"/>
                <w:color w:val="auto"/>
                <w:szCs w:val="21"/>
                <w:lang w:val="en-US" w:eastAsia="zh-CN"/>
              </w:rPr>
              <w:t>定期对循环水池及管线进行风险排查并做好记录</w:t>
            </w:r>
            <w:r>
              <w:rPr>
                <w:rFonts w:hint="eastAsia"/>
                <w:color w:val="auto"/>
                <w:szCs w:val="21"/>
              </w:rPr>
              <w:t>；</w:t>
            </w:r>
          </w:p>
          <w:p>
            <w:pPr>
              <w:adjustRightInd w:val="0"/>
              <w:snapToGrid w:val="0"/>
              <w:rPr>
                <w:color w:val="auto"/>
                <w:szCs w:val="21"/>
              </w:rPr>
            </w:pPr>
            <w:r>
              <w:rPr>
                <w:rFonts w:hint="eastAsia"/>
                <w:color w:val="auto"/>
                <w:szCs w:val="21"/>
                <w:lang w:val="en-US" w:eastAsia="zh-CN"/>
              </w:rPr>
              <w:t>③做好暴雨期水池水量的控制，避免因溢流导致循环池废水泄露。</w:t>
            </w:r>
          </w:p>
          <w:p>
            <w:pPr>
              <w:adjustRightInd w:val="0"/>
              <w:snapToGrid w:val="0"/>
              <w:rPr>
                <w:rFonts w:hint="eastAsia"/>
                <w:color w:val="auto"/>
                <w:szCs w:val="21"/>
                <w:lang w:eastAsia="zh-CN"/>
              </w:rPr>
            </w:pPr>
            <w:r>
              <w:rPr>
                <w:rFonts w:hint="eastAsia"/>
                <w:color w:val="auto"/>
                <w:szCs w:val="21"/>
                <w:lang w:eastAsia="zh-CN"/>
              </w:rPr>
              <w:t>（</w:t>
            </w:r>
            <w:r>
              <w:rPr>
                <w:rFonts w:hint="eastAsia"/>
                <w:color w:val="auto"/>
                <w:szCs w:val="21"/>
                <w:lang w:val="en-US" w:eastAsia="zh-CN"/>
              </w:rPr>
              <w:t>3</w:t>
            </w:r>
            <w:r>
              <w:rPr>
                <w:rFonts w:hint="eastAsia"/>
                <w:color w:val="auto"/>
                <w:szCs w:val="21"/>
                <w:lang w:eastAsia="zh-CN"/>
              </w:rPr>
              <w:t>）机油、废机油泄露风险事故</w:t>
            </w:r>
          </w:p>
          <w:p>
            <w:pPr>
              <w:adjustRightInd w:val="0"/>
              <w:snapToGrid w:val="0"/>
              <w:rPr>
                <w:rFonts w:hint="eastAsia"/>
                <w:color w:val="auto"/>
                <w:szCs w:val="21"/>
                <w:lang w:eastAsia="zh-CN"/>
              </w:rPr>
            </w:pPr>
            <w:r>
              <w:rPr>
                <w:rFonts w:hint="eastAsia"/>
                <w:color w:val="auto"/>
                <w:szCs w:val="21"/>
                <w:lang w:eastAsia="zh-CN"/>
              </w:rPr>
              <w:t>①危险废物在危废暂存间内要采取隔离贮存，生产过程中产生的危废及时收集；</w:t>
            </w:r>
          </w:p>
          <w:p>
            <w:pPr>
              <w:adjustRightInd w:val="0"/>
              <w:snapToGrid w:val="0"/>
              <w:rPr>
                <w:rFonts w:hint="eastAsia"/>
                <w:color w:val="auto"/>
                <w:szCs w:val="21"/>
                <w:lang w:eastAsia="zh-CN"/>
              </w:rPr>
            </w:pPr>
            <w:r>
              <w:rPr>
                <w:rFonts w:hint="eastAsia"/>
                <w:color w:val="auto"/>
                <w:szCs w:val="21"/>
                <w:lang w:eastAsia="zh-CN"/>
              </w:rPr>
              <w:t>②危废暂存间由专人负责管理，并配备可靠的个人安全防护用品，岗位应设置安全操作规程和注意事项</w:t>
            </w:r>
          </w:p>
          <w:p>
            <w:pPr>
              <w:adjustRightInd w:val="0"/>
              <w:snapToGrid w:val="0"/>
              <w:rPr>
                <w:rFonts w:hint="eastAsia"/>
                <w:color w:val="auto"/>
                <w:szCs w:val="21"/>
              </w:rPr>
            </w:pPr>
            <w:r>
              <w:rPr>
                <w:rFonts w:hint="eastAsia"/>
                <w:color w:val="auto"/>
                <w:szCs w:val="21"/>
              </w:rPr>
              <w:t>③加强跑冒滴漏管理，对破损的容器及阀门及时更换，确保设备完好，以防物料泄漏；</w:t>
            </w:r>
          </w:p>
          <w:p>
            <w:pPr>
              <w:adjustRightInd w:val="0"/>
              <w:snapToGrid w:val="0"/>
              <w:rPr>
                <w:rFonts w:hint="eastAsia" w:eastAsia="宋体"/>
                <w:color w:val="auto"/>
                <w:szCs w:val="21"/>
                <w:lang w:eastAsia="zh-CN"/>
              </w:rPr>
            </w:pPr>
            <w:r>
              <w:rPr>
                <w:rFonts w:hint="eastAsia"/>
                <w:color w:val="auto"/>
                <w:szCs w:val="21"/>
              </w:rPr>
              <w:t>④存储废机油的容器内须留够足够空间，容器顶部与液体表面之间保留100mm以上的空间。液体危险废物需将盛装容器放置在防泄漏托盘内，达到二次保护的作用</w:t>
            </w:r>
            <w:r>
              <w:rPr>
                <w:rFonts w:hint="eastAsia"/>
                <w:color w:val="auto"/>
                <w:szCs w:val="21"/>
                <w:lang w:eastAsia="zh-CN"/>
              </w:rPr>
              <w:t>。</w:t>
            </w:r>
          </w:p>
          <w:p>
            <w:pPr>
              <w:adjustRightInd w:val="0"/>
              <w:snapToGrid w:val="0"/>
              <w:rPr>
                <w:rFonts w:hint="eastAsia"/>
                <w:color w:val="auto"/>
                <w:szCs w:val="21"/>
                <w:lang w:eastAsia="zh-CN"/>
              </w:rPr>
            </w:pPr>
            <w:r>
              <w:rPr>
                <w:rFonts w:hint="eastAsia"/>
                <w:color w:val="auto"/>
                <w:szCs w:val="21"/>
                <w:lang w:eastAsia="zh-CN"/>
              </w:rPr>
              <w:t>（</w:t>
            </w:r>
            <w:r>
              <w:rPr>
                <w:rFonts w:hint="eastAsia"/>
                <w:color w:val="auto"/>
                <w:szCs w:val="21"/>
                <w:lang w:val="en-US" w:eastAsia="zh-CN"/>
              </w:rPr>
              <w:t>4</w:t>
            </w:r>
            <w:r>
              <w:rPr>
                <w:rFonts w:hint="eastAsia"/>
                <w:color w:val="auto"/>
                <w:szCs w:val="21"/>
                <w:lang w:eastAsia="zh-CN"/>
              </w:rPr>
              <w:t>）煤矸石发生火灾风险事故</w:t>
            </w:r>
          </w:p>
          <w:p>
            <w:pPr>
              <w:adjustRightInd w:val="0"/>
              <w:snapToGrid w:val="0"/>
              <w:rPr>
                <w:rFonts w:hint="eastAsia"/>
                <w:color w:val="auto"/>
                <w:szCs w:val="21"/>
                <w:lang w:eastAsia="zh-CN"/>
              </w:rPr>
            </w:pPr>
            <w:r>
              <w:rPr>
                <w:rFonts w:hint="eastAsia"/>
                <w:color w:val="auto"/>
                <w:szCs w:val="21"/>
                <w:lang w:eastAsia="zh-CN"/>
              </w:rPr>
              <w:t>①尽可能避免煤矸石在厂区的大量堆积；</w:t>
            </w:r>
          </w:p>
          <w:p>
            <w:pPr>
              <w:adjustRightInd w:val="0"/>
              <w:snapToGrid w:val="0"/>
              <w:rPr>
                <w:rFonts w:hint="eastAsia"/>
                <w:color w:val="auto"/>
                <w:szCs w:val="21"/>
                <w:lang w:eastAsia="zh-CN"/>
              </w:rPr>
            </w:pPr>
            <w:r>
              <w:rPr>
                <w:rFonts w:hint="eastAsia"/>
                <w:color w:val="auto"/>
                <w:szCs w:val="21"/>
                <w:lang w:eastAsia="zh-CN"/>
              </w:rPr>
              <w:t>②未处理完的煤矸石需堆积储存的应分堆储存，避免长时间堆积，定期对其进行撒水，降低其内部温度；</w:t>
            </w:r>
          </w:p>
          <w:p>
            <w:pPr>
              <w:adjustRightInd w:val="0"/>
              <w:snapToGrid w:val="0"/>
              <w:rPr>
                <w:rFonts w:hint="eastAsia"/>
                <w:color w:val="auto"/>
                <w:szCs w:val="21"/>
                <w:lang w:eastAsia="zh-CN"/>
              </w:rPr>
            </w:pPr>
            <w:r>
              <w:rPr>
                <w:rFonts w:hint="eastAsia"/>
                <w:color w:val="auto"/>
                <w:szCs w:val="21"/>
                <w:lang w:eastAsia="zh-CN"/>
              </w:rPr>
              <w:t>③煤矸石堆存至煤矸石堆棚，堆棚需按照一般防渗区建设，煤矸石储存库配备一定数量的消防灭火设施。</w:t>
            </w:r>
          </w:p>
          <w:p>
            <w:pPr>
              <w:adjustRightInd w:val="0"/>
              <w:snapToGrid w:val="0"/>
              <w:rPr>
                <w:rFonts w:hint="default"/>
                <w:color w:val="auto"/>
                <w:szCs w:val="21"/>
                <w:lang w:val="en-US" w:eastAsia="zh-CN"/>
              </w:rPr>
            </w:pPr>
            <w:r>
              <w:rPr>
                <w:rFonts w:hint="eastAsia"/>
                <w:color w:val="auto"/>
                <w:szCs w:val="21"/>
                <w:lang w:eastAsia="zh-CN"/>
              </w:rPr>
              <w:t>（</w:t>
            </w:r>
            <w:r>
              <w:rPr>
                <w:rFonts w:hint="eastAsia"/>
                <w:color w:val="auto"/>
                <w:szCs w:val="21"/>
                <w:lang w:val="en-US" w:eastAsia="zh-CN"/>
              </w:rPr>
              <w:t>5</w:t>
            </w:r>
            <w:r>
              <w:rPr>
                <w:rFonts w:hint="eastAsia"/>
                <w:color w:val="auto"/>
                <w:szCs w:val="21"/>
                <w:lang w:eastAsia="zh-CN"/>
              </w:rPr>
              <w:t>）</w:t>
            </w:r>
            <w:r>
              <w:rPr>
                <w:rFonts w:hint="eastAsia"/>
                <w:color w:val="auto"/>
                <w:szCs w:val="21"/>
                <w:lang w:val="en-US" w:eastAsia="zh-CN"/>
              </w:rPr>
              <w:t>其他风险防范措施</w:t>
            </w:r>
          </w:p>
          <w:p>
            <w:pPr>
              <w:adjustRightInd w:val="0"/>
              <w:snapToGrid w:val="0"/>
              <w:rPr>
                <w:rFonts w:hint="eastAsia"/>
                <w:color w:val="auto"/>
                <w:szCs w:val="21"/>
              </w:rPr>
            </w:pPr>
            <w:r>
              <w:rPr>
                <w:rFonts w:hint="eastAsia"/>
                <w:color w:val="auto"/>
                <w:szCs w:val="21"/>
              </w:rPr>
              <w:t>①远离火种、热源、易燃、可燃物，工作场所严禁吸烟。</w:t>
            </w:r>
          </w:p>
          <w:p>
            <w:pPr>
              <w:adjustRightInd w:val="0"/>
              <w:snapToGrid w:val="0"/>
              <w:rPr>
                <w:rFonts w:hint="eastAsia"/>
                <w:color w:val="auto"/>
                <w:szCs w:val="21"/>
              </w:rPr>
            </w:pPr>
            <w:r>
              <w:rPr>
                <w:rFonts w:hint="eastAsia"/>
                <w:color w:val="auto"/>
                <w:szCs w:val="21"/>
              </w:rPr>
              <w:t>②注意密闭操作，加强通风，库房应设置防火、易燃等警示标牌；配备专业人员对存储间进行定期检查。</w:t>
            </w:r>
          </w:p>
          <w:p>
            <w:pPr>
              <w:adjustRightInd w:val="0"/>
              <w:snapToGrid w:val="0"/>
              <w:rPr>
                <w:rFonts w:hint="eastAsia"/>
                <w:color w:val="auto"/>
                <w:szCs w:val="21"/>
              </w:rPr>
            </w:pPr>
            <w:r>
              <w:rPr>
                <w:rFonts w:hint="eastAsia"/>
                <w:color w:val="auto"/>
                <w:szCs w:val="21"/>
                <w:lang w:val="en-US" w:eastAsia="zh-CN"/>
              </w:rPr>
              <w:t>③</w:t>
            </w:r>
            <w:r>
              <w:rPr>
                <w:rFonts w:hint="eastAsia"/>
                <w:color w:val="auto"/>
                <w:szCs w:val="21"/>
              </w:rPr>
              <w:t>存储间应防火防爆，严格按消防要求进行设计建设，按照《建筑灭火器配置设计规范》（GB50140－2005），对项目区内可能发生火灾的各类场所、工艺装置区、主要建筑物等，根据其火灾危险性、区域大小等实际情况，分别配置一定数量不同类型、不同规格的移动式灭火器材，以便及时扑救初始零星火灾；</w:t>
            </w:r>
          </w:p>
          <w:p>
            <w:pPr>
              <w:adjustRightInd w:val="0"/>
              <w:snapToGrid w:val="0"/>
              <w:rPr>
                <w:rFonts w:hint="eastAsia" w:eastAsia="宋体"/>
                <w:color w:val="auto"/>
                <w:szCs w:val="21"/>
                <w:lang w:eastAsia="zh-CN"/>
              </w:rPr>
            </w:pPr>
            <w:r>
              <w:rPr>
                <w:rFonts w:hint="eastAsia"/>
                <w:color w:val="auto"/>
                <w:szCs w:val="21"/>
                <w:lang w:val="en-US" w:eastAsia="zh-CN"/>
              </w:rPr>
              <w:t>③</w:t>
            </w:r>
            <w:r>
              <w:rPr>
                <w:rFonts w:hint="eastAsia"/>
                <w:color w:val="auto"/>
                <w:szCs w:val="21"/>
              </w:rPr>
              <w:t>制定突发环境事件应急预案，建立应急小组，负责应急突发性事件的组织、指挥、抢修、控制、协调等应急响应行动；配备消防器材、救生器、防护面罩、胶皮手套、急救用品、沙袋、吸收棉、收集桶等应急物资或设备</w:t>
            </w:r>
            <w:r>
              <w:rPr>
                <w:rFonts w:hint="eastAsia"/>
                <w:color w:val="auto"/>
                <w:szCs w:val="21"/>
                <w:lang w:eastAsia="zh-CN"/>
              </w:rPr>
              <w:t>。</w:t>
            </w:r>
          </w:p>
        </w:tc>
        <w:tc>
          <w:tcPr>
            <w:tcW w:w="583" w:type="pct"/>
            <w:noWrap w:val="0"/>
            <w:vAlign w:val="center"/>
          </w:tcPr>
          <w:p>
            <w:pPr>
              <w:adjustRightInd w:val="0"/>
              <w:snapToGrid w:val="0"/>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noWrap w:val="0"/>
            <w:vAlign w:val="center"/>
          </w:tcPr>
          <w:p>
            <w:pPr>
              <w:adjustRightInd w:val="0"/>
              <w:snapToGrid w:val="0"/>
              <w:jc w:val="center"/>
              <w:rPr>
                <w:color w:val="auto"/>
                <w:szCs w:val="21"/>
              </w:rPr>
            </w:pPr>
            <w:r>
              <w:rPr>
                <w:color w:val="auto"/>
                <w:szCs w:val="21"/>
              </w:rPr>
              <w:t>环境监测</w:t>
            </w:r>
          </w:p>
        </w:tc>
        <w:tc>
          <w:tcPr>
            <w:tcW w:w="1979" w:type="pct"/>
            <w:noWrap w:val="0"/>
            <w:vAlign w:val="center"/>
          </w:tcPr>
          <w:p>
            <w:pPr>
              <w:adjustRightInd w:val="0"/>
              <w:snapToGrid w:val="0"/>
              <w:rPr>
                <w:color w:val="auto"/>
                <w:szCs w:val="21"/>
              </w:rPr>
            </w:pPr>
            <w:r>
              <w:rPr>
                <w:color w:val="auto"/>
                <w:szCs w:val="21"/>
              </w:rPr>
              <w:t>/</w:t>
            </w:r>
          </w:p>
        </w:tc>
        <w:tc>
          <w:tcPr>
            <w:tcW w:w="374" w:type="pct"/>
            <w:noWrap w:val="0"/>
            <w:vAlign w:val="center"/>
          </w:tcPr>
          <w:p>
            <w:pPr>
              <w:adjustRightInd w:val="0"/>
              <w:snapToGrid w:val="0"/>
              <w:rPr>
                <w:color w:val="auto"/>
                <w:szCs w:val="21"/>
              </w:rPr>
            </w:pPr>
            <w:r>
              <w:rPr>
                <w:color w:val="auto"/>
                <w:szCs w:val="21"/>
              </w:rPr>
              <w:t>/</w:t>
            </w:r>
          </w:p>
        </w:tc>
        <w:tc>
          <w:tcPr>
            <w:tcW w:w="1439" w:type="pct"/>
            <w:noWrap w:val="0"/>
            <w:vAlign w:val="center"/>
          </w:tcPr>
          <w:p>
            <w:pPr>
              <w:adjustRightInd w:val="0"/>
              <w:snapToGrid w:val="0"/>
              <w:rPr>
                <w:color w:val="auto"/>
                <w:szCs w:val="21"/>
              </w:rPr>
            </w:pPr>
            <w:r>
              <w:rPr>
                <w:color w:val="auto"/>
                <w:szCs w:val="21"/>
              </w:rPr>
              <w:t>根据《排污单位自行监测技术指南 砖瓦工业》（HJ1254—2022）进行检测</w:t>
            </w:r>
          </w:p>
        </w:tc>
        <w:tc>
          <w:tcPr>
            <w:tcW w:w="583" w:type="pct"/>
            <w:noWrap w:val="0"/>
            <w:vAlign w:val="center"/>
          </w:tcPr>
          <w:p>
            <w:pPr>
              <w:adjustRightInd w:val="0"/>
              <w:snapToGrid w:val="0"/>
              <w:rPr>
                <w:color w:val="auto"/>
                <w:szCs w:val="21"/>
              </w:rPr>
            </w:pPr>
            <w:r>
              <w:rPr>
                <w:color w:val="auto"/>
                <w:szCs w:val="21"/>
              </w:rPr>
              <w:t>《排污单位自行监测技术指南 砖瓦工业》（HJ1254—2022）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623" w:type="pct"/>
            <w:noWrap w:val="0"/>
            <w:vAlign w:val="center"/>
          </w:tcPr>
          <w:p>
            <w:pPr>
              <w:adjustRightInd w:val="0"/>
              <w:snapToGrid w:val="0"/>
              <w:jc w:val="center"/>
              <w:rPr>
                <w:color w:val="auto"/>
                <w:szCs w:val="21"/>
              </w:rPr>
            </w:pPr>
            <w:r>
              <w:rPr>
                <w:color w:val="auto"/>
                <w:szCs w:val="21"/>
              </w:rPr>
              <w:t>其他</w:t>
            </w:r>
          </w:p>
        </w:tc>
        <w:tc>
          <w:tcPr>
            <w:tcW w:w="1979" w:type="pct"/>
            <w:noWrap w:val="0"/>
            <w:vAlign w:val="center"/>
          </w:tcPr>
          <w:p>
            <w:pPr>
              <w:adjustRightInd w:val="0"/>
              <w:snapToGrid w:val="0"/>
              <w:ind w:firstLine="420" w:firstLineChars="200"/>
              <w:rPr>
                <w:color w:val="auto"/>
                <w:szCs w:val="21"/>
              </w:rPr>
            </w:pPr>
            <w:r>
              <w:rPr>
                <w:color w:val="auto"/>
                <w:szCs w:val="21"/>
              </w:rPr>
              <w:t>建设单位及施工单位应当重视施工过程的环境保护，加强对施工人员的环保培训，尽量减少土地扰动，减少对土地的占用，将对陆生生态影响降到最低。项目堤防加固、堤防护坡，可将项目区植被覆盖率有所提高，改善区域生态环境。施工完毕后应及时对临时占地区域进行复耕平整恢复。</w:t>
            </w:r>
          </w:p>
          <w:p>
            <w:pPr>
              <w:adjustRightInd w:val="0"/>
              <w:snapToGrid w:val="0"/>
              <w:ind w:firstLine="420" w:firstLineChars="200"/>
              <w:rPr>
                <w:color w:val="auto"/>
                <w:szCs w:val="21"/>
              </w:rPr>
            </w:pPr>
            <w:r>
              <w:rPr>
                <w:color w:val="auto"/>
                <w:szCs w:val="21"/>
              </w:rPr>
              <w:t>应加强宣传、教育，强化其保护环境的意识，文明施工，达到工程建设和环境保护的同步发展。</w:t>
            </w:r>
          </w:p>
        </w:tc>
        <w:tc>
          <w:tcPr>
            <w:tcW w:w="374" w:type="pct"/>
            <w:noWrap w:val="0"/>
            <w:vAlign w:val="center"/>
          </w:tcPr>
          <w:p>
            <w:pPr>
              <w:adjustRightInd w:val="0"/>
              <w:snapToGrid w:val="0"/>
              <w:rPr>
                <w:color w:val="auto"/>
                <w:szCs w:val="21"/>
              </w:rPr>
            </w:pPr>
            <w:r>
              <w:rPr>
                <w:color w:val="auto"/>
                <w:szCs w:val="21"/>
              </w:rPr>
              <w:t>/</w:t>
            </w:r>
          </w:p>
        </w:tc>
        <w:tc>
          <w:tcPr>
            <w:tcW w:w="1439" w:type="pct"/>
            <w:noWrap w:val="0"/>
            <w:vAlign w:val="center"/>
          </w:tcPr>
          <w:p>
            <w:pPr>
              <w:adjustRightInd w:val="0"/>
              <w:snapToGrid w:val="0"/>
              <w:rPr>
                <w:color w:val="auto"/>
                <w:szCs w:val="21"/>
              </w:rPr>
            </w:pPr>
            <w:r>
              <w:rPr>
                <w:color w:val="FF0000"/>
                <w:szCs w:val="21"/>
              </w:rPr>
              <w:t>本项目在建成后应按照《排污许可证申请与核发技术规范 陶瓷砖瓦工业》（HJ954-2018）要求进行申领排污许可证</w:t>
            </w:r>
          </w:p>
        </w:tc>
        <w:tc>
          <w:tcPr>
            <w:tcW w:w="583" w:type="pct"/>
            <w:noWrap w:val="0"/>
            <w:vAlign w:val="center"/>
          </w:tcPr>
          <w:p>
            <w:pPr>
              <w:adjustRightInd w:val="0"/>
              <w:snapToGrid w:val="0"/>
              <w:rPr>
                <w:color w:val="auto"/>
                <w:szCs w:val="21"/>
              </w:rPr>
            </w:pPr>
            <w:r>
              <w:rPr>
                <w:color w:val="auto"/>
                <w:szCs w:val="21"/>
              </w:rPr>
              <w:t>/</w:t>
            </w:r>
          </w:p>
        </w:tc>
      </w:tr>
    </w:tbl>
    <w:p>
      <w:pPr>
        <w:pStyle w:val="24"/>
        <w:jc w:val="center"/>
        <w:outlineLvl w:val="0"/>
        <w:rPr>
          <w:rFonts w:hint="eastAsia" w:ascii="宋体" w:hAnsi="宋体" w:eastAsia="宋体" w:cs="宋体"/>
          <w:b/>
          <w:bCs/>
          <w:snapToGrid w:val="0"/>
          <w:color w:val="auto"/>
          <w:sz w:val="30"/>
          <w:szCs w:val="30"/>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ascii="Times New Roman" w:hAnsi="Times New Roman" w:eastAsia="黑体"/>
          <w:snapToGrid w:val="0"/>
          <w:color w:val="auto"/>
          <w:sz w:val="30"/>
          <w:szCs w:val="30"/>
        </w:rPr>
      </w:pPr>
      <w:r>
        <w:rPr>
          <w:rFonts w:hint="eastAsia" w:ascii="宋体" w:hAnsi="宋体" w:eastAsia="宋体" w:cs="宋体"/>
          <w:b/>
          <w:bCs/>
          <w:snapToGrid w:val="0"/>
          <w:color w:val="auto"/>
          <w:sz w:val="30"/>
          <w:szCs w:val="30"/>
        </w:rPr>
        <w:t>六、结论</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pStyle w:val="60"/>
              <w:ind w:firstLine="420"/>
              <w:jc w:val="left"/>
              <w:rPr>
                <w:color w:val="auto"/>
              </w:rPr>
            </w:pPr>
            <w:r>
              <w:rPr>
                <w:color w:val="auto"/>
                <w:sz w:val="24"/>
                <w:szCs w:val="24"/>
                <w:highlight w:val="none"/>
              </w:rPr>
              <w:t>本</w:t>
            </w:r>
            <w:r>
              <w:rPr>
                <w:rFonts w:hint="eastAsia"/>
                <w:color w:val="auto"/>
                <w:sz w:val="24"/>
                <w:szCs w:val="24"/>
                <w:highlight w:val="none"/>
                <w:lang w:val="en-US" w:eastAsia="zh-CN"/>
              </w:rPr>
              <w:t>次改造</w:t>
            </w:r>
            <w:r>
              <w:rPr>
                <w:color w:val="auto"/>
                <w:sz w:val="24"/>
                <w:szCs w:val="24"/>
                <w:highlight w:val="none"/>
              </w:rPr>
              <w:t>项目符合国家产业政策，</w:t>
            </w:r>
            <w:r>
              <w:rPr>
                <w:color w:val="auto"/>
                <w:sz w:val="24"/>
                <w:szCs w:val="24"/>
              </w:rPr>
              <w:t>选址合理，污染物的防治措施在技术上和经济上可行，能实现达标排放。项目在建设过程中应严格认真执行环境保护“三同时”制度，切实落实本报告的各项污染防治措施和环境管理措施，确保设施正常运行，做到污染物达标排放的情况下，本项目从满足环境质量目标角度分析，项目建设可行。</w:t>
            </w:r>
          </w:p>
        </w:tc>
      </w:tr>
    </w:tbl>
    <w:p>
      <w:pPr>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4"/>
        <w:adjustRightInd w:val="0"/>
        <w:snapToGrid w:val="0"/>
        <w:spacing w:before="0" w:beforeAutospacing="0" w:after="0" w:afterAutospacing="0" w:line="360" w:lineRule="auto"/>
        <w:outlineLvl w:val="0"/>
        <w:rPr>
          <w:rFonts w:ascii="Times New Roman" w:hAnsi="Times New Roman" w:eastAsia="黑体"/>
          <w:snapToGrid w:val="0"/>
          <w:color w:val="auto"/>
          <w:sz w:val="32"/>
          <w:szCs w:val="32"/>
        </w:rPr>
      </w:pPr>
      <w:r>
        <w:rPr>
          <w:rFonts w:ascii="Times New Roman" w:hAnsi="Times New Roman" w:eastAsia="黑体"/>
          <w:snapToGrid w:val="0"/>
          <w:color w:val="auto"/>
          <w:sz w:val="32"/>
          <w:szCs w:val="32"/>
        </w:rPr>
        <w:t>附表</w:t>
      </w:r>
    </w:p>
    <w:p>
      <w:pPr>
        <w:pStyle w:val="24"/>
        <w:adjustRightInd w:val="0"/>
        <w:snapToGrid w:val="0"/>
        <w:spacing w:before="0" w:beforeAutospacing="0" w:after="0" w:afterAutospacing="0" w:line="360" w:lineRule="auto"/>
        <w:jc w:val="center"/>
        <w:outlineLvl w:val="0"/>
        <w:rPr>
          <w:rFonts w:ascii="Times New Roman" w:hAnsi="Times New Roman" w:eastAsia="方正小标宋_GBK"/>
          <w:snapToGrid w:val="0"/>
          <w:color w:val="auto"/>
          <w:sz w:val="38"/>
          <w:szCs w:val="38"/>
        </w:rPr>
      </w:pPr>
      <w:r>
        <w:rPr>
          <w:rFonts w:ascii="Times New Roman" w:hAnsi="Times New Roman" w:eastAsia="方正小标宋_GBK"/>
          <w:snapToGrid w:val="0"/>
          <w:color w:val="auto"/>
          <w:sz w:val="38"/>
          <w:szCs w:val="38"/>
        </w:rPr>
        <w:t>建设项目污染物排放量汇总表</w:t>
      </w:r>
    </w:p>
    <w:tbl>
      <w:tblPr>
        <w:tblStyle w:val="28"/>
        <w:tblW w:w="1375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560"/>
        <w:gridCol w:w="1500"/>
        <w:gridCol w:w="1501"/>
        <w:gridCol w:w="1501"/>
        <w:gridCol w:w="1500"/>
        <w:gridCol w:w="1501"/>
        <w:gridCol w:w="1501"/>
        <w:gridCol w:w="15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691" w:type="dxa"/>
            <w:tcBorders>
              <w:tl2br w:val="single" w:color="auto" w:sz="4" w:space="0"/>
            </w:tcBorders>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 xml:space="preserve">        项目</w:t>
            </w:r>
          </w:p>
          <w:p>
            <w:pPr>
              <w:pStyle w:val="48"/>
              <w:spacing w:beforeLines="0" w:afterLines="0" w:line="240" w:lineRule="auto"/>
              <w:ind w:firstLine="229" w:firstLineChars="100"/>
              <w:jc w:val="both"/>
              <w:rPr>
                <w:rFonts w:ascii="Times New Roman" w:eastAsia="黑体"/>
                <w:snapToGrid w:val="0"/>
                <w:spacing w:val="-6"/>
                <w:kern w:val="21"/>
                <w:szCs w:val="21"/>
              </w:rPr>
            </w:pPr>
            <w:r>
              <w:rPr>
                <w:rFonts w:ascii="Times New Roman" w:eastAsia="黑体"/>
                <w:snapToGrid w:val="0"/>
                <w:spacing w:val="-6"/>
                <w:kern w:val="21"/>
                <w:szCs w:val="21"/>
              </w:rPr>
              <w:t>分类</w:t>
            </w:r>
          </w:p>
        </w:tc>
        <w:tc>
          <w:tcPr>
            <w:tcW w:w="1560"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污染物名称</w:t>
            </w:r>
          </w:p>
        </w:tc>
        <w:tc>
          <w:tcPr>
            <w:tcW w:w="1500"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hint="eastAsia" w:hAnsi="宋体" w:cs="宋体"/>
                <w:kern w:val="2"/>
                <w:szCs w:val="21"/>
              </w:rPr>
              <w:t>①</w:t>
            </w:r>
            <w:r>
              <w:rPr>
                <w:rFonts w:ascii="Times New Roman" w:eastAsia="黑体"/>
                <w:snapToGrid w:val="0"/>
                <w:spacing w:val="-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现有工程许可排放量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hint="eastAsia" w:hAnsi="宋体" w:cs="宋体"/>
                <w:snapToGrid w:val="0"/>
                <w:spacing w:val="-6"/>
                <w:kern w:val="21"/>
                <w:szCs w:val="21"/>
              </w:rPr>
              <w:t>②</w:t>
            </w:r>
            <w:r>
              <w:rPr>
                <w:rFonts w:ascii="Times New Roman" w:eastAsia="黑体"/>
                <w:snapToGrid w:val="0"/>
                <w:spacing w:val="-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在建工程排放量（固体废物产生量）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hint="eastAsia" w:hAnsi="宋体" w:cs="宋体"/>
                <w:kern w:val="2"/>
                <w:szCs w:val="21"/>
              </w:rPr>
              <w:t>③</w:t>
            </w:r>
            <w:r>
              <w:rPr>
                <w:rFonts w:ascii="Times New Roman" w:eastAsia="黑体"/>
                <w:snapToGrid w:val="0"/>
                <w:spacing w:val="-6"/>
                <w:kern w:val="21"/>
                <w:szCs w:val="21"/>
              </w:rPr>
              <w:fldChar w:fldCharType="end"/>
            </w:r>
          </w:p>
        </w:tc>
        <w:tc>
          <w:tcPr>
            <w:tcW w:w="1500"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本项目排放量（固体废物产生量）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hint="eastAsia" w:hAnsi="宋体" w:cs="宋体"/>
                <w:kern w:val="2"/>
                <w:szCs w:val="21"/>
              </w:rPr>
              <w:t>④</w:t>
            </w:r>
            <w:r>
              <w:rPr>
                <w:rFonts w:ascii="Times New Roman" w:eastAsia="黑体"/>
                <w:snapToGrid w:val="0"/>
                <w:spacing w:val="-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以新带老削减量（新建项目不填）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hint="eastAsia" w:hAnsi="宋体" w:cs="宋体"/>
                <w:kern w:val="2"/>
                <w:szCs w:val="21"/>
              </w:rPr>
              <w:t>⑤</w:t>
            </w:r>
            <w:r>
              <w:rPr>
                <w:rFonts w:ascii="Times New Roman" w:eastAsia="黑体"/>
                <w:snapToGrid w:val="0"/>
                <w:spacing w:val="-1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本项目建成后全厂排放量（固体废物产生量）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hint="eastAsia" w:hAnsi="宋体" w:cs="宋体"/>
                <w:kern w:val="2"/>
                <w:szCs w:val="21"/>
              </w:rPr>
              <w:t>⑥</w:t>
            </w:r>
            <w:r>
              <w:rPr>
                <w:rFonts w:ascii="Times New Roman" w:eastAsia="黑体"/>
                <w:snapToGrid w:val="0"/>
                <w:spacing w:val="-1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变化量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hint="eastAsia" w:hAnsi="宋体" w:cs="宋体"/>
                <w:kern w:val="2"/>
                <w:szCs w:val="21"/>
              </w:rPr>
              <w:t>⑦</w:t>
            </w:r>
            <w:r>
              <w:rPr>
                <w:rFonts w:ascii="Times New Roman"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restart"/>
            <w:vAlign w:val="center"/>
          </w:tcPr>
          <w:p>
            <w:pPr>
              <w:pStyle w:val="48"/>
              <w:spacing w:beforeLines="0" w:afterLines="0" w:line="240" w:lineRule="auto"/>
              <w:rPr>
                <w:rFonts w:ascii="Times New Roman"/>
                <w:snapToGrid w:val="0"/>
                <w:kern w:val="21"/>
                <w:szCs w:val="21"/>
              </w:rPr>
            </w:pPr>
            <w:r>
              <w:rPr>
                <w:rFonts w:ascii="Times New Roman"/>
                <w:snapToGrid w:val="0"/>
                <w:kern w:val="21"/>
                <w:szCs w:val="21"/>
              </w:rPr>
              <w:t>废气</w:t>
            </w:r>
          </w:p>
        </w:tc>
        <w:tc>
          <w:tcPr>
            <w:tcW w:w="1560" w:type="dxa"/>
            <w:vAlign w:val="center"/>
          </w:tcPr>
          <w:p>
            <w:pPr>
              <w:pStyle w:val="57"/>
              <w:rPr>
                <w:snapToGrid w:val="0"/>
                <w:kern w:val="21"/>
                <w:szCs w:val="21"/>
              </w:rPr>
            </w:pPr>
            <w:r>
              <w:t>颗粒物</w:t>
            </w:r>
          </w:p>
        </w:tc>
        <w:tc>
          <w:tcPr>
            <w:tcW w:w="1500" w:type="dxa"/>
          </w:tcPr>
          <w:p>
            <w:pPr>
              <w:pStyle w:val="57"/>
              <w:rPr>
                <w:snapToGrid w:val="0"/>
                <w:kern w:val="21"/>
                <w:szCs w:val="21"/>
              </w:rPr>
            </w:pPr>
            <w:r>
              <w:rPr>
                <w:rFonts w:hint="eastAsia"/>
                <w:snapToGrid w:val="0"/>
                <w:kern w:val="21"/>
                <w:szCs w:val="21"/>
              </w:rPr>
              <w:t>0.86</w:t>
            </w:r>
          </w:p>
        </w:tc>
        <w:tc>
          <w:tcPr>
            <w:tcW w:w="1501" w:type="dxa"/>
          </w:tcPr>
          <w:p>
            <w:pPr>
              <w:pStyle w:val="57"/>
              <w:rPr>
                <w:snapToGrid w:val="0"/>
                <w:kern w:val="21"/>
                <w:szCs w:val="21"/>
              </w:rPr>
            </w:pPr>
            <w:r>
              <w:rPr>
                <w:snapToGrid w:val="0"/>
                <w:kern w:val="21"/>
                <w:szCs w:val="21"/>
              </w:rPr>
              <w:t>/</w:t>
            </w:r>
          </w:p>
        </w:tc>
        <w:tc>
          <w:tcPr>
            <w:tcW w:w="1501" w:type="dxa"/>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14:textFill>
                  <w14:solidFill>
                    <w14:schemeClr w14:val="tx1"/>
                  </w14:solidFill>
                </w14:textFill>
              </w:rPr>
            </w:pPr>
            <w:r>
              <w:rPr>
                <w:rFonts w:hint="eastAsia"/>
                <w:szCs w:val="21"/>
              </w:rPr>
              <w:t>2.</w:t>
            </w:r>
            <w:r>
              <w:rPr>
                <w:rFonts w:hint="eastAsia"/>
                <w:szCs w:val="21"/>
                <w:lang w:val="en-US" w:eastAsia="zh-CN"/>
              </w:rPr>
              <w:t>0589</w:t>
            </w:r>
            <w:r>
              <w:rPr>
                <w:szCs w:val="21"/>
              </w:rPr>
              <w:t>t/a</w:t>
            </w:r>
          </w:p>
        </w:tc>
        <w:tc>
          <w:tcPr>
            <w:tcW w:w="1501" w:type="dxa"/>
          </w:tcPr>
          <w:p>
            <w:pPr>
              <w:jc w:val="center"/>
              <w:rPr>
                <w:snapToGrid w:val="0"/>
                <w:kern w:val="21"/>
                <w:szCs w:val="21"/>
              </w:rPr>
            </w:pPr>
            <w:r>
              <w:rPr>
                <w:snapToGrid w:val="0"/>
                <w:kern w:val="21"/>
                <w:szCs w:val="21"/>
              </w:rPr>
              <w:t>/</w:t>
            </w:r>
          </w:p>
        </w:tc>
        <w:tc>
          <w:tcPr>
            <w:tcW w:w="1501" w:type="dxa"/>
            <w:vAlign w:val="center"/>
          </w:tcPr>
          <w:p>
            <w:pPr>
              <w:pStyle w:val="57"/>
              <w:rPr>
                <w:snapToGrid w:val="0"/>
                <w:kern w:val="21"/>
                <w:szCs w:val="21"/>
              </w:rPr>
            </w:pPr>
            <w:r>
              <w:rPr>
                <w:rFonts w:hint="eastAsia"/>
                <w:szCs w:val="21"/>
              </w:rPr>
              <w:t>2.</w:t>
            </w:r>
            <w:r>
              <w:rPr>
                <w:rFonts w:hint="eastAsia"/>
                <w:szCs w:val="21"/>
                <w:lang w:val="en-US" w:eastAsia="zh-CN"/>
              </w:rPr>
              <w:t>0589</w:t>
            </w:r>
            <w:r>
              <w:rPr>
                <w:szCs w:val="21"/>
              </w:rPr>
              <w:t>t/a</w:t>
            </w:r>
          </w:p>
        </w:tc>
        <w:tc>
          <w:tcPr>
            <w:tcW w:w="1501" w:type="dxa"/>
            <w:vAlign w:val="center"/>
          </w:tcPr>
          <w:p>
            <w:pPr>
              <w:pStyle w:val="57"/>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989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kern w:val="21"/>
                <w:szCs w:val="21"/>
              </w:rPr>
            </w:pPr>
            <w:r>
              <w:t>SO</w:t>
            </w:r>
            <w:r>
              <w:rPr>
                <w:vertAlign w:val="subscript"/>
              </w:rPr>
              <w:t>2</w:t>
            </w:r>
          </w:p>
        </w:tc>
        <w:tc>
          <w:tcPr>
            <w:tcW w:w="1500" w:type="dxa"/>
          </w:tcPr>
          <w:p>
            <w:pPr>
              <w:pStyle w:val="57"/>
              <w:rPr>
                <w:snapToGrid w:val="0"/>
                <w:kern w:val="21"/>
                <w:szCs w:val="21"/>
              </w:rPr>
            </w:pPr>
            <w:r>
              <w:rPr>
                <w:rFonts w:hint="eastAsia"/>
                <w:snapToGrid w:val="0"/>
                <w:kern w:val="21"/>
                <w:szCs w:val="21"/>
              </w:rPr>
              <w:t>5.57</w:t>
            </w:r>
          </w:p>
        </w:tc>
        <w:tc>
          <w:tcPr>
            <w:tcW w:w="1501" w:type="dxa"/>
          </w:tcPr>
          <w:p>
            <w:pPr>
              <w:pStyle w:val="57"/>
              <w:rPr>
                <w:snapToGrid w:val="0"/>
                <w:kern w:val="21"/>
                <w:szCs w:val="21"/>
              </w:rPr>
            </w:pPr>
            <w:r>
              <w:rPr>
                <w:snapToGrid w:val="0"/>
                <w:kern w:val="21"/>
                <w:szCs w:val="21"/>
              </w:rPr>
              <w:t>/</w:t>
            </w:r>
          </w:p>
        </w:tc>
        <w:tc>
          <w:tcPr>
            <w:tcW w:w="1501" w:type="dxa"/>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14:textFill>
                  <w14:solidFill>
                    <w14:schemeClr w14:val="tx1"/>
                  </w14:solidFill>
                </w14:textFill>
              </w:rPr>
            </w:pPr>
            <w:r>
              <w:rPr>
                <w:rFonts w:hint="eastAsia"/>
              </w:rPr>
              <w:t>4.</w:t>
            </w:r>
            <w:r>
              <w:rPr>
                <w:rFonts w:hint="eastAsia"/>
                <w:lang w:val="en-US" w:eastAsia="zh-CN"/>
              </w:rPr>
              <w:t>4838</w:t>
            </w:r>
            <w:r>
              <w:t>t/a</w:t>
            </w:r>
          </w:p>
        </w:tc>
        <w:tc>
          <w:tcPr>
            <w:tcW w:w="1501" w:type="dxa"/>
          </w:tcPr>
          <w:p>
            <w:pPr>
              <w:jc w:val="center"/>
              <w:rPr>
                <w:snapToGrid w:val="0"/>
                <w:kern w:val="21"/>
                <w:szCs w:val="21"/>
              </w:rPr>
            </w:pPr>
            <w:r>
              <w:rPr>
                <w:snapToGrid w:val="0"/>
                <w:kern w:val="21"/>
                <w:szCs w:val="21"/>
              </w:rPr>
              <w:t>/</w:t>
            </w:r>
          </w:p>
        </w:tc>
        <w:tc>
          <w:tcPr>
            <w:tcW w:w="1501" w:type="dxa"/>
            <w:vAlign w:val="center"/>
          </w:tcPr>
          <w:p>
            <w:pPr>
              <w:pStyle w:val="57"/>
              <w:rPr>
                <w:snapToGrid w:val="0"/>
                <w:kern w:val="21"/>
                <w:szCs w:val="21"/>
              </w:rPr>
            </w:pPr>
            <w:r>
              <w:rPr>
                <w:rFonts w:hint="eastAsia"/>
              </w:rPr>
              <w:t>4.</w:t>
            </w:r>
            <w:r>
              <w:rPr>
                <w:rFonts w:hint="eastAsia"/>
                <w:lang w:val="en-US" w:eastAsia="zh-CN"/>
              </w:rPr>
              <w:t>4838</w:t>
            </w:r>
            <w:r>
              <w:t>t/a</w:t>
            </w:r>
          </w:p>
        </w:tc>
        <w:tc>
          <w:tcPr>
            <w:tcW w:w="1501" w:type="dxa"/>
            <w:vAlign w:val="center"/>
          </w:tcPr>
          <w:p>
            <w:pPr>
              <w:pStyle w:val="57"/>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0862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kern w:val="21"/>
                <w:szCs w:val="21"/>
              </w:rPr>
            </w:pPr>
            <w:r>
              <w:t>NO</w:t>
            </w:r>
            <w:r>
              <w:rPr>
                <w:i/>
                <w:iCs/>
              </w:rPr>
              <w:t>x</w:t>
            </w:r>
          </w:p>
        </w:tc>
        <w:tc>
          <w:tcPr>
            <w:tcW w:w="1500" w:type="dxa"/>
          </w:tcPr>
          <w:p>
            <w:pPr>
              <w:pStyle w:val="57"/>
              <w:rPr>
                <w:snapToGrid w:val="0"/>
                <w:kern w:val="21"/>
                <w:szCs w:val="21"/>
              </w:rPr>
            </w:pPr>
            <w:r>
              <w:rPr>
                <w:rFonts w:hint="eastAsia"/>
                <w:snapToGrid w:val="0"/>
                <w:kern w:val="21"/>
                <w:szCs w:val="21"/>
              </w:rPr>
              <w:t>4.65</w:t>
            </w:r>
          </w:p>
        </w:tc>
        <w:tc>
          <w:tcPr>
            <w:tcW w:w="1501" w:type="dxa"/>
          </w:tcPr>
          <w:p>
            <w:pPr>
              <w:pStyle w:val="57"/>
              <w:rPr>
                <w:snapToGrid w:val="0"/>
                <w:kern w:val="21"/>
                <w:szCs w:val="21"/>
              </w:rPr>
            </w:pPr>
            <w:r>
              <w:rPr>
                <w:snapToGrid w:val="0"/>
                <w:kern w:val="21"/>
                <w:szCs w:val="21"/>
              </w:rPr>
              <w:t>/</w:t>
            </w:r>
          </w:p>
        </w:tc>
        <w:tc>
          <w:tcPr>
            <w:tcW w:w="1501" w:type="dxa"/>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14:textFill>
                  <w14:solidFill>
                    <w14:schemeClr w14:val="tx1"/>
                  </w14:solidFill>
                </w14:textFill>
              </w:rPr>
            </w:pPr>
            <w:r>
              <w:rPr>
                <w:rFonts w:hint="eastAsia"/>
                <w:lang w:val="en-US" w:eastAsia="zh-CN"/>
              </w:rPr>
              <w:t>3.9127</w:t>
            </w:r>
            <w:r>
              <w:t>t/a</w:t>
            </w:r>
          </w:p>
        </w:tc>
        <w:tc>
          <w:tcPr>
            <w:tcW w:w="1501" w:type="dxa"/>
          </w:tcPr>
          <w:p>
            <w:pPr>
              <w:jc w:val="center"/>
              <w:rPr>
                <w:snapToGrid w:val="0"/>
                <w:kern w:val="21"/>
                <w:szCs w:val="21"/>
              </w:rPr>
            </w:pPr>
            <w:r>
              <w:rPr>
                <w:snapToGrid w:val="0"/>
                <w:kern w:val="21"/>
                <w:szCs w:val="21"/>
              </w:rPr>
              <w:t>/</w:t>
            </w:r>
          </w:p>
        </w:tc>
        <w:tc>
          <w:tcPr>
            <w:tcW w:w="1501" w:type="dxa"/>
            <w:vAlign w:val="center"/>
          </w:tcPr>
          <w:p>
            <w:pPr>
              <w:pStyle w:val="57"/>
              <w:rPr>
                <w:snapToGrid w:val="0"/>
                <w:kern w:val="21"/>
                <w:szCs w:val="21"/>
              </w:rPr>
            </w:pPr>
            <w:r>
              <w:rPr>
                <w:rFonts w:hint="eastAsia"/>
                <w:lang w:val="en-US" w:eastAsia="zh-CN"/>
              </w:rPr>
              <w:t>3.9127</w:t>
            </w:r>
            <w:r>
              <w:t>t/a</w:t>
            </w:r>
          </w:p>
        </w:tc>
        <w:tc>
          <w:tcPr>
            <w:tcW w:w="1501" w:type="dxa"/>
            <w:vAlign w:val="center"/>
          </w:tcPr>
          <w:p>
            <w:pPr>
              <w:pStyle w:val="57"/>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7373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pPr>
            <w:r>
              <w:rPr>
                <w:rFonts w:hint="eastAsia"/>
              </w:rPr>
              <w:t>氟化物</w:t>
            </w:r>
          </w:p>
        </w:tc>
        <w:tc>
          <w:tcPr>
            <w:tcW w:w="1500" w:type="dxa"/>
          </w:tcPr>
          <w:p>
            <w:pPr>
              <w:pStyle w:val="57"/>
              <w:rPr>
                <w:snapToGrid w:val="0"/>
                <w:kern w:val="21"/>
                <w:szCs w:val="21"/>
              </w:rPr>
            </w:pPr>
            <w:r>
              <w:rPr>
                <w:rFonts w:hint="eastAsia"/>
                <w:snapToGrid w:val="0"/>
                <w:kern w:val="21"/>
                <w:szCs w:val="21"/>
              </w:rPr>
              <w:t>0</w:t>
            </w:r>
          </w:p>
        </w:tc>
        <w:tc>
          <w:tcPr>
            <w:tcW w:w="1501" w:type="dxa"/>
          </w:tcPr>
          <w:p>
            <w:pPr>
              <w:pStyle w:val="57"/>
              <w:rPr>
                <w:snapToGrid w:val="0"/>
                <w:kern w:val="21"/>
                <w:szCs w:val="21"/>
              </w:rPr>
            </w:pPr>
            <w:r>
              <w:rPr>
                <w:rFonts w:hint="eastAsia"/>
                <w:snapToGrid w:val="0"/>
                <w:kern w:val="21"/>
                <w:szCs w:val="21"/>
              </w:rPr>
              <w:t>/</w:t>
            </w:r>
          </w:p>
        </w:tc>
        <w:tc>
          <w:tcPr>
            <w:tcW w:w="1501" w:type="dxa"/>
          </w:tcPr>
          <w:p>
            <w:pPr>
              <w:pStyle w:val="57"/>
              <w:rPr>
                <w:snapToGrid w:val="0"/>
                <w:kern w:val="21"/>
                <w:szCs w:val="21"/>
              </w:rPr>
            </w:pPr>
            <w:r>
              <w:rPr>
                <w:rFonts w:hint="eastAsia"/>
                <w:snapToGrid w:val="0"/>
                <w:kern w:val="21"/>
                <w:szCs w:val="21"/>
              </w:rPr>
              <w:t>/</w:t>
            </w:r>
          </w:p>
        </w:tc>
        <w:tc>
          <w:tcPr>
            <w:tcW w:w="1500" w:type="dxa"/>
            <w:vAlign w:val="center"/>
          </w:tcPr>
          <w:p>
            <w:pPr>
              <w:pStyle w:val="57"/>
              <w:rPr>
                <w:color w:val="000000" w:themeColor="text1"/>
                <w:szCs w:val="21"/>
                <w14:textFill>
                  <w14:solidFill>
                    <w14:schemeClr w14:val="tx1"/>
                  </w14:solidFill>
                </w14:textFill>
              </w:rPr>
            </w:pPr>
            <w:r>
              <w:rPr>
                <w:rFonts w:hint="eastAsia"/>
              </w:rPr>
              <w:t>0.2</w:t>
            </w:r>
            <w:r>
              <w:rPr>
                <w:rFonts w:hint="eastAsia"/>
                <w:lang w:val="en-US" w:eastAsia="zh-CN"/>
              </w:rPr>
              <w:t>1</w:t>
            </w:r>
            <w:r>
              <w:rPr>
                <w:rFonts w:hint="eastAsia"/>
              </w:rPr>
              <w:t>9t/a</w:t>
            </w:r>
          </w:p>
        </w:tc>
        <w:tc>
          <w:tcPr>
            <w:tcW w:w="1501" w:type="dxa"/>
          </w:tcPr>
          <w:p>
            <w:pPr>
              <w:jc w:val="center"/>
              <w:rPr>
                <w:snapToGrid w:val="0"/>
                <w:kern w:val="21"/>
                <w:szCs w:val="21"/>
              </w:rPr>
            </w:pPr>
            <w:r>
              <w:rPr>
                <w:snapToGrid w:val="0"/>
                <w:kern w:val="21"/>
                <w:szCs w:val="21"/>
              </w:rPr>
              <w:t>/</w:t>
            </w:r>
          </w:p>
        </w:tc>
        <w:tc>
          <w:tcPr>
            <w:tcW w:w="1501" w:type="dxa"/>
            <w:vAlign w:val="center"/>
          </w:tcPr>
          <w:p>
            <w:pPr>
              <w:pStyle w:val="57"/>
            </w:pPr>
            <w:r>
              <w:rPr>
                <w:rFonts w:hint="eastAsia"/>
              </w:rPr>
              <w:t>0.2</w:t>
            </w:r>
            <w:r>
              <w:rPr>
                <w:rFonts w:hint="eastAsia"/>
                <w:lang w:val="en-US" w:eastAsia="zh-CN"/>
              </w:rPr>
              <w:t>1</w:t>
            </w:r>
            <w:r>
              <w:rPr>
                <w:rFonts w:hint="eastAsia"/>
              </w:rPr>
              <w:t>9t/a</w:t>
            </w:r>
          </w:p>
        </w:tc>
        <w:tc>
          <w:tcPr>
            <w:tcW w:w="1501" w:type="dxa"/>
            <w:vAlign w:val="center"/>
          </w:tcPr>
          <w:p>
            <w:pPr>
              <w:pStyle w:val="5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Align w:val="center"/>
          </w:tcPr>
          <w:p>
            <w:pPr>
              <w:pStyle w:val="48"/>
              <w:spacing w:beforeLines="0" w:afterLines="0" w:line="240" w:lineRule="auto"/>
              <w:rPr>
                <w:rFonts w:ascii="Times New Roman"/>
                <w:snapToGrid w:val="0"/>
                <w:kern w:val="21"/>
                <w:szCs w:val="21"/>
              </w:rPr>
            </w:pPr>
            <w:r>
              <w:rPr>
                <w:rFonts w:ascii="Times New Roman"/>
                <w:snapToGrid w:val="0"/>
                <w:kern w:val="21"/>
                <w:szCs w:val="21"/>
              </w:rPr>
              <w:t>废水</w:t>
            </w:r>
          </w:p>
        </w:tc>
        <w:tc>
          <w:tcPr>
            <w:tcW w:w="1560" w:type="dxa"/>
            <w:vAlign w:val="center"/>
          </w:tcPr>
          <w:p>
            <w:pPr>
              <w:pStyle w:val="57"/>
              <w:rPr>
                <w:snapToGrid w:val="0"/>
                <w:kern w:val="21"/>
                <w:szCs w:val="21"/>
              </w:rPr>
            </w:pPr>
            <w:r>
              <w:rPr>
                <w:snapToGrid w:val="0"/>
                <w:kern w:val="21"/>
                <w:szCs w:val="21"/>
              </w:rPr>
              <w:t>/</w:t>
            </w:r>
          </w:p>
        </w:tc>
        <w:tc>
          <w:tcPr>
            <w:tcW w:w="1500" w:type="dxa"/>
            <w:vAlign w:val="center"/>
          </w:tcPr>
          <w:p>
            <w:pPr>
              <w:pStyle w:val="57"/>
              <w:rPr>
                <w:snapToGrid w:val="0"/>
                <w:kern w:val="21"/>
                <w:szCs w:val="21"/>
              </w:rPr>
            </w:pP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snapToGrid w:val="0"/>
                <w:kern w:val="21"/>
                <w:szCs w:val="21"/>
              </w:rPr>
            </w:pPr>
            <w:r>
              <w:rPr>
                <w:snapToGrid w:val="0"/>
                <w:kern w:val="21"/>
                <w:szCs w:val="21"/>
              </w:rPr>
              <w:t>/</w:t>
            </w:r>
          </w:p>
        </w:tc>
        <w:tc>
          <w:tcPr>
            <w:tcW w:w="1501" w:type="dxa"/>
            <w:vAlign w:val="center"/>
          </w:tcPr>
          <w:p>
            <w:pPr>
              <w:jc w:val="center"/>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restart"/>
            <w:vAlign w:val="center"/>
          </w:tcPr>
          <w:p>
            <w:pPr>
              <w:pStyle w:val="48"/>
              <w:spacing w:beforeLines="0" w:afterLines="0" w:line="240" w:lineRule="auto"/>
              <w:rPr>
                <w:rFonts w:ascii="Times New Roman"/>
                <w:snapToGrid w:val="0"/>
                <w:kern w:val="21"/>
                <w:szCs w:val="21"/>
              </w:rPr>
            </w:pPr>
            <w:r>
              <w:rPr>
                <w:rFonts w:ascii="Times New Roman"/>
                <w:snapToGrid w:val="0"/>
                <w:kern w:val="21"/>
                <w:szCs w:val="21"/>
              </w:rPr>
              <w:t>一般工业固体废物</w:t>
            </w:r>
          </w:p>
        </w:tc>
        <w:tc>
          <w:tcPr>
            <w:tcW w:w="1560" w:type="dxa"/>
            <w:vAlign w:val="center"/>
          </w:tcPr>
          <w:p>
            <w:pPr>
              <w:pStyle w:val="57"/>
              <w:rPr>
                <w:snapToGrid w:val="0"/>
                <w:kern w:val="21"/>
                <w:szCs w:val="21"/>
              </w:rPr>
            </w:pPr>
            <w:r>
              <w:t>不合格产品</w:t>
            </w:r>
          </w:p>
        </w:tc>
        <w:tc>
          <w:tcPr>
            <w:tcW w:w="1500" w:type="dxa"/>
            <w:vAlign w:val="center"/>
          </w:tcPr>
          <w:p>
            <w:pPr>
              <w:pStyle w:val="5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50.31</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232.2</w:t>
            </w:r>
          </w:p>
        </w:tc>
        <w:tc>
          <w:tcPr>
            <w:tcW w:w="1501" w:type="dxa"/>
            <w:vAlign w:val="center"/>
          </w:tcPr>
          <w:p>
            <w:pPr>
              <w:jc w:val="center"/>
              <w:rPr>
                <w:color w:val="000000" w:themeColor="text1"/>
                <w:szCs w:val="21"/>
                <w14:textFill>
                  <w14:solidFill>
                    <w14:schemeClr w14:val="tx1"/>
                  </w14:solidFill>
                </w14:textFill>
              </w:rPr>
            </w:pPr>
            <w:r>
              <w:rPr>
                <w:snapToGrid w:val="0"/>
                <w:kern w:val="21"/>
                <w:szCs w:val="21"/>
              </w:rPr>
              <w:t>/</w:t>
            </w:r>
          </w:p>
        </w:tc>
        <w:tc>
          <w:tcPr>
            <w:tcW w:w="1501" w:type="dxa"/>
            <w:vAlign w:val="center"/>
          </w:tcPr>
          <w:p>
            <w:pPr>
              <w:pStyle w:val="57"/>
              <w:rPr>
                <w:snapToGrid w:val="0"/>
                <w:kern w:val="21"/>
                <w:szCs w:val="21"/>
              </w:rPr>
            </w:pPr>
            <w:r>
              <w:rPr>
                <w:rFonts w:hint="eastAsia"/>
                <w:color w:val="000000" w:themeColor="text1"/>
                <w:szCs w:val="21"/>
                <w14:textFill>
                  <w14:solidFill>
                    <w14:schemeClr w14:val="tx1"/>
                  </w14:solidFill>
                </w14:textFill>
              </w:rPr>
              <w:t>232.2</w:t>
            </w:r>
          </w:p>
        </w:tc>
        <w:tc>
          <w:tcPr>
            <w:tcW w:w="1501" w:type="dxa"/>
            <w:vAlign w:val="center"/>
          </w:tcPr>
          <w:p>
            <w:pPr>
              <w:pStyle w:val="5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+181.89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kern w:val="21"/>
                <w:szCs w:val="21"/>
              </w:rPr>
            </w:pPr>
            <w:r>
              <w:t>边角料</w:t>
            </w:r>
          </w:p>
        </w:tc>
        <w:tc>
          <w:tcPr>
            <w:tcW w:w="1500" w:type="dxa"/>
            <w:vAlign w:val="center"/>
          </w:tcPr>
          <w:p>
            <w:pPr>
              <w:pStyle w:val="5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15.48</w:t>
            </w:r>
          </w:p>
        </w:tc>
        <w:tc>
          <w:tcPr>
            <w:tcW w:w="1501" w:type="dxa"/>
            <w:vAlign w:val="center"/>
          </w:tcPr>
          <w:p>
            <w:pPr>
              <w:jc w:val="center"/>
              <w:rPr>
                <w:color w:val="000000" w:themeColor="text1"/>
                <w:szCs w:val="21"/>
                <w14:textFill>
                  <w14:solidFill>
                    <w14:schemeClr w14:val="tx1"/>
                  </w14:solidFill>
                </w14:textFill>
              </w:rPr>
            </w:pPr>
            <w:r>
              <w:rPr>
                <w:snapToGrid w:val="0"/>
                <w:kern w:val="21"/>
                <w:szCs w:val="21"/>
              </w:rPr>
              <w:t>/</w:t>
            </w:r>
          </w:p>
        </w:tc>
        <w:tc>
          <w:tcPr>
            <w:tcW w:w="1501" w:type="dxa"/>
            <w:vAlign w:val="center"/>
          </w:tcPr>
          <w:p>
            <w:pPr>
              <w:pStyle w:val="57"/>
              <w:rPr>
                <w:snapToGrid w:val="0"/>
                <w:kern w:val="21"/>
                <w:szCs w:val="21"/>
              </w:rPr>
            </w:pPr>
            <w:r>
              <w:rPr>
                <w:rFonts w:hint="eastAsia"/>
                <w:color w:val="000000" w:themeColor="text1"/>
                <w:szCs w:val="21"/>
                <w14:textFill>
                  <w14:solidFill>
                    <w14:schemeClr w14:val="tx1"/>
                  </w14:solidFill>
                </w14:textFill>
              </w:rPr>
              <w:t>15.48</w:t>
            </w:r>
          </w:p>
        </w:tc>
        <w:tc>
          <w:tcPr>
            <w:tcW w:w="1501" w:type="dxa"/>
            <w:vAlign w:val="center"/>
          </w:tcPr>
          <w:p>
            <w:pPr>
              <w:pStyle w:val="5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kern w:val="21"/>
                <w:szCs w:val="21"/>
              </w:rPr>
            </w:pPr>
            <w:r>
              <w:rPr>
                <w:rFonts w:hint="eastAsia"/>
                <w:snapToGrid w:val="0"/>
                <w:kern w:val="21"/>
                <w:szCs w:val="21"/>
              </w:rPr>
              <w:t>除尘灰</w:t>
            </w:r>
          </w:p>
        </w:tc>
        <w:tc>
          <w:tcPr>
            <w:tcW w:w="1500" w:type="dxa"/>
            <w:vAlign w:val="center"/>
          </w:tcPr>
          <w:p>
            <w:pPr>
              <w:pStyle w:val="5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rFonts w:hint="default" w:eastAsia="宋体"/>
                <w:color w:val="auto"/>
                <w:szCs w:val="21"/>
                <w:lang w:val="en-US" w:eastAsia="zh-CN"/>
              </w:rPr>
            </w:pPr>
            <w:r>
              <w:rPr>
                <w:rFonts w:hint="eastAsia"/>
                <w:color w:val="auto"/>
                <w:szCs w:val="21"/>
                <w:lang w:val="en-US" w:eastAsia="zh-CN"/>
              </w:rPr>
              <w:t>34.44</w:t>
            </w:r>
          </w:p>
        </w:tc>
        <w:tc>
          <w:tcPr>
            <w:tcW w:w="1501" w:type="dxa"/>
            <w:vAlign w:val="center"/>
          </w:tcPr>
          <w:p>
            <w:pPr>
              <w:jc w:val="center"/>
              <w:rPr>
                <w:color w:val="auto"/>
                <w:szCs w:val="21"/>
              </w:rPr>
            </w:pPr>
            <w:r>
              <w:rPr>
                <w:snapToGrid w:val="0"/>
                <w:color w:val="auto"/>
                <w:kern w:val="21"/>
                <w:szCs w:val="21"/>
              </w:rPr>
              <w:t>/</w:t>
            </w:r>
          </w:p>
        </w:tc>
        <w:tc>
          <w:tcPr>
            <w:tcW w:w="1501" w:type="dxa"/>
            <w:vAlign w:val="center"/>
          </w:tcPr>
          <w:p>
            <w:pPr>
              <w:pStyle w:val="57"/>
              <w:rPr>
                <w:rFonts w:hint="default" w:eastAsia="宋体"/>
                <w:snapToGrid w:val="0"/>
                <w:color w:val="auto"/>
                <w:kern w:val="21"/>
                <w:szCs w:val="21"/>
                <w:lang w:val="en-US" w:eastAsia="zh-CN"/>
              </w:rPr>
            </w:pPr>
            <w:r>
              <w:rPr>
                <w:rFonts w:hint="eastAsia"/>
                <w:color w:val="auto"/>
                <w:szCs w:val="21"/>
                <w:lang w:val="en-US" w:eastAsia="zh-CN"/>
              </w:rPr>
              <w:t>34.44</w:t>
            </w:r>
          </w:p>
        </w:tc>
        <w:tc>
          <w:tcPr>
            <w:tcW w:w="1501" w:type="dxa"/>
            <w:vAlign w:val="center"/>
          </w:tcPr>
          <w:p>
            <w:pPr>
              <w:pStyle w:val="57"/>
              <w:rPr>
                <w:rFonts w:hint="default" w:eastAsia="宋体"/>
                <w:color w:val="auto"/>
                <w:szCs w:val="21"/>
                <w:lang w:val="en-US" w:eastAsia="zh-CN"/>
              </w:rPr>
            </w:pPr>
            <w:r>
              <w:rPr>
                <w:rFonts w:hint="eastAsia"/>
                <w:color w:val="auto"/>
                <w:szCs w:val="21"/>
              </w:rPr>
              <w:t>+</w:t>
            </w:r>
            <w:r>
              <w:rPr>
                <w:rFonts w:hint="eastAsia"/>
                <w:color w:val="auto"/>
                <w:szCs w:val="21"/>
                <w:lang w:val="en-US" w:eastAsia="zh-CN"/>
              </w:rPr>
              <w:t>34.44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jc w:val="center"/>
              <w:rPr>
                <w:rFonts w:hint="default" w:eastAsia="宋体"/>
                <w:snapToGrid w:val="0"/>
                <w:kern w:val="21"/>
                <w:szCs w:val="21"/>
                <w:lang w:val="en-US" w:eastAsia="zh-CN"/>
              </w:rPr>
            </w:pPr>
            <w:r>
              <w:rPr>
                <w:rFonts w:hint="eastAsia"/>
                <w:snapToGrid w:val="0"/>
                <w:kern w:val="21"/>
                <w:szCs w:val="21"/>
                <w:lang w:val="en-US" w:eastAsia="zh-CN"/>
              </w:rPr>
              <w:t>隧道窑烟气处理系统废渣</w:t>
            </w:r>
          </w:p>
        </w:tc>
        <w:tc>
          <w:tcPr>
            <w:tcW w:w="1500" w:type="dxa"/>
            <w:vAlign w:val="center"/>
          </w:tcPr>
          <w:p>
            <w:pPr>
              <w:pStyle w:val="5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color w:val="auto"/>
                <w:szCs w:val="21"/>
              </w:rPr>
            </w:pPr>
            <w:r>
              <w:rPr>
                <w:rFonts w:hint="eastAsia"/>
                <w:color w:val="auto"/>
                <w:szCs w:val="21"/>
              </w:rPr>
              <w:t>650</w:t>
            </w:r>
          </w:p>
        </w:tc>
        <w:tc>
          <w:tcPr>
            <w:tcW w:w="1501" w:type="dxa"/>
            <w:vAlign w:val="center"/>
          </w:tcPr>
          <w:p>
            <w:pPr>
              <w:jc w:val="center"/>
              <w:rPr>
                <w:color w:val="auto"/>
                <w:szCs w:val="21"/>
              </w:rPr>
            </w:pPr>
            <w:r>
              <w:rPr>
                <w:snapToGrid w:val="0"/>
                <w:color w:val="auto"/>
                <w:kern w:val="21"/>
                <w:szCs w:val="21"/>
              </w:rPr>
              <w:t>/</w:t>
            </w:r>
          </w:p>
        </w:tc>
        <w:tc>
          <w:tcPr>
            <w:tcW w:w="1501" w:type="dxa"/>
            <w:vAlign w:val="center"/>
          </w:tcPr>
          <w:p>
            <w:pPr>
              <w:pStyle w:val="57"/>
              <w:rPr>
                <w:snapToGrid w:val="0"/>
                <w:color w:val="auto"/>
                <w:kern w:val="21"/>
                <w:szCs w:val="21"/>
              </w:rPr>
            </w:pPr>
            <w:r>
              <w:rPr>
                <w:rFonts w:hint="eastAsia"/>
                <w:color w:val="auto"/>
                <w:szCs w:val="21"/>
              </w:rPr>
              <w:t>650</w:t>
            </w:r>
          </w:p>
        </w:tc>
        <w:tc>
          <w:tcPr>
            <w:tcW w:w="1501" w:type="dxa"/>
            <w:vAlign w:val="center"/>
          </w:tcPr>
          <w:p>
            <w:pPr>
              <w:pStyle w:val="57"/>
              <w:rPr>
                <w:color w:val="auto"/>
                <w:szCs w:val="21"/>
              </w:rPr>
            </w:pPr>
            <w:r>
              <w:rPr>
                <w:rFonts w:hint="eastAsia"/>
                <w:color w:val="auto"/>
                <w:szCs w:val="21"/>
              </w:rPr>
              <w:t>+650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color w:val="auto"/>
              </w:rPr>
            </w:pPr>
            <w:r>
              <w:rPr>
                <w:rFonts w:hint="eastAsia"/>
                <w:color w:val="auto"/>
              </w:rPr>
              <w:t>焙烧炉渣</w:t>
            </w:r>
          </w:p>
        </w:tc>
        <w:tc>
          <w:tcPr>
            <w:tcW w:w="1500" w:type="dxa"/>
            <w:vAlign w:val="center"/>
          </w:tcPr>
          <w:p>
            <w:pPr>
              <w:pStyle w:val="57"/>
              <w:rPr>
                <w:color w:val="auto"/>
                <w:szCs w:val="21"/>
              </w:rPr>
            </w:pPr>
            <w:r>
              <w:rPr>
                <w:rFonts w:hint="eastAsia"/>
                <w:color w:val="auto"/>
                <w:szCs w:val="21"/>
              </w:rPr>
              <w:t>44</w:t>
            </w:r>
          </w:p>
        </w:tc>
        <w:tc>
          <w:tcPr>
            <w:tcW w:w="1501" w:type="dxa"/>
            <w:vAlign w:val="center"/>
          </w:tcPr>
          <w:p>
            <w:pPr>
              <w:jc w:val="center"/>
              <w:rPr>
                <w:snapToGrid w:val="0"/>
                <w:color w:val="FF0000"/>
                <w:kern w:val="21"/>
                <w:szCs w:val="21"/>
              </w:rPr>
            </w:pPr>
            <w:r>
              <w:rPr>
                <w:rFonts w:hint="eastAsia"/>
                <w:snapToGrid w:val="0"/>
                <w:color w:val="FF0000"/>
                <w:kern w:val="21"/>
                <w:szCs w:val="21"/>
              </w:rPr>
              <w:t>/</w:t>
            </w:r>
          </w:p>
        </w:tc>
        <w:tc>
          <w:tcPr>
            <w:tcW w:w="1501" w:type="dxa"/>
            <w:vAlign w:val="center"/>
          </w:tcPr>
          <w:p>
            <w:pPr>
              <w:jc w:val="center"/>
              <w:rPr>
                <w:snapToGrid w:val="0"/>
                <w:color w:val="FF0000"/>
                <w:kern w:val="21"/>
                <w:szCs w:val="21"/>
              </w:rPr>
            </w:pPr>
            <w:r>
              <w:rPr>
                <w:rFonts w:hint="eastAsia"/>
                <w:snapToGrid w:val="0"/>
                <w:color w:val="FF0000"/>
                <w:kern w:val="21"/>
                <w:szCs w:val="21"/>
              </w:rPr>
              <w:t>/</w:t>
            </w:r>
          </w:p>
        </w:tc>
        <w:tc>
          <w:tcPr>
            <w:tcW w:w="1500" w:type="dxa"/>
            <w:vAlign w:val="center"/>
          </w:tcPr>
          <w:p>
            <w:pPr>
              <w:pStyle w:val="57"/>
              <w:rPr>
                <w:rFonts w:hint="eastAsia" w:eastAsia="宋体"/>
                <w:color w:val="auto"/>
                <w:szCs w:val="21"/>
                <w:lang w:eastAsia="zh-CN"/>
              </w:rPr>
            </w:pPr>
            <w:r>
              <w:rPr>
                <w:rFonts w:hint="eastAsia"/>
                <w:color w:val="auto"/>
                <w:szCs w:val="21"/>
                <w:lang w:val="en-US" w:eastAsia="zh-CN"/>
              </w:rPr>
              <w:t>1</w:t>
            </w:r>
          </w:p>
        </w:tc>
        <w:tc>
          <w:tcPr>
            <w:tcW w:w="1501" w:type="dxa"/>
            <w:vAlign w:val="center"/>
          </w:tcPr>
          <w:p>
            <w:pPr>
              <w:jc w:val="center"/>
              <w:rPr>
                <w:color w:val="auto"/>
                <w:szCs w:val="21"/>
              </w:rPr>
            </w:pPr>
            <w:r>
              <w:rPr>
                <w:snapToGrid w:val="0"/>
                <w:color w:val="auto"/>
                <w:kern w:val="21"/>
                <w:szCs w:val="21"/>
              </w:rPr>
              <w:t>/</w:t>
            </w:r>
          </w:p>
        </w:tc>
        <w:tc>
          <w:tcPr>
            <w:tcW w:w="1501" w:type="dxa"/>
            <w:vAlign w:val="center"/>
          </w:tcPr>
          <w:p>
            <w:pPr>
              <w:pStyle w:val="57"/>
              <w:rPr>
                <w:rFonts w:hint="eastAsia" w:eastAsia="宋体"/>
                <w:color w:val="auto"/>
                <w:lang w:eastAsia="zh-CN"/>
              </w:rPr>
            </w:pPr>
            <w:r>
              <w:rPr>
                <w:rFonts w:hint="eastAsia"/>
                <w:color w:val="auto"/>
                <w:szCs w:val="21"/>
                <w:lang w:val="en-US" w:eastAsia="zh-CN"/>
              </w:rPr>
              <w:t>1</w:t>
            </w:r>
          </w:p>
        </w:tc>
        <w:tc>
          <w:tcPr>
            <w:tcW w:w="1501" w:type="dxa"/>
            <w:vAlign w:val="center"/>
          </w:tcPr>
          <w:p>
            <w:pPr>
              <w:pStyle w:val="57"/>
              <w:rPr>
                <w:rFonts w:hint="default" w:eastAsia="宋体"/>
                <w:color w:val="auto"/>
                <w:szCs w:val="21"/>
                <w:lang w:val="en-US" w:eastAsia="zh-CN"/>
              </w:rPr>
            </w:pPr>
            <w:r>
              <w:rPr>
                <w:rFonts w:hint="eastAsia"/>
                <w:color w:val="auto"/>
                <w:szCs w:val="21"/>
              </w:rPr>
              <w:t>-</w:t>
            </w:r>
            <w:r>
              <w:rPr>
                <w:rFonts w:hint="eastAsia"/>
                <w:color w:val="auto"/>
                <w:szCs w:val="21"/>
                <w:lang w:val="en-US" w:eastAsia="zh-CN"/>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color w:val="auto"/>
                <w:kern w:val="21"/>
                <w:szCs w:val="21"/>
              </w:rPr>
            </w:pPr>
            <w:r>
              <w:rPr>
                <w:color w:val="auto"/>
              </w:rPr>
              <w:t>生活垃圾</w:t>
            </w:r>
          </w:p>
        </w:tc>
        <w:tc>
          <w:tcPr>
            <w:tcW w:w="1500" w:type="dxa"/>
            <w:vAlign w:val="center"/>
          </w:tcPr>
          <w:p>
            <w:pPr>
              <w:pStyle w:val="57"/>
              <w:rPr>
                <w:color w:val="auto"/>
                <w:szCs w:val="21"/>
              </w:rPr>
            </w:pPr>
            <w:r>
              <w:rPr>
                <w:rFonts w:hint="eastAsia"/>
                <w:color w:val="auto"/>
                <w:szCs w:val="21"/>
              </w:rPr>
              <w:t>11.76</w:t>
            </w:r>
          </w:p>
        </w:tc>
        <w:tc>
          <w:tcPr>
            <w:tcW w:w="1501" w:type="dxa"/>
            <w:vAlign w:val="center"/>
          </w:tcPr>
          <w:p>
            <w:pPr>
              <w:pStyle w:val="57"/>
              <w:rPr>
                <w:snapToGrid w:val="0"/>
                <w:color w:val="auto"/>
                <w:kern w:val="21"/>
                <w:szCs w:val="21"/>
              </w:rPr>
            </w:pPr>
            <w:r>
              <w:rPr>
                <w:snapToGrid w:val="0"/>
                <w:color w:val="auto"/>
                <w:kern w:val="21"/>
                <w:szCs w:val="21"/>
              </w:rPr>
              <w:t>/</w:t>
            </w:r>
          </w:p>
        </w:tc>
        <w:tc>
          <w:tcPr>
            <w:tcW w:w="1501" w:type="dxa"/>
            <w:vAlign w:val="center"/>
          </w:tcPr>
          <w:p>
            <w:pPr>
              <w:pStyle w:val="57"/>
              <w:rPr>
                <w:snapToGrid w:val="0"/>
                <w:color w:val="auto"/>
                <w:kern w:val="21"/>
                <w:szCs w:val="21"/>
              </w:rPr>
            </w:pPr>
            <w:r>
              <w:rPr>
                <w:snapToGrid w:val="0"/>
                <w:color w:val="auto"/>
                <w:kern w:val="21"/>
                <w:szCs w:val="21"/>
              </w:rPr>
              <w:t>/</w:t>
            </w:r>
          </w:p>
        </w:tc>
        <w:tc>
          <w:tcPr>
            <w:tcW w:w="1500" w:type="dxa"/>
            <w:vAlign w:val="center"/>
          </w:tcPr>
          <w:p>
            <w:pPr>
              <w:pStyle w:val="57"/>
              <w:rPr>
                <w:color w:val="auto"/>
                <w:szCs w:val="21"/>
              </w:rPr>
            </w:pPr>
            <w:r>
              <w:rPr>
                <w:rFonts w:hint="eastAsia"/>
                <w:color w:val="auto"/>
                <w:szCs w:val="21"/>
              </w:rPr>
              <w:t>3</w:t>
            </w:r>
          </w:p>
        </w:tc>
        <w:tc>
          <w:tcPr>
            <w:tcW w:w="1501" w:type="dxa"/>
            <w:vAlign w:val="center"/>
          </w:tcPr>
          <w:p>
            <w:pPr>
              <w:jc w:val="center"/>
              <w:rPr>
                <w:color w:val="auto"/>
                <w:szCs w:val="21"/>
              </w:rPr>
            </w:pPr>
            <w:r>
              <w:rPr>
                <w:snapToGrid w:val="0"/>
                <w:color w:val="auto"/>
                <w:kern w:val="21"/>
                <w:szCs w:val="21"/>
              </w:rPr>
              <w:t>/</w:t>
            </w:r>
          </w:p>
        </w:tc>
        <w:tc>
          <w:tcPr>
            <w:tcW w:w="1501" w:type="dxa"/>
            <w:vAlign w:val="center"/>
          </w:tcPr>
          <w:p>
            <w:pPr>
              <w:pStyle w:val="57"/>
              <w:rPr>
                <w:snapToGrid w:val="0"/>
                <w:color w:val="auto"/>
                <w:kern w:val="21"/>
                <w:szCs w:val="21"/>
              </w:rPr>
            </w:pPr>
            <w:r>
              <w:rPr>
                <w:rFonts w:hint="eastAsia"/>
                <w:color w:val="auto"/>
                <w:szCs w:val="21"/>
              </w:rPr>
              <w:t>3</w:t>
            </w:r>
          </w:p>
        </w:tc>
        <w:tc>
          <w:tcPr>
            <w:tcW w:w="1501" w:type="dxa"/>
            <w:vAlign w:val="center"/>
          </w:tcPr>
          <w:p>
            <w:pPr>
              <w:pStyle w:val="57"/>
              <w:rPr>
                <w:color w:val="auto"/>
                <w:szCs w:val="21"/>
              </w:rPr>
            </w:pPr>
            <w:r>
              <w:rPr>
                <w:rFonts w:hint="eastAsia"/>
                <w:color w:val="auto"/>
                <w:szCs w:val="21"/>
              </w:rPr>
              <w:t>-8.76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rFonts w:hint="eastAsia" w:eastAsia="宋体"/>
                <w:color w:val="auto"/>
                <w:lang w:val="en-US" w:eastAsia="zh-CN"/>
              </w:rPr>
            </w:pPr>
            <w:r>
              <w:rPr>
                <w:rFonts w:hint="eastAsia"/>
                <w:color w:val="auto"/>
                <w:lang w:val="en-US" w:eastAsia="zh-CN"/>
              </w:rPr>
              <w:t>废包装袋</w:t>
            </w:r>
          </w:p>
        </w:tc>
        <w:tc>
          <w:tcPr>
            <w:tcW w:w="1500" w:type="dxa"/>
            <w:vAlign w:val="center"/>
          </w:tcPr>
          <w:p>
            <w:pPr>
              <w:pStyle w:val="57"/>
              <w:rPr>
                <w:rFonts w:hint="eastAsia" w:eastAsia="宋体"/>
                <w:color w:val="auto"/>
                <w:szCs w:val="21"/>
                <w:lang w:val="en-US" w:eastAsia="zh-CN"/>
              </w:rPr>
            </w:pPr>
            <w:r>
              <w:rPr>
                <w:rFonts w:hint="eastAsia"/>
                <w:color w:val="auto"/>
                <w:szCs w:val="21"/>
                <w:lang w:val="en-US" w:eastAsia="zh-CN"/>
              </w:rPr>
              <w:t>0</w:t>
            </w:r>
          </w:p>
        </w:tc>
        <w:tc>
          <w:tcPr>
            <w:tcW w:w="1501" w:type="dxa"/>
            <w:vAlign w:val="center"/>
          </w:tcPr>
          <w:p>
            <w:pPr>
              <w:jc w:val="center"/>
              <w:rPr>
                <w:snapToGrid w:val="0"/>
                <w:color w:val="auto"/>
                <w:kern w:val="21"/>
                <w:szCs w:val="21"/>
              </w:rPr>
            </w:pPr>
            <w:r>
              <w:rPr>
                <w:snapToGrid w:val="0"/>
                <w:color w:val="auto"/>
                <w:kern w:val="21"/>
                <w:szCs w:val="21"/>
              </w:rPr>
              <w:t>/</w:t>
            </w:r>
          </w:p>
        </w:tc>
        <w:tc>
          <w:tcPr>
            <w:tcW w:w="1501" w:type="dxa"/>
            <w:vAlign w:val="center"/>
          </w:tcPr>
          <w:p>
            <w:pPr>
              <w:jc w:val="center"/>
              <w:rPr>
                <w:snapToGrid w:val="0"/>
                <w:color w:val="auto"/>
                <w:kern w:val="21"/>
                <w:szCs w:val="21"/>
              </w:rPr>
            </w:pPr>
            <w:r>
              <w:rPr>
                <w:snapToGrid w:val="0"/>
                <w:color w:val="auto"/>
                <w:kern w:val="21"/>
                <w:szCs w:val="21"/>
              </w:rPr>
              <w:t>/</w:t>
            </w:r>
          </w:p>
        </w:tc>
        <w:tc>
          <w:tcPr>
            <w:tcW w:w="1500" w:type="dxa"/>
            <w:vAlign w:val="center"/>
          </w:tcPr>
          <w:p>
            <w:pPr>
              <w:pStyle w:val="57"/>
              <w:rPr>
                <w:rFonts w:hint="default" w:eastAsia="宋体"/>
                <w:color w:val="auto"/>
                <w:szCs w:val="21"/>
                <w:lang w:val="en-US" w:eastAsia="zh-CN"/>
              </w:rPr>
            </w:pPr>
            <w:r>
              <w:rPr>
                <w:rFonts w:hint="eastAsia"/>
                <w:color w:val="auto"/>
                <w:szCs w:val="21"/>
                <w:lang w:val="en-US" w:eastAsia="zh-CN"/>
              </w:rPr>
              <w:t>0.06</w:t>
            </w:r>
          </w:p>
        </w:tc>
        <w:tc>
          <w:tcPr>
            <w:tcW w:w="1501" w:type="dxa"/>
            <w:vAlign w:val="center"/>
          </w:tcPr>
          <w:p>
            <w:pPr>
              <w:jc w:val="center"/>
              <w:rPr>
                <w:rFonts w:hint="default" w:eastAsia="宋体"/>
                <w:color w:val="auto"/>
                <w:szCs w:val="21"/>
                <w:lang w:val="en-US" w:eastAsia="zh-CN"/>
              </w:rPr>
            </w:pPr>
            <w:r>
              <w:rPr>
                <w:snapToGrid w:val="0"/>
                <w:color w:val="auto"/>
                <w:kern w:val="21"/>
                <w:szCs w:val="21"/>
              </w:rPr>
              <w:t>/</w:t>
            </w:r>
          </w:p>
        </w:tc>
        <w:tc>
          <w:tcPr>
            <w:tcW w:w="1501" w:type="dxa"/>
            <w:vAlign w:val="center"/>
          </w:tcPr>
          <w:p>
            <w:pPr>
              <w:pStyle w:val="57"/>
              <w:rPr>
                <w:rFonts w:hint="default" w:eastAsia="宋体"/>
                <w:color w:val="auto"/>
                <w:szCs w:val="21"/>
                <w:lang w:val="en-US" w:eastAsia="zh-CN"/>
              </w:rPr>
            </w:pPr>
            <w:r>
              <w:rPr>
                <w:rFonts w:hint="eastAsia"/>
                <w:color w:val="auto"/>
                <w:szCs w:val="21"/>
                <w:lang w:val="en-US" w:eastAsia="zh-CN"/>
              </w:rPr>
              <w:t>0.06</w:t>
            </w:r>
          </w:p>
        </w:tc>
        <w:tc>
          <w:tcPr>
            <w:tcW w:w="1501" w:type="dxa"/>
            <w:vAlign w:val="center"/>
          </w:tcPr>
          <w:p>
            <w:pPr>
              <w:pStyle w:val="57"/>
              <w:rPr>
                <w:rFonts w:hint="default" w:eastAsia="宋体"/>
                <w:color w:val="auto"/>
                <w:szCs w:val="21"/>
                <w:lang w:val="en-US" w:eastAsia="zh-CN"/>
              </w:rPr>
            </w:pPr>
            <w:r>
              <w:rPr>
                <w:rFonts w:hint="eastAsia"/>
                <w:color w:val="auto"/>
                <w:szCs w:val="21"/>
                <w:lang w:val="en-US" w:eastAsia="zh-CN"/>
              </w:rPr>
              <w:t>+0.06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rFonts w:hint="default"/>
                <w:color w:val="auto"/>
                <w:lang w:val="en-US" w:eastAsia="zh-CN"/>
              </w:rPr>
            </w:pPr>
            <w:r>
              <w:rPr>
                <w:rFonts w:hint="eastAsia"/>
                <w:color w:val="auto"/>
                <w:lang w:val="en-US" w:eastAsia="zh-CN"/>
              </w:rPr>
              <w:t>非制砖废料</w:t>
            </w:r>
          </w:p>
        </w:tc>
        <w:tc>
          <w:tcPr>
            <w:tcW w:w="1500" w:type="dxa"/>
            <w:vAlign w:val="center"/>
          </w:tcPr>
          <w:p>
            <w:pPr>
              <w:pStyle w:val="57"/>
              <w:rPr>
                <w:rFonts w:hint="default"/>
                <w:color w:val="auto"/>
                <w:szCs w:val="21"/>
                <w:lang w:val="en-US" w:eastAsia="zh-CN"/>
              </w:rPr>
            </w:pPr>
            <w:r>
              <w:rPr>
                <w:rFonts w:hint="eastAsia"/>
                <w:color w:val="auto"/>
                <w:szCs w:val="21"/>
                <w:lang w:val="en-US" w:eastAsia="zh-CN"/>
              </w:rPr>
              <w:t>0</w:t>
            </w:r>
          </w:p>
        </w:tc>
        <w:tc>
          <w:tcPr>
            <w:tcW w:w="1501" w:type="dxa"/>
            <w:vAlign w:val="center"/>
          </w:tcPr>
          <w:p>
            <w:pPr>
              <w:jc w:val="center"/>
              <w:rPr>
                <w:snapToGrid w:val="0"/>
                <w:color w:val="auto"/>
                <w:kern w:val="21"/>
                <w:szCs w:val="21"/>
              </w:rPr>
            </w:pPr>
            <w:r>
              <w:rPr>
                <w:snapToGrid w:val="0"/>
                <w:color w:val="auto"/>
                <w:kern w:val="21"/>
                <w:szCs w:val="21"/>
              </w:rPr>
              <w:t>/</w:t>
            </w:r>
          </w:p>
        </w:tc>
        <w:tc>
          <w:tcPr>
            <w:tcW w:w="1501" w:type="dxa"/>
            <w:vAlign w:val="center"/>
          </w:tcPr>
          <w:p>
            <w:pPr>
              <w:jc w:val="center"/>
              <w:rPr>
                <w:snapToGrid w:val="0"/>
                <w:color w:val="auto"/>
                <w:kern w:val="21"/>
                <w:szCs w:val="21"/>
              </w:rPr>
            </w:pPr>
            <w:r>
              <w:rPr>
                <w:snapToGrid w:val="0"/>
                <w:color w:val="auto"/>
                <w:kern w:val="21"/>
                <w:szCs w:val="21"/>
              </w:rPr>
              <w:t>/</w:t>
            </w:r>
          </w:p>
        </w:tc>
        <w:tc>
          <w:tcPr>
            <w:tcW w:w="1500" w:type="dxa"/>
            <w:vAlign w:val="center"/>
          </w:tcPr>
          <w:p>
            <w:pPr>
              <w:pStyle w:val="57"/>
              <w:rPr>
                <w:rFonts w:hint="default"/>
                <w:color w:val="auto"/>
                <w:szCs w:val="21"/>
                <w:lang w:val="en-US" w:eastAsia="zh-CN"/>
              </w:rPr>
            </w:pPr>
            <w:r>
              <w:rPr>
                <w:rFonts w:hint="eastAsia"/>
                <w:color w:val="auto"/>
                <w:szCs w:val="21"/>
                <w:lang w:val="en-US" w:eastAsia="zh-CN"/>
              </w:rPr>
              <w:t>6</w:t>
            </w:r>
          </w:p>
        </w:tc>
        <w:tc>
          <w:tcPr>
            <w:tcW w:w="1501" w:type="dxa"/>
            <w:vAlign w:val="center"/>
          </w:tcPr>
          <w:p>
            <w:pPr>
              <w:jc w:val="center"/>
              <w:rPr>
                <w:snapToGrid w:val="0"/>
                <w:color w:val="auto"/>
                <w:kern w:val="21"/>
                <w:szCs w:val="21"/>
              </w:rPr>
            </w:pPr>
            <w:r>
              <w:rPr>
                <w:snapToGrid w:val="0"/>
                <w:color w:val="auto"/>
                <w:kern w:val="21"/>
                <w:szCs w:val="21"/>
              </w:rPr>
              <w:t>/</w:t>
            </w:r>
          </w:p>
        </w:tc>
        <w:tc>
          <w:tcPr>
            <w:tcW w:w="1501" w:type="dxa"/>
            <w:vAlign w:val="center"/>
          </w:tcPr>
          <w:p>
            <w:pPr>
              <w:pStyle w:val="57"/>
              <w:rPr>
                <w:rFonts w:hint="default"/>
                <w:color w:val="auto"/>
                <w:szCs w:val="21"/>
                <w:lang w:val="en-US" w:eastAsia="zh-CN"/>
              </w:rPr>
            </w:pPr>
            <w:r>
              <w:rPr>
                <w:rFonts w:hint="eastAsia"/>
                <w:color w:val="auto"/>
                <w:szCs w:val="21"/>
                <w:lang w:val="en-US" w:eastAsia="zh-CN"/>
              </w:rPr>
              <w:t>6</w:t>
            </w:r>
          </w:p>
        </w:tc>
        <w:tc>
          <w:tcPr>
            <w:tcW w:w="1501" w:type="dxa"/>
            <w:vAlign w:val="center"/>
          </w:tcPr>
          <w:p>
            <w:pPr>
              <w:pStyle w:val="57"/>
              <w:rPr>
                <w:rFonts w:hint="default"/>
                <w:color w:val="auto"/>
                <w:szCs w:val="21"/>
                <w:lang w:val="en-US" w:eastAsia="zh-CN"/>
              </w:rPr>
            </w:pPr>
            <w:r>
              <w:rPr>
                <w:rFonts w:hint="eastAsia"/>
                <w:color w:val="auto"/>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91" w:type="dxa"/>
            <w:vAlign w:val="center"/>
          </w:tcPr>
          <w:p>
            <w:pPr>
              <w:pStyle w:val="48"/>
              <w:spacing w:beforeLines="0" w:afterLines="0" w:line="240" w:lineRule="auto"/>
              <w:rPr>
                <w:rFonts w:ascii="Times New Roman"/>
                <w:snapToGrid w:val="0"/>
                <w:kern w:val="21"/>
                <w:szCs w:val="21"/>
              </w:rPr>
            </w:pPr>
            <w:r>
              <w:rPr>
                <w:rFonts w:ascii="Times New Roman"/>
                <w:snapToGrid w:val="0"/>
                <w:kern w:val="21"/>
                <w:szCs w:val="21"/>
              </w:rPr>
              <w:t>危险废物</w:t>
            </w:r>
          </w:p>
        </w:tc>
        <w:tc>
          <w:tcPr>
            <w:tcW w:w="1560" w:type="dxa"/>
            <w:vAlign w:val="center"/>
          </w:tcPr>
          <w:p>
            <w:pPr>
              <w:pStyle w:val="57"/>
              <w:rPr>
                <w:color w:val="auto"/>
              </w:rPr>
            </w:pPr>
            <w:r>
              <w:rPr>
                <w:rFonts w:hint="eastAsia"/>
                <w:color w:val="auto"/>
              </w:rPr>
              <w:t>废机油及机油桶</w:t>
            </w:r>
          </w:p>
        </w:tc>
        <w:tc>
          <w:tcPr>
            <w:tcW w:w="1500" w:type="dxa"/>
            <w:vAlign w:val="center"/>
          </w:tcPr>
          <w:p>
            <w:pPr>
              <w:jc w:val="center"/>
              <w:rPr>
                <w:snapToGrid w:val="0"/>
                <w:color w:val="auto"/>
                <w:kern w:val="21"/>
                <w:szCs w:val="21"/>
              </w:rPr>
            </w:pPr>
            <w:r>
              <w:rPr>
                <w:rFonts w:hint="eastAsia"/>
                <w:snapToGrid w:val="0"/>
                <w:color w:val="auto"/>
                <w:kern w:val="21"/>
                <w:szCs w:val="21"/>
              </w:rPr>
              <w:t>0</w:t>
            </w:r>
          </w:p>
        </w:tc>
        <w:tc>
          <w:tcPr>
            <w:tcW w:w="1501" w:type="dxa"/>
            <w:vAlign w:val="center"/>
          </w:tcPr>
          <w:p>
            <w:pPr>
              <w:jc w:val="center"/>
              <w:rPr>
                <w:snapToGrid w:val="0"/>
                <w:color w:val="auto"/>
                <w:kern w:val="21"/>
                <w:szCs w:val="21"/>
              </w:rPr>
            </w:pPr>
            <w:r>
              <w:rPr>
                <w:rFonts w:hint="eastAsia"/>
                <w:snapToGrid w:val="0"/>
                <w:color w:val="auto"/>
                <w:kern w:val="21"/>
                <w:szCs w:val="21"/>
              </w:rPr>
              <w:t>/</w:t>
            </w:r>
          </w:p>
        </w:tc>
        <w:tc>
          <w:tcPr>
            <w:tcW w:w="1501" w:type="dxa"/>
            <w:vAlign w:val="center"/>
          </w:tcPr>
          <w:p>
            <w:pPr>
              <w:jc w:val="center"/>
              <w:rPr>
                <w:snapToGrid w:val="0"/>
                <w:color w:val="auto"/>
                <w:kern w:val="21"/>
                <w:szCs w:val="21"/>
              </w:rPr>
            </w:pPr>
            <w:r>
              <w:rPr>
                <w:rFonts w:hint="eastAsia"/>
                <w:snapToGrid w:val="0"/>
                <w:color w:val="auto"/>
                <w:kern w:val="21"/>
                <w:szCs w:val="21"/>
              </w:rPr>
              <w:t>/</w:t>
            </w:r>
          </w:p>
        </w:tc>
        <w:tc>
          <w:tcPr>
            <w:tcW w:w="1500" w:type="dxa"/>
            <w:vAlign w:val="center"/>
          </w:tcPr>
          <w:p>
            <w:pPr>
              <w:pStyle w:val="57"/>
              <w:rPr>
                <w:rFonts w:hint="eastAsia" w:eastAsia="宋体"/>
                <w:color w:val="auto"/>
                <w:lang w:val="en-US" w:eastAsia="zh-CN"/>
              </w:rPr>
            </w:pPr>
            <w:r>
              <w:rPr>
                <w:rFonts w:hint="eastAsia"/>
                <w:color w:val="auto"/>
              </w:rPr>
              <w:t>0.</w:t>
            </w:r>
            <w:r>
              <w:rPr>
                <w:rFonts w:hint="eastAsia"/>
                <w:color w:val="auto"/>
                <w:lang w:val="en-US" w:eastAsia="zh-CN"/>
              </w:rPr>
              <w:t>2</w:t>
            </w:r>
          </w:p>
        </w:tc>
        <w:tc>
          <w:tcPr>
            <w:tcW w:w="1501" w:type="dxa"/>
            <w:vAlign w:val="center"/>
          </w:tcPr>
          <w:p>
            <w:pPr>
              <w:jc w:val="center"/>
              <w:rPr>
                <w:snapToGrid w:val="0"/>
                <w:color w:val="auto"/>
                <w:kern w:val="21"/>
                <w:szCs w:val="21"/>
              </w:rPr>
            </w:pPr>
            <w:r>
              <w:rPr>
                <w:snapToGrid w:val="0"/>
                <w:color w:val="auto"/>
                <w:kern w:val="21"/>
                <w:szCs w:val="21"/>
              </w:rPr>
              <w:t>/</w:t>
            </w:r>
          </w:p>
        </w:tc>
        <w:tc>
          <w:tcPr>
            <w:tcW w:w="1501" w:type="dxa"/>
            <w:vAlign w:val="center"/>
          </w:tcPr>
          <w:p>
            <w:pPr>
              <w:pStyle w:val="57"/>
              <w:rPr>
                <w:rFonts w:hint="eastAsia" w:eastAsia="宋体"/>
                <w:color w:val="auto"/>
                <w:lang w:val="en-US" w:eastAsia="zh-CN"/>
              </w:rPr>
            </w:pPr>
            <w:r>
              <w:rPr>
                <w:rFonts w:hint="eastAsia"/>
                <w:color w:val="auto"/>
              </w:rPr>
              <w:t>0.</w:t>
            </w:r>
            <w:r>
              <w:rPr>
                <w:rFonts w:hint="eastAsia"/>
                <w:color w:val="auto"/>
                <w:lang w:val="en-US" w:eastAsia="zh-CN"/>
              </w:rPr>
              <w:t>2</w:t>
            </w:r>
          </w:p>
        </w:tc>
        <w:tc>
          <w:tcPr>
            <w:tcW w:w="1501" w:type="dxa"/>
            <w:vAlign w:val="center"/>
          </w:tcPr>
          <w:p>
            <w:pPr>
              <w:pStyle w:val="57"/>
              <w:rPr>
                <w:rFonts w:hint="eastAsia" w:eastAsia="宋体"/>
                <w:snapToGrid w:val="0"/>
                <w:color w:val="auto"/>
                <w:kern w:val="21"/>
                <w:szCs w:val="21"/>
                <w:lang w:val="en-US" w:eastAsia="zh-CN"/>
              </w:rPr>
            </w:pPr>
            <w:r>
              <w:rPr>
                <w:rFonts w:hint="eastAsia"/>
                <w:snapToGrid w:val="0"/>
                <w:color w:val="auto"/>
                <w:kern w:val="21"/>
                <w:szCs w:val="21"/>
              </w:rPr>
              <w:t>+0.</w:t>
            </w:r>
            <w:r>
              <w:rPr>
                <w:rFonts w:hint="eastAsia"/>
                <w:snapToGrid w:val="0"/>
                <w:color w:val="auto"/>
                <w:kern w:val="21"/>
                <w:szCs w:val="21"/>
                <w:lang w:val="en-US" w:eastAsia="zh-CN"/>
              </w:rPr>
              <w:t>2</w:t>
            </w:r>
          </w:p>
        </w:tc>
      </w:tr>
    </w:tbl>
    <w:p>
      <w:pPr>
        <w:pStyle w:val="48"/>
        <w:spacing w:before="192" w:beforeLines="80" w:after="24"/>
        <w:jc w:val="left"/>
        <w:rPr>
          <w:rFonts w:ascii="Times New Roman"/>
          <w:snapToGrid w:val="0"/>
          <w:color w:val="auto"/>
          <w:spacing w:val="-6"/>
          <w:kern w:val="21"/>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hAnsi="宋体" w:cs="宋体"/>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hAnsi="宋体" w:cs="宋体"/>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hAnsi="宋体" w:cs="宋体"/>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hAnsi="宋体" w:cs="宋体"/>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p>
    <w:p>
      <w:pPr>
        <w:rPr>
          <w:color w:val="auto"/>
        </w:rPr>
      </w:pPr>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sz w:val="26"/>
        <w:szCs w:val="26"/>
      </w:rPr>
      <w:fldChar w:fldCharType="begin"/>
    </w:r>
    <w:r>
      <w:rPr>
        <w:rStyle w:val="32"/>
        <w:sz w:val="26"/>
        <w:szCs w:val="26"/>
      </w:rPr>
      <w:instrText xml:space="preserve">PAGE  </w:instrText>
    </w:r>
    <w:r>
      <w:rPr>
        <w:rStyle w:val="32"/>
        <w:sz w:val="26"/>
        <w:szCs w:val="26"/>
      </w:rPr>
      <w:fldChar w:fldCharType="separate"/>
    </w:r>
    <w:r>
      <w:rPr>
        <w:rStyle w:val="32"/>
        <w:sz w:val="26"/>
        <w:szCs w:val="26"/>
      </w:rPr>
      <w:t>9</w:t>
    </w:r>
    <w:r>
      <w:rPr>
        <w:rStyle w:val="32"/>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rFonts w:ascii="宋体" w:hAnsi="宋体"/>
        <w:sz w:val="26"/>
        <w:szCs w:val="26"/>
      </w:rPr>
      <w:fldChar w:fldCharType="begin"/>
    </w:r>
    <w:r>
      <w:rPr>
        <w:rStyle w:val="32"/>
        <w:rFonts w:ascii="宋体" w:hAnsi="宋体"/>
        <w:sz w:val="26"/>
        <w:szCs w:val="26"/>
      </w:rPr>
      <w:instrText xml:space="preserve">PAGE  </w:instrText>
    </w:r>
    <w:r>
      <w:rPr>
        <w:rStyle w:val="32"/>
        <w:rFonts w:ascii="宋体" w:hAnsi="宋体"/>
        <w:sz w:val="26"/>
        <w:szCs w:val="26"/>
      </w:rPr>
      <w:fldChar w:fldCharType="separate"/>
    </w:r>
    <w:r>
      <w:rPr>
        <w:rStyle w:val="32"/>
        <w:rFonts w:ascii="宋体" w:hAnsi="宋体"/>
        <w:sz w:val="26"/>
        <w:szCs w:val="26"/>
      </w:rPr>
      <w:t>11</w:t>
    </w:r>
    <w:r>
      <w:rPr>
        <w:rStyle w:val="32"/>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20"/>
      <w:ind w:right="360" w:firstLine="360"/>
      <w:jc w:val="cente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39D88"/>
    <w:multiLevelType w:val="singleLevel"/>
    <w:tmpl w:val="96639D88"/>
    <w:lvl w:ilvl="0" w:tentative="0">
      <w:start w:val="1"/>
      <w:numFmt w:val="decimal"/>
      <w:suff w:val="nothing"/>
      <w:lvlText w:val="（%1）"/>
      <w:lvlJc w:val="left"/>
      <w:pPr>
        <w:ind w:left="-60"/>
      </w:pPr>
    </w:lvl>
  </w:abstractNum>
  <w:abstractNum w:abstractNumId="1">
    <w:nsid w:val="F9092E4A"/>
    <w:multiLevelType w:val="singleLevel"/>
    <w:tmpl w:val="F9092E4A"/>
    <w:lvl w:ilvl="0" w:tentative="0">
      <w:start w:val="1"/>
      <w:numFmt w:val="bullet"/>
      <w:pStyle w:val="1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iM2U1ZjUxOWY2NjBkOTdiOWU1OWViNjNhYmYxNGIifQ=="/>
  </w:docVars>
  <w:rsids>
    <w:rsidRoot w:val="00A14947"/>
    <w:rsid w:val="00000C8A"/>
    <w:rsid w:val="000011E5"/>
    <w:rsid w:val="0000595B"/>
    <w:rsid w:val="000059D5"/>
    <w:rsid w:val="000060B3"/>
    <w:rsid w:val="0000638C"/>
    <w:rsid w:val="000067DB"/>
    <w:rsid w:val="00011633"/>
    <w:rsid w:val="00011BDE"/>
    <w:rsid w:val="000159BE"/>
    <w:rsid w:val="00016311"/>
    <w:rsid w:val="000175BB"/>
    <w:rsid w:val="00021ABB"/>
    <w:rsid w:val="0002254B"/>
    <w:rsid w:val="00025A3C"/>
    <w:rsid w:val="00031B96"/>
    <w:rsid w:val="00032EE8"/>
    <w:rsid w:val="00032FF1"/>
    <w:rsid w:val="000334B4"/>
    <w:rsid w:val="00033F2F"/>
    <w:rsid w:val="0003432E"/>
    <w:rsid w:val="00034F00"/>
    <w:rsid w:val="0003670C"/>
    <w:rsid w:val="00042280"/>
    <w:rsid w:val="000432D9"/>
    <w:rsid w:val="0004364B"/>
    <w:rsid w:val="0004490E"/>
    <w:rsid w:val="00051185"/>
    <w:rsid w:val="000511AB"/>
    <w:rsid w:val="00054BA2"/>
    <w:rsid w:val="0005586B"/>
    <w:rsid w:val="00055FB2"/>
    <w:rsid w:val="000607CD"/>
    <w:rsid w:val="00061B1F"/>
    <w:rsid w:val="00066F11"/>
    <w:rsid w:val="000670BE"/>
    <w:rsid w:val="00070553"/>
    <w:rsid w:val="000711EE"/>
    <w:rsid w:val="00071232"/>
    <w:rsid w:val="000733C4"/>
    <w:rsid w:val="000736A6"/>
    <w:rsid w:val="00074783"/>
    <w:rsid w:val="00076D9F"/>
    <w:rsid w:val="00076F4A"/>
    <w:rsid w:val="0008070B"/>
    <w:rsid w:val="000810AC"/>
    <w:rsid w:val="00081A02"/>
    <w:rsid w:val="00081EEB"/>
    <w:rsid w:val="00082231"/>
    <w:rsid w:val="00083403"/>
    <w:rsid w:val="000850DE"/>
    <w:rsid w:val="00087E62"/>
    <w:rsid w:val="000901FE"/>
    <w:rsid w:val="00090E36"/>
    <w:rsid w:val="00092234"/>
    <w:rsid w:val="00092D38"/>
    <w:rsid w:val="0009377B"/>
    <w:rsid w:val="00097062"/>
    <w:rsid w:val="000A20C9"/>
    <w:rsid w:val="000A2116"/>
    <w:rsid w:val="000B058F"/>
    <w:rsid w:val="000B0AC4"/>
    <w:rsid w:val="000B3274"/>
    <w:rsid w:val="000B4467"/>
    <w:rsid w:val="000B4DB9"/>
    <w:rsid w:val="000B7773"/>
    <w:rsid w:val="000C09AC"/>
    <w:rsid w:val="000C767F"/>
    <w:rsid w:val="000D31E6"/>
    <w:rsid w:val="000D3364"/>
    <w:rsid w:val="000D4248"/>
    <w:rsid w:val="000D5A44"/>
    <w:rsid w:val="000E3ED2"/>
    <w:rsid w:val="000E4075"/>
    <w:rsid w:val="000E4D18"/>
    <w:rsid w:val="000E5749"/>
    <w:rsid w:val="000E5D46"/>
    <w:rsid w:val="000E76D0"/>
    <w:rsid w:val="000F140E"/>
    <w:rsid w:val="000F487E"/>
    <w:rsid w:val="000F50AC"/>
    <w:rsid w:val="001012D9"/>
    <w:rsid w:val="00101AE9"/>
    <w:rsid w:val="00102B87"/>
    <w:rsid w:val="001107C5"/>
    <w:rsid w:val="0011384F"/>
    <w:rsid w:val="001144E4"/>
    <w:rsid w:val="001176E8"/>
    <w:rsid w:val="001210AE"/>
    <w:rsid w:val="001217A6"/>
    <w:rsid w:val="001242FB"/>
    <w:rsid w:val="00131F42"/>
    <w:rsid w:val="00132775"/>
    <w:rsid w:val="001357F1"/>
    <w:rsid w:val="00135C35"/>
    <w:rsid w:val="00135D47"/>
    <w:rsid w:val="00137830"/>
    <w:rsid w:val="001409FF"/>
    <w:rsid w:val="00140FA8"/>
    <w:rsid w:val="00142FEB"/>
    <w:rsid w:val="00143A2D"/>
    <w:rsid w:val="00143D00"/>
    <w:rsid w:val="00144937"/>
    <w:rsid w:val="00145A41"/>
    <w:rsid w:val="00151675"/>
    <w:rsid w:val="00154125"/>
    <w:rsid w:val="0015482E"/>
    <w:rsid w:val="00157435"/>
    <w:rsid w:val="00157F58"/>
    <w:rsid w:val="001635EA"/>
    <w:rsid w:val="001643A2"/>
    <w:rsid w:val="00165EC0"/>
    <w:rsid w:val="00171101"/>
    <w:rsid w:val="00172A99"/>
    <w:rsid w:val="001733DC"/>
    <w:rsid w:val="0017504D"/>
    <w:rsid w:val="0017671A"/>
    <w:rsid w:val="00177422"/>
    <w:rsid w:val="00177BAC"/>
    <w:rsid w:val="00177DBC"/>
    <w:rsid w:val="00184590"/>
    <w:rsid w:val="0018609F"/>
    <w:rsid w:val="001870D1"/>
    <w:rsid w:val="00187308"/>
    <w:rsid w:val="0018781E"/>
    <w:rsid w:val="00190A49"/>
    <w:rsid w:val="00190C79"/>
    <w:rsid w:val="0019235E"/>
    <w:rsid w:val="00192543"/>
    <w:rsid w:val="0019262D"/>
    <w:rsid w:val="0019380A"/>
    <w:rsid w:val="00195836"/>
    <w:rsid w:val="00196585"/>
    <w:rsid w:val="001A1B35"/>
    <w:rsid w:val="001A1E8F"/>
    <w:rsid w:val="001A2258"/>
    <w:rsid w:val="001A3889"/>
    <w:rsid w:val="001A48A2"/>
    <w:rsid w:val="001A5CEE"/>
    <w:rsid w:val="001A6F61"/>
    <w:rsid w:val="001B0EF7"/>
    <w:rsid w:val="001B2B10"/>
    <w:rsid w:val="001B46FF"/>
    <w:rsid w:val="001B67EE"/>
    <w:rsid w:val="001B72B8"/>
    <w:rsid w:val="001B78B4"/>
    <w:rsid w:val="001C02BE"/>
    <w:rsid w:val="001C629C"/>
    <w:rsid w:val="001C69B3"/>
    <w:rsid w:val="001C6A49"/>
    <w:rsid w:val="001C75B4"/>
    <w:rsid w:val="001C79B8"/>
    <w:rsid w:val="001D23CA"/>
    <w:rsid w:val="001D5595"/>
    <w:rsid w:val="001D7389"/>
    <w:rsid w:val="001D7874"/>
    <w:rsid w:val="001D7F22"/>
    <w:rsid w:val="001E0FDE"/>
    <w:rsid w:val="001E4EB0"/>
    <w:rsid w:val="001E5073"/>
    <w:rsid w:val="001E510B"/>
    <w:rsid w:val="001E7C3B"/>
    <w:rsid w:val="001F0F17"/>
    <w:rsid w:val="001F103A"/>
    <w:rsid w:val="001F3347"/>
    <w:rsid w:val="001F5947"/>
    <w:rsid w:val="001F69E4"/>
    <w:rsid w:val="002009FB"/>
    <w:rsid w:val="0020274C"/>
    <w:rsid w:val="002039AD"/>
    <w:rsid w:val="00204379"/>
    <w:rsid w:val="00204D15"/>
    <w:rsid w:val="00207597"/>
    <w:rsid w:val="00210920"/>
    <w:rsid w:val="00210BEA"/>
    <w:rsid w:val="00210C59"/>
    <w:rsid w:val="002111E0"/>
    <w:rsid w:val="002125B4"/>
    <w:rsid w:val="002155B8"/>
    <w:rsid w:val="00217E0C"/>
    <w:rsid w:val="00221AA7"/>
    <w:rsid w:val="00221CAB"/>
    <w:rsid w:val="00223365"/>
    <w:rsid w:val="00223655"/>
    <w:rsid w:val="00223F61"/>
    <w:rsid w:val="00224839"/>
    <w:rsid w:val="00224995"/>
    <w:rsid w:val="002249B2"/>
    <w:rsid w:val="00226574"/>
    <w:rsid w:val="002278EC"/>
    <w:rsid w:val="0023223F"/>
    <w:rsid w:val="0023280E"/>
    <w:rsid w:val="00232F02"/>
    <w:rsid w:val="00235D98"/>
    <w:rsid w:val="002377D1"/>
    <w:rsid w:val="00241C4B"/>
    <w:rsid w:val="00241EAB"/>
    <w:rsid w:val="00242516"/>
    <w:rsid w:val="0024397F"/>
    <w:rsid w:val="002447EE"/>
    <w:rsid w:val="00244CF3"/>
    <w:rsid w:val="00247EF5"/>
    <w:rsid w:val="002506BC"/>
    <w:rsid w:val="00252F9E"/>
    <w:rsid w:val="00254345"/>
    <w:rsid w:val="00254A54"/>
    <w:rsid w:val="0026130D"/>
    <w:rsid w:val="00261482"/>
    <w:rsid w:val="00262650"/>
    <w:rsid w:val="002626F8"/>
    <w:rsid w:val="00264557"/>
    <w:rsid w:val="002651A1"/>
    <w:rsid w:val="0026584D"/>
    <w:rsid w:val="00265CF1"/>
    <w:rsid w:val="00267D2F"/>
    <w:rsid w:val="00270D24"/>
    <w:rsid w:val="002716DB"/>
    <w:rsid w:val="0027585A"/>
    <w:rsid w:val="00277411"/>
    <w:rsid w:val="00277605"/>
    <w:rsid w:val="002805AB"/>
    <w:rsid w:val="002820E9"/>
    <w:rsid w:val="0028267D"/>
    <w:rsid w:val="00284204"/>
    <w:rsid w:val="002843ED"/>
    <w:rsid w:val="00284F2A"/>
    <w:rsid w:val="0028623C"/>
    <w:rsid w:val="002916A1"/>
    <w:rsid w:val="00291773"/>
    <w:rsid w:val="00292C89"/>
    <w:rsid w:val="002940C4"/>
    <w:rsid w:val="0029742D"/>
    <w:rsid w:val="00297F3D"/>
    <w:rsid w:val="002A168C"/>
    <w:rsid w:val="002A2843"/>
    <w:rsid w:val="002A3DC7"/>
    <w:rsid w:val="002A5EC6"/>
    <w:rsid w:val="002B1B3C"/>
    <w:rsid w:val="002B20D8"/>
    <w:rsid w:val="002B2BF8"/>
    <w:rsid w:val="002B49E2"/>
    <w:rsid w:val="002B6074"/>
    <w:rsid w:val="002B7B00"/>
    <w:rsid w:val="002B7C44"/>
    <w:rsid w:val="002C22B6"/>
    <w:rsid w:val="002C2B17"/>
    <w:rsid w:val="002C3A38"/>
    <w:rsid w:val="002C3D0E"/>
    <w:rsid w:val="002C6B2D"/>
    <w:rsid w:val="002D0FC2"/>
    <w:rsid w:val="002D3DD0"/>
    <w:rsid w:val="002E076C"/>
    <w:rsid w:val="002E0AFF"/>
    <w:rsid w:val="002E19F7"/>
    <w:rsid w:val="002E1F3A"/>
    <w:rsid w:val="002E2644"/>
    <w:rsid w:val="002E298A"/>
    <w:rsid w:val="002E2FEB"/>
    <w:rsid w:val="002E3185"/>
    <w:rsid w:val="002E63B3"/>
    <w:rsid w:val="002F3ABF"/>
    <w:rsid w:val="002F46E1"/>
    <w:rsid w:val="002F538B"/>
    <w:rsid w:val="003006C2"/>
    <w:rsid w:val="00301978"/>
    <w:rsid w:val="0030332C"/>
    <w:rsid w:val="003037BD"/>
    <w:rsid w:val="003051C2"/>
    <w:rsid w:val="00312296"/>
    <w:rsid w:val="00314969"/>
    <w:rsid w:val="00314F0E"/>
    <w:rsid w:val="00321D8E"/>
    <w:rsid w:val="003234FA"/>
    <w:rsid w:val="00324C4D"/>
    <w:rsid w:val="00325928"/>
    <w:rsid w:val="00325B76"/>
    <w:rsid w:val="00325DEA"/>
    <w:rsid w:val="00325FFD"/>
    <w:rsid w:val="003301C7"/>
    <w:rsid w:val="003315CC"/>
    <w:rsid w:val="00332863"/>
    <w:rsid w:val="00334091"/>
    <w:rsid w:val="003344E2"/>
    <w:rsid w:val="00336244"/>
    <w:rsid w:val="0033684D"/>
    <w:rsid w:val="003370BD"/>
    <w:rsid w:val="00337B42"/>
    <w:rsid w:val="00337CFE"/>
    <w:rsid w:val="00341B42"/>
    <w:rsid w:val="00341C9A"/>
    <w:rsid w:val="003430E3"/>
    <w:rsid w:val="0034348F"/>
    <w:rsid w:val="003440AF"/>
    <w:rsid w:val="00344267"/>
    <w:rsid w:val="00344BDA"/>
    <w:rsid w:val="00345B85"/>
    <w:rsid w:val="00351DB0"/>
    <w:rsid w:val="00356168"/>
    <w:rsid w:val="00356653"/>
    <w:rsid w:val="00357317"/>
    <w:rsid w:val="0035743F"/>
    <w:rsid w:val="00357BE2"/>
    <w:rsid w:val="0036057E"/>
    <w:rsid w:val="0036170C"/>
    <w:rsid w:val="00366E0F"/>
    <w:rsid w:val="003736E6"/>
    <w:rsid w:val="0037563E"/>
    <w:rsid w:val="0037610A"/>
    <w:rsid w:val="00376E52"/>
    <w:rsid w:val="00377DD4"/>
    <w:rsid w:val="00381A72"/>
    <w:rsid w:val="00381E47"/>
    <w:rsid w:val="00384676"/>
    <w:rsid w:val="00384B9C"/>
    <w:rsid w:val="00390857"/>
    <w:rsid w:val="00390BD5"/>
    <w:rsid w:val="00391445"/>
    <w:rsid w:val="00394EC2"/>
    <w:rsid w:val="003A3E18"/>
    <w:rsid w:val="003A4BF3"/>
    <w:rsid w:val="003A5CB8"/>
    <w:rsid w:val="003B420D"/>
    <w:rsid w:val="003B6794"/>
    <w:rsid w:val="003C066E"/>
    <w:rsid w:val="003C13EC"/>
    <w:rsid w:val="003C1645"/>
    <w:rsid w:val="003C23AF"/>
    <w:rsid w:val="003C33B0"/>
    <w:rsid w:val="003C5D88"/>
    <w:rsid w:val="003C6458"/>
    <w:rsid w:val="003C6C16"/>
    <w:rsid w:val="003C72D5"/>
    <w:rsid w:val="003C7692"/>
    <w:rsid w:val="003D4446"/>
    <w:rsid w:val="003D49A9"/>
    <w:rsid w:val="003D5E01"/>
    <w:rsid w:val="003D794D"/>
    <w:rsid w:val="003D7AB8"/>
    <w:rsid w:val="003D7F73"/>
    <w:rsid w:val="003D7FC8"/>
    <w:rsid w:val="003E03DF"/>
    <w:rsid w:val="003E18DC"/>
    <w:rsid w:val="003E3058"/>
    <w:rsid w:val="003E37AE"/>
    <w:rsid w:val="003E46C9"/>
    <w:rsid w:val="003E6B92"/>
    <w:rsid w:val="003E6F33"/>
    <w:rsid w:val="003E76A9"/>
    <w:rsid w:val="003F0809"/>
    <w:rsid w:val="003F195B"/>
    <w:rsid w:val="003F6776"/>
    <w:rsid w:val="003F6A8C"/>
    <w:rsid w:val="003F755C"/>
    <w:rsid w:val="00405041"/>
    <w:rsid w:val="004050FC"/>
    <w:rsid w:val="0040589B"/>
    <w:rsid w:val="00406F01"/>
    <w:rsid w:val="004117DD"/>
    <w:rsid w:val="00412EDD"/>
    <w:rsid w:val="0041376A"/>
    <w:rsid w:val="00416D50"/>
    <w:rsid w:val="00416FD5"/>
    <w:rsid w:val="00417772"/>
    <w:rsid w:val="00420E6A"/>
    <w:rsid w:val="004215AE"/>
    <w:rsid w:val="004216D9"/>
    <w:rsid w:val="0042538C"/>
    <w:rsid w:val="00425A1B"/>
    <w:rsid w:val="00425A9E"/>
    <w:rsid w:val="00426D6B"/>
    <w:rsid w:val="00431B84"/>
    <w:rsid w:val="00431E3B"/>
    <w:rsid w:val="00431E6C"/>
    <w:rsid w:val="00433311"/>
    <w:rsid w:val="00433CE7"/>
    <w:rsid w:val="004348BD"/>
    <w:rsid w:val="00436224"/>
    <w:rsid w:val="00441EB0"/>
    <w:rsid w:val="004420F6"/>
    <w:rsid w:val="00444DB4"/>
    <w:rsid w:val="00452738"/>
    <w:rsid w:val="00452A78"/>
    <w:rsid w:val="004537A4"/>
    <w:rsid w:val="00453B51"/>
    <w:rsid w:val="00456091"/>
    <w:rsid w:val="0045657C"/>
    <w:rsid w:val="0045766C"/>
    <w:rsid w:val="00460A20"/>
    <w:rsid w:val="004611C3"/>
    <w:rsid w:val="00466321"/>
    <w:rsid w:val="004664C8"/>
    <w:rsid w:val="00471086"/>
    <w:rsid w:val="00471D4A"/>
    <w:rsid w:val="00484B9B"/>
    <w:rsid w:val="00484D52"/>
    <w:rsid w:val="004855F6"/>
    <w:rsid w:val="0048661E"/>
    <w:rsid w:val="00494670"/>
    <w:rsid w:val="004951AB"/>
    <w:rsid w:val="00495662"/>
    <w:rsid w:val="004A0AE4"/>
    <w:rsid w:val="004A2B9F"/>
    <w:rsid w:val="004A3823"/>
    <w:rsid w:val="004B077C"/>
    <w:rsid w:val="004B1EF3"/>
    <w:rsid w:val="004B5B57"/>
    <w:rsid w:val="004B7E91"/>
    <w:rsid w:val="004C27C3"/>
    <w:rsid w:val="004C712B"/>
    <w:rsid w:val="004D3A68"/>
    <w:rsid w:val="004D76C5"/>
    <w:rsid w:val="004D78D6"/>
    <w:rsid w:val="004D7EE9"/>
    <w:rsid w:val="004E2755"/>
    <w:rsid w:val="004E6946"/>
    <w:rsid w:val="004E6BFB"/>
    <w:rsid w:val="004E708B"/>
    <w:rsid w:val="004F1AD8"/>
    <w:rsid w:val="004F1D07"/>
    <w:rsid w:val="004F432E"/>
    <w:rsid w:val="00501885"/>
    <w:rsid w:val="005039CB"/>
    <w:rsid w:val="00504339"/>
    <w:rsid w:val="00504C7C"/>
    <w:rsid w:val="0050558F"/>
    <w:rsid w:val="005061B1"/>
    <w:rsid w:val="00506286"/>
    <w:rsid w:val="005073EB"/>
    <w:rsid w:val="00510813"/>
    <w:rsid w:val="00510BE6"/>
    <w:rsid w:val="00511325"/>
    <w:rsid w:val="00511990"/>
    <w:rsid w:val="00511DE0"/>
    <w:rsid w:val="00512475"/>
    <w:rsid w:val="00513ED4"/>
    <w:rsid w:val="00514870"/>
    <w:rsid w:val="00514B9B"/>
    <w:rsid w:val="005159B7"/>
    <w:rsid w:val="00517F02"/>
    <w:rsid w:val="005218D0"/>
    <w:rsid w:val="00524303"/>
    <w:rsid w:val="005258A2"/>
    <w:rsid w:val="00526BEF"/>
    <w:rsid w:val="0052744B"/>
    <w:rsid w:val="005328BF"/>
    <w:rsid w:val="00532A84"/>
    <w:rsid w:val="00534FD8"/>
    <w:rsid w:val="005401AE"/>
    <w:rsid w:val="0054066F"/>
    <w:rsid w:val="00540839"/>
    <w:rsid w:val="00542E07"/>
    <w:rsid w:val="00545424"/>
    <w:rsid w:val="00554A7B"/>
    <w:rsid w:val="00554D63"/>
    <w:rsid w:val="0055572C"/>
    <w:rsid w:val="0056106A"/>
    <w:rsid w:val="0056217C"/>
    <w:rsid w:val="00563005"/>
    <w:rsid w:val="00564DB4"/>
    <w:rsid w:val="00566C09"/>
    <w:rsid w:val="005673D5"/>
    <w:rsid w:val="005709FF"/>
    <w:rsid w:val="005714C6"/>
    <w:rsid w:val="005720AE"/>
    <w:rsid w:val="00572537"/>
    <w:rsid w:val="00574C55"/>
    <w:rsid w:val="00576133"/>
    <w:rsid w:val="0057765A"/>
    <w:rsid w:val="00577AC7"/>
    <w:rsid w:val="00583EA7"/>
    <w:rsid w:val="005878DA"/>
    <w:rsid w:val="0059348B"/>
    <w:rsid w:val="00594666"/>
    <w:rsid w:val="00594D77"/>
    <w:rsid w:val="005960F3"/>
    <w:rsid w:val="005969E4"/>
    <w:rsid w:val="005A06B7"/>
    <w:rsid w:val="005A1603"/>
    <w:rsid w:val="005A1759"/>
    <w:rsid w:val="005A1BAC"/>
    <w:rsid w:val="005A26D1"/>
    <w:rsid w:val="005A532B"/>
    <w:rsid w:val="005A53BB"/>
    <w:rsid w:val="005A68A7"/>
    <w:rsid w:val="005A6E8E"/>
    <w:rsid w:val="005B0D23"/>
    <w:rsid w:val="005B1590"/>
    <w:rsid w:val="005B1CBC"/>
    <w:rsid w:val="005B5BAE"/>
    <w:rsid w:val="005B7C83"/>
    <w:rsid w:val="005C1068"/>
    <w:rsid w:val="005C1838"/>
    <w:rsid w:val="005C436A"/>
    <w:rsid w:val="005C4D2E"/>
    <w:rsid w:val="005D176A"/>
    <w:rsid w:val="005D2131"/>
    <w:rsid w:val="005D36AB"/>
    <w:rsid w:val="005D4D39"/>
    <w:rsid w:val="005D5ADF"/>
    <w:rsid w:val="005E1288"/>
    <w:rsid w:val="005E28C5"/>
    <w:rsid w:val="005E6C6B"/>
    <w:rsid w:val="005E7B99"/>
    <w:rsid w:val="005F06B9"/>
    <w:rsid w:val="005F662F"/>
    <w:rsid w:val="00602BC9"/>
    <w:rsid w:val="00605425"/>
    <w:rsid w:val="00606698"/>
    <w:rsid w:val="00607EDC"/>
    <w:rsid w:val="0061086B"/>
    <w:rsid w:val="006145D6"/>
    <w:rsid w:val="006147BC"/>
    <w:rsid w:val="00617CC3"/>
    <w:rsid w:val="00617CC6"/>
    <w:rsid w:val="00620570"/>
    <w:rsid w:val="00621CA0"/>
    <w:rsid w:val="00622E1C"/>
    <w:rsid w:val="006267CB"/>
    <w:rsid w:val="00626E05"/>
    <w:rsid w:val="006271A2"/>
    <w:rsid w:val="006317B6"/>
    <w:rsid w:val="00634805"/>
    <w:rsid w:val="00635F97"/>
    <w:rsid w:val="006373AB"/>
    <w:rsid w:val="006377A6"/>
    <w:rsid w:val="00637A3D"/>
    <w:rsid w:val="00637B13"/>
    <w:rsid w:val="0064010D"/>
    <w:rsid w:val="006411EF"/>
    <w:rsid w:val="00641D08"/>
    <w:rsid w:val="00643F2E"/>
    <w:rsid w:val="00660235"/>
    <w:rsid w:val="00660722"/>
    <w:rsid w:val="0066316B"/>
    <w:rsid w:val="00664438"/>
    <w:rsid w:val="00665970"/>
    <w:rsid w:val="0066771D"/>
    <w:rsid w:val="00667790"/>
    <w:rsid w:val="0067004C"/>
    <w:rsid w:val="00670B2E"/>
    <w:rsid w:val="006748B8"/>
    <w:rsid w:val="006775C3"/>
    <w:rsid w:val="00677AE2"/>
    <w:rsid w:val="0068328F"/>
    <w:rsid w:val="00686C55"/>
    <w:rsid w:val="00690231"/>
    <w:rsid w:val="00691B45"/>
    <w:rsid w:val="00692409"/>
    <w:rsid w:val="0069290A"/>
    <w:rsid w:val="006939A2"/>
    <w:rsid w:val="0069445A"/>
    <w:rsid w:val="00695832"/>
    <w:rsid w:val="006969C3"/>
    <w:rsid w:val="0069749B"/>
    <w:rsid w:val="0069775A"/>
    <w:rsid w:val="00697813"/>
    <w:rsid w:val="00697981"/>
    <w:rsid w:val="006A16BF"/>
    <w:rsid w:val="006A3EE8"/>
    <w:rsid w:val="006A3F26"/>
    <w:rsid w:val="006A5A9D"/>
    <w:rsid w:val="006A5DEF"/>
    <w:rsid w:val="006A72BF"/>
    <w:rsid w:val="006A746D"/>
    <w:rsid w:val="006B03F2"/>
    <w:rsid w:val="006B26A7"/>
    <w:rsid w:val="006B37DC"/>
    <w:rsid w:val="006B4F68"/>
    <w:rsid w:val="006B7744"/>
    <w:rsid w:val="006C0592"/>
    <w:rsid w:val="006C0BC5"/>
    <w:rsid w:val="006C1A51"/>
    <w:rsid w:val="006C1D85"/>
    <w:rsid w:val="006C272E"/>
    <w:rsid w:val="006C3318"/>
    <w:rsid w:val="006C5479"/>
    <w:rsid w:val="006C6EE2"/>
    <w:rsid w:val="006D13B5"/>
    <w:rsid w:val="006D18A3"/>
    <w:rsid w:val="006D2727"/>
    <w:rsid w:val="006D2BE2"/>
    <w:rsid w:val="006D3BD0"/>
    <w:rsid w:val="006D720B"/>
    <w:rsid w:val="006E12FF"/>
    <w:rsid w:val="006E607E"/>
    <w:rsid w:val="006E6DCA"/>
    <w:rsid w:val="006F0A78"/>
    <w:rsid w:val="006F0BB9"/>
    <w:rsid w:val="006F104B"/>
    <w:rsid w:val="006F17DC"/>
    <w:rsid w:val="006F1CD3"/>
    <w:rsid w:val="006F2947"/>
    <w:rsid w:val="0070091A"/>
    <w:rsid w:val="00703A3E"/>
    <w:rsid w:val="00706C5D"/>
    <w:rsid w:val="0070738A"/>
    <w:rsid w:val="00707828"/>
    <w:rsid w:val="00710BD2"/>
    <w:rsid w:val="00711959"/>
    <w:rsid w:val="00712ACD"/>
    <w:rsid w:val="007131A4"/>
    <w:rsid w:val="00717C73"/>
    <w:rsid w:val="007257AD"/>
    <w:rsid w:val="00725E50"/>
    <w:rsid w:val="00727533"/>
    <w:rsid w:val="00732922"/>
    <w:rsid w:val="00732DF3"/>
    <w:rsid w:val="00733E26"/>
    <w:rsid w:val="007404FC"/>
    <w:rsid w:val="0074466E"/>
    <w:rsid w:val="00744ECA"/>
    <w:rsid w:val="00745CBB"/>
    <w:rsid w:val="00745FFB"/>
    <w:rsid w:val="0075162E"/>
    <w:rsid w:val="00751668"/>
    <w:rsid w:val="0075194F"/>
    <w:rsid w:val="0075285A"/>
    <w:rsid w:val="00752991"/>
    <w:rsid w:val="00754034"/>
    <w:rsid w:val="00754426"/>
    <w:rsid w:val="00755B17"/>
    <w:rsid w:val="00756040"/>
    <w:rsid w:val="00756556"/>
    <w:rsid w:val="007607C8"/>
    <w:rsid w:val="00761828"/>
    <w:rsid w:val="007618C4"/>
    <w:rsid w:val="00765C4C"/>
    <w:rsid w:val="00767980"/>
    <w:rsid w:val="00770B19"/>
    <w:rsid w:val="0077357C"/>
    <w:rsid w:val="00773ACE"/>
    <w:rsid w:val="0077463F"/>
    <w:rsid w:val="00780095"/>
    <w:rsid w:val="007808D6"/>
    <w:rsid w:val="00780A9B"/>
    <w:rsid w:val="00781323"/>
    <w:rsid w:val="00781343"/>
    <w:rsid w:val="007836EA"/>
    <w:rsid w:val="00783796"/>
    <w:rsid w:val="00784CDA"/>
    <w:rsid w:val="00786A1C"/>
    <w:rsid w:val="007906C4"/>
    <w:rsid w:val="00791704"/>
    <w:rsid w:val="00791BB3"/>
    <w:rsid w:val="00791D57"/>
    <w:rsid w:val="007940EA"/>
    <w:rsid w:val="00795D10"/>
    <w:rsid w:val="007967E8"/>
    <w:rsid w:val="00797314"/>
    <w:rsid w:val="007979C2"/>
    <w:rsid w:val="007A1864"/>
    <w:rsid w:val="007A2170"/>
    <w:rsid w:val="007A22BF"/>
    <w:rsid w:val="007A3323"/>
    <w:rsid w:val="007A4A22"/>
    <w:rsid w:val="007A74F2"/>
    <w:rsid w:val="007B0592"/>
    <w:rsid w:val="007B26D5"/>
    <w:rsid w:val="007B36A5"/>
    <w:rsid w:val="007B5DA3"/>
    <w:rsid w:val="007B6B35"/>
    <w:rsid w:val="007B6B98"/>
    <w:rsid w:val="007B72B8"/>
    <w:rsid w:val="007B7A58"/>
    <w:rsid w:val="007C139B"/>
    <w:rsid w:val="007C189E"/>
    <w:rsid w:val="007C21B5"/>
    <w:rsid w:val="007C2CFF"/>
    <w:rsid w:val="007C36A6"/>
    <w:rsid w:val="007C43D7"/>
    <w:rsid w:val="007C5E4D"/>
    <w:rsid w:val="007C6807"/>
    <w:rsid w:val="007C744F"/>
    <w:rsid w:val="007D15FB"/>
    <w:rsid w:val="007D576B"/>
    <w:rsid w:val="007E1A68"/>
    <w:rsid w:val="007E4A00"/>
    <w:rsid w:val="007E4BD2"/>
    <w:rsid w:val="007E4D65"/>
    <w:rsid w:val="007E7BD1"/>
    <w:rsid w:val="007F1C6D"/>
    <w:rsid w:val="007F3041"/>
    <w:rsid w:val="007F5294"/>
    <w:rsid w:val="007F6284"/>
    <w:rsid w:val="007F7659"/>
    <w:rsid w:val="00800703"/>
    <w:rsid w:val="00801393"/>
    <w:rsid w:val="008022CD"/>
    <w:rsid w:val="008028A0"/>
    <w:rsid w:val="00802F88"/>
    <w:rsid w:val="00804016"/>
    <w:rsid w:val="008063F2"/>
    <w:rsid w:val="0080788A"/>
    <w:rsid w:val="0081174A"/>
    <w:rsid w:val="0081293E"/>
    <w:rsid w:val="00812DA8"/>
    <w:rsid w:val="0081462E"/>
    <w:rsid w:val="00815465"/>
    <w:rsid w:val="0081619A"/>
    <w:rsid w:val="00816A85"/>
    <w:rsid w:val="00817A0C"/>
    <w:rsid w:val="00817E9A"/>
    <w:rsid w:val="00821E08"/>
    <w:rsid w:val="008306BD"/>
    <w:rsid w:val="00831240"/>
    <w:rsid w:val="00831A80"/>
    <w:rsid w:val="00833743"/>
    <w:rsid w:val="008339E7"/>
    <w:rsid w:val="008340A4"/>
    <w:rsid w:val="008374A2"/>
    <w:rsid w:val="0084363B"/>
    <w:rsid w:val="008446B1"/>
    <w:rsid w:val="00847320"/>
    <w:rsid w:val="00850786"/>
    <w:rsid w:val="00851E03"/>
    <w:rsid w:val="00853A62"/>
    <w:rsid w:val="00853D09"/>
    <w:rsid w:val="00857FF6"/>
    <w:rsid w:val="0086010A"/>
    <w:rsid w:val="008602FE"/>
    <w:rsid w:val="0086765E"/>
    <w:rsid w:val="0086796E"/>
    <w:rsid w:val="008708D9"/>
    <w:rsid w:val="0087135F"/>
    <w:rsid w:val="00872D94"/>
    <w:rsid w:val="008743FA"/>
    <w:rsid w:val="00880364"/>
    <w:rsid w:val="00883322"/>
    <w:rsid w:val="00885FE6"/>
    <w:rsid w:val="00891592"/>
    <w:rsid w:val="00891D5E"/>
    <w:rsid w:val="00891E9E"/>
    <w:rsid w:val="008925FF"/>
    <w:rsid w:val="0089261B"/>
    <w:rsid w:val="008938CC"/>
    <w:rsid w:val="008A00AC"/>
    <w:rsid w:val="008A14E5"/>
    <w:rsid w:val="008A2F68"/>
    <w:rsid w:val="008A3831"/>
    <w:rsid w:val="008A4E8A"/>
    <w:rsid w:val="008A78DF"/>
    <w:rsid w:val="008B36D6"/>
    <w:rsid w:val="008B4FA6"/>
    <w:rsid w:val="008B507E"/>
    <w:rsid w:val="008B5282"/>
    <w:rsid w:val="008B7C17"/>
    <w:rsid w:val="008C2D01"/>
    <w:rsid w:val="008C40E6"/>
    <w:rsid w:val="008C5D8C"/>
    <w:rsid w:val="008D0336"/>
    <w:rsid w:val="008D0F7A"/>
    <w:rsid w:val="008D2A88"/>
    <w:rsid w:val="008D4489"/>
    <w:rsid w:val="008D5F47"/>
    <w:rsid w:val="008D68E4"/>
    <w:rsid w:val="008D724B"/>
    <w:rsid w:val="008E0171"/>
    <w:rsid w:val="008E0506"/>
    <w:rsid w:val="008E0CFF"/>
    <w:rsid w:val="008E2CE0"/>
    <w:rsid w:val="008E48F9"/>
    <w:rsid w:val="008E5D6B"/>
    <w:rsid w:val="008E5F11"/>
    <w:rsid w:val="008E76F0"/>
    <w:rsid w:val="008F09B0"/>
    <w:rsid w:val="008F0DC3"/>
    <w:rsid w:val="008F15FE"/>
    <w:rsid w:val="008F2D29"/>
    <w:rsid w:val="008F3F98"/>
    <w:rsid w:val="008F5187"/>
    <w:rsid w:val="008F5B1E"/>
    <w:rsid w:val="008F60D8"/>
    <w:rsid w:val="008F7D6F"/>
    <w:rsid w:val="00900F3A"/>
    <w:rsid w:val="00902727"/>
    <w:rsid w:val="0090312B"/>
    <w:rsid w:val="00903237"/>
    <w:rsid w:val="00904903"/>
    <w:rsid w:val="00914870"/>
    <w:rsid w:val="0091736D"/>
    <w:rsid w:val="00917EF8"/>
    <w:rsid w:val="009207E4"/>
    <w:rsid w:val="009224FE"/>
    <w:rsid w:val="0092333E"/>
    <w:rsid w:val="00923CDD"/>
    <w:rsid w:val="0092502C"/>
    <w:rsid w:val="0093037A"/>
    <w:rsid w:val="00933557"/>
    <w:rsid w:val="00933A09"/>
    <w:rsid w:val="00934BF6"/>
    <w:rsid w:val="00934D5F"/>
    <w:rsid w:val="0093641F"/>
    <w:rsid w:val="0094154D"/>
    <w:rsid w:val="009416BB"/>
    <w:rsid w:val="00941ABA"/>
    <w:rsid w:val="00941AD5"/>
    <w:rsid w:val="00944DC3"/>
    <w:rsid w:val="009452AE"/>
    <w:rsid w:val="00947DBE"/>
    <w:rsid w:val="009500C5"/>
    <w:rsid w:val="00950747"/>
    <w:rsid w:val="0095155F"/>
    <w:rsid w:val="009532DE"/>
    <w:rsid w:val="00954429"/>
    <w:rsid w:val="009563CE"/>
    <w:rsid w:val="00956C54"/>
    <w:rsid w:val="00957BBB"/>
    <w:rsid w:val="00957C67"/>
    <w:rsid w:val="0096252F"/>
    <w:rsid w:val="0096643D"/>
    <w:rsid w:val="00967620"/>
    <w:rsid w:val="0097079B"/>
    <w:rsid w:val="00972A0B"/>
    <w:rsid w:val="00976328"/>
    <w:rsid w:val="0097680D"/>
    <w:rsid w:val="00982438"/>
    <w:rsid w:val="00982A49"/>
    <w:rsid w:val="0098404C"/>
    <w:rsid w:val="00985283"/>
    <w:rsid w:val="009859E9"/>
    <w:rsid w:val="00987166"/>
    <w:rsid w:val="00992CDA"/>
    <w:rsid w:val="00993B36"/>
    <w:rsid w:val="009948FB"/>
    <w:rsid w:val="00995992"/>
    <w:rsid w:val="00996108"/>
    <w:rsid w:val="00997DF3"/>
    <w:rsid w:val="009A03E5"/>
    <w:rsid w:val="009A0740"/>
    <w:rsid w:val="009A0F3B"/>
    <w:rsid w:val="009A1BB4"/>
    <w:rsid w:val="009A2628"/>
    <w:rsid w:val="009A2A95"/>
    <w:rsid w:val="009A3200"/>
    <w:rsid w:val="009A497F"/>
    <w:rsid w:val="009A5857"/>
    <w:rsid w:val="009A60E2"/>
    <w:rsid w:val="009A6AF9"/>
    <w:rsid w:val="009B0897"/>
    <w:rsid w:val="009B2077"/>
    <w:rsid w:val="009B2828"/>
    <w:rsid w:val="009B7BD9"/>
    <w:rsid w:val="009C24EF"/>
    <w:rsid w:val="009C276E"/>
    <w:rsid w:val="009C7DD5"/>
    <w:rsid w:val="009D1265"/>
    <w:rsid w:val="009D1335"/>
    <w:rsid w:val="009E227D"/>
    <w:rsid w:val="009E4B89"/>
    <w:rsid w:val="009E5019"/>
    <w:rsid w:val="009E61C2"/>
    <w:rsid w:val="009E76A6"/>
    <w:rsid w:val="009F11AB"/>
    <w:rsid w:val="009F18C3"/>
    <w:rsid w:val="009F2487"/>
    <w:rsid w:val="009F2DD6"/>
    <w:rsid w:val="009F419E"/>
    <w:rsid w:val="00A00ADA"/>
    <w:rsid w:val="00A010BF"/>
    <w:rsid w:val="00A02B9B"/>
    <w:rsid w:val="00A02D1B"/>
    <w:rsid w:val="00A04F1B"/>
    <w:rsid w:val="00A0501B"/>
    <w:rsid w:val="00A0749F"/>
    <w:rsid w:val="00A113DA"/>
    <w:rsid w:val="00A13268"/>
    <w:rsid w:val="00A14947"/>
    <w:rsid w:val="00A149D8"/>
    <w:rsid w:val="00A15319"/>
    <w:rsid w:val="00A21D65"/>
    <w:rsid w:val="00A223F2"/>
    <w:rsid w:val="00A25798"/>
    <w:rsid w:val="00A25D0F"/>
    <w:rsid w:val="00A25D5E"/>
    <w:rsid w:val="00A2620F"/>
    <w:rsid w:val="00A267F3"/>
    <w:rsid w:val="00A32179"/>
    <w:rsid w:val="00A32A83"/>
    <w:rsid w:val="00A34831"/>
    <w:rsid w:val="00A34A3A"/>
    <w:rsid w:val="00A368DB"/>
    <w:rsid w:val="00A36B28"/>
    <w:rsid w:val="00A40808"/>
    <w:rsid w:val="00A423AA"/>
    <w:rsid w:val="00A43B3E"/>
    <w:rsid w:val="00A44320"/>
    <w:rsid w:val="00A44E87"/>
    <w:rsid w:val="00A45263"/>
    <w:rsid w:val="00A53EC6"/>
    <w:rsid w:val="00A541FA"/>
    <w:rsid w:val="00A549C1"/>
    <w:rsid w:val="00A55C0F"/>
    <w:rsid w:val="00A55D63"/>
    <w:rsid w:val="00A755DB"/>
    <w:rsid w:val="00A80D2F"/>
    <w:rsid w:val="00A8135A"/>
    <w:rsid w:val="00A82C36"/>
    <w:rsid w:val="00A8713F"/>
    <w:rsid w:val="00A902AB"/>
    <w:rsid w:val="00A90BA1"/>
    <w:rsid w:val="00A921CC"/>
    <w:rsid w:val="00A94B3F"/>
    <w:rsid w:val="00A960A2"/>
    <w:rsid w:val="00A979BC"/>
    <w:rsid w:val="00A97A9A"/>
    <w:rsid w:val="00A97DD0"/>
    <w:rsid w:val="00AA0671"/>
    <w:rsid w:val="00AA0E72"/>
    <w:rsid w:val="00AA1809"/>
    <w:rsid w:val="00AA1C73"/>
    <w:rsid w:val="00AA2531"/>
    <w:rsid w:val="00AA6183"/>
    <w:rsid w:val="00AA65B5"/>
    <w:rsid w:val="00AB0DE4"/>
    <w:rsid w:val="00AB1E09"/>
    <w:rsid w:val="00AB5330"/>
    <w:rsid w:val="00AB5B45"/>
    <w:rsid w:val="00AB7747"/>
    <w:rsid w:val="00AB77E1"/>
    <w:rsid w:val="00AC03A0"/>
    <w:rsid w:val="00AC14CE"/>
    <w:rsid w:val="00AC2A56"/>
    <w:rsid w:val="00AC5185"/>
    <w:rsid w:val="00AC53A6"/>
    <w:rsid w:val="00AC5E33"/>
    <w:rsid w:val="00AD055E"/>
    <w:rsid w:val="00AD34BF"/>
    <w:rsid w:val="00AD47A7"/>
    <w:rsid w:val="00AD49F9"/>
    <w:rsid w:val="00AD5B7E"/>
    <w:rsid w:val="00AE606E"/>
    <w:rsid w:val="00AE69B5"/>
    <w:rsid w:val="00AF0CBF"/>
    <w:rsid w:val="00AF257F"/>
    <w:rsid w:val="00AF2E71"/>
    <w:rsid w:val="00AF33CF"/>
    <w:rsid w:val="00AF4701"/>
    <w:rsid w:val="00AF4CA7"/>
    <w:rsid w:val="00AF4D50"/>
    <w:rsid w:val="00AF523C"/>
    <w:rsid w:val="00AF591A"/>
    <w:rsid w:val="00AF5F33"/>
    <w:rsid w:val="00AF6179"/>
    <w:rsid w:val="00B0028B"/>
    <w:rsid w:val="00B02008"/>
    <w:rsid w:val="00B03EC5"/>
    <w:rsid w:val="00B06AF8"/>
    <w:rsid w:val="00B10689"/>
    <w:rsid w:val="00B1088D"/>
    <w:rsid w:val="00B10D38"/>
    <w:rsid w:val="00B127D0"/>
    <w:rsid w:val="00B1295A"/>
    <w:rsid w:val="00B14966"/>
    <w:rsid w:val="00B14CCB"/>
    <w:rsid w:val="00B16D0C"/>
    <w:rsid w:val="00B20A45"/>
    <w:rsid w:val="00B22A56"/>
    <w:rsid w:val="00B22C5C"/>
    <w:rsid w:val="00B2324E"/>
    <w:rsid w:val="00B24F30"/>
    <w:rsid w:val="00B25B36"/>
    <w:rsid w:val="00B31ABF"/>
    <w:rsid w:val="00B33BE3"/>
    <w:rsid w:val="00B3668E"/>
    <w:rsid w:val="00B37A5E"/>
    <w:rsid w:val="00B525A0"/>
    <w:rsid w:val="00B53B5D"/>
    <w:rsid w:val="00B54220"/>
    <w:rsid w:val="00B5544E"/>
    <w:rsid w:val="00B6055E"/>
    <w:rsid w:val="00B621B9"/>
    <w:rsid w:val="00B626B8"/>
    <w:rsid w:val="00B62C24"/>
    <w:rsid w:val="00B6317D"/>
    <w:rsid w:val="00B6399D"/>
    <w:rsid w:val="00B65805"/>
    <w:rsid w:val="00B66CC0"/>
    <w:rsid w:val="00B67407"/>
    <w:rsid w:val="00B67B12"/>
    <w:rsid w:val="00B71417"/>
    <w:rsid w:val="00B71F65"/>
    <w:rsid w:val="00B7209D"/>
    <w:rsid w:val="00B73BEA"/>
    <w:rsid w:val="00B7723F"/>
    <w:rsid w:val="00B80534"/>
    <w:rsid w:val="00B8433C"/>
    <w:rsid w:val="00B85535"/>
    <w:rsid w:val="00B8614D"/>
    <w:rsid w:val="00B87491"/>
    <w:rsid w:val="00B91CE9"/>
    <w:rsid w:val="00B92822"/>
    <w:rsid w:val="00B94FC3"/>
    <w:rsid w:val="00B95804"/>
    <w:rsid w:val="00B97155"/>
    <w:rsid w:val="00B97A5C"/>
    <w:rsid w:val="00BA0616"/>
    <w:rsid w:val="00BA29E9"/>
    <w:rsid w:val="00BA3025"/>
    <w:rsid w:val="00BA3803"/>
    <w:rsid w:val="00BA4934"/>
    <w:rsid w:val="00BA69CE"/>
    <w:rsid w:val="00BA7142"/>
    <w:rsid w:val="00BA7B8E"/>
    <w:rsid w:val="00BB1190"/>
    <w:rsid w:val="00BB237C"/>
    <w:rsid w:val="00BB3D34"/>
    <w:rsid w:val="00BB41A3"/>
    <w:rsid w:val="00BB557F"/>
    <w:rsid w:val="00BB586E"/>
    <w:rsid w:val="00BB7206"/>
    <w:rsid w:val="00BC32DC"/>
    <w:rsid w:val="00BC35B6"/>
    <w:rsid w:val="00BC47BA"/>
    <w:rsid w:val="00BC4856"/>
    <w:rsid w:val="00BC57FB"/>
    <w:rsid w:val="00BD166B"/>
    <w:rsid w:val="00BD1B51"/>
    <w:rsid w:val="00BD1B81"/>
    <w:rsid w:val="00BD2E40"/>
    <w:rsid w:val="00BD4596"/>
    <w:rsid w:val="00BD57BF"/>
    <w:rsid w:val="00BD6268"/>
    <w:rsid w:val="00BD7D33"/>
    <w:rsid w:val="00BE0A49"/>
    <w:rsid w:val="00BE1405"/>
    <w:rsid w:val="00BE18F4"/>
    <w:rsid w:val="00BE312D"/>
    <w:rsid w:val="00BE329B"/>
    <w:rsid w:val="00BF105E"/>
    <w:rsid w:val="00BF16AD"/>
    <w:rsid w:val="00BF1C20"/>
    <w:rsid w:val="00BF5AFD"/>
    <w:rsid w:val="00BF6496"/>
    <w:rsid w:val="00C01247"/>
    <w:rsid w:val="00C10578"/>
    <w:rsid w:val="00C117C7"/>
    <w:rsid w:val="00C135BC"/>
    <w:rsid w:val="00C136D1"/>
    <w:rsid w:val="00C15C95"/>
    <w:rsid w:val="00C15DA9"/>
    <w:rsid w:val="00C20A76"/>
    <w:rsid w:val="00C226E2"/>
    <w:rsid w:val="00C23425"/>
    <w:rsid w:val="00C23E11"/>
    <w:rsid w:val="00C244CD"/>
    <w:rsid w:val="00C2596A"/>
    <w:rsid w:val="00C26F50"/>
    <w:rsid w:val="00C26FF8"/>
    <w:rsid w:val="00C27537"/>
    <w:rsid w:val="00C328FE"/>
    <w:rsid w:val="00C33507"/>
    <w:rsid w:val="00C3692C"/>
    <w:rsid w:val="00C36B5B"/>
    <w:rsid w:val="00C4409D"/>
    <w:rsid w:val="00C44E72"/>
    <w:rsid w:val="00C45A06"/>
    <w:rsid w:val="00C46F8B"/>
    <w:rsid w:val="00C47AD6"/>
    <w:rsid w:val="00C47E5B"/>
    <w:rsid w:val="00C50B26"/>
    <w:rsid w:val="00C52902"/>
    <w:rsid w:val="00C53331"/>
    <w:rsid w:val="00C54491"/>
    <w:rsid w:val="00C60116"/>
    <w:rsid w:val="00C603D7"/>
    <w:rsid w:val="00C606A8"/>
    <w:rsid w:val="00C606AA"/>
    <w:rsid w:val="00C61ABE"/>
    <w:rsid w:val="00C61E4B"/>
    <w:rsid w:val="00C647B0"/>
    <w:rsid w:val="00C64BFF"/>
    <w:rsid w:val="00C653DE"/>
    <w:rsid w:val="00C65F41"/>
    <w:rsid w:val="00C6661C"/>
    <w:rsid w:val="00C704E9"/>
    <w:rsid w:val="00C73231"/>
    <w:rsid w:val="00C76360"/>
    <w:rsid w:val="00C763C9"/>
    <w:rsid w:val="00C76696"/>
    <w:rsid w:val="00C80057"/>
    <w:rsid w:val="00C80404"/>
    <w:rsid w:val="00C8080E"/>
    <w:rsid w:val="00C82232"/>
    <w:rsid w:val="00C82913"/>
    <w:rsid w:val="00C85B34"/>
    <w:rsid w:val="00C87417"/>
    <w:rsid w:val="00C96495"/>
    <w:rsid w:val="00C9673F"/>
    <w:rsid w:val="00C972B1"/>
    <w:rsid w:val="00CA0971"/>
    <w:rsid w:val="00CA11F0"/>
    <w:rsid w:val="00CA13DC"/>
    <w:rsid w:val="00CA2CCE"/>
    <w:rsid w:val="00CA2E12"/>
    <w:rsid w:val="00CA43FD"/>
    <w:rsid w:val="00CA5D48"/>
    <w:rsid w:val="00CA7085"/>
    <w:rsid w:val="00CA7EF8"/>
    <w:rsid w:val="00CB0E1D"/>
    <w:rsid w:val="00CB23FC"/>
    <w:rsid w:val="00CB4860"/>
    <w:rsid w:val="00CB502D"/>
    <w:rsid w:val="00CB5D21"/>
    <w:rsid w:val="00CC4773"/>
    <w:rsid w:val="00CC489B"/>
    <w:rsid w:val="00CC7160"/>
    <w:rsid w:val="00CC7BF2"/>
    <w:rsid w:val="00CC7E0E"/>
    <w:rsid w:val="00CD2BCD"/>
    <w:rsid w:val="00CD3A4C"/>
    <w:rsid w:val="00CE05D7"/>
    <w:rsid w:val="00CE10E9"/>
    <w:rsid w:val="00CE16D2"/>
    <w:rsid w:val="00CE2910"/>
    <w:rsid w:val="00CE3D17"/>
    <w:rsid w:val="00CE5393"/>
    <w:rsid w:val="00CE64B4"/>
    <w:rsid w:val="00CF36BE"/>
    <w:rsid w:val="00CF4317"/>
    <w:rsid w:val="00CF4A86"/>
    <w:rsid w:val="00CF4BFF"/>
    <w:rsid w:val="00CF6000"/>
    <w:rsid w:val="00D003F3"/>
    <w:rsid w:val="00D00C39"/>
    <w:rsid w:val="00D01B3D"/>
    <w:rsid w:val="00D0364F"/>
    <w:rsid w:val="00D03E25"/>
    <w:rsid w:val="00D04561"/>
    <w:rsid w:val="00D055D2"/>
    <w:rsid w:val="00D05CA4"/>
    <w:rsid w:val="00D06834"/>
    <w:rsid w:val="00D12331"/>
    <w:rsid w:val="00D12BDE"/>
    <w:rsid w:val="00D13A43"/>
    <w:rsid w:val="00D1472E"/>
    <w:rsid w:val="00D259BB"/>
    <w:rsid w:val="00D308ED"/>
    <w:rsid w:val="00D30FC5"/>
    <w:rsid w:val="00D33257"/>
    <w:rsid w:val="00D33FC5"/>
    <w:rsid w:val="00D35ABB"/>
    <w:rsid w:val="00D36182"/>
    <w:rsid w:val="00D36501"/>
    <w:rsid w:val="00D36D86"/>
    <w:rsid w:val="00D37759"/>
    <w:rsid w:val="00D400A3"/>
    <w:rsid w:val="00D428AA"/>
    <w:rsid w:val="00D454CB"/>
    <w:rsid w:val="00D467FD"/>
    <w:rsid w:val="00D47DF3"/>
    <w:rsid w:val="00D50A34"/>
    <w:rsid w:val="00D53EFA"/>
    <w:rsid w:val="00D572F4"/>
    <w:rsid w:val="00D60218"/>
    <w:rsid w:val="00D60D24"/>
    <w:rsid w:val="00D64AE1"/>
    <w:rsid w:val="00D65B43"/>
    <w:rsid w:val="00D66CD5"/>
    <w:rsid w:val="00D73143"/>
    <w:rsid w:val="00D7370A"/>
    <w:rsid w:val="00D747A0"/>
    <w:rsid w:val="00D74E94"/>
    <w:rsid w:val="00D758DC"/>
    <w:rsid w:val="00D77806"/>
    <w:rsid w:val="00D8265D"/>
    <w:rsid w:val="00D82EBF"/>
    <w:rsid w:val="00D837CF"/>
    <w:rsid w:val="00D84F84"/>
    <w:rsid w:val="00D85DDD"/>
    <w:rsid w:val="00D8659E"/>
    <w:rsid w:val="00D91E0D"/>
    <w:rsid w:val="00D94248"/>
    <w:rsid w:val="00D944B3"/>
    <w:rsid w:val="00D94987"/>
    <w:rsid w:val="00D94A7C"/>
    <w:rsid w:val="00D95896"/>
    <w:rsid w:val="00D972D7"/>
    <w:rsid w:val="00D975D0"/>
    <w:rsid w:val="00DA3E56"/>
    <w:rsid w:val="00DA4DCC"/>
    <w:rsid w:val="00DA6F2F"/>
    <w:rsid w:val="00DB0423"/>
    <w:rsid w:val="00DB09A8"/>
    <w:rsid w:val="00DB0A87"/>
    <w:rsid w:val="00DB152E"/>
    <w:rsid w:val="00DB1D0A"/>
    <w:rsid w:val="00DB2983"/>
    <w:rsid w:val="00DB30E1"/>
    <w:rsid w:val="00DB3512"/>
    <w:rsid w:val="00DB5334"/>
    <w:rsid w:val="00DB5B77"/>
    <w:rsid w:val="00DB6196"/>
    <w:rsid w:val="00DB7C80"/>
    <w:rsid w:val="00DC0EDF"/>
    <w:rsid w:val="00DC1257"/>
    <w:rsid w:val="00DC1A6A"/>
    <w:rsid w:val="00DC3DC0"/>
    <w:rsid w:val="00DC50D2"/>
    <w:rsid w:val="00DC5B2B"/>
    <w:rsid w:val="00DC7B6F"/>
    <w:rsid w:val="00DD1649"/>
    <w:rsid w:val="00DD318D"/>
    <w:rsid w:val="00DD7360"/>
    <w:rsid w:val="00DD7C7A"/>
    <w:rsid w:val="00DE3995"/>
    <w:rsid w:val="00DE4A79"/>
    <w:rsid w:val="00DE56F2"/>
    <w:rsid w:val="00DE6BFD"/>
    <w:rsid w:val="00DF278E"/>
    <w:rsid w:val="00DF27EC"/>
    <w:rsid w:val="00DF2E12"/>
    <w:rsid w:val="00DF3760"/>
    <w:rsid w:val="00DF514A"/>
    <w:rsid w:val="00DF6690"/>
    <w:rsid w:val="00DF6804"/>
    <w:rsid w:val="00E02141"/>
    <w:rsid w:val="00E028E2"/>
    <w:rsid w:val="00E03294"/>
    <w:rsid w:val="00E0358D"/>
    <w:rsid w:val="00E039FB"/>
    <w:rsid w:val="00E04323"/>
    <w:rsid w:val="00E070A2"/>
    <w:rsid w:val="00E111B3"/>
    <w:rsid w:val="00E1210E"/>
    <w:rsid w:val="00E12936"/>
    <w:rsid w:val="00E12C24"/>
    <w:rsid w:val="00E13486"/>
    <w:rsid w:val="00E20D57"/>
    <w:rsid w:val="00E23763"/>
    <w:rsid w:val="00E237FD"/>
    <w:rsid w:val="00E23CF5"/>
    <w:rsid w:val="00E241D4"/>
    <w:rsid w:val="00E243FD"/>
    <w:rsid w:val="00E256EE"/>
    <w:rsid w:val="00E2656A"/>
    <w:rsid w:val="00E30F59"/>
    <w:rsid w:val="00E371D0"/>
    <w:rsid w:val="00E412D0"/>
    <w:rsid w:val="00E41459"/>
    <w:rsid w:val="00E43EE3"/>
    <w:rsid w:val="00E45AF9"/>
    <w:rsid w:val="00E47E23"/>
    <w:rsid w:val="00E56322"/>
    <w:rsid w:val="00E5688B"/>
    <w:rsid w:val="00E60982"/>
    <w:rsid w:val="00E60CE0"/>
    <w:rsid w:val="00E61698"/>
    <w:rsid w:val="00E62438"/>
    <w:rsid w:val="00E62C62"/>
    <w:rsid w:val="00E64168"/>
    <w:rsid w:val="00E654C1"/>
    <w:rsid w:val="00E65D97"/>
    <w:rsid w:val="00E713DD"/>
    <w:rsid w:val="00E720BB"/>
    <w:rsid w:val="00E72A5A"/>
    <w:rsid w:val="00E73354"/>
    <w:rsid w:val="00E740B3"/>
    <w:rsid w:val="00E84148"/>
    <w:rsid w:val="00E862FE"/>
    <w:rsid w:val="00E9242D"/>
    <w:rsid w:val="00E9363B"/>
    <w:rsid w:val="00E94840"/>
    <w:rsid w:val="00E970D9"/>
    <w:rsid w:val="00EA4273"/>
    <w:rsid w:val="00EA5037"/>
    <w:rsid w:val="00EA5B4D"/>
    <w:rsid w:val="00EB1C0E"/>
    <w:rsid w:val="00EB21DB"/>
    <w:rsid w:val="00EB2403"/>
    <w:rsid w:val="00EB5255"/>
    <w:rsid w:val="00EB5C47"/>
    <w:rsid w:val="00EB5CC1"/>
    <w:rsid w:val="00EB5FC2"/>
    <w:rsid w:val="00EB69FB"/>
    <w:rsid w:val="00EC252B"/>
    <w:rsid w:val="00EC2B64"/>
    <w:rsid w:val="00EC61A4"/>
    <w:rsid w:val="00ED0254"/>
    <w:rsid w:val="00ED0639"/>
    <w:rsid w:val="00ED285E"/>
    <w:rsid w:val="00ED5904"/>
    <w:rsid w:val="00EE02B6"/>
    <w:rsid w:val="00EE12BE"/>
    <w:rsid w:val="00EE31A4"/>
    <w:rsid w:val="00EF2760"/>
    <w:rsid w:val="00EF4755"/>
    <w:rsid w:val="00EF59D8"/>
    <w:rsid w:val="00EF7135"/>
    <w:rsid w:val="00EF7950"/>
    <w:rsid w:val="00EF7E8A"/>
    <w:rsid w:val="00F00133"/>
    <w:rsid w:val="00F027DB"/>
    <w:rsid w:val="00F05ED4"/>
    <w:rsid w:val="00F07D38"/>
    <w:rsid w:val="00F10A2A"/>
    <w:rsid w:val="00F14A7A"/>
    <w:rsid w:val="00F17C4E"/>
    <w:rsid w:val="00F2213B"/>
    <w:rsid w:val="00F22985"/>
    <w:rsid w:val="00F23AC3"/>
    <w:rsid w:val="00F25B39"/>
    <w:rsid w:val="00F265A6"/>
    <w:rsid w:val="00F2674A"/>
    <w:rsid w:val="00F31392"/>
    <w:rsid w:val="00F3383E"/>
    <w:rsid w:val="00F3434E"/>
    <w:rsid w:val="00F41086"/>
    <w:rsid w:val="00F4287E"/>
    <w:rsid w:val="00F42DDD"/>
    <w:rsid w:val="00F45752"/>
    <w:rsid w:val="00F465A7"/>
    <w:rsid w:val="00F4739C"/>
    <w:rsid w:val="00F47517"/>
    <w:rsid w:val="00F50B7C"/>
    <w:rsid w:val="00F5126D"/>
    <w:rsid w:val="00F550E6"/>
    <w:rsid w:val="00F55D0C"/>
    <w:rsid w:val="00F564BD"/>
    <w:rsid w:val="00F56533"/>
    <w:rsid w:val="00F6073C"/>
    <w:rsid w:val="00F611F3"/>
    <w:rsid w:val="00F61FED"/>
    <w:rsid w:val="00F67144"/>
    <w:rsid w:val="00F71C00"/>
    <w:rsid w:val="00F72067"/>
    <w:rsid w:val="00F74345"/>
    <w:rsid w:val="00F74904"/>
    <w:rsid w:val="00F80358"/>
    <w:rsid w:val="00F80665"/>
    <w:rsid w:val="00F80A0A"/>
    <w:rsid w:val="00F811B2"/>
    <w:rsid w:val="00F82837"/>
    <w:rsid w:val="00F82B19"/>
    <w:rsid w:val="00F840C1"/>
    <w:rsid w:val="00F9016F"/>
    <w:rsid w:val="00F90D4E"/>
    <w:rsid w:val="00F9157C"/>
    <w:rsid w:val="00F920D4"/>
    <w:rsid w:val="00F9212D"/>
    <w:rsid w:val="00F947D5"/>
    <w:rsid w:val="00F965DA"/>
    <w:rsid w:val="00FA2C6F"/>
    <w:rsid w:val="00FA3BCB"/>
    <w:rsid w:val="00FA406A"/>
    <w:rsid w:val="00FA7008"/>
    <w:rsid w:val="00FB13B9"/>
    <w:rsid w:val="00FB202B"/>
    <w:rsid w:val="00FB226A"/>
    <w:rsid w:val="00FB3994"/>
    <w:rsid w:val="00FB503A"/>
    <w:rsid w:val="00FB516C"/>
    <w:rsid w:val="00FB72BE"/>
    <w:rsid w:val="00FC1E93"/>
    <w:rsid w:val="00FC2512"/>
    <w:rsid w:val="00FC58B9"/>
    <w:rsid w:val="00FD0236"/>
    <w:rsid w:val="00FD18F4"/>
    <w:rsid w:val="00FD54DB"/>
    <w:rsid w:val="00FD5E98"/>
    <w:rsid w:val="00FD619F"/>
    <w:rsid w:val="00FE107D"/>
    <w:rsid w:val="00FF1282"/>
    <w:rsid w:val="00FF1A63"/>
    <w:rsid w:val="00FF56BA"/>
    <w:rsid w:val="010827C0"/>
    <w:rsid w:val="01092A87"/>
    <w:rsid w:val="010942E8"/>
    <w:rsid w:val="011253ED"/>
    <w:rsid w:val="011257F6"/>
    <w:rsid w:val="01154EDD"/>
    <w:rsid w:val="01192C1F"/>
    <w:rsid w:val="011B685F"/>
    <w:rsid w:val="01202B09"/>
    <w:rsid w:val="01203FAE"/>
    <w:rsid w:val="012313A8"/>
    <w:rsid w:val="01290F7E"/>
    <w:rsid w:val="01390BCC"/>
    <w:rsid w:val="013D6E66"/>
    <w:rsid w:val="014C65C9"/>
    <w:rsid w:val="014D0B1B"/>
    <w:rsid w:val="014F2D82"/>
    <w:rsid w:val="015D1E09"/>
    <w:rsid w:val="016A2EE0"/>
    <w:rsid w:val="016F0A91"/>
    <w:rsid w:val="0176597C"/>
    <w:rsid w:val="017E682C"/>
    <w:rsid w:val="017F0419"/>
    <w:rsid w:val="01822573"/>
    <w:rsid w:val="01840ED7"/>
    <w:rsid w:val="018C33F1"/>
    <w:rsid w:val="018D0F17"/>
    <w:rsid w:val="019B1886"/>
    <w:rsid w:val="019C72B2"/>
    <w:rsid w:val="019E3125"/>
    <w:rsid w:val="01A01C2D"/>
    <w:rsid w:val="01AA0313"/>
    <w:rsid w:val="01AC615A"/>
    <w:rsid w:val="01B25794"/>
    <w:rsid w:val="01B35356"/>
    <w:rsid w:val="01B57086"/>
    <w:rsid w:val="01B82DB4"/>
    <w:rsid w:val="01BF0EDD"/>
    <w:rsid w:val="01C53C65"/>
    <w:rsid w:val="01C73C8F"/>
    <w:rsid w:val="01D04EC2"/>
    <w:rsid w:val="01D60B10"/>
    <w:rsid w:val="01D73E61"/>
    <w:rsid w:val="01DD1E9F"/>
    <w:rsid w:val="01DD3C4D"/>
    <w:rsid w:val="01E37341"/>
    <w:rsid w:val="01E41FFE"/>
    <w:rsid w:val="01E5739C"/>
    <w:rsid w:val="01EE7C08"/>
    <w:rsid w:val="01F66B05"/>
    <w:rsid w:val="01F80A87"/>
    <w:rsid w:val="01F90AE9"/>
    <w:rsid w:val="01FB0577"/>
    <w:rsid w:val="01FB1334"/>
    <w:rsid w:val="01FD609D"/>
    <w:rsid w:val="01FE3698"/>
    <w:rsid w:val="01FE430C"/>
    <w:rsid w:val="01FE5971"/>
    <w:rsid w:val="01FE6787"/>
    <w:rsid w:val="0205681A"/>
    <w:rsid w:val="02083EB7"/>
    <w:rsid w:val="02084093"/>
    <w:rsid w:val="020A070C"/>
    <w:rsid w:val="021301E2"/>
    <w:rsid w:val="021358C1"/>
    <w:rsid w:val="02157B5F"/>
    <w:rsid w:val="02224FA1"/>
    <w:rsid w:val="0224187C"/>
    <w:rsid w:val="02354D60"/>
    <w:rsid w:val="023615AF"/>
    <w:rsid w:val="023841DB"/>
    <w:rsid w:val="023D46EC"/>
    <w:rsid w:val="025A7DD4"/>
    <w:rsid w:val="025D7231"/>
    <w:rsid w:val="02697903"/>
    <w:rsid w:val="02796CFD"/>
    <w:rsid w:val="027D1FF4"/>
    <w:rsid w:val="02810A7C"/>
    <w:rsid w:val="0285401A"/>
    <w:rsid w:val="028916DF"/>
    <w:rsid w:val="0297204E"/>
    <w:rsid w:val="02987B74"/>
    <w:rsid w:val="02A46519"/>
    <w:rsid w:val="02A60153"/>
    <w:rsid w:val="02A93B2F"/>
    <w:rsid w:val="02AC2C7D"/>
    <w:rsid w:val="02AD1D1B"/>
    <w:rsid w:val="02B23EDB"/>
    <w:rsid w:val="02B97AB2"/>
    <w:rsid w:val="02BD75DA"/>
    <w:rsid w:val="02BE3A7E"/>
    <w:rsid w:val="02C10E79"/>
    <w:rsid w:val="02C72207"/>
    <w:rsid w:val="02D037B2"/>
    <w:rsid w:val="02D04989"/>
    <w:rsid w:val="02D118B9"/>
    <w:rsid w:val="02DF1EE6"/>
    <w:rsid w:val="02DF2F1D"/>
    <w:rsid w:val="02E4711E"/>
    <w:rsid w:val="02E72B1A"/>
    <w:rsid w:val="02EF11E0"/>
    <w:rsid w:val="02F4124E"/>
    <w:rsid w:val="02F62145"/>
    <w:rsid w:val="02F70D3E"/>
    <w:rsid w:val="02F96569"/>
    <w:rsid w:val="0300236B"/>
    <w:rsid w:val="03011BBD"/>
    <w:rsid w:val="030376E3"/>
    <w:rsid w:val="03082F4B"/>
    <w:rsid w:val="030C175D"/>
    <w:rsid w:val="0317318F"/>
    <w:rsid w:val="031A0857"/>
    <w:rsid w:val="03343D40"/>
    <w:rsid w:val="0334789D"/>
    <w:rsid w:val="033B4AE2"/>
    <w:rsid w:val="033C3D5A"/>
    <w:rsid w:val="034154D8"/>
    <w:rsid w:val="034C1139"/>
    <w:rsid w:val="034F11C2"/>
    <w:rsid w:val="035148F2"/>
    <w:rsid w:val="03522419"/>
    <w:rsid w:val="035267A2"/>
    <w:rsid w:val="03535B3A"/>
    <w:rsid w:val="03577A2F"/>
    <w:rsid w:val="035C6DF3"/>
    <w:rsid w:val="035F3DD3"/>
    <w:rsid w:val="03632D3E"/>
    <w:rsid w:val="03657396"/>
    <w:rsid w:val="036D2DAF"/>
    <w:rsid w:val="036F4D79"/>
    <w:rsid w:val="03705C84"/>
    <w:rsid w:val="037979A5"/>
    <w:rsid w:val="037C288A"/>
    <w:rsid w:val="03863A4F"/>
    <w:rsid w:val="038720C2"/>
    <w:rsid w:val="03887BE8"/>
    <w:rsid w:val="0389712A"/>
    <w:rsid w:val="039447DF"/>
    <w:rsid w:val="039A118A"/>
    <w:rsid w:val="039F4247"/>
    <w:rsid w:val="03A71664"/>
    <w:rsid w:val="03AA4003"/>
    <w:rsid w:val="03AB26E4"/>
    <w:rsid w:val="03AE3AF3"/>
    <w:rsid w:val="03B23EE0"/>
    <w:rsid w:val="03B552F7"/>
    <w:rsid w:val="03BD014F"/>
    <w:rsid w:val="03C230FA"/>
    <w:rsid w:val="03C60ECB"/>
    <w:rsid w:val="03C74BB5"/>
    <w:rsid w:val="03CE7CF1"/>
    <w:rsid w:val="03D64DF8"/>
    <w:rsid w:val="03D756A0"/>
    <w:rsid w:val="03E312C3"/>
    <w:rsid w:val="03E77005"/>
    <w:rsid w:val="03EA7B21"/>
    <w:rsid w:val="03EB1BF5"/>
    <w:rsid w:val="03F40F06"/>
    <w:rsid w:val="03F80AD8"/>
    <w:rsid w:val="04001E75"/>
    <w:rsid w:val="040D5EB0"/>
    <w:rsid w:val="041651F4"/>
    <w:rsid w:val="04194CE4"/>
    <w:rsid w:val="041D6583"/>
    <w:rsid w:val="04212517"/>
    <w:rsid w:val="0423034F"/>
    <w:rsid w:val="04357D70"/>
    <w:rsid w:val="043D484D"/>
    <w:rsid w:val="044530B7"/>
    <w:rsid w:val="0446094A"/>
    <w:rsid w:val="04471852"/>
    <w:rsid w:val="045A3333"/>
    <w:rsid w:val="046105FF"/>
    <w:rsid w:val="046425C9"/>
    <w:rsid w:val="046879E9"/>
    <w:rsid w:val="046C2029"/>
    <w:rsid w:val="046C5C2A"/>
    <w:rsid w:val="046E6DDE"/>
    <w:rsid w:val="04754611"/>
    <w:rsid w:val="04812FB5"/>
    <w:rsid w:val="04832134"/>
    <w:rsid w:val="048C3056"/>
    <w:rsid w:val="04926F71"/>
    <w:rsid w:val="04946A9A"/>
    <w:rsid w:val="04970C0C"/>
    <w:rsid w:val="04980753"/>
    <w:rsid w:val="04991296"/>
    <w:rsid w:val="049D76C3"/>
    <w:rsid w:val="04A365CC"/>
    <w:rsid w:val="04A70542"/>
    <w:rsid w:val="04AD0191"/>
    <w:rsid w:val="04AD1938"/>
    <w:rsid w:val="04B32D98"/>
    <w:rsid w:val="04B85FF7"/>
    <w:rsid w:val="04C028D5"/>
    <w:rsid w:val="04C06D83"/>
    <w:rsid w:val="04C212E8"/>
    <w:rsid w:val="04C9670A"/>
    <w:rsid w:val="04D01847"/>
    <w:rsid w:val="04D31337"/>
    <w:rsid w:val="04D72101"/>
    <w:rsid w:val="04D8694E"/>
    <w:rsid w:val="04E07226"/>
    <w:rsid w:val="050006EA"/>
    <w:rsid w:val="05047743"/>
    <w:rsid w:val="0506170D"/>
    <w:rsid w:val="05075365"/>
    <w:rsid w:val="0508107A"/>
    <w:rsid w:val="05097E95"/>
    <w:rsid w:val="050D40FB"/>
    <w:rsid w:val="05104339"/>
    <w:rsid w:val="05167356"/>
    <w:rsid w:val="0519537F"/>
    <w:rsid w:val="051E0804"/>
    <w:rsid w:val="051F457C"/>
    <w:rsid w:val="052120A3"/>
    <w:rsid w:val="052B1173"/>
    <w:rsid w:val="05316597"/>
    <w:rsid w:val="0532605E"/>
    <w:rsid w:val="05393890"/>
    <w:rsid w:val="053A55A1"/>
    <w:rsid w:val="053C6EDC"/>
    <w:rsid w:val="053C7FE7"/>
    <w:rsid w:val="054265F3"/>
    <w:rsid w:val="05445D91"/>
    <w:rsid w:val="05453FE3"/>
    <w:rsid w:val="054C6880"/>
    <w:rsid w:val="054F15D1"/>
    <w:rsid w:val="05500BDA"/>
    <w:rsid w:val="056337B3"/>
    <w:rsid w:val="05684F5C"/>
    <w:rsid w:val="056D178C"/>
    <w:rsid w:val="05720B50"/>
    <w:rsid w:val="057448C8"/>
    <w:rsid w:val="057B5C57"/>
    <w:rsid w:val="05803478"/>
    <w:rsid w:val="0580501B"/>
    <w:rsid w:val="058437AF"/>
    <w:rsid w:val="058C1AF7"/>
    <w:rsid w:val="05915D26"/>
    <w:rsid w:val="059369B1"/>
    <w:rsid w:val="05997E8B"/>
    <w:rsid w:val="059A007D"/>
    <w:rsid w:val="05AE1DFB"/>
    <w:rsid w:val="05B0306B"/>
    <w:rsid w:val="05B07696"/>
    <w:rsid w:val="05B66C8F"/>
    <w:rsid w:val="05B84914"/>
    <w:rsid w:val="05C1700E"/>
    <w:rsid w:val="05C21635"/>
    <w:rsid w:val="05C23CDB"/>
    <w:rsid w:val="05C3315A"/>
    <w:rsid w:val="05C469E0"/>
    <w:rsid w:val="05CC64B2"/>
    <w:rsid w:val="05D110F3"/>
    <w:rsid w:val="05D13AC9"/>
    <w:rsid w:val="05D31183"/>
    <w:rsid w:val="05E01F5E"/>
    <w:rsid w:val="05E27A84"/>
    <w:rsid w:val="05E7509A"/>
    <w:rsid w:val="05E87EAA"/>
    <w:rsid w:val="05EB4E16"/>
    <w:rsid w:val="05EC43D5"/>
    <w:rsid w:val="05ED01D7"/>
    <w:rsid w:val="05F13253"/>
    <w:rsid w:val="05F34C73"/>
    <w:rsid w:val="05F4705E"/>
    <w:rsid w:val="05F7322D"/>
    <w:rsid w:val="05F83EAE"/>
    <w:rsid w:val="05FC472C"/>
    <w:rsid w:val="0603061C"/>
    <w:rsid w:val="0607573C"/>
    <w:rsid w:val="060C4B01"/>
    <w:rsid w:val="060F639F"/>
    <w:rsid w:val="06163BD1"/>
    <w:rsid w:val="0616597F"/>
    <w:rsid w:val="06173801"/>
    <w:rsid w:val="0617618C"/>
    <w:rsid w:val="0626650E"/>
    <w:rsid w:val="06290277"/>
    <w:rsid w:val="062C0CFF"/>
    <w:rsid w:val="0636392C"/>
    <w:rsid w:val="063E7D85"/>
    <w:rsid w:val="064222D0"/>
    <w:rsid w:val="0644186E"/>
    <w:rsid w:val="06471FDD"/>
    <w:rsid w:val="06483DF7"/>
    <w:rsid w:val="064A387B"/>
    <w:rsid w:val="064A5629"/>
    <w:rsid w:val="064E336B"/>
    <w:rsid w:val="06520AA9"/>
    <w:rsid w:val="065766F4"/>
    <w:rsid w:val="065D407D"/>
    <w:rsid w:val="065E2E82"/>
    <w:rsid w:val="066C1A43"/>
    <w:rsid w:val="066C6FCD"/>
    <w:rsid w:val="066C7D60"/>
    <w:rsid w:val="06746BFD"/>
    <w:rsid w:val="067775A0"/>
    <w:rsid w:val="0683761E"/>
    <w:rsid w:val="068F128E"/>
    <w:rsid w:val="068F658C"/>
    <w:rsid w:val="06905732"/>
    <w:rsid w:val="06913258"/>
    <w:rsid w:val="069A65B0"/>
    <w:rsid w:val="069C0583"/>
    <w:rsid w:val="069E3769"/>
    <w:rsid w:val="069F67D0"/>
    <w:rsid w:val="069F7723"/>
    <w:rsid w:val="06A905A2"/>
    <w:rsid w:val="06B6041D"/>
    <w:rsid w:val="06B930F7"/>
    <w:rsid w:val="06C54CB0"/>
    <w:rsid w:val="06C70A28"/>
    <w:rsid w:val="06C92C0A"/>
    <w:rsid w:val="06CB0518"/>
    <w:rsid w:val="06CE0008"/>
    <w:rsid w:val="06D80E87"/>
    <w:rsid w:val="06DA6F02"/>
    <w:rsid w:val="06DB44D3"/>
    <w:rsid w:val="06E11AE9"/>
    <w:rsid w:val="06E21E94"/>
    <w:rsid w:val="06E24909"/>
    <w:rsid w:val="06E36073"/>
    <w:rsid w:val="06F35CC1"/>
    <w:rsid w:val="06FC17B0"/>
    <w:rsid w:val="06FE15AF"/>
    <w:rsid w:val="070356BA"/>
    <w:rsid w:val="07054490"/>
    <w:rsid w:val="07074AD3"/>
    <w:rsid w:val="070C0DEF"/>
    <w:rsid w:val="070E6657"/>
    <w:rsid w:val="07153E89"/>
    <w:rsid w:val="07174EC6"/>
    <w:rsid w:val="071C0D73"/>
    <w:rsid w:val="071C1BB4"/>
    <w:rsid w:val="071E0F8F"/>
    <w:rsid w:val="071E3DC1"/>
    <w:rsid w:val="07243B5C"/>
    <w:rsid w:val="07252D2E"/>
    <w:rsid w:val="07283BBC"/>
    <w:rsid w:val="07293586"/>
    <w:rsid w:val="07295285"/>
    <w:rsid w:val="07340FA5"/>
    <w:rsid w:val="07366C2D"/>
    <w:rsid w:val="0754675F"/>
    <w:rsid w:val="075652AD"/>
    <w:rsid w:val="07593D76"/>
    <w:rsid w:val="075D015E"/>
    <w:rsid w:val="075E138C"/>
    <w:rsid w:val="076072C9"/>
    <w:rsid w:val="0762082E"/>
    <w:rsid w:val="076231C7"/>
    <w:rsid w:val="07636392"/>
    <w:rsid w:val="07643E18"/>
    <w:rsid w:val="07660241"/>
    <w:rsid w:val="0767612A"/>
    <w:rsid w:val="07681384"/>
    <w:rsid w:val="07691ADF"/>
    <w:rsid w:val="077158FD"/>
    <w:rsid w:val="077657DB"/>
    <w:rsid w:val="07770C56"/>
    <w:rsid w:val="077B7F68"/>
    <w:rsid w:val="077D01FB"/>
    <w:rsid w:val="07815477"/>
    <w:rsid w:val="078F7797"/>
    <w:rsid w:val="0790350F"/>
    <w:rsid w:val="079D5444"/>
    <w:rsid w:val="07A64AE1"/>
    <w:rsid w:val="07AB20F7"/>
    <w:rsid w:val="07BC60B3"/>
    <w:rsid w:val="07C21072"/>
    <w:rsid w:val="07C772C4"/>
    <w:rsid w:val="07D56C13"/>
    <w:rsid w:val="07DA38AC"/>
    <w:rsid w:val="07DB2A57"/>
    <w:rsid w:val="07DB478B"/>
    <w:rsid w:val="07E01DA1"/>
    <w:rsid w:val="07E10A51"/>
    <w:rsid w:val="07EA70C4"/>
    <w:rsid w:val="07F92E63"/>
    <w:rsid w:val="07FC387D"/>
    <w:rsid w:val="08055CAB"/>
    <w:rsid w:val="080619A3"/>
    <w:rsid w:val="080630B3"/>
    <w:rsid w:val="08065580"/>
    <w:rsid w:val="080C1F4A"/>
    <w:rsid w:val="081172DC"/>
    <w:rsid w:val="081303C8"/>
    <w:rsid w:val="08144141"/>
    <w:rsid w:val="081542F5"/>
    <w:rsid w:val="08174783"/>
    <w:rsid w:val="081C0E7A"/>
    <w:rsid w:val="0824157E"/>
    <w:rsid w:val="08262E98"/>
    <w:rsid w:val="08273E74"/>
    <w:rsid w:val="08275642"/>
    <w:rsid w:val="08337756"/>
    <w:rsid w:val="08362309"/>
    <w:rsid w:val="08365E65"/>
    <w:rsid w:val="083D71F3"/>
    <w:rsid w:val="084A1E30"/>
    <w:rsid w:val="08597DA5"/>
    <w:rsid w:val="086031A4"/>
    <w:rsid w:val="0863145F"/>
    <w:rsid w:val="086B2E8E"/>
    <w:rsid w:val="086B6DF8"/>
    <w:rsid w:val="086C210C"/>
    <w:rsid w:val="08713341"/>
    <w:rsid w:val="08760241"/>
    <w:rsid w:val="087A603A"/>
    <w:rsid w:val="088077E4"/>
    <w:rsid w:val="08935065"/>
    <w:rsid w:val="08940DDD"/>
    <w:rsid w:val="08955281"/>
    <w:rsid w:val="0896541C"/>
    <w:rsid w:val="08980420"/>
    <w:rsid w:val="089B1B85"/>
    <w:rsid w:val="089F0D2F"/>
    <w:rsid w:val="08A07782"/>
    <w:rsid w:val="08A32A73"/>
    <w:rsid w:val="08AB29DE"/>
    <w:rsid w:val="08AC6127"/>
    <w:rsid w:val="08AE00F1"/>
    <w:rsid w:val="08B1198F"/>
    <w:rsid w:val="08B864ED"/>
    <w:rsid w:val="08BA6A96"/>
    <w:rsid w:val="08BD2688"/>
    <w:rsid w:val="08C26229"/>
    <w:rsid w:val="08C571E9"/>
    <w:rsid w:val="08C72F61"/>
    <w:rsid w:val="08D35DAA"/>
    <w:rsid w:val="08D76C75"/>
    <w:rsid w:val="08DC1432"/>
    <w:rsid w:val="08E04023"/>
    <w:rsid w:val="08F9700C"/>
    <w:rsid w:val="09024465"/>
    <w:rsid w:val="09036861"/>
    <w:rsid w:val="09075A53"/>
    <w:rsid w:val="09076295"/>
    <w:rsid w:val="090B5543"/>
    <w:rsid w:val="090C4E18"/>
    <w:rsid w:val="090D12BC"/>
    <w:rsid w:val="09121943"/>
    <w:rsid w:val="09167A44"/>
    <w:rsid w:val="091D7025"/>
    <w:rsid w:val="092217DD"/>
    <w:rsid w:val="09294CA2"/>
    <w:rsid w:val="093920B1"/>
    <w:rsid w:val="093A7294"/>
    <w:rsid w:val="093F4ABD"/>
    <w:rsid w:val="09410F65"/>
    <w:rsid w:val="09434CDD"/>
    <w:rsid w:val="09475BEA"/>
    <w:rsid w:val="094C5B48"/>
    <w:rsid w:val="09512199"/>
    <w:rsid w:val="09587AEF"/>
    <w:rsid w:val="095F3199"/>
    <w:rsid w:val="09644C54"/>
    <w:rsid w:val="0965025A"/>
    <w:rsid w:val="096748F3"/>
    <w:rsid w:val="096A04BC"/>
    <w:rsid w:val="096B498F"/>
    <w:rsid w:val="096E162E"/>
    <w:rsid w:val="09734E97"/>
    <w:rsid w:val="09756E61"/>
    <w:rsid w:val="097E5C8C"/>
    <w:rsid w:val="0980632C"/>
    <w:rsid w:val="09857075"/>
    <w:rsid w:val="098A0345"/>
    <w:rsid w:val="099A0675"/>
    <w:rsid w:val="099D7EF0"/>
    <w:rsid w:val="09A9211A"/>
    <w:rsid w:val="09B039D4"/>
    <w:rsid w:val="09B72FD5"/>
    <w:rsid w:val="09C16A55"/>
    <w:rsid w:val="09C5130A"/>
    <w:rsid w:val="09C97A66"/>
    <w:rsid w:val="09CD45A7"/>
    <w:rsid w:val="09D51704"/>
    <w:rsid w:val="09D973F0"/>
    <w:rsid w:val="09DD4F0E"/>
    <w:rsid w:val="09DE4A06"/>
    <w:rsid w:val="09EA213F"/>
    <w:rsid w:val="09EC7123"/>
    <w:rsid w:val="09ED4966"/>
    <w:rsid w:val="09EE0C4A"/>
    <w:rsid w:val="09F14B9D"/>
    <w:rsid w:val="09F22D94"/>
    <w:rsid w:val="09F3537B"/>
    <w:rsid w:val="09F510F6"/>
    <w:rsid w:val="09F935EE"/>
    <w:rsid w:val="09FA45C2"/>
    <w:rsid w:val="09FC5E0B"/>
    <w:rsid w:val="0A022471"/>
    <w:rsid w:val="0A040DC3"/>
    <w:rsid w:val="0A041409"/>
    <w:rsid w:val="0A051F93"/>
    <w:rsid w:val="0A0A0482"/>
    <w:rsid w:val="0A0A1357"/>
    <w:rsid w:val="0A0B025F"/>
    <w:rsid w:val="0A115B97"/>
    <w:rsid w:val="0A125307"/>
    <w:rsid w:val="0A12645E"/>
    <w:rsid w:val="0A1641A0"/>
    <w:rsid w:val="0A1903F4"/>
    <w:rsid w:val="0A251DBD"/>
    <w:rsid w:val="0A263993"/>
    <w:rsid w:val="0A2D3AC2"/>
    <w:rsid w:val="0A2F4F61"/>
    <w:rsid w:val="0A3208AE"/>
    <w:rsid w:val="0A36214C"/>
    <w:rsid w:val="0A3C34DB"/>
    <w:rsid w:val="0A3D65A2"/>
    <w:rsid w:val="0A3E54A5"/>
    <w:rsid w:val="0A434869"/>
    <w:rsid w:val="0A48535E"/>
    <w:rsid w:val="0A494730"/>
    <w:rsid w:val="0A4C5E14"/>
    <w:rsid w:val="0A53563B"/>
    <w:rsid w:val="0A5D685E"/>
    <w:rsid w:val="0A621193"/>
    <w:rsid w:val="0A622F41"/>
    <w:rsid w:val="0A634F0B"/>
    <w:rsid w:val="0A642EF8"/>
    <w:rsid w:val="0A660A30"/>
    <w:rsid w:val="0A66772C"/>
    <w:rsid w:val="0A6727FC"/>
    <w:rsid w:val="0A7D7D7B"/>
    <w:rsid w:val="0A7E5C22"/>
    <w:rsid w:val="0A8114B1"/>
    <w:rsid w:val="0A840701"/>
    <w:rsid w:val="0A8740E8"/>
    <w:rsid w:val="0A8A5906"/>
    <w:rsid w:val="0A8E01DA"/>
    <w:rsid w:val="0A93177F"/>
    <w:rsid w:val="0A9450C5"/>
    <w:rsid w:val="0A9B3D6C"/>
    <w:rsid w:val="0A9D041D"/>
    <w:rsid w:val="0AA277E2"/>
    <w:rsid w:val="0AA755DF"/>
    <w:rsid w:val="0AAE262A"/>
    <w:rsid w:val="0AAF6895"/>
    <w:rsid w:val="0AB06BB2"/>
    <w:rsid w:val="0AB07173"/>
    <w:rsid w:val="0AB35D19"/>
    <w:rsid w:val="0AB54631"/>
    <w:rsid w:val="0ABB08A3"/>
    <w:rsid w:val="0AC05D10"/>
    <w:rsid w:val="0AC37758"/>
    <w:rsid w:val="0AC867EB"/>
    <w:rsid w:val="0ACB4F8A"/>
    <w:rsid w:val="0ACC0D02"/>
    <w:rsid w:val="0ACC3B76"/>
    <w:rsid w:val="0AD007F3"/>
    <w:rsid w:val="0AD14C00"/>
    <w:rsid w:val="0AD7716B"/>
    <w:rsid w:val="0AD83C5C"/>
    <w:rsid w:val="0ADB1DC4"/>
    <w:rsid w:val="0ADD3CCF"/>
    <w:rsid w:val="0AE319F1"/>
    <w:rsid w:val="0AEB6656"/>
    <w:rsid w:val="0AEF3AE7"/>
    <w:rsid w:val="0AEF3BDA"/>
    <w:rsid w:val="0AF10769"/>
    <w:rsid w:val="0AFA069B"/>
    <w:rsid w:val="0AFA5870"/>
    <w:rsid w:val="0AFA61EB"/>
    <w:rsid w:val="0B010C56"/>
    <w:rsid w:val="0B065FC2"/>
    <w:rsid w:val="0B071D3B"/>
    <w:rsid w:val="0B0E7656"/>
    <w:rsid w:val="0B100BEF"/>
    <w:rsid w:val="0B120D44"/>
    <w:rsid w:val="0B1E3EE2"/>
    <w:rsid w:val="0B1F7084"/>
    <w:rsid w:val="0B2C354F"/>
    <w:rsid w:val="0B2F18D2"/>
    <w:rsid w:val="0B330D82"/>
    <w:rsid w:val="0B350656"/>
    <w:rsid w:val="0B420FC5"/>
    <w:rsid w:val="0B4333F2"/>
    <w:rsid w:val="0B443A6C"/>
    <w:rsid w:val="0B464895"/>
    <w:rsid w:val="0B564557"/>
    <w:rsid w:val="0B572105"/>
    <w:rsid w:val="0B5D252B"/>
    <w:rsid w:val="0B5F14D2"/>
    <w:rsid w:val="0B601682"/>
    <w:rsid w:val="0B6902FF"/>
    <w:rsid w:val="0B701C95"/>
    <w:rsid w:val="0B754EF6"/>
    <w:rsid w:val="0B756F29"/>
    <w:rsid w:val="0B7C6285"/>
    <w:rsid w:val="0B826F71"/>
    <w:rsid w:val="0B8A5E0A"/>
    <w:rsid w:val="0B8E420A"/>
    <w:rsid w:val="0B9800FF"/>
    <w:rsid w:val="0B995089"/>
    <w:rsid w:val="0BA13F3D"/>
    <w:rsid w:val="0BA56F53"/>
    <w:rsid w:val="0BB97912"/>
    <w:rsid w:val="0BBC0D77"/>
    <w:rsid w:val="0BC32105"/>
    <w:rsid w:val="0BC36F07"/>
    <w:rsid w:val="0BC814CA"/>
    <w:rsid w:val="0BC92842"/>
    <w:rsid w:val="0BCA3494"/>
    <w:rsid w:val="0BCD088E"/>
    <w:rsid w:val="0BD27BF6"/>
    <w:rsid w:val="0BD643AC"/>
    <w:rsid w:val="0BD66865"/>
    <w:rsid w:val="0BD70E22"/>
    <w:rsid w:val="0BD76ACC"/>
    <w:rsid w:val="0BD95485"/>
    <w:rsid w:val="0BDB1FDF"/>
    <w:rsid w:val="0BDD7AC5"/>
    <w:rsid w:val="0BDF05C2"/>
    <w:rsid w:val="0BF57DE5"/>
    <w:rsid w:val="0BF91683"/>
    <w:rsid w:val="0BFC2166"/>
    <w:rsid w:val="0BFC5617"/>
    <w:rsid w:val="0BFE6C9A"/>
    <w:rsid w:val="0C016970"/>
    <w:rsid w:val="0C041149"/>
    <w:rsid w:val="0C061264"/>
    <w:rsid w:val="0C062770"/>
    <w:rsid w:val="0C0A1A00"/>
    <w:rsid w:val="0C167EB5"/>
    <w:rsid w:val="0C1C6680"/>
    <w:rsid w:val="0C2A2814"/>
    <w:rsid w:val="0C2A5CE1"/>
    <w:rsid w:val="0C2A7EDE"/>
    <w:rsid w:val="0C2B7B37"/>
    <w:rsid w:val="0C324B95"/>
    <w:rsid w:val="0C3363A1"/>
    <w:rsid w:val="0C380CD5"/>
    <w:rsid w:val="0C381612"/>
    <w:rsid w:val="0C3923C8"/>
    <w:rsid w:val="0C3B3C7D"/>
    <w:rsid w:val="0C4112ED"/>
    <w:rsid w:val="0C41302A"/>
    <w:rsid w:val="0C4900DF"/>
    <w:rsid w:val="0C4A0131"/>
    <w:rsid w:val="0C4A1EDF"/>
    <w:rsid w:val="0C4D19CF"/>
    <w:rsid w:val="0C4D7C21"/>
    <w:rsid w:val="0C5216BD"/>
    <w:rsid w:val="0C54433C"/>
    <w:rsid w:val="0C590374"/>
    <w:rsid w:val="0C5B1A74"/>
    <w:rsid w:val="0C63323F"/>
    <w:rsid w:val="0C6831D4"/>
    <w:rsid w:val="0C71390F"/>
    <w:rsid w:val="0C735ABC"/>
    <w:rsid w:val="0C750D9F"/>
    <w:rsid w:val="0C7C14BF"/>
    <w:rsid w:val="0C7D7143"/>
    <w:rsid w:val="0C89705E"/>
    <w:rsid w:val="0C931AD8"/>
    <w:rsid w:val="0C965124"/>
    <w:rsid w:val="0C977BAD"/>
    <w:rsid w:val="0C9B098C"/>
    <w:rsid w:val="0C9F0068"/>
    <w:rsid w:val="0CA05FA3"/>
    <w:rsid w:val="0CA47E2A"/>
    <w:rsid w:val="0CA732B7"/>
    <w:rsid w:val="0CAB2EAE"/>
    <w:rsid w:val="0CB24430"/>
    <w:rsid w:val="0CB90E13"/>
    <w:rsid w:val="0CBD4DA7"/>
    <w:rsid w:val="0CCE0D62"/>
    <w:rsid w:val="0CCF4ADA"/>
    <w:rsid w:val="0CD36378"/>
    <w:rsid w:val="0CD8398F"/>
    <w:rsid w:val="0CDA456A"/>
    <w:rsid w:val="0CDD2D53"/>
    <w:rsid w:val="0CE15B22"/>
    <w:rsid w:val="0CE95B9C"/>
    <w:rsid w:val="0CE9794A"/>
    <w:rsid w:val="0CEA0417"/>
    <w:rsid w:val="0CED228F"/>
    <w:rsid w:val="0CF176D3"/>
    <w:rsid w:val="0CF42728"/>
    <w:rsid w:val="0CF462EF"/>
    <w:rsid w:val="0CF85DDF"/>
    <w:rsid w:val="0CFA7A0D"/>
    <w:rsid w:val="0CFC54BB"/>
    <w:rsid w:val="0D014723"/>
    <w:rsid w:val="0D0429D6"/>
    <w:rsid w:val="0D044784"/>
    <w:rsid w:val="0D0B144E"/>
    <w:rsid w:val="0D0E5602"/>
    <w:rsid w:val="0D132C19"/>
    <w:rsid w:val="0D134DED"/>
    <w:rsid w:val="0D141031"/>
    <w:rsid w:val="0D15073F"/>
    <w:rsid w:val="0D1F193E"/>
    <w:rsid w:val="0D2941EA"/>
    <w:rsid w:val="0D2A1A40"/>
    <w:rsid w:val="0D341C4A"/>
    <w:rsid w:val="0D35493D"/>
    <w:rsid w:val="0D40793F"/>
    <w:rsid w:val="0D464D9C"/>
    <w:rsid w:val="0D470B14"/>
    <w:rsid w:val="0D4B4161"/>
    <w:rsid w:val="0D4B7857"/>
    <w:rsid w:val="0D4E59FF"/>
    <w:rsid w:val="0D5079C9"/>
    <w:rsid w:val="0D54728F"/>
    <w:rsid w:val="0D553231"/>
    <w:rsid w:val="0D562B05"/>
    <w:rsid w:val="0D576FA9"/>
    <w:rsid w:val="0D621C7D"/>
    <w:rsid w:val="0D696CDD"/>
    <w:rsid w:val="0D722AE9"/>
    <w:rsid w:val="0D735459"/>
    <w:rsid w:val="0D751E29"/>
    <w:rsid w:val="0D7C6A10"/>
    <w:rsid w:val="0D7D62E4"/>
    <w:rsid w:val="0D7E4F1C"/>
    <w:rsid w:val="0D812422"/>
    <w:rsid w:val="0D815DD4"/>
    <w:rsid w:val="0D8633EB"/>
    <w:rsid w:val="0D98216E"/>
    <w:rsid w:val="0DA336F1"/>
    <w:rsid w:val="0DA646D2"/>
    <w:rsid w:val="0DB55A7E"/>
    <w:rsid w:val="0DB55F86"/>
    <w:rsid w:val="0DBA7D6E"/>
    <w:rsid w:val="0DBC505E"/>
    <w:rsid w:val="0DBF1BD4"/>
    <w:rsid w:val="0DC12733"/>
    <w:rsid w:val="0DC43F13"/>
    <w:rsid w:val="0DCC3947"/>
    <w:rsid w:val="0DD31A38"/>
    <w:rsid w:val="0DD35A97"/>
    <w:rsid w:val="0DDD072B"/>
    <w:rsid w:val="0DF465A6"/>
    <w:rsid w:val="0DFB758E"/>
    <w:rsid w:val="0DFE6881"/>
    <w:rsid w:val="0E032C8D"/>
    <w:rsid w:val="0E0A1DBC"/>
    <w:rsid w:val="0E2350DD"/>
    <w:rsid w:val="0E2624D8"/>
    <w:rsid w:val="0E277278"/>
    <w:rsid w:val="0E323572"/>
    <w:rsid w:val="0E344BF5"/>
    <w:rsid w:val="0E362232"/>
    <w:rsid w:val="0E364970"/>
    <w:rsid w:val="0E3E7B9F"/>
    <w:rsid w:val="0E4137B5"/>
    <w:rsid w:val="0E415563"/>
    <w:rsid w:val="0E417312"/>
    <w:rsid w:val="0E4250F2"/>
    <w:rsid w:val="0E43308A"/>
    <w:rsid w:val="0E533746"/>
    <w:rsid w:val="0E552DBD"/>
    <w:rsid w:val="0E5E4367"/>
    <w:rsid w:val="0E653577"/>
    <w:rsid w:val="0E655B9D"/>
    <w:rsid w:val="0E692AA7"/>
    <w:rsid w:val="0E6935CA"/>
    <w:rsid w:val="0E707BF7"/>
    <w:rsid w:val="0E711068"/>
    <w:rsid w:val="0E73034D"/>
    <w:rsid w:val="0E76520D"/>
    <w:rsid w:val="0E765B7C"/>
    <w:rsid w:val="0E87082A"/>
    <w:rsid w:val="0E893FF6"/>
    <w:rsid w:val="0E910299"/>
    <w:rsid w:val="0E925DBF"/>
    <w:rsid w:val="0E927B6D"/>
    <w:rsid w:val="0E990EFC"/>
    <w:rsid w:val="0E9E1920"/>
    <w:rsid w:val="0EA86D7E"/>
    <w:rsid w:val="0EAA7385"/>
    <w:rsid w:val="0EAE203B"/>
    <w:rsid w:val="0EB17B5C"/>
    <w:rsid w:val="0EB245B6"/>
    <w:rsid w:val="0EBB70C4"/>
    <w:rsid w:val="0EBD1BAF"/>
    <w:rsid w:val="0EBE4E06"/>
    <w:rsid w:val="0EC35C93"/>
    <w:rsid w:val="0EC3698D"/>
    <w:rsid w:val="0ED10695"/>
    <w:rsid w:val="0ED1409C"/>
    <w:rsid w:val="0ED15AE5"/>
    <w:rsid w:val="0ED95707"/>
    <w:rsid w:val="0EE7335E"/>
    <w:rsid w:val="0EF40828"/>
    <w:rsid w:val="0EF600FC"/>
    <w:rsid w:val="0F03241F"/>
    <w:rsid w:val="0F032819"/>
    <w:rsid w:val="0F056591"/>
    <w:rsid w:val="0F13775A"/>
    <w:rsid w:val="0F16079E"/>
    <w:rsid w:val="0F184516"/>
    <w:rsid w:val="0F227143"/>
    <w:rsid w:val="0F230541"/>
    <w:rsid w:val="0F234C69"/>
    <w:rsid w:val="0F2647F1"/>
    <w:rsid w:val="0F274759"/>
    <w:rsid w:val="0F310E21"/>
    <w:rsid w:val="0F337F2A"/>
    <w:rsid w:val="0F3D1107"/>
    <w:rsid w:val="0F3F5F47"/>
    <w:rsid w:val="0F410916"/>
    <w:rsid w:val="0F474DFC"/>
    <w:rsid w:val="0F4946D0"/>
    <w:rsid w:val="0F566542"/>
    <w:rsid w:val="0F5B2655"/>
    <w:rsid w:val="0F5F45FE"/>
    <w:rsid w:val="0F6872E4"/>
    <w:rsid w:val="0F72010F"/>
    <w:rsid w:val="0F783207"/>
    <w:rsid w:val="0F7A0D2D"/>
    <w:rsid w:val="0F7D6CDF"/>
    <w:rsid w:val="0F845567"/>
    <w:rsid w:val="0F847DFE"/>
    <w:rsid w:val="0F957915"/>
    <w:rsid w:val="0F96368D"/>
    <w:rsid w:val="0F9A112B"/>
    <w:rsid w:val="0F9A13CF"/>
    <w:rsid w:val="0F9F231C"/>
    <w:rsid w:val="0F9F69E6"/>
    <w:rsid w:val="0FA43FFC"/>
    <w:rsid w:val="0FA939EF"/>
    <w:rsid w:val="0FB0474F"/>
    <w:rsid w:val="0FB24BD6"/>
    <w:rsid w:val="0FB25C12"/>
    <w:rsid w:val="0FB81855"/>
    <w:rsid w:val="0FB92A32"/>
    <w:rsid w:val="0FC01DAB"/>
    <w:rsid w:val="0FC056F1"/>
    <w:rsid w:val="0FC2411A"/>
    <w:rsid w:val="0FC44BCF"/>
    <w:rsid w:val="0FCF77EF"/>
    <w:rsid w:val="0FD4253D"/>
    <w:rsid w:val="0FD82147"/>
    <w:rsid w:val="0FE11937"/>
    <w:rsid w:val="0FF019F1"/>
    <w:rsid w:val="0FFA00C0"/>
    <w:rsid w:val="0FFB1AE2"/>
    <w:rsid w:val="10086339"/>
    <w:rsid w:val="100B5805"/>
    <w:rsid w:val="100D7DF3"/>
    <w:rsid w:val="100E580C"/>
    <w:rsid w:val="101056DE"/>
    <w:rsid w:val="1017657C"/>
    <w:rsid w:val="10193DA4"/>
    <w:rsid w:val="1028212B"/>
    <w:rsid w:val="10282537"/>
    <w:rsid w:val="103233B6"/>
    <w:rsid w:val="103274FC"/>
    <w:rsid w:val="10390BE8"/>
    <w:rsid w:val="10417A9D"/>
    <w:rsid w:val="104D3A52"/>
    <w:rsid w:val="104F2FB1"/>
    <w:rsid w:val="1052334B"/>
    <w:rsid w:val="10525806"/>
    <w:rsid w:val="1053332C"/>
    <w:rsid w:val="105C5B54"/>
    <w:rsid w:val="105E23FD"/>
    <w:rsid w:val="105E5766"/>
    <w:rsid w:val="106612B1"/>
    <w:rsid w:val="106D2F64"/>
    <w:rsid w:val="107514F4"/>
    <w:rsid w:val="107B2FAF"/>
    <w:rsid w:val="107B4D5D"/>
    <w:rsid w:val="107C0AD5"/>
    <w:rsid w:val="107C2883"/>
    <w:rsid w:val="1087235D"/>
    <w:rsid w:val="108A5FA9"/>
    <w:rsid w:val="109879F9"/>
    <w:rsid w:val="109B12A7"/>
    <w:rsid w:val="10A1053B"/>
    <w:rsid w:val="10A904C9"/>
    <w:rsid w:val="10AF790B"/>
    <w:rsid w:val="10B52297"/>
    <w:rsid w:val="10B63710"/>
    <w:rsid w:val="10C149B6"/>
    <w:rsid w:val="10C27938"/>
    <w:rsid w:val="10C52F57"/>
    <w:rsid w:val="10CD6289"/>
    <w:rsid w:val="10D7335F"/>
    <w:rsid w:val="10D80401"/>
    <w:rsid w:val="10DC26E4"/>
    <w:rsid w:val="10E24DDC"/>
    <w:rsid w:val="10E723F2"/>
    <w:rsid w:val="10E751CB"/>
    <w:rsid w:val="10E943BC"/>
    <w:rsid w:val="10EF12A7"/>
    <w:rsid w:val="10F10820"/>
    <w:rsid w:val="10F123C5"/>
    <w:rsid w:val="10F13271"/>
    <w:rsid w:val="10F16161"/>
    <w:rsid w:val="10F254E0"/>
    <w:rsid w:val="10F25D36"/>
    <w:rsid w:val="10FE65A5"/>
    <w:rsid w:val="11015AEF"/>
    <w:rsid w:val="11075D34"/>
    <w:rsid w:val="110A60E1"/>
    <w:rsid w:val="110F60A0"/>
    <w:rsid w:val="11125B04"/>
    <w:rsid w:val="111C02C6"/>
    <w:rsid w:val="111C2F7A"/>
    <w:rsid w:val="11254CC9"/>
    <w:rsid w:val="113008C4"/>
    <w:rsid w:val="11313335"/>
    <w:rsid w:val="11357601"/>
    <w:rsid w:val="11390CBE"/>
    <w:rsid w:val="114F38C1"/>
    <w:rsid w:val="114F676E"/>
    <w:rsid w:val="1151580F"/>
    <w:rsid w:val="11553800"/>
    <w:rsid w:val="115F2D6C"/>
    <w:rsid w:val="1166200D"/>
    <w:rsid w:val="11665CA1"/>
    <w:rsid w:val="116752E1"/>
    <w:rsid w:val="116849C5"/>
    <w:rsid w:val="116A4F13"/>
    <w:rsid w:val="116E48C1"/>
    <w:rsid w:val="11704924"/>
    <w:rsid w:val="11763776"/>
    <w:rsid w:val="117C585D"/>
    <w:rsid w:val="117E779F"/>
    <w:rsid w:val="118C665E"/>
    <w:rsid w:val="11900C84"/>
    <w:rsid w:val="119051EF"/>
    <w:rsid w:val="11916802"/>
    <w:rsid w:val="11976BFB"/>
    <w:rsid w:val="119F7BC4"/>
    <w:rsid w:val="11AE2F10"/>
    <w:rsid w:val="11BE4978"/>
    <w:rsid w:val="11C269BB"/>
    <w:rsid w:val="11C95F9C"/>
    <w:rsid w:val="11CB597E"/>
    <w:rsid w:val="11CE35B2"/>
    <w:rsid w:val="11DD37F5"/>
    <w:rsid w:val="11DE67F4"/>
    <w:rsid w:val="11E608FC"/>
    <w:rsid w:val="11EA4563"/>
    <w:rsid w:val="11EA48C7"/>
    <w:rsid w:val="11EB7CC0"/>
    <w:rsid w:val="11EC5275"/>
    <w:rsid w:val="11ED1C8A"/>
    <w:rsid w:val="11EE155E"/>
    <w:rsid w:val="11F613F3"/>
    <w:rsid w:val="12001011"/>
    <w:rsid w:val="120174E4"/>
    <w:rsid w:val="12152F8F"/>
    <w:rsid w:val="121865DB"/>
    <w:rsid w:val="121C256F"/>
    <w:rsid w:val="121C32C6"/>
    <w:rsid w:val="122338FE"/>
    <w:rsid w:val="1224188A"/>
    <w:rsid w:val="122B27B2"/>
    <w:rsid w:val="122C3D05"/>
    <w:rsid w:val="122F22A3"/>
    <w:rsid w:val="12307DC9"/>
    <w:rsid w:val="12343BBB"/>
    <w:rsid w:val="123632B2"/>
    <w:rsid w:val="123A29F6"/>
    <w:rsid w:val="123E0446"/>
    <w:rsid w:val="12493617"/>
    <w:rsid w:val="124A70DD"/>
    <w:rsid w:val="124B4C03"/>
    <w:rsid w:val="1254265B"/>
    <w:rsid w:val="12654562"/>
    <w:rsid w:val="126637EB"/>
    <w:rsid w:val="126F6B43"/>
    <w:rsid w:val="12787182"/>
    <w:rsid w:val="12805118"/>
    <w:rsid w:val="128123D2"/>
    <w:rsid w:val="1283764A"/>
    <w:rsid w:val="128D0D77"/>
    <w:rsid w:val="12940358"/>
    <w:rsid w:val="12950962"/>
    <w:rsid w:val="1296742E"/>
    <w:rsid w:val="12971BF6"/>
    <w:rsid w:val="129850CA"/>
    <w:rsid w:val="129A3494"/>
    <w:rsid w:val="12A61976"/>
    <w:rsid w:val="12A87588"/>
    <w:rsid w:val="12AF4781"/>
    <w:rsid w:val="12B02CB8"/>
    <w:rsid w:val="12BB7C5B"/>
    <w:rsid w:val="12BD0102"/>
    <w:rsid w:val="12C119AD"/>
    <w:rsid w:val="12C14EC5"/>
    <w:rsid w:val="12C622D8"/>
    <w:rsid w:val="12C744E4"/>
    <w:rsid w:val="12C9450E"/>
    <w:rsid w:val="12CD73C6"/>
    <w:rsid w:val="12D2261E"/>
    <w:rsid w:val="12D22C2E"/>
    <w:rsid w:val="12D60970"/>
    <w:rsid w:val="12E30817"/>
    <w:rsid w:val="12E52961"/>
    <w:rsid w:val="12EA5817"/>
    <w:rsid w:val="12F369CC"/>
    <w:rsid w:val="13010F42"/>
    <w:rsid w:val="13031039"/>
    <w:rsid w:val="130629CD"/>
    <w:rsid w:val="130848A2"/>
    <w:rsid w:val="13095EBB"/>
    <w:rsid w:val="130C4392"/>
    <w:rsid w:val="1317177A"/>
    <w:rsid w:val="13203999"/>
    <w:rsid w:val="132259FE"/>
    <w:rsid w:val="13245E30"/>
    <w:rsid w:val="13246BC2"/>
    <w:rsid w:val="13284212"/>
    <w:rsid w:val="132C0590"/>
    <w:rsid w:val="13390EFF"/>
    <w:rsid w:val="13391AF9"/>
    <w:rsid w:val="13394A5B"/>
    <w:rsid w:val="133B6A25"/>
    <w:rsid w:val="133E6515"/>
    <w:rsid w:val="134358DA"/>
    <w:rsid w:val="1347361C"/>
    <w:rsid w:val="13526EBE"/>
    <w:rsid w:val="13545D39"/>
    <w:rsid w:val="135E44C2"/>
    <w:rsid w:val="13666060"/>
    <w:rsid w:val="136870CA"/>
    <w:rsid w:val="136E12C6"/>
    <w:rsid w:val="136E2957"/>
    <w:rsid w:val="136F698A"/>
    <w:rsid w:val="137D26DA"/>
    <w:rsid w:val="138779AE"/>
    <w:rsid w:val="138959E3"/>
    <w:rsid w:val="13914897"/>
    <w:rsid w:val="13951726"/>
    <w:rsid w:val="13957908"/>
    <w:rsid w:val="1396641F"/>
    <w:rsid w:val="139A115A"/>
    <w:rsid w:val="139D3570"/>
    <w:rsid w:val="13A1426D"/>
    <w:rsid w:val="13A22600"/>
    <w:rsid w:val="13A445CA"/>
    <w:rsid w:val="13AA0CC5"/>
    <w:rsid w:val="13BA5B9C"/>
    <w:rsid w:val="13BB4CA5"/>
    <w:rsid w:val="13BB7B66"/>
    <w:rsid w:val="13BC62A4"/>
    <w:rsid w:val="13BD743A"/>
    <w:rsid w:val="13C7650B"/>
    <w:rsid w:val="13D35C6C"/>
    <w:rsid w:val="13D44784"/>
    <w:rsid w:val="13D5281E"/>
    <w:rsid w:val="13D749A0"/>
    <w:rsid w:val="13D84274"/>
    <w:rsid w:val="13DE6D64"/>
    <w:rsid w:val="13E56991"/>
    <w:rsid w:val="13E76BAD"/>
    <w:rsid w:val="13E86292"/>
    <w:rsid w:val="13F111F5"/>
    <w:rsid w:val="13F53078"/>
    <w:rsid w:val="13F62A1E"/>
    <w:rsid w:val="13F71F4F"/>
    <w:rsid w:val="13F84916"/>
    <w:rsid w:val="13FD322F"/>
    <w:rsid w:val="140432BB"/>
    <w:rsid w:val="14072DAB"/>
    <w:rsid w:val="14171240"/>
    <w:rsid w:val="141F6347"/>
    <w:rsid w:val="142179C9"/>
    <w:rsid w:val="14223741"/>
    <w:rsid w:val="1427639E"/>
    <w:rsid w:val="14316687"/>
    <w:rsid w:val="14383442"/>
    <w:rsid w:val="14396509"/>
    <w:rsid w:val="143A2020"/>
    <w:rsid w:val="143C0BC9"/>
    <w:rsid w:val="144813FA"/>
    <w:rsid w:val="144B2C98"/>
    <w:rsid w:val="1461070D"/>
    <w:rsid w:val="1468384A"/>
    <w:rsid w:val="146938CB"/>
    <w:rsid w:val="14887A48"/>
    <w:rsid w:val="14923059"/>
    <w:rsid w:val="149442E3"/>
    <w:rsid w:val="149A505C"/>
    <w:rsid w:val="14A301F5"/>
    <w:rsid w:val="14A34882"/>
    <w:rsid w:val="14A4200E"/>
    <w:rsid w:val="14A92678"/>
    <w:rsid w:val="14AC30BC"/>
    <w:rsid w:val="14AE7C0A"/>
    <w:rsid w:val="14AF1B33"/>
    <w:rsid w:val="14B545B5"/>
    <w:rsid w:val="14B70F90"/>
    <w:rsid w:val="14BE5D79"/>
    <w:rsid w:val="14BF1119"/>
    <w:rsid w:val="14BF12F2"/>
    <w:rsid w:val="14C64A14"/>
    <w:rsid w:val="14CD7045"/>
    <w:rsid w:val="14DC7D94"/>
    <w:rsid w:val="14DD2C3C"/>
    <w:rsid w:val="14DE3B0C"/>
    <w:rsid w:val="14E37DDB"/>
    <w:rsid w:val="14E552CC"/>
    <w:rsid w:val="14E57769"/>
    <w:rsid w:val="14F267F7"/>
    <w:rsid w:val="14F34507"/>
    <w:rsid w:val="14F51EC9"/>
    <w:rsid w:val="14F64B10"/>
    <w:rsid w:val="14F949D0"/>
    <w:rsid w:val="14FC7645"/>
    <w:rsid w:val="14FD6C55"/>
    <w:rsid w:val="15017AD0"/>
    <w:rsid w:val="1506223E"/>
    <w:rsid w:val="150B62C1"/>
    <w:rsid w:val="151114FF"/>
    <w:rsid w:val="15237771"/>
    <w:rsid w:val="15252D67"/>
    <w:rsid w:val="15325C06"/>
    <w:rsid w:val="153656F6"/>
    <w:rsid w:val="15437E13"/>
    <w:rsid w:val="154C4DBC"/>
    <w:rsid w:val="154F5716"/>
    <w:rsid w:val="15505F94"/>
    <w:rsid w:val="15567235"/>
    <w:rsid w:val="155A002E"/>
    <w:rsid w:val="155B23FC"/>
    <w:rsid w:val="155C2C83"/>
    <w:rsid w:val="15681628"/>
    <w:rsid w:val="157601E9"/>
    <w:rsid w:val="159B1F16"/>
    <w:rsid w:val="15A2607E"/>
    <w:rsid w:val="15A9411A"/>
    <w:rsid w:val="15A96B4A"/>
    <w:rsid w:val="15AA5C39"/>
    <w:rsid w:val="15AD0685"/>
    <w:rsid w:val="15B036FB"/>
    <w:rsid w:val="15B055A3"/>
    <w:rsid w:val="15BB5BFB"/>
    <w:rsid w:val="15C03212"/>
    <w:rsid w:val="15C41BDD"/>
    <w:rsid w:val="15C56A7A"/>
    <w:rsid w:val="15C745A0"/>
    <w:rsid w:val="15D04F52"/>
    <w:rsid w:val="15D2312F"/>
    <w:rsid w:val="15D44CFE"/>
    <w:rsid w:val="15D54F0F"/>
    <w:rsid w:val="15DA0777"/>
    <w:rsid w:val="15E96C0C"/>
    <w:rsid w:val="15EE17E1"/>
    <w:rsid w:val="15EF1E88"/>
    <w:rsid w:val="15EF5777"/>
    <w:rsid w:val="15F26AE6"/>
    <w:rsid w:val="16087E1D"/>
    <w:rsid w:val="16103F31"/>
    <w:rsid w:val="161250BE"/>
    <w:rsid w:val="161444F9"/>
    <w:rsid w:val="16187C8E"/>
    <w:rsid w:val="161D295D"/>
    <w:rsid w:val="16257519"/>
    <w:rsid w:val="16281DB7"/>
    <w:rsid w:val="162A5932"/>
    <w:rsid w:val="162B56CB"/>
    <w:rsid w:val="162C6AF9"/>
    <w:rsid w:val="162F6427"/>
    <w:rsid w:val="16343118"/>
    <w:rsid w:val="163A1216"/>
    <w:rsid w:val="163A2FC4"/>
    <w:rsid w:val="163B0AEA"/>
    <w:rsid w:val="164107F7"/>
    <w:rsid w:val="1641320A"/>
    <w:rsid w:val="164756E1"/>
    <w:rsid w:val="164A3DEC"/>
    <w:rsid w:val="164D4DF0"/>
    <w:rsid w:val="164F016C"/>
    <w:rsid w:val="16501318"/>
    <w:rsid w:val="165322D8"/>
    <w:rsid w:val="16542B17"/>
    <w:rsid w:val="16571F58"/>
    <w:rsid w:val="165D6CB3"/>
    <w:rsid w:val="16601997"/>
    <w:rsid w:val="167504A0"/>
    <w:rsid w:val="1675224E"/>
    <w:rsid w:val="16781D3E"/>
    <w:rsid w:val="167F30CD"/>
    <w:rsid w:val="16810BF3"/>
    <w:rsid w:val="16853AEA"/>
    <w:rsid w:val="16873D53"/>
    <w:rsid w:val="168C1346"/>
    <w:rsid w:val="16985F3D"/>
    <w:rsid w:val="169D2266"/>
    <w:rsid w:val="169E2AE1"/>
    <w:rsid w:val="16A01C81"/>
    <w:rsid w:val="16A42B33"/>
    <w:rsid w:val="16AB0233"/>
    <w:rsid w:val="16AF6B4D"/>
    <w:rsid w:val="16B17A67"/>
    <w:rsid w:val="16B40FC8"/>
    <w:rsid w:val="16B65E51"/>
    <w:rsid w:val="16BC1C2B"/>
    <w:rsid w:val="16BD4321"/>
    <w:rsid w:val="16C240F4"/>
    <w:rsid w:val="16C32FBA"/>
    <w:rsid w:val="16C46D32"/>
    <w:rsid w:val="16C72E02"/>
    <w:rsid w:val="16C84C99"/>
    <w:rsid w:val="16CB6312"/>
    <w:rsid w:val="16CB66C2"/>
    <w:rsid w:val="16CC09A5"/>
    <w:rsid w:val="16CC5916"/>
    <w:rsid w:val="16CE5A43"/>
    <w:rsid w:val="16D74FA3"/>
    <w:rsid w:val="16DA0303"/>
    <w:rsid w:val="16DD20EE"/>
    <w:rsid w:val="16DF75DF"/>
    <w:rsid w:val="16E85B67"/>
    <w:rsid w:val="16E92B3C"/>
    <w:rsid w:val="16E96798"/>
    <w:rsid w:val="16F371D0"/>
    <w:rsid w:val="16F70EB5"/>
    <w:rsid w:val="16F92E7F"/>
    <w:rsid w:val="16FB4072"/>
    <w:rsid w:val="170359FF"/>
    <w:rsid w:val="1703785A"/>
    <w:rsid w:val="17055113"/>
    <w:rsid w:val="17076984"/>
    <w:rsid w:val="17086E79"/>
    <w:rsid w:val="17090DA8"/>
    <w:rsid w:val="170A6E3A"/>
    <w:rsid w:val="17103D25"/>
    <w:rsid w:val="17190E2C"/>
    <w:rsid w:val="1732013F"/>
    <w:rsid w:val="17323584"/>
    <w:rsid w:val="1734300A"/>
    <w:rsid w:val="17377504"/>
    <w:rsid w:val="17485AF4"/>
    <w:rsid w:val="174A7237"/>
    <w:rsid w:val="174D72AE"/>
    <w:rsid w:val="17544DF1"/>
    <w:rsid w:val="175B7696"/>
    <w:rsid w:val="1763027A"/>
    <w:rsid w:val="176D616F"/>
    <w:rsid w:val="17701D14"/>
    <w:rsid w:val="17702456"/>
    <w:rsid w:val="17735226"/>
    <w:rsid w:val="177D53C7"/>
    <w:rsid w:val="178706F6"/>
    <w:rsid w:val="178D1A71"/>
    <w:rsid w:val="178F6881"/>
    <w:rsid w:val="17944956"/>
    <w:rsid w:val="17966920"/>
    <w:rsid w:val="17A012F3"/>
    <w:rsid w:val="17A74689"/>
    <w:rsid w:val="17A74A16"/>
    <w:rsid w:val="17AC17FF"/>
    <w:rsid w:val="17AC1CA0"/>
    <w:rsid w:val="17AC683D"/>
    <w:rsid w:val="17AF0B16"/>
    <w:rsid w:val="17AF353E"/>
    <w:rsid w:val="17B07A8F"/>
    <w:rsid w:val="17B15508"/>
    <w:rsid w:val="17B429B6"/>
    <w:rsid w:val="17B42C2B"/>
    <w:rsid w:val="17B80644"/>
    <w:rsid w:val="17BC3DDA"/>
    <w:rsid w:val="17BC71D1"/>
    <w:rsid w:val="17BF5EF1"/>
    <w:rsid w:val="17C23271"/>
    <w:rsid w:val="17C4348D"/>
    <w:rsid w:val="17C74938"/>
    <w:rsid w:val="17CB1230"/>
    <w:rsid w:val="17E62C77"/>
    <w:rsid w:val="17E66571"/>
    <w:rsid w:val="17F1398A"/>
    <w:rsid w:val="17F17FFA"/>
    <w:rsid w:val="17F559BE"/>
    <w:rsid w:val="17F90402"/>
    <w:rsid w:val="17FA7A05"/>
    <w:rsid w:val="18036E84"/>
    <w:rsid w:val="1807226C"/>
    <w:rsid w:val="18075128"/>
    <w:rsid w:val="182061EA"/>
    <w:rsid w:val="18222D5D"/>
    <w:rsid w:val="18253800"/>
    <w:rsid w:val="18363C5F"/>
    <w:rsid w:val="18504D21"/>
    <w:rsid w:val="185365BF"/>
    <w:rsid w:val="185C1984"/>
    <w:rsid w:val="185C36C6"/>
    <w:rsid w:val="185C64B1"/>
    <w:rsid w:val="185D743E"/>
    <w:rsid w:val="185E33C3"/>
    <w:rsid w:val="18607C09"/>
    <w:rsid w:val="18616F2E"/>
    <w:rsid w:val="18641D4E"/>
    <w:rsid w:val="18694035"/>
    <w:rsid w:val="186C142F"/>
    <w:rsid w:val="187010A2"/>
    <w:rsid w:val="187151CC"/>
    <w:rsid w:val="18761F03"/>
    <w:rsid w:val="187C62E1"/>
    <w:rsid w:val="187C78C4"/>
    <w:rsid w:val="187F2656"/>
    <w:rsid w:val="187F48D7"/>
    <w:rsid w:val="1886369D"/>
    <w:rsid w:val="1890336F"/>
    <w:rsid w:val="18981F6C"/>
    <w:rsid w:val="189E7349"/>
    <w:rsid w:val="189F624C"/>
    <w:rsid w:val="18A64D74"/>
    <w:rsid w:val="18A6519B"/>
    <w:rsid w:val="18AA1870"/>
    <w:rsid w:val="18AA6EC7"/>
    <w:rsid w:val="18AB28D3"/>
    <w:rsid w:val="18B86936"/>
    <w:rsid w:val="18B95189"/>
    <w:rsid w:val="18BB169F"/>
    <w:rsid w:val="18BB38C2"/>
    <w:rsid w:val="18C13529"/>
    <w:rsid w:val="18C179CD"/>
    <w:rsid w:val="18C64903"/>
    <w:rsid w:val="18CD2802"/>
    <w:rsid w:val="18D21BDA"/>
    <w:rsid w:val="18D309EC"/>
    <w:rsid w:val="18D94D16"/>
    <w:rsid w:val="18DA6CE0"/>
    <w:rsid w:val="18DB7093"/>
    <w:rsid w:val="18DC7C2B"/>
    <w:rsid w:val="18DD40DB"/>
    <w:rsid w:val="18E14851"/>
    <w:rsid w:val="18E91842"/>
    <w:rsid w:val="18E93115"/>
    <w:rsid w:val="18F002B2"/>
    <w:rsid w:val="18F00F1D"/>
    <w:rsid w:val="18F733EE"/>
    <w:rsid w:val="19004AEC"/>
    <w:rsid w:val="190403BB"/>
    <w:rsid w:val="190653E0"/>
    <w:rsid w:val="190752D5"/>
    <w:rsid w:val="190857DE"/>
    <w:rsid w:val="190A1374"/>
    <w:rsid w:val="190D2FB5"/>
    <w:rsid w:val="19105BBF"/>
    <w:rsid w:val="19160841"/>
    <w:rsid w:val="191B532F"/>
    <w:rsid w:val="19212219"/>
    <w:rsid w:val="192853CC"/>
    <w:rsid w:val="192D6E10"/>
    <w:rsid w:val="192F2981"/>
    <w:rsid w:val="19341F4D"/>
    <w:rsid w:val="19371E8B"/>
    <w:rsid w:val="193C7053"/>
    <w:rsid w:val="193E6C8C"/>
    <w:rsid w:val="193F08F1"/>
    <w:rsid w:val="194532A1"/>
    <w:rsid w:val="194D42EE"/>
    <w:rsid w:val="19510064"/>
    <w:rsid w:val="19533785"/>
    <w:rsid w:val="195919B3"/>
    <w:rsid w:val="195A6195"/>
    <w:rsid w:val="19636CD6"/>
    <w:rsid w:val="196977CD"/>
    <w:rsid w:val="19704F4F"/>
    <w:rsid w:val="19753685"/>
    <w:rsid w:val="19766A09"/>
    <w:rsid w:val="197762DD"/>
    <w:rsid w:val="197B5DCD"/>
    <w:rsid w:val="197C5DAD"/>
    <w:rsid w:val="197E2564"/>
    <w:rsid w:val="197F5841"/>
    <w:rsid w:val="198A7DBF"/>
    <w:rsid w:val="198D78AF"/>
    <w:rsid w:val="199155F1"/>
    <w:rsid w:val="19944710"/>
    <w:rsid w:val="19947F58"/>
    <w:rsid w:val="1995735D"/>
    <w:rsid w:val="19963C8D"/>
    <w:rsid w:val="199649B5"/>
    <w:rsid w:val="199A1032"/>
    <w:rsid w:val="19A215AC"/>
    <w:rsid w:val="19A74E14"/>
    <w:rsid w:val="19AB3842"/>
    <w:rsid w:val="19B07FBD"/>
    <w:rsid w:val="19B54FE9"/>
    <w:rsid w:val="19B968F6"/>
    <w:rsid w:val="19C05ED6"/>
    <w:rsid w:val="19C9009A"/>
    <w:rsid w:val="19D200D1"/>
    <w:rsid w:val="19D41982"/>
    <w:rsid w:val="19D61256"/>
    <w:rsid w:val="19E70B8C"/>
    <w:rsid w:val="19ED6517"/>
    <w:rsid w:val="19EF6FC7"/>
    <w:rsid w:val="19F04B52"/>
    <w:rsid w:val="19F15F57"/>
    <w:rsid w:val="19F2594C"/>
    <w:rsid w:val="19FB0CBC"/>
    <w:rsid w:val="19FE255B"/>
    <w:rsid w:val="1A051B3B"/>
    <w:rsid w:val="1A0758B3"/>
    <w:rsid w:val="1A0E0DD3"/>
    <w:rsid w:val="1A0F454D"/>
    <w:rsid w:val="1A116732"/>
    <w:rsid w:val="1A1637BE"/>
    <w:rsid w:val="1A1707CD"/>
    <w:rsid w:val="1A1B135F"/>
    <w:rsid w:val="1A1B310D"/>
    <w:rsid w:val="1A1C66C0"/>
    <w:rsid w:val="1A1C7F18"/>
    <w:rsid w:val="1A2A120C"/>
    <w:rsid w:val="1A2C356C"/>
    <w:rsid w:val="1A352420"/>
    <w:rsid w:val="1A367F46"/>
    <w:rsid w:val="1A42393B"/>
    <w:rsid w:val="1A455583"/>
    <w:rsid w:val="1A4563DB"/>
    <w:rsid w:val="1A502576"/>
    <w:rsid w:val="1A530AF8"/>
    <w:rsid w:val="1A595FB5"/>
    <w:rsid w:val="1A5E2AD6"/>
    <w:rsid w:val="1A5F5C65"/>
    <w:rsid w:val="1A62229E"/>
    <w:rsid w:val="1A6C3968"/>
    <w:rsid w:val="1A6C5716"/>
    <w:rsid w:val="1A706998"/>
    <w:rsid w:val="1A725FDF"/>
    <w:rsid w:val="1A7E4A05"/>
    <w:rsid w:val="1A877E55"/>
    <w:rsid w:val="1A890814"/>
    <w:rsid w:val="1A8E38DF"/>
    <w:rsid w:val="1A8E3BB2"/>
    <w:rsid w:val="1A976C37"/>
    <w:rsid w:val="1A9C424D"/>
    <w:rsid w:val="1A9D48CD"/>
    <w:rsid w:val="1AA03612"/>
    <w:rsid w:val="1AA3038A"/>
    <w:rsid w:val="1AA61B9B"/>
    <w:rsid w:val="1AAD45DE"/>
    <w:rsid w:val="1AB136EC"/>
    <w:rsid w:val="1AB72BA7"/>
    <w:rsid w:val="1ABA0B77"/>
    <w:rsid w:val="1AC035E3"/>
    <w:rsid w:val="1ACA37CD"/>
    <w:rsid w:val="1ACB13C2"/>
    <w:rsid w:val="1ADA2FC8"/>
    <w:rsid w:val="1ADD2709"/>
    <w:rsid w:val="1AF0280B"/>
    <w:rsid w:val="1AF04599"/>
    <w:rsid w:val="1AFD4FAA"/>
    <w:rsid w:val="1B046F80"/>
    <w:rsid w:val="1B057A6B"/>
    <w:rsid w:val="1B090B2D"/>
    <w:rsid w:val="1B09565B"/>
    <w:rsid w:val="1B0B4F2F"/>
    <w:rsid w:val="1B0D0CA7"/>
    <w:rsid w:val="1B102545"/>
    <w:rsid w:val="1B1028A4"/>
    <w:rsid w:val="1B17289A"/>
    <w:rsid w:val="1B176D24"/>
    <w:rsid w:val="1B1F1731"/>
    <w:rsid w:val="1B1F49AA"/>
    <w:rsid w:val="1B210BF7"/>
    <w:rsid w:val="1B2B0CE1"/>
    <w:rsid w:val="1B3267B5"/>
    <w:rsid w:val="1B34092A"/>
    <w:rsid w:val="1B373F76"/>
    <w:rsid w:val="1B385835"/>
    <w:rsid w:val="1B40161D"/>
    <w:rsid w:val="1B440441"/>
    <w:rsid w:val="1B441859"/>
    <w:rsid w:val="1B4641B9"/>
    <w:rsid w:val="1B481CDF"/>
    <w:rsid w:val="1B4A1EFB"/>
    <w:rsid w:val="1B4B17D0"/>
    <w:rsid w:val="1B4E4C23"/>
    <w:rsid w:val="1B50342D"/>
    <w:rsid w:val="1B5B07B5"/>
    <w:rsid w:val="1B5C578B"/>
    <w:rsid w:val="1B5C7848"/>
    <w:rsid w:val="1B5F419D"/>
    <w:rsid w:val="1B5F527B"/>
    <w:rsid w:val="1B601C8B"/>
    <w:rsid w:val="1B6606B1"/>
    <w:rsid w:val="1B6C1603"/>
    <w:rsid w:val="1B721452"/>
    <w:rsid w:val="1B74589B"/>
    <w:rsid w:val="1B7506E3"/>
    <w:rsid w:val="1B79633D"/>
    <w:rsid w:val="1B7A20B5"/>
    <w:rsid w:val="1B812F99"/>
    <w:rsid w:val="1B826CD7"/>
    <w:rsid w:val="1B862808"/>
    <w:rsid w:val="1B874245"/>
    <w:rsid w:val="1B8A2BAF"/>
    <w:rsid w:val="1B8D0940"/>
    <w:rsid w:val="1B8F1053"/>
    <w:rsid w:val="1B8F65E5"/>
    <w:rsid w:val="1B91148A"/>
    <w:rsid w:val="1B9118D8"/>
    <w:rsid w:val="1B970EB9"/>
    <w:rsid w:val="1B98237C"/>
    <w:rsid w:val="1B9F0161"/>
    <w:rsid w:val="1BA35913"/>
    <w:rsid w:val="1BAB66D1"/>
    <w:rsid w:val="1BAF4BCC"/>
    <w:rsid w:val="1BB92BDD"/>
    <w:rsid w:val="1BBD659D"/>
    <w:rsid w:val="1BC752FA"/>
    <w:rsid w:val="1BC82E20"/>
    <w:rsid w:val="1BC872C4"/>
    <w:rsid w:val="1BC9751D"/>
    <w:rsid w:val="1BCA1685"/>
    <w:rsid w:val="1BD417C5"/>
    <w:rsid w:val="1BD6553D"/>
    <w:rsid w:val="1BD71A93"/>
    <w:rsid w:val="1BD9327F"/>
    <w:rsid w:val="1BE279AD"/>
    <w:rsid w:val="1BE32061"/>
    <w:rsid w:val="1BE43BEA"/>
    <w:rsid w:val="1BEB65FB"/>
    <w:rsid w:val="1BF14980"/>
    <w:rsid w:val="1BF96F3E"/>
    <w:rsid w:val="1BFB097A"/>
    <w:rsid w:val="1BFE0130"/>
    <w:rsid w:val="1BFE76FC"/>
    <w:rsid w:val="1C054074"/>
    <w:rsid w:val="1C073D92"/>
    <w:rsid w:val="1C084010"/>
    <w:rsid w:val="1C200EAE"/>
    <w:rsid w:val="1C202C5C"/>
    <w:rsid w:val="1C226050"/>
    <w:rsid w:val="1C297D63"/>
    <w:rsid w:val="1C36467B"/>
    <w:rsid w:val="1C3819B2"/>
    <w:rsid w:val="1C3D55BC"/>
    <w:rsid w:val="1C410566"/>
    <w:rsid w:val="1C424981"/>
    <w:rsid w:val="1C4701E9"/>
    <w:rsid w:val="1C4A2E2E"/>
    <w:rsid w:val="1C4C391F"/>
    <w:rsid w:val="1C4E5B24"/>
    <w:rsid w:val="1C584C30"/>
    <w:rsid w:val="1C5D17BA"/>
    <w:rsid w:val="1C5E7925"/>
    <w:rsid w:val="1C6A09FD"/>
    <w:rsid w:val="1C6A3ED7"/>
    <w:rsid w:val="1C6E5776"/>
    <w:rsid w:val="1C782DAC"/>
    <w:rsid w:val="1C7B4336"/>
    <w:rsid w:val="1C8336FA"/>
    <w:rsid w:val="1C9378D2"/>
    <w:rsid w:val="1C954D15"/>
    <w:rsid w:val="1C960D7E"/>
    <w:rsid w:val="1C9816DF"/>
    <w:rsid w:val="1C98639D"/>
    <w:rsid w:val="1CA613B3"/>
    <w:rsid w:val="1CA94A00"/>
    <w:rsid w:val="1CAB37C1"/>
    <w:rsid w:val="1CAB4C1C"/>
    <w:rsid w:val="1CAE5A2B"/>
    <w:rsid w:val="1CB17DA8"/>
    <w:rsid w:val="1CC25AC1"/>
    <w:rsid w:val="1CC45CDD"/>
    <w:rsid w:val="1CC61A56"/>
    <w:rsid w:val="1CC730D8"/>
    <w:rsid w:val="1CC932F4"/>
    <w:rsid w:val="1CCE4466"/>
    <w:rsid w:val="1CD06A24"/>
    <w:rsid w:val="1CE153AA"/>
    <w:rsid w:val="1CEB4399"/>
    <w:rsid w:val="1CEE2D5A"/>
    <w:rsid w:val="1CF43A8C"/>
    <w:rsid w:val="1CF739BD"/>
    <w:rsid w:val="1CFB1C06"/>
    <w:rsid w:val="1CFD070F"/>
    <w:rsid w:val="1CFF0174"/>
    <w:rsid w:val="1D0256E0"/>
    <w:rsid w:val="1D082E0B"/>
    <w:rsid w:val="1D0B2D5D"/>
    <w:rsid w:val="1D0B5412"/>
    <w:rsid w:val="1D0D1432"/>
    <w:rsid w:val="1D147AE8"/>
    <w:rsid w:val="1D174D78"/>
    <w:rsid w:val="1D1A3B4F"/>
    <w:rsid w:val="1D2828BF"/>
    <w:rsid w:val="1D300C7D"/>
    <w:rsid w:val="1D374FA8"/>
    <w:rsid w:val="1D384069"/>
    <w:rsid w:val="1D3A7CD0"/>
    <w:rsid w:val="1D4961E3"/>
    <w:rsid w:val="1D4D0B66"/>
    <w:rsid w:val="1D4D4C12"/>
    <w:rsid w:val="1D50131F"/>
    <w:rsid w:val="1D505B51"/>
    <w:rsid w:val="1D532294"/>
    <w:rsid w:val="1D540DB7"/>
    <w:rsid w:val="1D5F6196"/>
    <w:rsid w:val="1D6132A5"/>
    <w:rsid w:val="1D6206F8"/>
    <w:rsid w:val="1D63476B"/>
    <w:rsid w:val="1D6F5C49"/>
    <w:rsid w:val="1D790876"/>
    <w:rsid w:val="1D7C7A9E"/>
    <w:rsid w:val="1D7F532A"/>
    <w:rsid w:val="1D835EC7"/>
    <w:rsid w:val="1D840FC9"/>
    <w:rsid w:val="1D844829"/>
    <w:rsid w:val="1D8815C8"/>
    <w:rsid w:val="1D8E56D5"/>
    <w:rsid w:val="1D945B73"/>
    <w:rsid w:val="1D9751A0"/>
    <w:rsid w:val="1DA05FD0"/>
    <w:rsid w:val="1DA11F5F"/>
    <w:rsid w:val="1DA76E54"/>
    <w:rsid w:val="1DA82F09"/>
    <w:rsid w:val="1DAD71A9"/>
    <w:rsid w:val="1DB21FDA"/>
    <w:rsid w:val="1DBE44DB"/>
    <w:rsid w:val="1DC064A5"/>
    <w:rsid w:val="1DC45A22"/>
    <w:rsid w:val="1DC52A83"/>
    <w:rsid w:val="1DC615E1"/>
    <w:rsid w:val="1DD062D7"/>
    <w:rsid w:val="1DD71411"/>
    <w:rsid w:val="1DDF7C04"/>
    <w:rsid w:val="1DEC729A"/>
    <w:rsid w:val="1DF223D6"/>
    <w:rsid w:val="1DF36BBF"/>
    <w:rsid w:val="1DF655C9"/>
    <w:rsid w:val="1E002D45"/>
    <w:rsid w:val="1E081BFA"/>
    <w:rsid w:val="1E0B4BF0"/>
    <w:rsid w:val="1E0B5246"/>
    <w:rsid w:val="1E1D1ADC"/>
    <w:rsid w:val="1E200F33"/>
    <w:rsid w:val="1E20105C"/>
    <w:rsid w:val="1E206F43"/>
    <w:rsid w:val="1E235485"/>
    <w:rsid w:val="1E242829"/>
    <w:rsid w:val="1E2433C8"/>
    <w:rsid w:val="1E250819"/>
    <w:rsid w:val="1E2B06A7"/>
    <w:rsid w:val="1E2F342B"/>
    <w:rsid w:val="1E2F7187"/>
    <w:rsid w:val="1E324BDA"/>
    <w:rsid w:val="1E3B1FCF"/>
    <w:rsid w:val="1E3B3AC0"/>
    <w:rsid w:val="1E426EBA"/>
    <w:rsid w:val="1E463FF0"/>
    <w:rsid w:val="1E4C1AE7"/>
    <w:rsid w:val="1E4D585F"/>
    <w:rsid w:val="1E514C5C"/>
    <w:rsid w:val="1E546BED"/>
    <w:rsid w:val="1E581723"/>
    <w:rsid w:val="1E591A14"/>
    <w:rsid w:val="1E594193"/>
    <w:rsid w:val="1E5E2ECD"/>
    <w:rsid w:val="1E621B3A"/>
    <w:rsid w:val="1E6447FE"/>
    <w:rsid w:val="1E652F6D"/>
    <w:rsid w:val="1E755602"/>
    <w:rsid w:val="1E7A2AF8"/>
    <w:rsid w:val="1E7A43DA"/>
    <w:rsid w:val="1E7B64F5"/>
    <w:rsid w:val="1E7E24C5"/>
    <w:rsid w:val="1E8052F7"/>
    <w:rsid w:val="1E883EAC"/>
    <w:rsid w:val="1E8C282B"/>
    <w:rsid w:val="1E8D7FAD"/>
    <w:rsid w:val="1E9C50CD"/>
    <w:rsid w:val="1E9E60BA"/>
    <w:rsid w:val="1EA41923"/>
    <w:rsid w:val="1EA67EF6"/>
    <w:rsid w:val="1EA82305"/>
    <w:rsid w:val="1EAF456F"/>
    <w:rsid w:val="1EB3082C"/>
    <w:rsid w:val="1EB37BAE"/>
    <w:rsid w:val="1EB855C6"/>
    <w:rsid w:val="1EC10726"/>
    <w:rsid w:val="1EC91F8E"/>
    <w:rsid w:val="1ED76F10"/>
    <w:rsid w:val="1ED8092F"/>
    <w:rsid w:val="1EDB10BC"/>
    <w:rsid w:val="1EE2244B"/>
    <w:rsid w:val="1EE70C98"/>
    <w:rsid w:val="1EE95587"/>
    <w:rsid w:val="1EF02DBA"/>
    <w:rsid w:val="1EFA416B"/>
    <w:rsid w:val="1EFB75D9"/>
    <w:rsid w:val="1F040613"/>
    <w:rsid w:val="1F084B68"/>
    <w:rsid w:val="1F093E7B"/>
    <w:rsid w:val="1F0C372C"/>
    <w:rsid w:val="1F264A2D"/>
    <w:rsid w:val="1F270051"/>
    <w:rsid w:val="1F2760B0"/>
    <w:rsid w:val="1F295558"/>
    <w:rsid w:val="1F2E3EDE"/>
    <w:rsid w:val="1F30656E"/>
    <w:rsid w:val="1F38650F"/>
    <w:rsid w:val="1F3C7DAD"/>
    <w:rsid w:val="1F3D58D3"/>
    <w:rsid w:val="1F405D72"/>
    <w:rsid w:val="1F4A3533"/>
    <w:rsid w:val="1F4B2BF5"/>
    <w:rsid w:val="1F4B6242"/>
    <w:rsid w:val="1F515E25"/>
    <w:rsid w:val="1F521293"/>
    <w:rsid w:val="1F570887"/>
    <w:rsid w:val="1F5E41C7"/>
    <w:rsid w:val="1F615959"/>
    <w:rsid w:val="1F66307C"/>
    <w:rsid w:val="1F6E1255"/>
    <w:rsid w:val="1F6F0182"/>
    <w:rsid w:val="1F712565"/>
    <w:rsid w:val="1F751B36"/>
    <w:rsid w:val="1F7A36E2"/>
    <w:rsid w:val="1F7F413E"/>
    <w:rsid w:val="1F86727A"/>
    <w:rsid w:val="1F8956E9"/>
    <w:rsid w:val="1F8B663F"/>
    <w:rsid w:val="1F943263"/>
    <w:rsid w:val="1F9A5927"/>
    <w:rsid w:val="1F9F20EA"/>
    <w:rsid w:val="1FA140B4"/>
    <w:rsid w:val="1FAE057F"/>
    <w:rsid w:val="1FB060A5"/>
    <w:rsid w:val="1FB24B19"/>
    <w:rsid w:val="1FBB33C8"/>
    <w:rsid w:val="1FBF1135"/>
    <w:rsid w:val="1FC25A61"/>
    <w:rsid w:val="1FC52FA1"/>
    <w:rsid w:val="1FC572A1"/>
    <w:rsid w:val="1FCB1131"/>
    <w:rsid w:val="1FCB2EDF"/>
    <w:rsid w:val="1FE7539E"/>
    <w:rsid w:val="1FF14949"/>
    <w:rsid w:val="1FF31EEC"/>
    <w:rsid w:val="1FF37588"/>
    <w:rsid w:val="20014B53"/>
    <w:rsid w:val="20052895"/>
    <w:rsid w:val="200D63FA"/>
    <w:rsid w:val="200E0B27"/>
    <w:rsid w:val="200F7270"/>
    <w:rsid w:val="20104A4D"/>
    <w:rsid w:val="20124E89"/>
    <w:rsid w:val="20130CEF"/>
    <w:rsid w:val="20155222"/>
    <w:rsid w:val="20191E9C"/>
    <w:rsid w:val="201B7F11"/>
    <w:rsid w:val="20201383"/>
    <w:rsid w:val="20331F6B"/>
    <w:rsid w:val="203647FC"/>
    <w:rsid w:val="203B1E13"/>
    <w:rsid w:val="203D236E"/>
    <w:rsid w:val="203E5DA7"/>
    <w:rsid w:val="20447D90"/>
    <w:rsid w:val="20450EE3"/>
    <w:rsid w:val="20451CEE"/>
    <w:rsid w:val="20474C5B"/>
    <w:rsid w:val="20486E58"/>
    <w:rsid w:val="204A043C"/>
    <w:rsid w:val="2059541B"/>
    <w:rsid w:val="205D3082"/>
    <w:rsid w:val="205E01F7"/>
    <w:rsid w:val="20602C60"/>
    <w:rsid w:val="20631369"/>
    <w:rsid w:val="20671BE0"/>
    <w:rsid w:val="20675240"/>
    <w:rsid w:val="206A26F8"/>
    <w:rsid w:val="206B7D6A"/>
    <w:rsid w:val="207421BF"/>
    <w:rsid w:val="20765541"/>
    <w:rsid w:val="207846C9"/>
    <w:rsid w:val="207B79B2"/>
    <w:rsid w:val="207E61A3"/>
    <w:rsid w:val="2080016D"/>
    <w:rsid w:val="20821001"/>
    <w:rsid w:val="20823EE5"/>
    <w:rsid w:val="20831A0C"/>
    <w:rsid w:val="20847C5E"/>
    <w:rsid w:val="208E129B"/>
    <w:rsid w:val="2096173F"/>
    <w:rsid w:val="20963CB8"/>
    <w:rsid w:val="209D6E78"/>
    <w:rsid w:val="20A23FEC"/>
    <w:rsid w:val="20A43E5C"/>
    <w:rsid w:val="20A63A57"/>
    <w:rsid w:val="20A774A8"/>
    <w:rsid w:val="20A81A1B"/>
    <w:rsid w:val="20AA6F98"/>
    <w:rsid w:val="20AC6832"/>
    <w:rsid w:val="20AF45AF"/>
    <w:rsid w:val="20B07FB6"/>
    <w:rsid w:val="20B34AA7"/>
    <w:rsid w:val="20B646FB"/>
    <w:rsid w:val="20BA7729"/>
    <w:rsid w:val="20BB73F7"/>
    <w:rsid w:val="20BD6CCC"/>
    <w:rsid w:val="20C24D63"/>
    <w:rsid w:val="20C62F5F"/>
    <w:rsid w:val="20DA5ACF"/>
    <w:rsid w:val="20DC314F"/>
    <w:rsid w:val="20DD4AA0"/>
    <w:rsid w:val="20EB1A8B"/>
    <w:rsid w:val="20EC008D"/>
    <w:rsid w:val="20F52909"/>
    <w:rsid w:val="20FD2F21"/>
    <w:rsid w:val="21087338"/>
    <w:rsid w:val="21132BE0"/>
    <w:rsid w:val="2115138E"/>
    <w:rsid w:val="211870F5"/>
    <w:rsid w:val="211D32ED"/>
    <w:rsid w:val="212F27EB"/>
    <w:rsid w:val="213A23C7"/>
    <w:rsid w:val="213B74B1"/>
    <w:rsid w:val="213E284F"/>
    <w:rsid w:val="21425423"/>
    <w:rsid w:val="21445FA6"/>
    <w:rsid w:val="214473ED"/>
    <w:rsid w:val="21454C9F"/>
    <w:rsid w:val="214636E4"/>
    <w:rsid w:val="21466CC1"/>
    <w:rsid w:val="214B077B"/>
    <w:rsid w:val="214F7359"/>
    <w:rsid w:val="21515666"/>
    <w:rsid w:val="215637B6"/>
    <w:rsid w:val="21577120"/>
    <w:rsid w:val="215A2310"/>
    <w:rsid w:val="215A276C"/>
    <w:rsid w:val="215F5FD5"/>
    <w:rsid w:val="216A1C71"/>
    <w:rsid w:val="216B2BCB"/>
    <w:rsid w:val="21731BB0"/>
    <w:rsid w:val="2173382E"/>
    <w:rsid w:val="217823A6"/>
    <w:rsid w:val="2178581B"/>
    <w:rsid w:val="21817E61"/>
    <w:rsid w:val="219746CE"/>
    <w:rsid w:val="219E0AE7"/>
    <w:rsid w:val="21A409C6"/>
    <w:rsid w:val="21A41C3A"/>
    <w:rsid w:val="21A86D6D"/>
    <w:rsid w:val="21AE2AB8"/>
    <w:rsid w:val="21B04A82"/>
    <w:rsid w:val="21B5306A"/>
    <w:rsid w:val="21B60E4A"/>
    <w:rsid w:val="21B9016E"/>
    <w:rsid w:val="21BA33B6"/>
    <w:rsid w:val="21BF61C5"/>
    <w:rsid w:val="21D00C81"/>
    <w:rsid w:val="21D06ED2"/>
    <w:rsid w:val="21D4531E"/>
    <w:rsid w:val="21D70261"/>
    <w:rsid w:val="21D818E3"/>
    <w:rsid w:val="21DD6EFA"/>
    <w:rsid w:val="21DE318A"/>
    <w:rsid w:val="21E075EF"/>
    <w:rsid w:val="21EF5B80"/>
    <w:rsid w:val="21F4496F"/>
    <w:rsid w:val="21F91F85"/>
    <w:rsid w:val="21FC6E36"/>
    <w:rsid w:val="21FF3314"/>
    <w:rsid w:val="220528C8"/>
    <w:rsid w:val="220639F0"/>
    <w:rsid w:val="220E2317"/>
    <w:rsid w:val="221A5AF2"/>
    <w:rsid w:val="223159D8"/>
    <w:rsid w:val="2234120F"/>
    <w:rsid w:val="223C3A58"/>
    <w:rsid w:val="224376A4"/>
    <w:rsid w:val="22462CF1"/>
    <w:rsid w:val="22492B9D"/>
    <w:rsid w:val="224A1EDC"/>
    <w:rsid w:val="224D0523"/>
    <w:rsid w:val="22511F37"/>
    <w:rsid w:val="22576990"/>
    <w:rsid w:val="225B49EE"/>
    <w:rsid w:val="225B4E09"/>
    <w:rsid w:val="226715E5"/>
    <w:rsid w:val="22680EB9"/>
    <w:rsid w:val="22716D71"/>
    <w:rsid w:val="22737F8A"/>
    <w:rsid w:val="227710FC"/>
    <w:rsid w:val="22791318"/>
    <w:rsid w:val="227C56E4"/>
    <w:rsid w:val="227E692E"/>
    <w:rsid w:val="2281343A"/>
    <w:rsid w:val="22821F7B"/>
    <w:rsid w:val="22865DA8"/>
    <w:rsid w:val="228E4DC3"/>
    <w:rsid w:val="229940A5"/>
    <w:rsid w:val="22995516"/>
    <w:rsid w:val="229D6DB5"/>
    <w:rsid w:val="229E48DB"/>
    <w:rsid w:val="22A243CB"/>
    <w:rsid w:val="22B365D8"/>
    <w:rsid w:val="22B569E9"/>
    <w:rsid w:val="22B91715"/>
    <w:rsid w:val="22BA5BB9"/>
    <w:rsid w:val="22BD7B13"/>
    <w:rsid w:val="22C42DAB"/>
    <w:rsid w:val="22C50669"/>
    <w:rsid w:val="22C57EBB"/>
    <w:rsid w:val="22CC1448"/>
    <w:rsid w:val="22CE11F8"/>
    <w:rsid w:val="22DB582B"/>
    <w:rsid w:val="22E06CA1"/>
    <w:rsid w:val="22E571D0"/>
    <w:rsid w:val="22E63D24"/>
    <w:rsid w:val="22EA5D72"/>
    <w:rsid w:val="22F26532"/>
    <w:rsid w:val="22F47480"/>
    <w:rsid w:val="22F62969"/>
    <w:rsid w:val="22FD552C"/>
    <w:rsid w:val="230010F2"/>
    <w:rsid w:val="23040D9E"/>
    <w:rsid w:val="23072480"/>
    <w:rsid w:val="230F1E4E"/>
    <w:rsid w:val="23103A2A"/>
    <w:rsid w:val="231161CE"/>
    <w:rsid w:val="23152DEF"/>
    <w:rsid w:val="23170321"/>
    <w:rsid w:val="23256DAA"/>
    <w:rsid w:val="232B0864"/>
    <w:rsid w:val="232C0B8F"/>
    <w:rsid w:val="232C1EE7"/>
    <w:rsid w:val="233174FD"/>
    <w:rsid w:val="233370E2"/>
    <w:rsid w:val="23355512"/>
    <w:rsid w:val="233A3E74"/>
    <w:rsid w:val="233D0598"/>
    <w:rsid w:val="233F1C1A"/>
    <w:rsid w:val="23410AC3"/>
    <w:rsid w:val="23447121"/>
    <w:rsid w:val="235651B5"/>
    <w:rsid w:val="235774D3"/>
    <w:rsid w:val="23607DE2"/>
    <w:rsid w:val="23630647"/>
    <w:rsid w:val="23675615"/>
    <w:rsid w:val="237A0EA4"/>
    <w:rsid w:val="237A592B"/>
    <w:rsid w:val="237D6BE6"/>
    <w:rsid w:val="23807B31"/>
    <w:rsid w:val="23821779"/>
    <w:rsid w:val="238E6F25"/>
    <w:rsid w:val="23902475"/>
    <w:rsid w:val="23906919"/>
    <w:rsid w:val="2391414D"/>
    <w:rsid w:val="23971A56"/>
    <w:rsid w:val="23973447"/>
    <w:rsid w:val="239839FA"/>
    <w:rsid w:val="23985F9B"/>
    <w:rsid w:val="239A478B"/>
    <w:rsid w:val="239F4DAE"/>
    <w:rsid w:val="23A1354E"/>
    <w:rsid w:val="23A245C8"/>
    <w:rsid w:val="23A8613E"/>
    <w:rsid w:val="23AA12D8"/>
    <w:rsid w:val="23B95E70"/>
    <w:rsid w:val="23BA5744"/>
    <w:rsid w:val="23C15EAA"/>
    <w:rsid w:val="23D031BA"/>
    <w:rsid w:val="23D44223"/>
    <w:rsid w:val="23D60969"/>
    <w:rsid w:val="23DC1B5F"/>
    <w:rsid w:val="23DD119A"/>
    <w:rsid w:val="23DE1C48"/>
    <w:rsid w:val="23E80503"/>
    <w:rsid w:val="23EC5E3E"/>
    <w:rsid w:val="23ED0FDA"/>
    <w:rsid w:val="2401027A"/>
    <w:rsid w:val="240107C4"/>
    <w:rsid w:val="240210CD"/>
    <w:rsid w:val="24044C11"/>
    <w:rsid w:val="24082954"/>
    <w:rsid w:val="240A6118"/>
    <w:rsid w:val="240F2BDC"/>
    <w:rsid w:val="24153CB0"/>
    <w:rsid w:val="2418246B"/>
    <w:rsid w:val="241A4435"/>
    <w:rsid w:val="241E5CD3"/>
    <w:rsid w:val="2420605A"/>
    <w:rsid w:val="242154AD"/>
    <w:rsid w:val="2423153B"/>
    <w:rsid w:val="2426102C"/>
    <w:rsid w:val="24322613"/>
    <w:rsid w:val="2438280E"/>
    <w:rsid w:val="24415DDB"/>
    <w:rsid w:val="24474C29"/>
    <w:rsid w:val="244B0067"/>
    <w:rsid w:val="244B2840"/>
    <w:rsid w:val="244F6231"/>
    <w:rsid w:val="245305FB"/>
    <w:rsid w:val="245C6296"/>
    <w:rsid w:val="24613E12"/>
    <w:rsid w:val="246B4C91"/>
    <w:rsid w:val="246C2EE2"/>
    <w:rsid w:val="246F29D3"/>
    <w:rsid w:val="247753E3"/>
    <w:rsid w:val="247955FF"/>
    <w:rsid w:val="2480073C"/>
    <w:rsid w:val="248C1314"/>
    <w:rsid w:val="24912949"/>
    <w:rsid w:val="249441E7"/>
    <w:rsid w:val="24981900"/>
    <w:rsid w:val="24991320"/>
    <w:rsid w:val="249B46BC"/>
    <w:rsid w:val="249F6E82"/>
    <w:rsid w:val="24A501A2"/>
    <w:rsid w:val="24A7216D"/>
    <w:rsid w:val="24BF09F7"/>
    <w:rsid w:val="24C148B0"/>
    <w:rsid w:val="24C20D54"/>
    <w:rsid w:val="24C34ACD"/>
    <w:rsid w:val="24CF3471"/>
    <w:rsid w:val="24D638B8"/>
    <w:rsid w:val="24D91F57"/>
    <w:rsid w:val="24D97003"/>
    <w:rsid w:val="24E32A79"/>
    <w:rsid w:val="24EA2059"/>
    <w:rsid w:val="24EC5DD1"/>
    <w:rsid w:val="24F15196"/>
    <w:rsid w:val="24F17DA3"/>
    <w:rsid w:val="24F9229C"/>
    <w:rsid w:val="24FB5A20"/>
    <w:rsid w:val="2503499B"/>
    <w:rsid w:val="2506467F"/>
    <w:rsid w:val="250F1AC0"/>
    <w:rsid w:val="250F3174"/>
    <w:rsid w:val="251610A0"/>
    <w:rsid w:val="25184E18"/>
    <w:rsid w:val="25192F47"/>
    <w:rsid w:val="251E5D4C"/>
    <w:rsid w:val="25220252"/>
    <w:rsid w:val="252217F3"/>
    <w:rsid w:val="25243534"/>
    <w:rsid w:val="252512E3"/>
    <w:rsid w:val="2527493C"/>
    <w:rsid w:val="252B06D3"/>
    <w:rsid w:val="252C6FF6"/>
    <w:rsid w:val="252D1F0A"/>
    <w:rsid w:val="252D53FE"/>
    <w:rsid w:val="252F6DB2"/>
    <w:rsid w:val="253173F6"/>
    <w:rsid w:val="253908EB"/>
    <w:rsid w:val="25472F43"/>
    <w:rsid w:val="25473008"/>
    <w:rsid w:val="254B6F9C"/>
    <w:rsid w:val="254C4AC2"/>
    <w:rsid w:val="254D3E0E"/>
    <w:rsid w:val="255816B9"/>
    <w:rsid w:val="25585215"/>
    <w:rsid w:val="255A0588"/>
    <w:rsid w:val="256040C9"/>
    <w:rsid w:val="25624FED"/>
    <w:rsid w:val="25626093"/>
    <w:rsid w:val="25754019"/>
    <w:rsid w:val="25755DC7"/>
    <w:rsid w:val="25757D21"/>
    <w:rsid w:val="25777D91"/>
    <w:rsid w:val="257C53A7"/>
    <w:rsid w:val="257F50E8"/>
    <w:rsid w:val="25814FFE"/>
    <w:rsid w:val="25853561"/>
    <w:rsid w:val="25853B30"/>
    <w:rsid w:val="25875B24"/>
    <w:rsid w:val="25956469"/>
    <w:rsid w:val="25971AB4"/>
    <w:rsid w:val="25A14E0E"/>
    <w:rsid w:val="25A42208"/>
    <w:rsid w:val="25A45C93"/>
    <w:rsid w:val="25AA250D"/>
    <w:rsid w:val="25B37A37"/>
    <w:rsid w:val="25B615EA"/>
    <w:rsid w:val="25B85CB3"/>
    <w:rsid w:val="25BD151C"/>
    <w:rsid w:val="25C12DBA"/>
    <w:rsid w:val="25C7239A"/>
    <w:rsid w:val="25CC0291"/>
    <w:rsid w:val="25D72DB2"/>
    <w:rsid w:val="25D770AE"/>
    <w:rsid w:val="25DC7BF4"/>
    <w:rsid w:val="25DE1BBE"/>
    <w:rsid w:val="25E34468"/>
    <w:rsid w:val="25E540D8"/>
    <w:rsid w:val="25E57747"/>
    <w:rsid w:val="25E7142C"/>
    <w:rsid w:val="25EC2D81"/>
    <w:rsid w:val="25ED4EEF"/>
    <w:rsid w:val="25F4712E"/>
    <w:rsid w:val="25FA451E"/>
    <w:rsid w:val="26006A5F"/>
    <w:rsid w:val="26010F45"/>
    <w:rsid w:val="26064C71"/>
    <w:rsid w:val="260928CF"/>
    <w:rsid w:val="260B34DB"/>
    <w:rsid w:val="26103D41"/>
    <w:rsid w:val="261A071C"/>
    <w:rsid w:val="262B2929"/>
    <w:rsid w:val="263317DE"/>
    <w:rsid w:val="263C6C5C"/>
    <w:rsid w:val="263E08AF"/>
    <w:rsid w:val="26413EFB"/>
    <w:rsid w:val="26494A86"/>
    <w:rsid w:val="264D0A3B"/>
    <w:rsid w:val="26527EB6"/>
    <w:rsid w:val="265A6D6B"/>
    <w:rsid w:val="265C26B2"/>
    <w:rsid w:val="26655E3B"/>
    <w:rsid w:val="266A00B7"/>
    <w:rsid w:val="266A3452"/>
    <w:rsid w:val="266F0A68"/>
    <w:rsid w:val="2670658E"/>
    <w:rsid w:val="26775B6F"/>
    <w:rsid w:val="26776AEC"/>
    <w:rsid w:val="26795443"/>
    <w:rsid w:val="267A11BB"/>
    <w:rsid w:val="268852F3"/>
    <w:rsid w:val="268B33C8"/>
    <w:rsid w:val="2690325F"/>
    <w:rsid w:val="269C7383"/>
    <w:rsid w:val="26A24C02"/>
    <w:rsid w:val="26A93DBD"/>
    <w:rsid w:val="26B172D2"/>
    <w:rsid w:val="26B34440"/>
    <w:rsid w:val="26B56FF9"/>
    <w:rsid w:val="26B96AF1"/>
    <w:rsid w:val="26BD1A51"/>
    <w:rsid w:val="26BE2EE1"/>
    <w:rsid w:val="26C24433"/>
    <w:rsid w:val="26C30DB4"/>
    <w:rsid w:val="26C52DB4"/>
    <w:rsid w:val="26C64400"/>
    <w:rsid w:val="26C82969"/>
    <w:rsid w:val="26D11723"/>
    <w:rsid w:val="26D1431F"/>
    <w:rsid w:val="26D53575"/>
    <w:rsid w:val="26D7660D"/>
    <w:rsid w:val="26D92385"/>
    <w:rsid w:val="26D926BA"/>
    <w:rsid w:val="26DF44C6"/>
    <w:rsid w:val="26EE4083"/>
    <w:rsid w:val="26EF0A4D"/>
    <w:rsid w:val="26FD5C2D"/>
    <w:rsid w:val="27001EB2"/>
    <w:rsid w:val="271C4FDF"/>
    <w:rsid w:val="272356CA"/>
    <w:rsid w:val="2726708D"/>
    <w:rsid w:val="27271377"/>
    <w:rsid w:val="27275C00"/>
    <w:rsid w:val="2728116F"/>
    <w:rsid w:val="27283EA7"/>
    <w:rsid w:val="272C6375"/>
    <w:rsid w:val="272D57DE"/>
    <w:rsid w:val="27343A60"/>
    <w:rsid w:val="2734580E"/>
    <w:rsid w:val="27376191"/>
    <w:rsid w:val="27411D21"/>
    <w:rsid w:val="27434754"/>
    <w:rsid w:val="274612B7"/>
    <w:rsid w:val="27475541"/>
    <w:rsid w:val="274F5B4F"/>
    <w:rsid w:val="27565784"/>
    <w:rsid w:val="27566710"/>
    <w:rsid w:val="276A122F"/>
    <w:rsid w:val="277057A2"/>
    <w:rsid w:val="27707B10"/>
    <w:rsid w:val="27791D0D"/>
    <w:rsid w:val="277A3B68"/>
    <w:rsid w:val="277D3665"/>
    <w:rsid w:val="277F11A4"/>
    <w:rsid w:val="2786250D"/>
    <w:rsid w:val="278975FE"/>
    <w:rsid w:val="278A3680"/>
    <w:rsid w:val="278F23C0"/>
    <w:rsid w:val="279207DE"/>
    <w:rsid w:val="27932534"/>
    <w:rsid w:val="279767CB"/>
    <w:rsid w:val="27A5696C"/>
    <w:rsid w:val="27A75FE0"/>
    <w:rsid w:val="27AB3D22"/>
    <w:rsid w:val="27AE55C0"/>
    <w:rsid w:val="27AF6DA2"/>
    <w:rsid w:val="27BD4ADD"/>
    <w:rsid w:val="27BF66D8"/>
    <w:rsid w:val="27C554D7"/>
    <w:rsid w:val="27CA27D8"/>
    <w:rsid w:val="27CA7E10"/>
    <w:rsid w:val="27CC5A46"/>
    <w:rsid w:val="27D05536"/>
    <w:rsid w:val="27D666B4"/>
    <w:rsid w:val="27D80DAB"/>
    <w:rsid w:val="27DF62D8"/>
    <w:rsid w:val="27F83DAA"/>
    <w:rsid w:val="27FF406E"/>
    <w:rsid w:val="280478D6"/>
    <w:rsid w:val="28074CD0"/>
    <w:rsid w:val="280D678A"/>
    <w:rsid w:val="28100029"/>
    <w:rsid w:val="28256734"/>
    <w:rsid w:val="28277120"/>
    <w:rsid w:val="282F74E7"/>
    <w:rsid w:val="28311148"/>
    <w:rsid w:val="28333D17"/>
    <w:rsid w:val="28334803"/>
    <w:rsid w:val="28360166"/>
    <w:rsid w:val="283748D1"/>
    <w:rsid w:val="283B7EEC"/>
    <w:rsid w:val="283E7792"/>
    <w:rsid w:val="283F26BC"/>
    <w:rsid w:val="28480BD5"/>
    <w:rsid w:val="284877C3"/>
    <w:rsid w:val="284B2E0F"/>
    <w:rsid w:val="284D29FA"/>
    <w:rsid w:val="284D4DD9"/>
    <w:rsid w:val="28553C8E"/>
    <w:rsid w:val="286256D3"/>
    <w:rsid w:val="28655A1B"/>
    <w:rsid w:val="286602A9"/>
    <w:rsid w:val="286C43F8"/>
    <w:rsid w:val="28706D19"/>
    <w:rsid w:val="28732366"/>
    <w:rsid w:val="287762A1"/>
    <w:rsid w:val="28803712"/>
    <w:rsid w:val="288446F3"/>
    <w:rsid w:val="28887BBF"/>
    <w:rsid w:val="289432F6"/>
    <w:rsid w:val="289447B6"/>
    <w:rsid w:val="28956780"/>
    <w:rsid w:val="28AD1D1C"/>
    <w:rsid w:val="28AF7842"/>
    <w:rsid w:val="28B05368"/>
    <w:rsid w:val="28BE0B66"/>
    <w:rsid w:val="28BF68D6"/>
    <w:rsid w:val="28C6543D"/>
    <w:rsid w:val="28C803E7"/>
    <w:rsid w:val="28C80903"/>
    <w:rsid w:val="28CA748F"/>
    <w:rsid w:val="28CD5F1A"/>
    <w:rsid w:val="28D948BF"/>
    <w:rsid w:val="28E446F1"/>
    <w:rsid w:val="28E82D54"/>
    <w:rsid w:val="28E839A3"/>
    <w:rsid w:val="28F6312A"/>
    <w:rsid w:val="28FC235B"/>
    <w:rsid w:val="291458F7"/>
    <w:rsid w:val="29192F0D"/>
    <w:rsid w:val="29206EB8"/>
    <w:rsid w:val="29211DC2"/>
    <w:rsid w:val="29226266"/>
    <w:rsid w:val="29274B33"/>
    <w:rsid w:val="29325E53"/>
    <w:rsid w:val="29354EE6"/>
    <w:rsid w:val="2936586D"/>
    <w:rsid w:val="294E6BD0"/>
    <w:rsid w:val="295201CD"/>
    <w:rsid w:val="29543F45"/>
    <w:rsid w:val="295750D6"/>
    <w:rsid w:val="29595666"/>
    <w:rsid w:val="295959FF"/>
    <w:rsid w:val="295A7391"/>
    <w:rsid w:val="295D0698"/>
    <w:rsid w:val="295D729E"/>
    <w:rsid w:val="295E4DC4"/>
    <w:rsid w:val="295E6E9A"/>
    <w:rsid w:val="295F5BAE"/>
    <w:rsid w:val="29650277"/>
    <w:rsid w:val="296D5007"/>
    <w:rsid w:val="296F4C5F"/>
    <w:rsid w:val="29740C53"/>
    <w:rsid w:val="2977761F"/>
    <w:rsid w:val="297D1117"/>
    <w:rsid w:val="29830A0F"/>
    <w:rsid w:val="29874881"/>
    <w:rsid w:val="298A45D6"/>
    <w:rsid w:val="298A7967"/>
    <w:rsid w:val="298B1AC7"/>
    <w:rsid w:val="298F4F7D"/>
    <w:rsid w:val="29932A8C"/>
    <w:rsid w:val="29967EF1"/>
    <w:rsid w:val="299D769A"/>
    <w:rsid w:val="29A1215C"/>
    <w:rsid w:val="29A22F02"/>
    <w:rsid w:val="29A3087E"/>
    <w:rsid w:val="29A82E7E"/>
    <w:rsid w:val="29AA03E1"/>
    <w:rsid w:val="29AF561F"/>
    <w:rsid w:val="29B1237D"/>
    <w:rsid w:val="29B449E4"/>
    <w:rsid w:val="29BF0E82"/>
    <w:rsid w:val="29C0070E"/>
    <w:rsid w:val="29C55347"/>
    <w:rsid w:val="29CC61D1"/>
    <w:rsid w:val="29CF7236"/>
    <w:rsid w:val="29D137E8"/>
    <w:rsid w:val="29D67050"/>
    <w:rsid w:val="29D84B76"/>
    <w:rsid w:val="29DA6810"/>
    <w:rsid w:val="29DD218D"/>
    <w:rsid w:val="29E325E0"/>
    <w:rsid w:val="29E90B31"/>
    <w:rsid w:val="29EC23D0"/>
    <w:rsid w:val="29F348CB"/>
    <w:rsid w:val="29F34F55"/>
    <w:rsid w:val="29F6324E"/>
    <w:rsid w:val="29FA689B"/>
    <w:rsid w:val="29FD282F"/>
    <w:rsid w:val="29FF6F50"/>
    <w:rsid w:val="2A0A3672"/>
    <w:rsid w:val="2A1439E1"/>
    <w:rsid w:val="2A1A6B9A"/>
    <w:rsid w:val="2A1C2CB5"/>
    <w:rsid w:val="2A1F27A5"/>
    <w:rsid w:val="2A2E29E8"/>
    <w:rsid w:val="2A30050E"/>
    <w:rsid w:val="2A314286"/>
    <w:rsid w:val="2A36189D"/>
    <w:rsid w:val="2A3B0766"/>
    <w:rsid w:val="2A3D53FF"/>
    <w:rsid w:val="2A452503"/>
    <w:rsid w:val="2A4C5B25"/>
    <w:rsid w:val="2A557236"/>
    <w:rsid w:val="2A5F0DF4"/>
    <w:rsid w:val="2A614B6C"/>
    <w:rsid w:val="2A61691A"/>
    <w:rsid w:val="2A682B95"/>
    <w:rsid w:val="2A691C72"/>
    <w:rsid w:val="2A6D1762"/>
    <w:rsid w:val="2A6E404E"/>
    <w:rsid w:val="2A750617"/>
    <w:rsid w:val="2A785209"/>
    <w:rsid w:val="2A832D10"/>
    <w:rsid w:val="2A8B3997"/>
    <w:rsid w:val="2A8B7E3A"/>
    <w:rsid w:val="2A8D5961"/>
    <w:rsid w:val="2A933890"/>
    <w:rsid w:val="2AA44A58"/>
    <w:rsid w:val="2AA84B49"/>
    <w:rsid w:val="2AA92766"/>
    <w:rsid w:val="2AAA4521"/>
    <w:rsid w:val="2AB32EED"/>
    <w:rsid w:val="2AB70C30"/>
    <w:rsid w:val="2AB9700E"/>
    <w:rsid w:val="2AC01CA1"/>
    <w:rsid w:val="2AC277C8"/>
    <w:rsid w:val="2ACE1AD5"/>
    <w:rsid w:val="2AD27EF2"/>
    <w:rsid w:val="2ADB00E5"/>
    <w:rsid w:val="2AE13EFE"/>
    <w:rsid w:val="2AE17A5A"/>
    <w:rsid w:val="2AE27D26"/>
    <w:rsid w:val="2AF61758"/>
    <w:rsid w:val="2AF9465D"/>
    <w:rsid w:val="2AFE060C"/>
    <w:rsid w:val="2AFE7800"/>
    <w:rsid w:val="2B0674C1"/>
    <w:rsid w:val="2B093073"/>
    <w:rsid w:val="2B0D0460"/>
    <w:rsid w:val="2B1C6CE5"/>
    <w:rsid w:val="2B1E494A"/>
    <w:rsid w:val="2B243300"/>
    <w:rsid w:val="2B276EAF"/>
    <w:rsid w:val="2B2B6F28"/>
    <w:rsid w:val="2B3043E2"/>
    <w:rsid w:val="2B437551"/>
    <w:rsid w:val="2B484D71"/>
    <w:rsid w:val="2B4B799F"/>
    <w:rsid w:val="2B553037"/>
    <w:rsid w:val="2B597F39"/>
    <w:rsid w:val="2B60248F"/>
    <w:rsid w:val="2B620B9B"/>
    <w:rsid w:val="2B6F037D"/>
    <w:rsid w:val="2B6F5066"/>
    <w:rsid w:val="2B76659E"/>
    <w:rsid w:val="2B78712C"/>
    <w:rsid w:val="2B7D3EBC"/>
    <w:rsid w:val="2B830B12"/>
    <w:rsid w:val="2B83480C"/>
    <w:rsid w:val="2B8A0DEE"/>
    <w:rsid w:val="2B8C3E6A"/>
    <w:rsid w:val="2B8E4AE1"/>
    <w:rsid w:val="2B9319ED"/>
    <w:rsid w:val="2B960845"/>
    <w:rsid w:val="2B974E32"/>
    <w:rsid w:val="2B980A61"/>
    <w:rsid w:val="2BA455B9"/>
    <w:rsid w:val="2BA57BA0"/>
    <w:rsid w:val="2BA936A8"/>
    <w:rsid w:val="2BAC5B68"/>
    <w:rsid w:val="2BAD0090"/>
    <w:rsid w:val="2BBC0E9B"/>
    <w:rsid w:val="2BBD2CF9"/>
    <w:rsid w:val="2BC17995"/>
    <w:rsid w:val="2BC236A6"/>
    <w:rsid w:val="2BC5737C"/>
    <w:rsid w:val="2BC774D0"/>
    <w:rsid w:val="2BC929C8"/>
    <w:rsid w:val="2BD001FB"/>
    <w:rsid w:val="2BD650E5"/>
    <w:rsid w:val="2BDA582E"/>
    <w:rsid w:val="2BE23AF2"/>
    <w:rsid w:val="2BE5357A"/>
    <w:rsid w:val="2BE710A1"/>
    <w:rsid w:val="2BEB7C8B"/>
    <w:rsid w:val="2BF65788"/>
    <w:rsid w:val="2BF913D1"/>
    <w:rsid w:val="2C006E5D"/>
    <w:rsid w:val="2C02412C"/>
    <w:rsid w:val="2C031008"/>
    <w:rsid w:val="2C041485"/>
    <w:rsid w:val="2C057779"/>
    <w:rsid w:val="2C1005F7"/>
    <w:rsid w:val="2C251D36"/>
    <w:rsid w:val="2C273B93"/>
    <w:rsid w:val="2C2F5B4F"/>
    <w:rsid w:val="2C315A5A"/>
    <w:rsid w:val="2C332538"/>
    <w:rsid w:val="2C3D378C"/>
    <w:rsid w:val="2C40302C"/>
    <w:rsid w:val="2C41055E"/>
    <w:rsid w:val="2C425D39"/>
    <w:rsid w:val="2C4464F3"/>
    <w:rsid w:val="2C4600CB"/>
    <w:rsid w:val="2C4677D9"/>
    <w:rsid w:val="2C471DAE"/>
    <w:rsid w:val="2C477E23"/>
    <w:rsid w:val="2C4B1C25"/>
    <w:rsid w:val="2C4C35F9"/>
    <w:rsid w:val="2C4D184B"/>
    <w:rsid w:val="2C510E4D"/>
    <w:rsid w:val="2C526370"/>
    <w:rsid w:val="2C526E62"/>
    <w:rsid w:val="2C5844D7"/>
    <w:rsid w:val="2C5B36F0"/>
    <w:rsid w:val="2C5C1A8E"/>
    <w:rsid w:val="2C624BCB"/>
    <w:rsid w:val="2C640943"/>
    <w:rsid w:val="2C6B2DB9"/>
    <w:rsid w:val="2C6E0EF1"/>
    <w:rsid w:val="2C71213F"/>
    <w:rsid w:val="2C7147BB"/>
    <w:rsid w:val="2C7201B3"/>
    <w:rsid w:val="2C720AA6"/>
    <w:rsid w:val="2C736DD8"/>
    <w:rsid w:val="2C770676"/>
    <w:rsid w:val="2C7A0167"/>
    <w:rsid w:val="2C7F44E0"/>
    <w:rsid w:val="2C80491C"/>
    <w:rsid w:val="2C820DC9"/>
    <w:rsid w:val="2C82701B"/>
    <w:rsid w:val="2C8B5ED0"/>
    <w:rsid w:val="2C94144E"/>
    <w:rsid w:val="2C970D19"/>
    <w:rsid w:val="2C98683F"/>
    <w:rsid w:val="2CA46F92"/>
    <w:rsid w:val="2CA62D0A"/>
    <w:rsid w:val="2CA70830"/>
    <w:rsid w:val="2CAA415E"/>
    <w:rsid w:val="2CAC3C21"/>
    <w:rsid w:val="2CAE2083"/>
    <w:rsid w:val="2CAE7E10"/>
    <w:rsid w:val="2CAF6062"/>
    <w:rsid w:val="2CB92267"/>
    <w:rsid w:val="2CBA4C1D"/>
    <w:rsid w:val="2CBB79FD"/>
    <w:rsid w:val="2CBE44F7"/>
    <w:rsid w:val="2CCA2E9C"/>
    <w:rsid w:val="2CCE15BB"/>
    <w:rsid w:val="2CCF22A3"/>
    <w:rsid w:val="2CD157D2"/>
    <w:rsid w:val="2CD66A29"/>
    <w:rsid w:val="2CDA6E57"/>
    <w:rsid w:val="2CE03015"/>
    <w:rsid w:val="2CE81574"/>
    <w:rsid w:val="2CEC3EC3"/>
    <w:rsid w:val="2CEF451A"/>
    <w:rsid w:val="2CF241A1"/>
    <w:rsid w:val="2D0251E3"/>
    <w:rsid w:val="2D0526CE"/>
    <w:rsid w:val="2D0B3147"/>
    <w:rsid w:val="2D1063D5"/>
    <w:rsid w:val="2D1265F1"/>
    <w:rsid w:val="2D130CEE"/>
    <w:rsid w:val="2D183209"/>
    <w:rsid w:val="2D214567"/>
    <w:rsid w:val="2D281D80"/>
    <w:rsid w:val="2D2B51DA"/>
    <w:rsid w:val="2D340315"/>
    <w:rsid w:val="2D3447B9"/>
    <w:rsid w:val="2D3946A9"/>
    <w:rsid w:val="2D4349FC"/>
    <w:rsid w:val="2D4B12B8"/>
    <w:rsid w:val="2D542766"/>
    <w:rsid w:val="2D564B17"/>
    <w:rsid w:val="2D5B2FDA"/>
    <w:rsid w:val="2D5F38FC"/>
    <w:rsid w:val="2D630BFB"/>
    <w:rsid w:val="2D636E4D"/>
    <w:rsid w:val="2D660BA5"/>
    <w:rsid w:val="2D713318"/>
    <w:rsid w:val="2D735A67"/>
    <w:rsid w:val="2D7707D2"/>
    <w:rsid w:val="2D790198"/>
    <w:rsid w:val="2D86540F"/>
    <w:rsid w:val="2D8B1EFE"/>
    <w:rsid w:val="2D901271"/>
    <w:rsid w:val="2D915768"/>
    <w:rsid w:val="2D9E56F5"/>
    <w:rsid w:val="2DA27F4F"/>
    <w:rsid w:val="2DA82AB1"/>
    <w:rsid w:val="2DB3570E"/>
    <w:rsid w:val="2DC2524D"/>
    <w:rsid w:val="2DC31699"/>
    <w:rsid w:val="2DC41EB4"/>
    <w:rsid w:val="2DCA385F"/>
    <w:rsid w:val="2DCD70B6"/>
    <w:rsid w:val="2DCE2518"/>
    <w:rsid w:val="2DD8092E"/>
    <w:rsid w:val="2DDC5888"/>
    <w:rsid w:val="2DDE3B21"/>
    <w:rsid w:val="2DE03D77"/>
    <w:rsid w:val="2DE74A5C"/>
    <w:rsid w:val="2DE841B7"/>
    <w:rsid w:val="2DED6716"/>
    <w:rsid w:val="2DEE195E"/>
    <w:rsid w:val="2DFD2DFD"/>
    <w:rsid w:val="2DFE0923"/>
    <w:rsid w:val="2E061435"/>
    <w:rsid w:val="2E0C1292"/>
    <w:rsid w:val="2E170A48"/>
    <w:rsid w:val="2E20089A"/>
    <w:rsid w:val="2E205C69"/>
    <w:rsid w:val="2E205C89"/>
    <w:rsid w:val="2E254102"/>
    <w:rsid w:val="2E277E7A"/>
    <w:rsid w:val="2E2B5C31"/>
    <w:rsid w:val="2E316DB7"/>
    <w:rsid w:val="2E330B36"/>
    <w:rsid w:val="2E395265"/>
    <w:rsid w:val="2E3A7BAD"/>
    <w:rsid w:val="2E3E6096"/>
    <w:rsid w:val="2E4427DA"/>
    <w:rsid w:val="2E463B3A"/>
    <w:rsid w:val="2E474078"/>
    <w:rsid w:val="2E4A3CC2"/>
    <w:rsid w:val="2E4B695D"/>
    <w:rsid w:val="2E4C168F"/>
    <w:rsid w:val="2E4E18AB"/>
    <w:rsid w:val="2E5A0250"/>
    <w:rsid w:val="2E5A3DAC"/>
    <w:rsid w:val="2E5D389C"/>
    <w:rsid w:val="2E5F13C2"/>
    <w:rsid w:val="2E5F62E6"/>
    <w:rsid w:val="2E604F7C"/>
    <w:rsid w:val="2E642E7C"/>
    <w:rsid w:val="2E6469D8"/>
    <w:rsid w:val="2E650734"/>
    <w:rsid w:val="2E667F96"/>
    <w:rsid w:val="2E70537D"/>
    <w:rsid w:val="2E75736B"/>
    <w:rsid w:val="2E7B021C"/>
    <w:rsid w:val="2E7D525B"/>
    <w:rsid w:val="2E8226AB"/>
    <w:rsid w:val="2E8C4FC8"/>
    <w:rsid w:val="2E8C76CD"/>
    <w:rsid w:val="2E8E54C4"/>
    <w:rsid w:val="2E913546"/>
    <w:rsid w:val="2E963A57"/>
    <w:rsid w:val="2E980D78"/>
    <w:rsid w:val="2E9C43C4"/>
    <w:rsid w:val="2E9E4B60"/>
    <w:rsid w:val="2EA25753"/>
    <w:rsid w:val="2EB31765"/>
    <w:rsid w:val="2EB32CE5"/>
    <w:rsid w:val="2EB931C8"/>
    <w:rsid w:val="2EBB2B6B"/>
    <w:rsid w:val="2EC2366C"/>
    <w:rsid w:val="2EC76F67"/>
    <w:rsid w:val="2EC856C3"/>
    <w:rsid w:val="2EC90F31"/>
    <w:rsid w:val="2ECB7F07"/>
    <w:rsid w:val="2ECE6548"/>
    <w:rsid w:val="2ED022C0"/>
    <w:rsid w:val="2ED973C6"/>
    <w:rsid w:val="2EE10029"/>
    <w:rsid w:val="2EE3086D"/>
    <w:rsid w:val="2EE85698"/>
    <w:rsid w:val="2EF30B5F"/>
    <w:rsid w:val="2EFE6E2D"/>
    <w:rsid w:val="2F032695"/>
    <w:rsid w:val="2F034C03"/>
    <w:rsid w:val="2F081A5A"/>
    <w:rsid w:val="2F0B2942"/>
    <w:rsid w:val="2F0B7DE8"/>
    <w:rsid w:val="2F0E7DD1"/>
    <w:rsid w:val="2F120BC6"/>
    <w:rsid w:val="2F18370D"/>
    <w:rsid w:val="2F1C72B3"/>
    <w:rsid w:val="2F2566B4"/>
    <w:rsid w:val="2F374A9E"/>
    <w:rsid w:val="2F397228"/>
    <w:rsid w:val="2F3B1F58"/>
    <w:rsid w:val="2F3E547B"/>
    <w:rsid w:val="2F407445"/>
    <w:rsid w:val="2F4330FC"/>
    <w:rsid w:val="2F546A4D"/>
    <w:rsid w:val="2F560A17"/>
    <w:rsid w:val="2F591BB5"/>
    <w:rsid w:val="2F5B427F"/>
    <w:rsid w:val="2F5B5C2E"/>
    <w:rsid w:val="2F5C3B54"/>
    <w:rsid w:val="2F5F53F2"/>
    <w:rsid w:val="2F624086"/>
    <w:rsid w:val="2F650031"/>
    <w:rsid w:val="2F661D64"/>
    <w:rsid w:val="2F6A001E"/>
    <w:rsid w:val="2F72483A"/>
    <w:rsid w:val="2F775834"/>
    <w:rsid w:val="2F7B047E"/>
    <w:rsid w:val="2F803CE6"/>
    <w:rsid w:val="2F8176F0"/>
    <w:rsid w:val="2F835584"/>
    <w:rsid w:val="2F862405"/>
    <w:rsid w:val="2F880659"/>
    <w:rsid w:val="2F9037FD"/>
    <w:rsid w:val="2F947791"/>
    <w:rsid w:val="2F972DDE"/>
    <w:rsid w:val="2F990904"/>
    <w:rsid w:val="2F9B3DC4"/>
    <w:rsid w:val="2F9D4288"/>
    <w:rsid w:val="2F9E416C"/>
    <w:rsid w:val="2FA52EEB"/>
    <w:rsid w:val="2FAA688C"/>
    <w:rsid w:val="2FAD6BAC"/>
    <w:rsid w:val="2FB90558"/>
    <w:rsid w:val="2FB90FA6"/>
    <w:rsid w:val="2FBF258E"/>
    <w:rsid w:val="2FC55B9D"/>
    <w:rsid w:val="2FCA755E"/>
    <w:rsid w:val="2FCF4325"/>
    <w:rsid w:val="2FD065E6"/>
    <w:rsid w:val="2FD13178"/>
    <w:rsid w:val="2FD2687A"/>
    <w:rsid w:val="2FD361A8"/>
    <w:rsid w:val="2FD71ED7"/>
    <w:rsid w:val="2FD96870"/>
    <w:rsid w:val="2FDA5862"/>
    <w:rsid w:val="2FDD2369"/>
    <w:rsid w:val="2FE0009C"/>
    <w:rsid w:val="2FE20C3C"/>
    <w:rsid w:val="2FE8548E"/>
    <w:rsid w:val="2FE861CD"/>
    <w:rsid w:val="2FEA5603"/>
    <w:rsid w:val="2FEC2E80"/>
    <w:rsid w:val="2FEF37D6"/>
    <w:rsid w:val="2FF13BF2"/>
    <w:rsid w:val="2FF344B8"/>
    <w:rsid w:val="2FF40230"/>
    <w:rsid w:val="2FF410E3"/>
    <w:rsid w:val="2FF63FA8"/>
    <w:rsid w:val="2FF6788B"/>
    <w:rsid w:val="2FF81ACE"/>
    <w:rsid w:val="2FFD0E93"/>
    <w:rsid w:val="2FFD6994"/>
    <w:rsid w:val="2FFE1BF3"/>
    <w:rsid w:val="30021FA5"/>
    <w:rsid w:val="30030473"/>
    <w:rsid w:val="30032221"/>
    <w:rsid w:val="3005243D"/>
    <w:rsid w:val="30055F99"/>
    <w:rsid w:val="30073135"/>
    <w:rsid w:val="300E12F2"/>
    <w:rsid w:val="3015041B"/>
    <w:rsid w:val="30156CB5"/>
    <w:rsid w:val="301667AD"/>
    <w:rsid w:val="3018638D"/>
    <w:rsid w:val="301B1FE2"/>
    <w:rsid w:val="302428C3"/>
    <w:rsid w:val="302567CF"/>
    <w:rsid w:val="30297EDA"/>
    <w:rsid w:val="302B1464"/>
    <w:rsid w:val="303074BA"/>
    <w:rsid w:val="3038382E"/>
    <w:rsid w:val="303B7C0D"/>
    <w:rsid w:val="304C4712"/>
    <w:rsid w:val="304E16EE"/>
    <w:rsid w:val="30580BC9"/>
    <w:rsid w:val="3058256D"/>
    <w:rsid w:val="3062519A"/>
    <w:rsid w:val="30670A3D"/>
    <w:rsid w:val="306A2203"/>
    <w:rsid w:val="306C4840"/>
    <w:rsid w:val="30705B08"/>
    <w:rsid w:val="307A0735"/>
    <w:rsid w:val="307A3E50"/>
    <w:rsid w:val="307B1892"/>
    <w:rsid w:val="30894E1C"/>
    <w:rsid w:val="309537C1"/>
    <w:rsid w:val="3095731D"/>
    <w:rsid w:val="30973E22"/>
    <w:rsid w:val="309A110F"/>
    <w:rsid w:val="309E2DC2"/>
    <w:rsid w:val="309E4D64"/>
    <w:rsid w:val="30A529BD"/>
    <w:rsid w:val="30A75796"/>
    <w:rsid w:val="30AC28B9"/>
    <w:rsid w:val="30B63D45"/>
    <w:rsid w:val="30B74C4B"/>
    <w:rsid w:val="30C037B2"/>
    <w:rsid w:val="30C12A4E"/>
    <w:rsid w:val="30C50314"/>
    <w:rsid w:val="30C62424"/>
    <w:rsid w:val="30C65728"/>
    <w:rsid w:val="30CC7A3E"/>
    <w:rsid w:val="30CE282F"/>
    <w:rsid w:val="30D2790C"/>
    <w:rsid w:val="30D504FC"/>
    <w:rsid w:val="30D8586A"/>
    <w:rsid w:val="30DA007D"/>
    <w:rsid w:val="30DE448F"/>
    <w:rsid w:val="30E738F1"/>
    <w:rsid w:val="30EC6DAB"/>
    <w:rsid w:val="30ED29E5"/>
    <w:rsid w:val="30F027A5"/>
    <w:rsid w:val="30F04FDE"/>
    <w:rsid w:val="30F06C49"/>
    <w:rsid w:val="30F42C13"/>
    <w:rsid w:val="31012C04"/>
    <w:rsid w:val="31024A42"/>
    <w:rsid w:val="3103697D"/>
    <w:rsid w:val="31097D0B"/>
    <w:rsid w:val="31120FC6"/>
    <w:rsid w:val="31155C19"/>
    <w:rsid w:val="31174143"/>
    <w:rsid w:val="311806B4"/>
    <w:rsid w:val="311E2ED7"/>
    <w:rsid w:val="311E32E5"/>
    <w:rsid w:val="31216E03"/>
    <w:rsid w:val="3129272A"/>
    <w:rsid w:val="312A215B"/>
    <w:rsid w:val="312B1A2F"/>
    <w:rsid w:val="31332FCB"/>
    <w:rsid w:val="31344D88"/>
    <w:rsid w:val="313528AE"/>
    <w:rsid w:val="31355E50"/>
    <w:rsid w:val="3135792A"/>
    <w:rsid w:val="31362EA1"/>
    <w:rsid w:val="31365E81"/>
    <w:rsid w:val="31411253"/>
    <w:rsid w:val="314870E6"/>
    <w:rsid w:val="31490108"/>
    <w:rsid w:val="314F5556"/>
    <w:rsid w:val="31545F24"/>
    <w:rsid w:val="315619EE"/>
    <w:rsid w:val="315672A4"/>
    <w:rsid w:val="315C449C"/>
    <w:rsid w:val="3163741B"/>
    <w:rsid w:val="31653193"/>
    <w:rsid w:val="31654721"/>
    <w:rsid w:val="316C131B"/>
    <w:rsid w:val="316F4012"/>
    <w:rsid w:val="31750EFD"/>
    <w:rsid w:val="317C5DF4"/>
    <w:rsid w:val="317C672F"/>
    <w:rsid w:val="31864EB8"/>
    <w:rsid w:val="318850D4"/>
    <w:rsid w:val="318A2097"/>
    <w:rsid w:val="318D6246"/>
    <w:rsid w:val="31905D36"/>
    <w:rsid w:val="31983F05"/>
    <w:rsid w:val="319937E3"/>
    <w:rsid w:val="319B7472"/>
    <w:rsid w:val="319F0414"/>
    <w:rsid w:val="31A627B9"/>
    <w:rsid w:val="31A67308"/>
    <w:rsid w:val="31A95756"/>
    <w:rsid w:val="31B82709"/>
    <w:rsid w:val="31BC6B2B"/>
    <w:rsid w:val="31C41556"/>
    <w:rsid w:val="31C81974"/>
    <w:rsid w:val="31D05482"/>
    <w:rsid w:val="31D729AE"/>
    <w:rsid w:val="31DB3455"/>
    <w:rsid w:val="31DE6AA2"/>
    <w:rsid w:val="31E7714A"/>
    <w:rsid w:val="31E97D58"/>
    <w:rsid w:val="31EA3699"/>
    <w:rsid w:val="31EA5447"/>
    <w:rsid w:val="31F75DB5"/>
    <w:rsid w:val="31FB76EA"/>
    <w:rsid w:val="32035AEE"/>
    <w:rsid w:val="320449D6"/>
    <w:rsid w:val="3209173E"/>
    <w:rsid w:val="3221750A"/>
    <w:rsid w:val="32290665"/>
    <w:rsid w:val="322919C6"/>
    <w:rsid w:val="322A618B"/>
    <w:rsid w:val="322B19B6"/>
    <w:rsid w:val="322D5578"/>
    <w:rsid w:val="322E1966"/>
    <w:rsid w:val="323321D4"/>
    <w:rsid w:val="32376BFF"/>
    <w:rsid w:val="323E39E4"/>
    <w:rsid w:val="323F7D6C"/>
    <w:rsid w:val="32400B34"/>
    <w:rsid w:val="32523834"/>
    <w:rsid w:val="3256492F"/>
    <w:rsid w:val="3256714D"/>
    <w:rsid w:val="32591705"/>
    <w:rsid w:val="32593FDB"/>
    <w:rsid w:val="325F576F"/>
    <w:rsid w:val="32625925"/>
    <w:rsid w:val="3264169D"/>
    <w:rsid w:val="32672F3B"/>
    <w:rsid w:val="326E4C39"/>
    <w:rsid w:val="326F44D5"/>
    <w:rsid w:val="3270299B"/>
    <w:rsid w:val="3277784B"/>
    <w:rsid w:val="327A336C"/>
    <w:rsid w:val="32816B91"/>
    <w:rsid w:val="32821B23"/>
    <w:rsid w:val="32823F5C"/>
    <w:rsid w:val="32843AED"/>
    <w:rsid w:val="3284589B"/>
    <w:rsid w:val="328A404F"/>
    <w:rsid w:val="328C29A2"/>
    <w:rsid w:val="328E0A0B"/>
    <w:rsid w:val="3294008E"/>
    <w:rsid w:val="329915FC"/>
    <w:rsid w:val="32992FA8"/>
    <w:rsid w:val="329E129D"/>
    <w:rsid w:val="329E6876"/>
    <w:rsid w:val="32A41A99"/>
    <w:rsid w:val="32A70936"/>
    <w:rsid w:val="32A7158A"/>
    <w:rsid w:val="32A73338"/>
    <w:rsid w:val="32B31CDC"/>
    <w:rsid w:val="32B36180"/>
    <w:rsid w:val="32B51EF8"/>
    <w:rsid w:val="32B819E9"/>
    <w:rsid w:val="32BE4D76"/>
    <w:rsid w:val="32C043F9"/>
    <w:rsid w:val="32CA457B"/>
    <w:rsid w:val="32CB34CA"/>
    <w:rsid w:val="32CC5F12"/>
    <w:rsid w:val="32CE5FFF"/>
    <w:rsid w:val="32D165D4"/>
    <w:rsid w:val="32D72D60"/>
    <w:rsid w:val="32D85BE7"/>
    <w:rsid w:val="32E06A23"/>
    <w:rsid w:val="32E21A27"/>
    <w:rsid w:val="32E954BC"/>
    <w:rsid w:val="32ED17CB"/>
    <w:rsid w:val="32F80037"/>
    <w:rsid w:val="32F83B93"/>
    <w:rsid w:val="32FC2B89"/>
    <w:rsid w:val="33044C2E"/>
    <w:rsid w:val="3307064A"/>
    <w:rsid w:val="33114C55"/>
    <w:rsid w:val="331309CD"/>
    <w:rsid w:val="33171D0F"/>
    <w:rsid w:val="33184235"/>
    <w:rsid w:val="331D35FA"/>
    <w:rsid w:val="3321758E"/>
    <w:rsid w:val="332350B4"/>
    <w:rsid w:val="33262ACB"/>
    <w:rsid w:val="33282741"/>
    <w:rsid w:val="332D5F33"/>
    <w:rsid w:val="333015F2"/>
    <w:rsid w:val="333D3C9C"/>
    <w:rsid w:val="334306F9"/>
    <w:rsid w:val="33437504"/>
    <w:rsid w:val="3344502A"/>
    <w:rsid w:val="33460DA3"/>
    <w:rsid w:val="334B6320"/>
    <w:rsid w:val="335214F5"/>
    <w:rsid w:val="33527747"/>
    <w:rsid w:val="33541711"/>
    <w:rsid w:val="33550FE6"/>
    <w:rsid w:val="335523BF"/>
    <w:rsid w:val="335E60EC"/>
    <w:rsid w:val="337604AB"/>
    <w:rsid w:val="33784CD4"/>
    <w:rsid w:val="337A0A4C"/>
    <w:rsid w:val="337E053C"/>
    <w:rsid w:val="338261D0"/>
    <w:rsid w:val="339733AC"/>
    <w:rsid w:val="339A10EE"/>
    <w:rsid w:val="339A2E9C"/>
    <w:rsid w:val="33A822BD"/>
    <w:rsid w:val="33AF7CF4"/>
    <w:rsid w:val="33B67591"/>
    <w:rsid w:val="33B95A18"/>
    <w:rsid w:val="33BD5853"/>
    <w:rsid w:val="33C94503"/>
    <w:rsid w:val="33CA1C67"/>
    <w:rsid w:val="33D13793"/>
    <w:rsid w:val="33D4727F"/>
    <w:rsid w:val="33D53ED4"/>
    <w:rsid w:val="33D934D4"/>
    <w:rsid w:val="33D939C5"/>
    <w:rsid w:val="33DC579D"/>
    <w:rsid w:val="33E365F1"/>
    <w:rsid w:val="33E56ED0"/>
    <w:rsid w:val="33EF143A"/>
    <w:rsid w:val="33F14D68"/>
    <w:rsid w:val="33FD3B57"/>
    <w:rsid w:val="33FE2F6A"/>
    <w:rsid w:val="3402159B"/>
    <w:rsid w:val="34052A0C"/>
    <w:rsid w:val="34060480"/>
    <w:rsid w:val="340E07E5"/>
    <w:rsid w:val="34104E2B"/>
    <w:rsid w:val="341309EE"/>
    <w:rsid w:val="341B222F"/>
    <w:rsid w:val="341B3600"/>
    <w:rsid w:val="341C58CD"/>
    <w:rsid w:val="341E6D68"/>
    <w:rsid w:val="34235BF7"/>
    <w:rsid w:val="342A06C4"/>
    <w:rsid w:val="342F7A89"/>
    <w:rsid w:val="34316819"/>
    <w:rsid w:val="34351D28"/>
    <w:rsid w:val="34363439"/>
    <w:rsid w:val="34394463"/>
    <w:rsid w:val="343B743F"/>
    <w:rsid w:val="343C3F54"/>
    <w:rsid w:val="343C51F1"/>
    <w:rsid w:val="343D79F4"/>
    <w:rsid w:val="34402FAA"/>
    <w:rsid w:val="344352E2"/>
    <w:rsid w:val="344F5D41"/>
    <w:rsid w:val="34501C29"/>
    <w:rsid w:val="34525525"/>
    <w:rsid w:val="34565A32"/>
    <w:rsid w:val="345C2BF0"/>
    <w:rsid w:val="346314E0"/>
    <w:rsid w:val="34637732"/>
    <w:rsid w:val="34645984"/>
    <w:rsid w:val="347003C1"/>
    <w:rsid w:val="347100A1"/>
    <w:rsid w:val="34763909"/>
    <w:rsid w:val="34824099"/>
    <w:rsid w:val="34847DD4"/>
    <w:rsid w:val="34853B4C"/>
    <w:rsid w:val="348778C5"/>
    <w:rsid w:val="348B19B4"/>
    <w:rsid w:val="348E75BB"/>
    <w:rsid w:val="3492160D"/>
    <w:rsid w:val="34974D69"/>
    <w:rsid w:val="349E076A"/>
    <w:rsid w:val="349F5B4A"/>
    <w:rsid w:val="34A246FE"/>
    <w:rsid w:val="34AA710F"/>
    <w:rsid w:val="34AE07F8"/>
    <w:rsid w:val="34B65AB4"/>
    <w:rsid w:val="34C5283E"/>
    <w:rsid w:val="34C86F04"/>
    <w:rsid w:val="34D16D92"/>
    <w:rsid w:val="34D27A8F"/>
    <w:rsid w:val="34E16FD5"/>
    <w:rsid w:val="34E95170"/>
    <w:rsid w:val="34E97CCD"/>
    <w:rsid w:val="34EC778B"/>
    <w:rsid w:val="34EE524E"/>
    <w:rsid w:val="34FF407A"/>
    <w:rsid w:val="35026356"/>
    <w:rsid w:val="35045FCF"/>
    <w:rsid w:val="350619E7"/>
    <w:rsid w:val="350D0BF8"/>
    <w:rsid w:val="35134CB4"/>
    <w:rsid w:val="35150A2C"/>
    <w:rsid w:val="351740B4"/>
    <w:rsid w:val="35181A32"/>
    <w:rsid w:val="351F3659"/>
    <w:rsid w:val="35226463"/>
    <w:rsid w:val="35282378"/>
    <w:rsid w:val="352937C2"/>
    <w:rsid w:val="35307CB9"/>
    <w:rsid w:val="35325A82"/>
    <w:rsid w:val="35330497"/>
    <w:rsid w:val="353A4909"/>
    <w:rsid w:val="35424E24"/>
    <w:rsid w:val="35472BAD"/>
    <w:rsid w:val="354759FC"/>
    <w:rsid w:val="354C01C6"/>
    <w:rsid w:val="354D1D3C"/>
    <w:rsid w:val="354D51B9"/>
    <w:rsid w:val="355D23D3"/>
    <w:rsid w:val="3567456B"/>
    <w:rsid w:val="3569468E"/>
    <w:rsid w:val="356D78C0"/>
    <w:rsid w:val="356E413E"/>
    <w:rsid w:val="35713677"/>
    <w:rsid w:val="35754A3A"/>
    <w:rsid w:val="357943F0"/>
    <w:rsid w:val="35861574"/>
    <w:rsid w:val="358A61BE"/>
    <w:rsid w:val="358B0B6D"/>
    <w:rsid w:val="358C5FA8"/>
    <w:rsid w:val="35904557"/>
    <w:rsid w:val="35917EEB"/>
    <w:rsid w:val="35A40B0C"/>
    <w:rsid w:val="35AF0E81"/>
    <w:rsid w:val="35B00755"/>
    <w:rsid w:val="35B2285C"/>
    <w:rsid w:val="35B91D00"/>
    <w:rsid w:val="35BA2C12"/>
    <w:rsid w:val="35C15DF1"/>
    <w:rsid w:val="35C6367B"/>
    <w:rsid w:val="35CA5CBB"/>
    <w:rsid w:val="35CC1533"/>
    <w:rsid w:val="35CE76E9"/>
    <w:rsid w:val="35CF507F"/>
    <w:rsid w:val="35D1737C"/>
    <w:rsid w:val="35D208A2"/>
    <w:rsid w:val="35D22DC1"/>
    <w:rsid w:val="35D408E8"/>
    <w:rsid w:val="35E13B46"/>
    <w:rsid w:val="35E46651"/>
    <w:rsid w:val="35E548A3"/>
    <w:rsid w:val="35F40B39"/>
    <w:rsid w:val="35F40F8A"/>
    <w:rsid w:val="36074A7F"/>
    <w:rsid w:val="3608233F"/>
    <w:rsid w:val="360A4DCA"/>
    <w:rsid w:val="36154BBE"/>
    <w:rsid w:val="3619454C"/>
    <w:rsid w:val="361F5151"/>
    <w:rsid w:val="362178A5"/>
    <w:rsid w:val="3623361D"/>
    <w:rsid w:val="36310FEF"/>
    <w:rsid w:val="363650FE"/>
    <w:rsid w:val="363729AE"/>
    <w:rsid w:val="363B10BB"/>
    <w:rsid w:val="36473EC1"/>
    <w:rsid w:val="364E1D7F"/>
    <w:rsid w:val="365417B6"/>
    <w:rsid w:val="365871D8"/>
    <w:rsid w:val="36592B9B"/>
    <w:rsid w:val="365F32F3"/>
    <w:rsid w:val="36685822"/>
    <w:rsid w:val="366E2AEA"/>
    <w:rsid w:val="36745C27"/>
    <w:rsid w:val="36767BF1"/>
    <w:rsid w:val="36791F96"/>
    <w:rsid w:val="36834A48"/>
    <w:rsid w:val="368C6CEE"/>
    <w:rsid w:val="368D0A96"/>
    <w:rsid w:val="368F0E24"/>
    <w:rsid w:val="36917361"/>
    <w:rsid w:val="36923549"/>
    <w:rsid w:val="36950051"/>
    <w:rsid w:val="369D6F2B"/>
    <w:rsid w:val="36A20B88"/>
    <w:rsid w:val="36A44F75"/>
    <w:rsid w:val="36AF6C5F"/>
    <w:rsid w:val="36B75FBF"/>
    <w:rsid w:val="36BD0C45"/>
    <w:rsid w:val="36BD75CE"/>
    <w:rsid w:val="36BE21E4"/>
    <w:rsid w:val="36D87828"/>
    <w:rsid w:val="36DD1A1E"/>
    <w:rsid w:val="36E752B1"/>
    <w:rsid w:val="36E83343"/>
    <w:rsid w:val="36F7137D"/>
    <w:rsid w:val="36FB6BF2"/>
    <w:rsid w:val="37023232"/>
    <w:rsid w:val="370F1A65"/>
    <w:rsid w:val="37155B02"/>
    <w:rsid w:val="3715740A"/>
    <w:rsid w:val="37160A8C"/>
    <w:rsid w:val="371708EF"/>
    <w:rsid w:val="3717616C"/>
    <w:rsid w:val="371A5A1D"/>
    <w:rsid w:val="371C2AA8"/>
    <w:rsid w:val="371D37D3"/>
    <w:rsid w:val="37223181"/>
    <w:rsid w:val="372238D5"/>
    <w:rsid w:val="37294C63"/>
    <w:rsid w:val="372B39BF"/>
    <w:rsid w:val="372C03D7"/>
    <w:rsid w:val="372E04CB"/>
    <w:rsid w:val="37337890"/>
    <w:rsid w:val="37384EA6"/>
    <w:rsid w:val="373D3165"/>
    <w:rsid w:val="373F6235"/>
    <w:rsid w:val="37410504"/>
    <w:rsid w:val="374920E7"/>
    <w:rsid w:val="374B1176"/>
    <w:rsid w:val="374B4D11"/>
    <w:rsid w:val="37523158"/>
    <w:rsid w:val="3755562B"/>
    <w:rsid w:val="375717D0"/>
    <w:rsid w:val="375A6BCB"/>
    <w:rsid w:val="375F7C0F"/>
    <w:rsid w:val="376161AB"/>
    <w:rsid w:val="37691503"/>
    <w:rsid w:val="376E7C6D"/>
    <w:rsid w:val="37712166"/>
    <w:rsid w:val="377573F3"/>
    <w:rsid w:val="37860176"/>
    <w:rsid w:val="378E2D18"/>
    <w:rsid w:val="379D15D1"/>
    <w:rsid w:val="37A33238"/>
    <w:rsid w:val="37A442EA"/>
    <w:rsid w:val="37A75B88"/>
    <w:rsid w:val="37AD7398"/>
    <w:rsid w:val="37AF776C"/>
    <w:rsid w:val="37B22EAA"/>
    <w:rsid w:val="37B235F0"/>
    <w:rsid w:val="37B85195"/>
    <w:rsid w:val="37C86710"/>
    <w:rsid w:val="37CB7AC8"/>
    <w:rsid w:val="37CC393A"/>
    <w:rsid w:val="37D01583"/>
    <w:rsid w:val="37D44BCF"/>
    <w:rsid w:val="37D715D0"/>
    <w:rsid w:val="37D72911"/>
    <w:rsid w:val="37D90437"/>
    <w:rsid w:val="37D95FAB"/>
    <w:rsid w:val="37DA39D0"/>
    <w:rsid w:val="37E00298"/>
    <w:rsid w:val="37E1109A"/>
    <w:rsid w:val="37E172EC"/>
    <w:rsid w:val="37EA2378"/>
    <w:rsid w:val="37EB6F48"/>
    <w:rsid w:val="37ED7A3F"/>
    <w:rsid w:val="37F54B45"/>
    <w:rsid w:val="37FA03AE"/>
    <w:rsid w:val="380354B4"/>
    <w:rsid w:val="38044D88"/>
    <w:rsid w:val="380B2A71"/>
    <w:rsid w:val="380F5C07"/>
    <w:rsid w:val="38177737"/>
    <w:rsid w:val="38194F5D"/>
    <w:rsid w:val="3821593A"/>
    <w:rsid w:val="382673F4"/>
    <w:rsid w:val="3828316D"/>
    <w:rsid w:val="382B0F4D"/>
    <w:rsid w:val="382F5543"/>
    <w:rsid w:val="38312021"/>
    <w:rsid w:val="383176CB"/>
    <w:rsid w:val="383220CC"/>
    <w:rsid w:val="3839579F"/>
    <w:rsid w:val="383979C1"/>
    <w:rsid w:val="38412978"/>
    <w:rsid w:val="38415FDC"/>
    <w:rsid w:val="38422268"/>
    <w:rsid w:val="38426BDF"/>
    <w:rsid w:val="38464CE3"/>
    <w:rsid w:val="3848736B"/>
    <w:rsid w:val="384A4E91"/>
    <w:rsid w:val="38596598"/>
    <w:rsid w:val="385C5171"/>
    <w:rsid w:val="38602906"/>
    <w:rsid w:val="38613F89"/>
    <w:rsid w:val="38663962"/>
    <w:rsid w:val="38775871"/>
    <w:rsid w:val="387B504A"/>
    <w:rsid w:val="387B7A80"/>
    <w:rsid w:val="38871C41"/>
    <w:rsid w:val="38873364"/>
    <w:rsid w:val="388A7983"/>
    <w:rsid w:val="388E17B6"/>
    <w:rsid w:val="38926838"/>
    <w:rsid w:val="38947F78"/>
    <w:rsid w:val="38976F91"/>
    <w:rsid w:val="389F4B99"/>
    <w:rsid w:val="38A02D03"/>
    <w:rsid w:val="38A6428B"/>
    <w:rsid w:val="38A74091"/>
    <w:rsid w:val="38A94F39"/>
    <w:rsid w:val="38B302F9"/>
    <w:rsid w:val="38B642D4"/>
    <w:rsid w:val="38C31014"/>
    <w:rsid w:val="38C316CD"/>
    <w:rsid w:val="38CD6618"/>
    <w:rsid w:val="38D058A2"/>
    <w:rsid w:val="38D17360"/>
    <w:rsid w:val="38D24458"/>
    <w:rsid w:val="38E16829"/>
    <w:rsid w:val="38E1756D"/>
    <w:rsid w:val="38E21652"/>
    <w:rsid w:val="38E52E0C"/>
    <w:rsid w:val="38E56968"/>
    <w:rsid w:val="38F12CD3"/>
    <w:rsid w:val="38F94775"/>
    <w:rsid w:val="39017B56"/>
    <w:rsid w:val="390D5245"/>
    <w:rsid w:val="390D68A8"/>
    <w:rsid w:val="3911678C"/>
    <w:rsid w:val="39191359"/>
    <w:rsid w:val="391D4354"/>
    <w:rsid w:val="3925145A"/>
    <w:rsid w:val="39261FCD"/>
    <w:rsid w:val="3929628C"/>
    <w:rsid w:val="392971ED"/>
    <w:rsid w:val="392E47B3"/>
    <w:rsid w:val="392F4087"/>
    <w:rsid w:val="39325651"/>
    <w:rsid w:val="39331DC9"/>
    <w:rsid w:val="39334084"/>
    <w:rsid w:val="39365415"/>
    <w:rsid w:val="393C7797"/>
    <w:rsid w:val="393D67A4"/>
    <w:rsid w:val="394713D0"/>
    <w:rsid w:val="394C46CD"/>
    <w:rsid w:val="394C4C39"/>
    <w:rsid w:val="394D416D"/>
    <w:rsid w:val="39554A52"/>
    <w:rsid w:val="395B14CA"/>
    <w:rsid w:val="397559C9"/>
    <w:rsid w:val="397765B7"/>
    <w:rsid w:val="397A13EA"/>
    <w:rsid w:val="397D6299"/>
    <w:rsid w:val="397E158A"/>
    <w:rsid w:val="39826EFA"/>
    <w:rsid w:val="398975A9"/>
    <w:rsid w:val="399563D5"/>
    <w:rsid w:val="399D335F"/>
    <w:rsid w:val="39A45512"/>
    <w:rsid w:val="39A90978"/>
    <w:rsid w:val="39AB5653"/>
    <w:rsid w:val="39B03E0C"/>
    <w:rsid w:val="39B65642"/>
    <w:rsid w:val="39B76556"/>
    <w:rsid w:val="39B822CE"/>
    <w:rsid w:val="39C11183"/>
    <w:rsid w:val="39C8662E"/>
    <w:rsid w:val="39DF785B"/>
    <w:rsid w:val="39E00BAE"/>
    <w:rsid w:val="39E15381"/>
    <w:rsid w:val="39EB7DE0"/>
    <w:rsid w:val="39ED4E59"/>
    <w:rsid w:val="39F257E0"/>
    <w:rsid w:val="39F53952"/>
    <w:rsid w:val="39F54294"/>
    <w:rsid w:val="39F5707E"/>
    <w:rsid w:val="39F7019B"/>
    <w:rsid w:val="39FE23D7"/>
    <w:rsid w:val="3A086337"/>
    <w:rsid w:val="3A0B0650"/>
    <w:rsid w:val="3A0D43C8"/>
    <w:rsid w:val="3A116D63"/>
    <w:rsid w:val="3A12378C"/>
    <w:rsid w:val="3A1250E5"/>
    <w:rsid w:val="3A156F3C"/>
    <w:rsid w:val="3A196CAD"/>
    <w:rsid w:val="3A1E65D5"/>
    <w:rsid w:val="3A2A102D"/>
    <w:rsid w:val="3A2C253F"/>
    <w:rsid w:val="3A2C4FAA"/>
    <w:rsid w:val="3A3000B7"/>
    <w:rsid w:val="3A304F3B"/>
    <w:rsid w:val="3A322081"/>
    <w:rsid w:val="3A350A81"/>
    <w:rsid w:val="3A371445"/>
    <w:rsid w:val="3A401E02"/>
    <w:rsid w:val="3A402629"/>
    <w:rsid w:val="3A4122C4"/>
    <w:rsid w:val="3A472E46"/>
    <w:rsid w:val="3A55661E"/>
    <w:rsid w:val="3A56076B"/>
    <w:rsid w:val="3A563FC1"/>
    <w:rsid w:val="3A575643"/>
    <w:rsid w:val="3A5E7B73"/>
    <w:rsid w:val="3A60099C"/>
    <w:rsid w:val="3A6164C2"/>
    <w:rsid w:val="3A683CF4"/>
    <w:rsid w:val="3A775CE5"/>
    <w:rsid w:val="3A777A93"/>
    <w:rsid w:val="3A78624B"/>
    <w:rsid w:val="3A78746E"/>
    <w:rsid w:val="3A7E52C6"/>
    <w:rsid w:val="3A7F0825"/>
    <w:rsid w:val="3A836438"/>
    <w:rsid w:val="3A872856"/>
    <w:rsid w:val="3A8908EA"/>
    <w:rsid w:val="3A8E05E0"/>
    <w:rsid w:val="3A8F1281"/>
    <w:rsid w:val="3A902944"/>
    <w:rsid w:val="3A970136"/>
    <w:rsid w:val="3A976388"/>
    <w:rsid w:val="3A9B19D4"/>
    <w:rsid w:val="3AA12D62"/>
    <w:rsid w:val="3AA35985"/>
    <w:rsid w:val="3AAB5C37"/>
    <w:rsid w:val="3AB331C1"/>
    <w:rsid w:val="3ACF7138"/>
    <w:rsid w:val="3AD41DD8"/>
    <w:rsid w:val="3ADB61B4"/>
    <w:rsid w:val="3AE6483A"/>
    <w:rsid w:val="3AF05A68"/>
    <w:rsid w:val="3AF84E8C"/>
    <w:rsid w:val="3AF86F17"/>
    <w:rsid w:val="3B016DEF"/>
    <w:rsid w:val="3B0357CB"/>
    <w:rsid w:val="3B047888"/>
    <w:rsid w:val="3B057B84"/>
    <w:rsid w:val="3B091033"/>
    <w:rsid w:val="3B0E664A"/>
    <w:rsid w:val="3B1A3241"/>
    <w:rsid w:val="3B1D4ADF"/>
    <w:rsid w:val="3B247C1B"/>
    <w:rsid w:val="3B2C7653"/>
    <w:rsid w:val="3B2D5B75"/>
    <w:rsid w:val="3B2F3D42"/>
    <w:rsid w:val="3B2F65C0"/>
    <w:rsid w:val="3B351E28"/>
    <w:rsid w:val="3B3763D1"/>
    <w:rsid w:val="3B3764FE"/>
    <w:rsid w:val="3B3C6CB5"/>
    <w:rsid w:val="3B455DE4"/>
    <w:rsid w:val="3B4A51A8"/>
    <w:rsid w:val="3B5D2B7A"/>
    <w:rsid w:val="3B6444BC"/>
    <w:rsid w:val="3B675D5A"/>
    <w:rsid w:val="3B6958B6"/>
    <w:rsid w:val="3B6D1507"/>
    <w:rsid w:val="3B6D2489"/>
    <w:rsid w:val="3B7010B2"/>
    <w:rsid w:val="3B75441F"/>
    <w:rsid w:val="3B7C13C3"/>
    <w:rsid w:val="3B7F12F6"/>
    <w:rsid w:val="3B844B5E"/>
    <w:rsid w:val="3BA316CA"/>
    <w:rsid w:val="3BA373A8"/>
    <w:rsid w:val="3BAB4095"/>
    <w:rsid w:val="3BB16FD5"/>
    <w:rsid w:val="3BB20F3E"/>
    <w:rsid w:val="3BBA40DC"/>
    <w:rsid w:val="3BBF16F2"/>
    <w:rsid w:val="3BC74B4E"/>
    <w:rsid w:val="3BD57167"/>
    <w:rsid w:val="3BDF7FE6"/>
    <w:rsid w:val="3BE63123"/>
    <w:rsid w:val="3BEB24E7"/>
    <w:rsid w:val="3BEE2461"/>
    <w:rsid w:val="3BF03FA1"/>
    <w:rsid w:val="3BFB766D"/>
    <w:rsid w:val="3C011D0B"/>
    <w:rsid w:val="3C090BBF"/>
    <w:rsid w:val="3C137C90"/>
    <w:rsid w:val="3C1743E1"/>
    <w:rsid w:val="3C1A3A42"/>
    <w:rsid w:val="3C1A77FC"/>
    <w:rsid w:val="3C233CF4"/>
    <w:rsid w:val="3C236125"/>
    <w:rsid w:val="3C264311"/>
    <w:rsid w:val="3C2F4ACA"/>
    <w:rsid w:val="3C2F6E1E"/>
    <w:rsid w:val="3C362A2B"/>
    <w:rsid w:val="3C3F5C9A"/>
    <w:rsid w:val="3C4C4616"/>
    <w:rsid w:val="3C4E2A76"/>
    <w:rsid w:val="3C4F64BA"/>
    <w:rsid w:val="3C555670"/>
    <w:rsid w:val="3C5563D8"/>
    <w:rsid w:val="3C5739F9"/>
    <w:rsid w:val="3C5A58BF"/>
    <w:rsid w:val="3C5F0D24"/>
    <w:rsid w:val="3C5F5560"/>
    <w:rsid w:val="3C696521"/>
    <w:rsid w:val="3C6978B0"/>
    <w:rsid w:val="3C6E1292"/>
    <w:rsid w:val="3C731D4A"/>
    <w:rsid w:val="3C743A5E"/>
    <w:rsid w:val="3C797AF3"/>
    <w:rsid w:val="3C7A50A2"/>
    <w:rsid w:val="3C7E15AD"/>
    <w:rsid w:val="3C7F697F"/>
    <w:rsid w:val="3C814BF9"/>
    <w:rsid w:val="3C830972"/>
    <w:rsid w:val="3C862210"/>
    <w:rsid w:val="3C8841DA"/>
    <w:rsid w:val="3C8D359E"/>
    <w:rsid w:val="3C926F85"/>
    <w:rsid w:val="3C9963E7"/>
    <w:rsid w:val="3CA32DC2"/>
    <w:rsid w:val="3CA33487"/>
    <w:rsid w:val="3CA7412E"/>
    <w:rsid w:val="3CA803D8"/>
    <w:rsid w:val="3CA91510"/>
    <w:rsid w:val="3CAA450F"/>
    <w:rsid w:val="3CAF1767"/>
    <w:rsid w:val="3CAF3349"/>
    <w:rsid w:val="3CC12D47"/>
    <w:rsid w:val="3CC86CCC"/>
    <w:rsid w:val="3CCE6E7F"/>
    <w:rsid w:val="3CCF2B47"/>
    <w:rsid w:val="3CD236A7"/>
    <w:rsid w:val="3CD45671"/>
    <w:rsid w:val="3CDA245A"/>
    <w:rsid w:val="3CDE029E"/>
    <w:rsid w:val="3CDF22CA"/>
    <w:rsid w:val="3CE03683"/>
    <w:rsid w:val="3CE5162C"/>
    <w:rsid w:val="3CE820FA"/>
    <w:rsid w:val="3CE84C78"/>
    <w:rsid w:val="3CED18D5"/>
    <w:rsid w:val="3CEF3C6C"/>
    <w:rsid w:val="3CF4186F"/>
    <w:rsid w:val="3CFB49AC"/>
    <w:rsid w:val="3D00593F"/>
    <w:rsid w:val="3D0D21BA"/>
    <w:rsid w:val="3D0D245E"/>
    <w:rsid w:val="3D111649"/>
    <w:rsid w:val="3D117D43"/>
    <w:rsid w:val="3D145A6E"/>
    <w:rsid w:val="3D151AD9"/>
    <w:rsid w:val="3D1837B0"/>
    <w:rsid w:val="3D1B1963"/>
    <w:rsid w:val="3D1B5611"/>
    <w:rsid w:val="3D1E06B7"/>
    <w:rsid w:val="3D2739F3"/>
    <w:rsid w:val="3D2B0342"/>
    <w:rsid w:val="3D3659E4"/>
    <w:rsid w:val="3D3A1978"/>
    <w:rsid w:val="3D42082D"/>
    <w:rsid w:val="3D440617"/>
    <w:rsid w:val="3D474095"/>
    <w:rsid w:val="3D481EE7"/>
    <w:rsid w:val="3D4A148F"/>
    <w:rsid w:val="3D4B1F07"/>
    <w:rsid w:val="3D4C1387"/>
    <w:rsid w:val="3D4C5207"/>
    <w:rsid w:val="3D516CC2"/>
    <w:rsid w:val="3D5433E9"/>
    <w:rsid w:val="3D56667D"/>
    <w:rsid w:val="3D5D18FD"/>
    <w:rsid w:val="3D5E05AD"/>
    <w:rsid w:val="3D6700B4"/>
    <w:rsid w:val="3D6E288F"/>
    <w:rsid w:val="3D712EC0"/>
    <w:rsid w:val="3D786C7F"/>
    <w:rsid w:val="3D79678C"/>
    <w:rsid w:val="3D7E4729"/>
    <w:rsid w:val="3D804EB1"/>
    <w:rsid w:val="3D874491"/>
    <w:rsid w:val="3D8C1E02"/>
    <w:rsid w:val="3D8E5820"/>
    <w:rsid w:val="3D8F0A2E"/>
    <w:rsid w:val="3D9F5C7F"/>
    <w:rsid w:val="3DA1638A"/>
    <w:rsid w:val="3DB86D41"/>
    <w:rsid w:val="3DC92CFC"/>
    <w:rsid w:val="3DD455A6"/>
    <w:rsid w:val="3DD5344F"/>
    <w:rsid w:val="3DD75904"/>
    <w:rsid w:val="3DDF7E2A"/>
    <w:rsid w:val="3DE045D2"/>
    <w:rsid w:val="3DE511B8"/>
    <w:rsid w:val="3DED3075"/>
    <w:rsid w:val="3DF31B27"/>
    <w:rsid w:val="3DF5764D"/>
    <w:rsid w:val="3DF77869"/>
    <w:rsid w:val="3DFC5718"/>
    <w:rsid w:val="3DFD2C80"/>
    <w:rsid w:val="3E02477A"/>
    <w:rsid w:val="3E0930F8"/>
    <w:rsid w:val="3E0D3F8D"/>
    <w:rsid w:val="3E0F1B03"/>
    <w:rsid w:val="3E1026D9"/>
    <w:rsid w:val="3E104487"/>
    <w:rsid w:val="3E126451"/>
    <w:rsid w:val="3E1321C9"/>
    <w:rsid w:val="3E21079E"/>
    <w:rsid w:val="3E246184"/>
    <w:rsid w:val="3E265A58"/>
    <w:rsid w:val="3E2C00BA"/>
    <w:rsid w:val="3E2D67B9"/>
    <w:rsid w:val="3E314431"/>
    <w:rsid w:val="3E391C70"/>
    <w:rsid w:val="3E3A007E"/>
    <w:rsid w:val="3E43485C"/>
    <w:rsid w:val="3E4B59AA"/>
    <w:rsid w:val="3E5177F4"/>
    <w:rsid w:val="3E53385A"/>
    <w:rsid w:val="3E5650B0"/>
    <w:rsid w:val="3E5D374B"/>
    <w:rsid w:val="3E603641"/>
    <w:rsid w:val="3E621A3F"/>
    <w:rsid w:val="3E6622F9"/>
    <w:rsid w:val="3E68636E"/>
    <w:rsid w:val="3E7A3FF6"/>
    <w:rsid w:val="3E7B2139"/>
    <w:rsid w:val="3E815973"/>
    <w:rsid w:val="3E817133"/>
    <w:rsid w:val="3E821AC2"/>
    <w:rsid w:val="3E8B4C83"/>
    <w:rsid w:val="3E907DE5"/>
    <w:rsid w:val="3E94634F"/>
    <w:rsid w:val="3E95498C"/>
    <w:rsid w:val="3EA6303D"/>
    <w:rsid w:val="3EAB45EF"/>
    <w:rsid w:val="3EB2080F"/>
    <w:rsid w:val="3EBB0897"/>
    <w:rsid w:val="3EBD52C2"/>
    <w:rsid w:val="3EC314F9"/>
    <w:rsid w:val="3EC3693C"/>
    <w:rsid w:val="3EC3774B"/>
    <w:rsid w:val="3EC551B7"/>
    <w:rsid w:val="3EC95A9A"/>
    <w:rsid w:val="3ECF60F0"/>
    <w:rsid w:val="3ED43706"/>
    <w:rsid w:val="3ED656D0"/>
    <w:rsid w:val="3ED7217B"/>
    <w:rsid w:val="3ED92ACB"/>
    <w:rsid w:val="3EDA0523"/>
    <w:rsid w:val="3EDA2307"/>
    <w:rsid w:val="3EDC080D"/>
    <w:rsid w:val="3EDC6A5F"/>
    <w:rsid w:val="3EDE0026"/>
    <w:rsid w:val="3EE33949"/>
    <w:rsid w:val="3EE52934"/>
    <w:rsid w:val="3EE96639"/>
    <w:rsid w:val="3EEB0342"/>
    <w:rsid w:val="3EED2A1A"/>
    <w:rsid w:val="3EF13AC8"/>
    <w:rsid w:val="3EF664D2"/>
    <w:rsid w:val="3EF864CB"/>
    <w:rsid w:val="3EF93913"/>
    <w:rsid w:val="3EFD0834"/>
    <w:rsid w:val="3F035ED5"/>
    <w:rsid w:val="3F037355"/>
    <w:rsid w:val="3F037549"/>
    <w:rsid w:val="3F051B12"/>
    <w:rsid w:val="3F0607D0"/>
    <w:rsid w:val="3F0D4805"/>
    <w:rsid w:val="3F243902"/>
    <w:rsid w:val="3F254B77"/>
    <w:rsid w:val="3F283A52"/>
    <w:rsid w:val="3F2F6B8F"/>
    <w:rsid w:val="3F302CD7"/>
    <w:rsid w:val="3F32667F"/>
    <w:rsid w:val="3F337909"/>
    <w:rsid w:val="3F3423F7"/>
    <w:rsid w:val="3F402B4A"/>
    <w:rsid w:val="3F4168C2"/>
    <w:rsid w:val="3F450160"/>
    <w:rsid w:val="3F4553C3"/>
    <w:rsid w:val="3F47212A"/>
    <w:rsid w:val="3F49590A"/>
    <w:rsid w:val="3F5622D4"/>
    <w:rsid w:val="3F56236D"/>
    <w:rsid w:val="3F5C4395"/>
    <w:rsid w:val="3F5D7954"/>
    <w:rsid w:val="3F6C5190"/>
    <w:rsid w:val="3F6C7DE3"/>
    <w:rsid w:val="3F6D0A65"/>
    <w:rsid w:val="3F6D7B82"/>
    <w:rsid w:val="3F6E5909"/>
    <w:rsid w:val="3F785466"/>
    <w:rsid w:val="3F7B0026"/>
    <w:rsid w:val="3F7B233C"/>
    <w:rsid w:val="3F8C3C47"/>
    <w:rsid w:val="3F8C5D8F"/>
    <w:rsid w:val="3F8F5948"/>
    <w:rsid w:val="3F915656"/>
    <w:rsid w:val="3F9A4CD2"/>
    <w:rsid w:val="3F9F1F66"/>
    <w:rsid w:val="3FA04EB3"/>
    <w:rsid w:val="3FA73C06"/>
    <w:rsid w:val="3FAA08FB"/>
    <w:rsid w:val="3FB3156E"/>
    <w:rsid w:val="3FBB6674"/>
    <w:rsid w:val="3FBE68D2"/>
    <w:rsid w:val="3FC026D6"/>
    <w:rsid w:val="3FCC262F"/>
    <w:rsid w:val="3FCE45FA"/>
    <w:rsid w:val="3FD1082F"/>
    <w:rsid w:val="3FDA3061"/>
    <w:rsid w:val="3FE07E89"/>
    <w:rsid w:val="3FE710DA"/>
    <w:rsid w:val="3FE8335F"/>
    <w:rsid w:val="3FF13FC9"/>
    <w:rsid w:val="3FF37A93"/>
    <w:rsid w:val="3FF51DF8"/>
    <w:rsid w:val="3FFB2F15"/>
    <w:rsid w:val="3FFD0A3B"/>
    <w:rsid w:val="3FFD7F6E"/>
    <w:rsid w:val="400224F5"/>
    <w:rsid w:val="40061FE5"/>
    <w:rsid w:val="400B3158"/>
    <w:rsid w:val="400B3A02"/>
    <w:rsid w:val="400B75FC"/>
    <w:rsid w:val="400D26CA"/>
    <w:rsid w:val="4013025E"/>
    <w:rsid w:val="401831EE"/>
    <w:rsid w:val="40183AC7"/>
    <w:rsid w:val="401A1DA2"/>
    <w:rsid w:val="402204A1"/>
    <w:rsid w:val="40254F7A"/>
    <w:rsid w:val="402C05DF"/>
    <w:rsid w:val="40316936"/>
    <w:rsid w:val="403501D5"/>
    <w:rsid w:val="4037219F"/>
    <w:rsid w:val="40406F25"/>
    <w:rsid w:val="40474002"/>
    <w:rsid w:val="40487655"/>
    <w:rsid w:val="404E006A"/>
    <w:rsid w:val="405368AD"/>
    <w:rsid w:val="405729F4"/>
    <w:rsid w:val="405C41EF"/>
    <w:rsid w:val="405F16F6"/>
    <w:rsid w:val="406665E0"/>
    <w:rsid w:val="406C2E26"/>
    <w:rsid w:val="40735C32"/>
    <w:rsid w:val="40736F4F"/>
    <w:rsid w:val="407A6407"/>
    <w:rsid w:val="407A652F"/>
    <w:rsid w:val="407E6CF4"/>
    <w:rsid w:val="407F58F4"/>
    <w:rsid w:val="40827C4B"/>
    <w:rsid w:val="40844CB8"/>
    <w:rsid w:val="40864ED4"/>
    <w:rsid w:val="408D1166"/>
    <w:rsid w:val="408D1DBF"/>
    <w:rsid w:val="408E6FA1"/>
    <w:rsid w:val="409D1F9F"/>
    <w:rsid w:val="409E3FCC"/>
    <w:rsid w:val="40A35A86"/>
    <w:rsid w:val="40A70071"/>
    <w:rsid w:val="40AB3370"/>
    <w:rsid w:val="40B62C30"/>
    <w:rsid w:val="40BA692C"/>
    <w:rsid w:val="40C559FD"/>
    <w:rsid w:val="40D63E3C"/>
    <w:rsid w:val="40D73166"/>
    <w:rsid w:val="40DB5220"/>
    <w:rsid w:val="40DE1EB1"/>
    <w:rsid w:val="40E02836"/>
    <w:rsid w:val="40E34D37"/>
    <w:rsid w:val="40EC63FC"/>
    <w:rsid w:val="40F22CA0"/>
    <w:rsid w:val="40F77B80"/>
    <w:rsid w:val="40F81A19"/>
    <w:rsid w:val="40F9092A"/>
    <w:rsid w:val="40F97B2A"/>
    <w:rsid w:val="40FB247D"/>
    <w:rsid w:val="40FC36D5"/>
    <w:rsid w:val="410D6258"/>
    <w:rsid w:val="410E2AFB"/>
    <w:rsid w:val="41140732"/>
    <w:rsid w:val="411638C4"/>
    <w:rsid w:val="4117217C"/>
    <w:rsid w:val="41195A47"/>
    <w:rsid w:val="411C75E7"/>
    <w:rsid w:val="41200E85"/>
    <w:rsid w:val="41285F8B"/>
    <w:rsid w:val="412A3AB2"/>
    <w:rsid w:val="4133795F"/>
    <w:rsid w:val="413B5CBF"/>
    <w:rsid w:val="413D6362"/>
    <w:rsid w:val="4142704D"/>
    <w:rsid w:val="414447B0"/>
    <w:rsid w:val="414C0398"/>
    <w:rsid w:val="414F176A"/>
    <w:rsid w:val="415A3DE3"/>
    <w:rsid w:val="4162149D"/>
    <w:rsid w:val="416C4DDA"/>
    <w:rsid w:val="41702104"/>
    <w:rsid w:val="41721F57"/>
    <w:rsid w:val="41765884"/>
    <w:rsid w:val="4178725B"/>
    <w:rsid w:val="417C3E8B"/>
    <w:rsid w:val="418105AD"/>
    <w:rsid w:val="41840737"/>
    <w:rsid w:val="41886A2A"/>
    <w:rsid w:val="418A09F4"/>
    <w:rsid w:val="418C651A"/>
    <w:rsid w:val="419514AE"/>
    <w:rsid w:val="41983297"/>
    <w:rsid w:val="41A0599E"/>
    <w:rsid w:val="41A75102"/>
    <w:rsid w:val="41B12F32"/>
    <w:rsid w:val="41B224E0"/>
    <w:rsid w:val="41C23F78"/>
    <w:rsid w:val="41C537DA"/>
    <w:rsid w:val="41C54906"/>
    <w:rsid w:val="41E00614"/>
    <w:rsid w:val="41E0224F"/>
    <w:rsid w:val="41E02BFC"/>
    <w:rsid w:val="41E06866"/>
    <w:rsid w:val="41E33C60"/>
    <w:rsid w:val="41EC3CF3"/>
    <w:rsid w:val="41EC6E66"/>
    <w:rsid w:val="41EE6243"/>
    <w:rsid w:val="41F465CF"/>
    <w:rsid w:val="41FA7928"/>
    <w:rsid w:val="4200449D"/>
    <w:rsid w:val="42022339"/>
    <w:rsid w:val="42024A2E"/>
    <w:rsid w:val="420662CD"/>
    <w:rsid w:val="4207365C"/>
    <w:rsid w:val="42097F4F"/>
    <w:rsid w:val="420F2CA7"/>
    <w:rsid w:val="42125CAA"/>
    <w:rsid w:val="42164036"/>
    <w:rsid w:val="421A220C"/>
    <w:rsid w:val="421F7BAF"/>
    <w:rsid w:val="42290DF8"/>
    <w:rsid w:val="422A188F"/>
    <w:rsid w:val="422B1A22"/>
    <w:rsid w:val="4230334A"/>
    <w:rsid w:val="423952E6"/>
    <w:rsid w:val="423A3BCC"/>
    <w:rsid w:val="4242646B"/>
    <w:rsid w:val="424425B8"/>
    <w:rsid w:val="424910F6"/>
    <w:rsid w:val="4249440B"/>
    <w:rsid w:val="424E57D2"/>
    <w:rsid w:val="424F253F"/>
    <w:rsid w:val="425012F6"/>
    <w:rsid w:val="425A2075"/>
    <w:rsid w:val="425E3619"/>
    <w:rsid w:val="42642FF3"/>
    <w:rsid w:val="42666D6B"/>
    <w:rsid w:val="42707BEA"/>
    <w:rsid w:val="427F607F"/>
    <w:rsid w:val="428D500B"/>
    <w:rsid w:val="429C278D"/>
    <w:rsid w:val="42A41642"/>
    <w:rsid w:val="42A5324E"/>
    <w:rsid w:val="42A96350"/>
    <w:rsid w:val="42B0659F"/>
    <w:rsid w:val="42B26C49"/>
    <w:rsid w:val="42BC4BDD"/>
    <w:rsid w:val="42C1377E"/>
    <w:rsid w:val="42C50019"/>
    <w:rsid w:val="42D77C69"/>
    <w:rsid w:val="42DA32B5"/>
    <w:rsid w:val="42DA6266"/>
    <w:rsid w:val="42DF6B1E"/>
    <w:rsid w:val="42E14644"/>
    <w:rsid w:val="42EC3E55"/>
    <w:rsid w:val="42ED2FE9"/>
    <w:rsid w:val="42F04887"/>
    <w:rsid w:val="42F128CF"/>
    <w:rsid w:val="42F1489E"/>
    <w:rsid w:val="42F63DE9"/>
    <w:rsid w:val="42FC322C"/>
    <w:rsid w:val="4309762C"/>
    <w:rsid w:val="430B38BA"/>
    <w:rsid w:val="430D3587"/>
    <w:rsid w:val="430D5439"/>
    <w:rsid w:val="430D6E9D"/>
    <w:rsid w:val="43107D57"/>
    <w:rsid w:val="4314528C"/>
    <w:rsid w:val="431762B8"/>
    <w:rsid w:val="43225A2F"/>
    <w:rsid w:val="432307B8"/>
    <w:rsid w:val="432509D4"/>
    <w:rsid w:val="432F7FA2"/>
    <w:rsid w:val="43382A89"/>
    <w:rsid w:val="433A6FE6"/>
    <w:rsid w:val="433B042F"/>
    <w:rsid w:val="433E3844"/>
    <w:rsid w:val="43420714"/>
    <w:rsid w:val="434626F9"/>
    <w:rsid w:val="43480868"/>
    <w:rsid w:val="434A1377"/>
    <w:rsid w:val="434C1AB7"/>
    <w:rsid w:val="4350713C"/>
    <w:rsid w:val="43517E6A"/>
    <w:rsid w:val="435B2648"/>
    <w:rsid w:val="435D3420"/>
    <w:rsid w:val="435F790B"/>
    <w:rsid w:val="436002B3"/>
    <w:rsid w:val="436653E0"/>
    <w:rsid w:val="436F7EA2"/>
    <w:rsid w:val="437159C8"/>
    <w:rsid w:val="43760954"/>
    <w:rsid w:val="4379774B"/>
    <w:rsid w:val="437D60FB"/>
    <w:rsid w:val="43814BC5"/>
    <w:rsid w:val="438909B8"/>
    <w:rsid w:val="438C45B0"/>
    <w:rsid w:val="43932289"/>
    <w:rsid w:val="43947908"/>
    <w:rsid w:val="43971141"/>
    <w:rsid w:val="43AA712C"/>
    <w:rsid w:val="43AA7468"/>
    <w:rsid w:val="43AC6A00"/>
    <w:rsid w:val="43AF701F"/>
    <w:rsid w:val="43B53A30"/>
    <w:rsid w:val="43B6162D"/>
    <w:rsid w:val="43B8382C"/>
    <w:rsid w:val="43B92ECB"/>
    <w:rsid w:val="43BF7DF4"/>
    <w:rsid w:val="43C4431A"/>
    <w:rsid w:val="43C85AEE"/>
    <w:rsid w:val="43C95804"/>
    <w:rsid w:val="43CD1A6E"/>
    <w:rsid w:val="43CE2E1A"/>
    <w:rsid w:val="43CF6B92"/>
    <w:rsid w:val="43D30430"/>
    <w:rsid w:val="43D67F21"/>
    <w:rsid w:val="43DE415A"/>
    <w:rsid w:val="43DF5027"/>
    <w:rsid w:val="43E428D7"/>
    <w:rsid w:val="43E80DDE"/>
    <w:rsid w:val="43ED2CAE"/>
    <w:rsid w:val="43F0143A"/>
    <w:rsid w:val="4401674F"/>
    <w:rsid w:val="440C56F0"/>
    <w:rsid w:val="440E3217"/>
    <w:rsid w:val="442073EE"/>
    <w:rsid w:val="44224F14"/>
    <w:rsid w:val="442418EB"/>
    <w:rsid w:val="44250560"/>
    <w:rsid w:val="443864E5"/>
    <w:rsid w:val="44387A1E"/>
    <w:rsid w:val="443941AE"/>
    <w:rsid w:val="443C4228"/>
    <w:rsid w:val="443E5C27"/>
    <w:rsid w:val="443F72DA"/>
    <w:rsid w:val="44427364"/>
    <w:rsid w:val="444401DC"/>
    <w:rsid w:val="444923EB"/>
    <w:rsid w:val="44496945"/>
    <w:rsid w:val="444C1F91"/>
    <w:rsid w:val="445269C3"/>
    <w:rsid w:val="44526CF2"/>
    <w:rsid w:val="4453331F"/>
    <w:rsid w:val="445B21D4"/>
    <w:rsid w:val="445B6A2B"/>
    <w:rsid w:val="446213B8"/>
    <w:rsid w:val="44621886"/>
    <w:rsid w:val="446472DA"/>
    <w:rsid w:val="447137A5"/>
    <w:rsid w:val="44747F11"/>
    <w:rsid w:val="447D214A"/>
    <w:rsid w:val="448259B3"/>
    <w:rsid w:val="448E25A9"/>
    <w:rsid w:val="4492209A"/>
    <w:rsid w:val="44922481"/>
    <w:rsid w:val="449B3B49"/>
    <w:rsid w:val="449D459A"/>
    <w:rsid w:val="44A66E7D"/>
    <w:rsid w:val="44A75419"/>
    <w:rsid w:val="44A818BD"/>
    <w:rsid w:val="44AE0556"/>
    <w:rsid w:val="44AE67A8"/>
    <w:rsid w:val="44B71B00"/>
    <w:rsid w:val="44B951CC"/>
    <w:rsid w:val="44BD4C3D"/>
    <w:rsid w:val="44C0027D"/>
    <w:rsid w:val="44C67F95"/>
    <w:rsid w:val="44CD14E0"/>
    <w:rsid w:val="44D13204"/>
    <w:rsid w:val="44D37FBC"/>
    <w:rsid w:val="44D855FC"/>
    <w:rsid w:val="44DA7452"/>
    <w:rsid w:val="44DE52DF"/>
    <w:rsid w:val="44DE708D"/>
    <w:rsid w:val="44E07E8F"/>
    <w:rsid w:val="44E37F62"/>
    <w:rsid w:val="44E7657C"/>
    <w:rsid w:val="44EB2F72"/>
    <w:rsid w:val="44F03307"/>
    <w:rsid w:val="44F20B0B"/>
    <w:rsid w:val="44FF34A7"/>
    <w:rsid w:val="45085EB8"/>
    <w:rsid w:val="450B1E4C"/>
    <w:rsid w:val="450B2D58"/>
    <w:rsid w:val="450B3BFA"/>
    <w:rsid w:val="450B59A8"/>
    <w:rsid w:val="450D5140"/>
    <w:rsid w:val="450E5498"/>
    <w:rsid w:val="450E7246"/>
    <w:rsid w:val="45112784"/>
    <w:rsid w:val="451C7BB5"/>
    <w:rsid w:val="452E5F4C"/>
    <w:rsid w:val="4530540F"/>
    <w:rsid w:val="45392515"/>
    <w:rsid w:val="453A483B"/>
    <w:rsid w:val="453C3DB3"/>
    <w:rsid w:val="453E18DA"/>
    <w:rsid w:val="453F3CA3"/>
    <w:rsid w:val="45465FBE"/>
    <w:rsid w:val="454809AA"/>
    <w:rsid w:val="4554334C"/>
    <w:rsid w:val="45543C61"/>
    <w:rsid w:val="455C6204"/>
    <w:rsid w:val="45612018"/>
    <w:rsid w:val="456D21BF"/>
    <w:rsid w:val="457E749F"/>
    <w:rsid w:val="458056D2"/>
    <w:rsid w:val="458946E9"/>
    <w:rsid w:val="458B53FC"/>
    <w:rsid w:val="458F410D"/>
    <w:rsid w:val="45907DE8"/>
    <w:rsid w:val="459D6275"/>
    <w:rsid w:val="45A47C0E"/>
    <w:rsid w:val="45A93085"/>
    <w:rsid w:val="45A9335D"/>
    <w:rsid w:val="45B002FD"/>
    <w:rsid w:val="45B0429C"/>
    <w:rsid w:val="45B50332"/>
    <w:rsid w:val="45BC6CA2"/>
    <w:rsid w:val="45C02C36"/>
    <w:rsid w:val="45C1165E"/>
    <w:rsid w:val="45C11774"/>
    <w:rsid w:val="45C5024D"/>
    <w:rsid w:val="45C641DB"/>
    <w:rsid w:val="45C85647"/>
    <w:rsid w:val="45DB35CC"/>
    <w:rsid w:val="45E87A97"/>
    <w:rsid w:val="45ED3300"/>
    <w:rsid w:val="45F97EF6"/>
    <w:rsid w:val="45FA4516"/>
    <w:rsid w:val="46007541"/>
    <w:rsid w:val="46020CB8"/>
    <w:rsid w:val="46026D1E"/>
    <w:rsid w:val="460F14C8"/>
    <w:rsid w:val="460F771A"/>
    <w:rsid w:val="461E29E4"/>
    <w:rsid w:val="462060CC"/>
    <w:rsid w:val="462A00B0"/>
    <w:rsid w:val="46324656"/>
    <w:rsid w:val="46372561"/>
    <w:rsid w:val="463B2504"/>
    <w:rsid w:val="463D3FE4"/>
    <w:rsid w:val="464D2552"/>
    <w:rsid w:val="46577FD6"/>
    <w:rsid w:val="465B3C62"/>
    <w:rsid w:val="465F393C"/>
    <w:rsid w:val="46607CC2"/>
    <w:rsid w:val="466B2948"/>
    <w:rsid w:val="466F3B42"/>
    <w:rsid w:val="46715CDF"/>
    <w:rsid w:val="467A2DE5"/>
    <w:rsid w:val="467B090B"/>
    <w:rsid w:val="467D70C4"/>
    <w:rsid w:val="467E4117"/>
    <w:rsid w:val="46837AAD"/>
    <w:rsid w:val="4685178A"/>
    <w:rsid w:val="468E4252"/>
    <w:rsid w:val="46920DE0"/>
    <w:rsid w:val="46952F44"/>
    <w:rsid w:val="469A575F"/>
    <w:rsid w:val="469C5C39"/>
    <w:rsid w:val="469C648C"/>
    <w:rsid w:val="469D0882"/>
    <w:rsid w:val="469D7801"/>
    <w:rsid w:val="46A27E61"/>
    <w:rsid w:val="46AA4368"/>
    <w:rsid w:val="46AC4F69"/>
    <w:rsid w:val="46B06807"/>
    <w:rsid w:val="46B94085"/>
    <w:rsid w:val="46BF20B3"/>
    <w:rsid w:val="46C235B1"/>
    <w:rsid w:val="46C422B2"/>
    <w:rsid w:val="46C60E54"/>
    <w:rsid w:val="46C84809"/>
    <w:rsid w:val="46CA18CB"/>
    <w:rsid w:val="46CB1893"/>
    <w:rsid w:val="46CE6E3B"/>
    <w:rsid w:val="46D02A05"/>
    <w:rsid w:val="46D955A7"/>
    <w:rsid w:val="46DE522E"/>
    <w:rsid w:val="46E14C12"/>
    <w:rsid w:val="46EB42D7"/>
    <w:rsid w:val="46F078A6"/>
    <w:rsid w:val="46F661E4"/>
    <w:rsid w:val="46F876CD"/>
    <w:rsid w:val="47022DDB"/>
    <w:rsid w:val="4703102D"/>
    <w:rsid w:val="4704684C"/>
    <w:rsid w:val="47100FAA"/>
    <w:rsid w:val="47133957"/>
    <w:rsid w:val="47136D96"/>
    <w:rsid w:val="471E1235"/>
    <w:rsid w:val="471F398D"/>
    <w:rsid w:val="472467E8"/>
    <w:rsid w:val="47282841"/>
    <w:rsid w:val="4733065F"/>
    <w:rsid w:val="47395BE6"/>
    <w:rsid w:val="473F182C"/>
    <w:rsid w:val="474043C3"/>
    <w:rsid w:val="474B6530"/>
    <w:rsid w:val="474B6C05"/>
    <w:rsid w:val="474C0E73"/>
    <w:rsid w:val="47501D98"/>
    <w:rsid w:val="47525B10"/>
    <w:rsid w:val="475278BE"/>
    <w:rsid w:val="475632A2"/>
    <w:rsid w:val="47571378"/>
    <w:rsid w:val="475871CF"/>
    <w:rsid w:val="475A35CF"/>
    <w:rsid w:val="475E6D42"/>
    <w:rsid w:val="475E7D7A"/>
    <w:rsid w:val="47655843"/>
    <w:rsid w:val="47680E90"/>
    <w:rsid w:val="476870E2"/>
    <w:rsid w:val="47766236"/>
    <w:rsid w:val="477E50A4"/>
    <w:rsid w:val="4786058B"/>
    <w:rsid w:val="47881841"/>
    <w:rsid w:val="478865C1"/>
    <w:rsid w:val="478B0BBF"/>
    <w:rsid w:val="478D43E2"/>
    <w:rsid w:val="478D4D9A"/>
    <w:rsid w:val="478F0B12"/>
    <w:rsid w:val="47961180"/>
    <w:rsid w:val="47975C19"/>
    <w:rsid w:val="47990C52"/>
    <w:rsid w:val="47A07E0C"/>
    <w:rsid w:val="47A174B9"/>
    <w:rsid w:val="47A4115D"/>
    <w:rsid w:val="47A857DD"/>
    <w:rsid w:val="47AC6D99"/>
    <w:rsid w:val="47B47D12"/>
    <w:rsid w:val="47B63A3C"/>
    <w:rsid w:val="47BB50E4"/>
    <w:rsid w:val="47C167F2"/>
    <w:rsid w:val="47C354B2"/>
    <w:rsid w:val="47CA7D9C"/>
    <w:rsid w:val="47CB0F32"/>
    <w:rsid w:val="47D14C87"/>
    <w:rsid w:val="47D56477"/>
    <w:rsid w:val="47DB78B4"/>
    <w:rsid w:val="47E349BA"/>
    <w:rsid w:val="47EB2FFC"/>
    <w:rsid w:val="47ED6723"/>
    <w:rsid w:val="47F22E4F"/>
    <w:rsid w:val="47F44E19"/>
    <w:rsid w:val="47FE7A46"/>
    <w:rsid w:val="4803537F"/>
    <w:rsid w:val="480B1D1C"/>
    <w:rsid w:val="480D18E1"/>
    <w:rsid w:val="480D7C89"/>
    <w:rsid w:val="480F1B38"/>
    <w:rsid w:val="48164D90"/>
    <w:rsid w:val="481E0581"/>
    <w:rsid w:val="481E75BB"/>
    <w:rsid w:val="48390A7E"/>
    <w:rsid w:val="483E46A7"/>
    <w:rsid w:val="48402BE6"/>
    <w:rsid w:val="48452E90"/>
    <w:rsid w:val="484C7BBE"/>
    <w:rsid w:val="48552DCE"/>
    <w:rsid w:val="485533C5"/>
    <w:rsid w:val="485550F6"/>
    <w:rsid w:val="48577867"/>
    <w:rsid w:val="485E2293"/>
    <w:rsid w:val="485E363F"/>
    <w:rsid w:val="486B29E5"/>
    <w:rsid w:val="4870272E"/>
    <w:rsid w:val="48710218"/>
    <w:rsid w:val="487B78EB"/>
    <w:rsid w:val="487E46E3"/>
    <w:rsid w:val="48851E06"/>
    <w:rsid w:val="48852233"/>
    <w:rsid w:val="4889461C"/>
    <w:rsid w:val="48895562"/>
    <w:rsid w:val="488F68F0"/>
    <w:rsid w:val="48926F57"/>
    <w:rsid w:val="489565B3"/>
    <w:rsid w:val="489B7C1F"/>
    <w:rsid w:val="489F736A"/>
    <w:rsid w:val="48A405ED"/>
    <w:rsid w:val="48A759E8"/>
    <w:rsid w:val="48B055A4"/>
    <w:rsid w:val="48B6445C"/>
    <w:rsid w:val="48B74CC5"/>
    <w:rsid w:val="48C3058F"/>
    <w:rsid w:val="48C42A3E"/>
    <w:rsid w:val="48CF1280"/>
    <w:rsid w:val="48D55147"/>
    <w:rsid w:val="48D96607"/>
    <w:rsid w:val="48DB6032"/>
    <w:rsid w:val="48E35A95"/>
    <w:rsid w:val="48E409EA"/>
    <w:rsid w:val="48F13107"/>
    <w:rsid w:val="48F75C9D"/>
    <w:rsid w:val="48FD436F"/>
    <w:rsid w:val="49106DCD"/>
    <w:rsid w:val="49121BEA"/>
    <w:rsid w:val="491237A9"/>
    <w:rsid w:val="491436BD"/>
    <w:rsid w:val="49156307"/>
    <w:rsid w:val="491646B1"/>
    <w:rsid w:val="4924528A"/>
    <w:rsid w:val="49282FCC"/>
    <w:rsid w:val="49296771"/>
    <w:rsid w:val="492A385B"/>
    <w:rsid w:val="492A6746"/>
    <w:rsid w:val="492C3114"/>
    <w:rsid w:val="49312BD1"/>
    <w:rsid w:val="49314A53"/>
    <w:rsid w:val="49335C38"/>
    <w:rsid w:val="493D00FA"/>
    <w:rsid w:val="493E4B1C"/>
    <w:rsid w:val="493F0316"/>
    <w:rsid w:val="493F20C4"/>
    <w:rsid w:val="49405DB8"/>
    <w:rsid w:val="49417BEA"/>
    <w:rsid w:val="4944498D"/>
    <w:rsid w:val="494616A5"/>
    <w:rsid w:val="49496A9F"/>
    <w:rsid w:val="494B796A"/>
    <w:rsid w:val="494E0559"/>
    <w:rsid w:val="49506534"/>
    <w:rsid w:val="496438D9"/>
    <w:rsid w:val="496E1840"/>
    <w:rsid w:val="497074B0"/>
    <w:rsid w:val="49707C53"/>
    <w:rsid w:val="49730464"/>
    <w:rsid w:val="497B39E0"/>
    <w:rsid w:val="498B13F1"/>
    <w:rsid w:val="498D72D3"/>
    <w:rsid w:val="49951CE4"/>
    <w:rsid w:val="499B1A55"/>
    <w:rsid w:val="499D12E5"/>
    <w:rsid w:val="499F0DB5"/>
    <w:rsid w:val="49A75C13"/>
    <w:rsid w:val="49AA1C33"/>
    <w:rsid w:val="49B06B1E"/>
    <w:rsid w:val="49B4660E"/>
    <w:rsid w:val="49B74350"/>
    <w:rsid w:val="49C14609"/>
    <w:rsid w:val="49C425C9"/>
    <w:rsid w:val="49CD52A6"/>
    <w:rsid w:val="49DB003F"/>
    <w:rsid w:val="49DC7715"/>
    <w:rsid w:val="49EA64D4"/>
    <w:rsid w:val="49F7299F"/>
    <w:rsid w:val="4A01737A"/>
    <w:rsid w:val="4A023139"/>
    <w:rsid w:val="4A084BAC"/>
    <w:rsid w:val="4A146C43"/>
    <w:rsid w:val="4A147AD3"/>
    <w:rsid w:val="4A160D9A"/>
    <w:rsid w:val="4A1646C7"/>
    <w:rsid w:val="4A190B67"/>
    <w:rsid w:val="4A1946C3"/>
    <w:rsid w:val="4A210F02"/>
    <w:rsid w:val="4A282B58"/>
    <w:rsid w:val="4A2D17DA"/>
    <w:rsid w:val="4A2E62B7"/>
    <w:rsid w:val="4A2E66B9"/>
    <w:rsid w:val="4A361719"/>
    <w:rsid w:val="4A3E05CE"/>
    <w:rsid w:val="4A4064D4"/>
    <w:rsid w:val="4A427A27"/>
    <w:rsid w:val="4A4554B8"/>
    <w:rsid w:val="4A455AC1"/>
    <w:rsid w:val="4A471230"/>
    <w:rsid w:val="4A4C2CEB"/>
    <w:rsid w:val="4A58308D"/>
    <w:rsid w:val="4A5B4CDC"/>
    <w:rsid w:val="4A5D6CA6"/>
    <w:rsid w:val="4A630034"/>
    <w:rsid w:val="4A6E5E41"/>
    <w:rsid w:val="4A7A7858"/>
    <w:rsid w:val="4A7B576F"/>
    <w:rsid w:val="4A852B54"/>
    <w:rsid w:val="4A8F2BD7"/>
    <w:rsid w:val="4A8F4110"/>
    <w:rsid w:val="4A8F4985"/>
    <w:rsid w:val="4A916067"/>
    <w:rsid w:val="4A91694F"/>
    <w:rsid w:val="4A9A1CA8"/>
    <w:rsid w:val="4AA523FB"/>
    <w:rsid w:val="4AAC19DB"/>
    <w:rsid w:val="4AAD5A77"/>
    <w:rsid w:val="4AB03279"/>
    <w:rsid w:val="4AB14078"/>
    <w:rsid w:val="4AB16FF2"/>
    <w:rsid w:val="4ABD7744"/>
    <w:rsid w:val="4AC62A9D"/>
    <w:rsid w:val="4ACC027B"/>
    <w:rsid w:val="4ACE54AE"/>
    <w:rsid w:val="4ACF76FE"/>
    <w:rsid w:val="4ADA47DE"/>
    <w:rsid w:val="4AE271AB"/>
    <w:rsid w:val="4AE465B1"/>
    <w:rsid w:val="4AE9550D"/>
    <w:rsid w:val="4AEB2504"/>
    <w:rsid w:val="4AEE09F4"/>
    <w:rsid w:val="4AF21FC1"/>
    <w:rsid w:val="4AF257DF"/>
    <w:rsid w:val="4AF32F44"/>
    <w:rsid w:val="4AF33166"/>
    <w:rsid w:val="4AF408CB"/>
    <w:rsid w:val="4AF561A9"/>
    <w:rsid w:val="4AFA2747"/>
    <w:rsid w:val="4AFB3430"/>
    <w:rsid w:val="4AFF6578"/>
    <w:rsid w:val="4B012560"/>
    <w:rsid w:val="4B0854C0"/>
    <w:rsid w:val="4B241572"/>
    <w:rsid w:val="4B2E7306"/>
    <w:rsid w:val="4B3317B5"/>
    <w:rsid w:val="4B361917"/>
    <w:rsid w:val="4B3B31EA"/>
    <w:rsid w:val="4B4A363C"/>
    <w:rsid w:val="4B4C61C0"/>
    <w:rsid w:val="4B4F092F"/>
    <w:rsid w:val="4B502894"/>
    <w:rsid w:val="4B5A4F93"/>
    <w:rsid w:val="4B5C4563"/>
    <w:rsid w:val="4B5C6F5D"/>
    <w:rsid w:val="4B644064"/>
    <w:rsid w:val="4B670B02"/>
    <w:rsid w:val="4B67308A"/>
    <w:rsid w:val="4B674E8A"/>
    <w:rsid w:val="4B6776B0"/>
    <w:rsid w:val="4B6D125C"/>
    <w:rsid w:val="4B6E4EE3"/>
    <w:rsid w:val="4B771FE9"/>
    <w:rsid w:val="4B86222C"/>
    <w:rsid w:val="4B8C4381"/>
    <w:rsid w:val="4B902123"/>
    <w:rsid w:val="4B94067F"/>
    <w:rsid w:val="4B9507BB"/>
    <w:rsid w:val="4B977B4C"/>
    <w:rsid w:val="4B9B3C13"/>
    <w:rsid w:val="4B9C1A50"/>
    <w:rsid w:val="4B9F1A1A"/>
    <w:rsid w:val="4BA32DDE"/>
    <w:rsid w:val="4BA5182B"/>
    <w:rsid w:val="4BA825F3"/>
    <w:rsid w:val="4BAE3CB6"/>
    <w:rsid w:val="4BB01057"/>
    <w:rsid w:val="4BB511C6"/>
    <w:rsid w:val="4BB86165"/>
    <w:rsid w:val="4BC93223"/>
    <w:rsid w:val="4BD05255"/>
    <w:rsid w:val="4BE727D6"/>
    <w:rsid w:val="4BEE652D"/>
    <w:rsid w:val="4BEF1B80"/>
    <w:rsid w:val="4BF46E2F"/>
    <w:rsid w:val="4BF56992"/>
    <w:rsid w:val="4BFB6776"/>
    <w:rsid w:val="4C06511B"/>
    <w:rsid w:val="4C081CA4"/>
    <w:rsid w:val="4C096BC9"/>
    <w:rsid w:val="4C0D4965"/>
    <w:rsid w:val="4C1142BE"/>
    <w:rsid w:val="4C176DA8"/>
    <w:rsid w:val="4C1B0BC7"/>
    <w:rsid w:val="4C231829"/>
    <w:rsid w:val="4C271194"/>
    <w:rsid w:val="4C2C4B82"/>
    <w:rsid w:val="4C312198"/>
    <w:rsid w:val="4C3A2D8F"/>
    <w:rsid w:val="4C3C0B3D"/>
    <w:rsid w:val="4C4359B9"/>
    <w:rsid w:val="4C453E95"/>
    <w:rsid w:val="4C4A0649"/>
    <w:rsid w:val="4C50676D"/>
    <w:rsid w:val="4C58405B"/>
    <w:rsid w:val="4C6065D9"/>
    <w:rsid w:val="4C617F8F"/>
    <w:rsid w:val="4C691FD5"/>
    <w:rsid w:val="4C6C4B3B"/>
    <w:rsid w:val="4C6C6725"/>
    <w:rsid w:val="4C6D5987"/>
    <w:rsid w:val="4C783B97"/>
    <w:rsid w:val="4C7B73ED"/>
    <w:rsid w:val="4C7E5ECA"/>
    <w:rsid w:val="4C800A2A"/>
    <w:rsid w:val="4C820C46"/>
    <w:rsid w:val="4C83051A"/>
    <w:rsid w:val="4C876AA5"/>
    <w:rsid w:val="4C956E13"/>
    <w:rsid w:val="4CA55CFB"/>
    <w:rsid w:val="4CA76DB7"/>
    <w:rsid w:val="4CA94424"/>
    <w:rsid w:val="4CA96E0A"/>
    <w:rsid w:val="4CAA1E4B"/>
    <w:rsid w:val="4CB22BAD"/>
    <w:rsid w:val="4CB407AC"/>
    <w:rsid w:val="4CC528E0"/>
    <w:rsid w:val="4CC64253"/>
    <w:rsid w:val="4CCA7EF7"/>
    <w:rsid w:val="4CD11285"/>
    <w:rsid w:val="4CD314A1"/>
    <w:rsid w:val="4CD94C7E"/>
    <w:rsid w:val="4CD9604E"/>
    <w:rsid w:val="4CD9638C"/>
    <w:rsid w:val="4CDE7457"/>
    <w:rsid w:val="4CE30FB8"/>
    <w:rsid w:val="4CE865CF"/>
    <w:rsid w:val="4CE90CC5"/>
    <w:rsid w:val="4CEA67EB"/>
    <w:rsid w:val="4CEE0CE9"/>
    <w:rsid w:val="4CEF3CC5"/>
    <w:rsid w:val="4CF355F1"/>
    <w:rsid w:val="4CFF0521"/>
    <w:rsid w:val="4CFF1630"/>
    <w:rsid w:val="4CFF2296"/>
    <w:rsid w:val="4D094EC3"/>
    <w:rsid w:val="4D0C3966"/>
    <w:rsid w:val="4D0E00FB"/>
    <w:rsid w:val="4D0E24D9"/>
    <w:rsid w:val="4D176606"/>
    <w:rsid w:val="4D1D44CA"/>
    <w:rsid w:val="4D1E4B11"/>
    <w:rsid w:val="4D2279D7"/>
    <w:rsid w:val="4D2505B2"/>
    <w:rsid w:val="4D26596A"/>
    <w:rsid w:val="4D2B1E74"/>
    <w:rsid w:val="4D3161C8"/>
    <w:rsid w:val="4D32473B"/>
    <w:rsid w:val="4D36558C"/>
    <w:rsid w:val="4D3B0DF4"/>
    <w:rsid w:val="4D3B6298"/>
    <w:rsid w:val="4D464C14"/>
    <w:rsid w:val="4D4F2A2F"/>
    <w:rsid w:val="4D510618"/>
    <w:rsid w:val="4D534390"/>
    <w:rsid w:val="4D564C20"/>
    <w:rsid w:val="4D586354"/>
    <w:rsid w:val="4D5A74CD"/>
    <w:rsid w:val="4D5C1497"/>
    <w:rsid w:val="4D610F7C"/>
    <w:rsid w:val="4D6212FF"/>
    <w:rsid w:val="4D626381"/>
    <w:rsid w:val="4D693BB4"/>
    <w:rsid w:val="4D6B4997"/>
    <w:rsid w:val="4D7604A2"/>
    <w:rsid w:val="4D862070"/>
    <w:rsid w:val="4D8C494F"/>
    <w:rsid w:val="4D9724CF"/>
    <w:rsid w:val="4D983F62"/>
    <w:rsid w:val="4DAB1AD6"/>
    <w:rsid w:val="4DAF3530"/>
    <w:rsid w:val="4DB07591"/>
    <w:rsid w:val="4DBB0CBC"/>
    <w:rsid w:val="4DBC0187"/>
    <w:rsid w:val="4DC1579E"/>
    <w:rsid w:val="4DC247E8"/>
    <w:rsid w:val="4DD15EED"/>
    <w:rsid w:val="4DD85F43"/>
    <w:rsid w:val="4DDA02A9"/>
    <w:rsid w:val="4DE06E49"/>
    <w:rsid w:val="4DE656F0"/>
    <w:rsid w:val="4DE65C07"/>
    <w:rsid w:val="4DE66FB2"/>
    <w:rsid w:val="4DE84C78"/>
    <w:rsid w:val="4DEC4FB0"/>
    <w:rsid w:val="4DED20EF"/>
    <w:rsid w:val="4DF25957"/>
    <w:rsid w:val="4DF358C2"/>
    <w:rsid w:val="4DF74696"/>
    <w:rsid w:val="4DFD0435"/>
    <w:rsid w:val="4DFF39F2"/>
    <w:rsid w:val="4E075D8A"/>
    <w:rsid w:val="4E0C4301"/>
    <w:rsid w:val="4E0E53DC"/>
    <w:rsid w:val="4E0F1F90"/>
    <w:rsid w:val="4E1051CD"/>
    <w:rsid w:val="4E1834CE"/>
    <w:rsid w:val="4E1C1B49"/>
    <w:rsid w:val="4E21448E"/>
    <w:rsid w:val="4E2625DD"/>
    <w:rsid w:val="4E271695"/>
    <w:rsid w:val="4E2E6325"/>
    <w:rsid w:val="4E301DA6"/>
    <w:rsid w:val="4E353A96"/>
    <w:rsid w:val="4E402B66"/>
    <w:rsid w:val="4E427D40"/>
    <w:rsid w:val="4E47368F"/>
    <w:rsid w:val="4E4837C9"/>
    <w:rsid w:val="4E487C6D"/>
    <w:rsid w:val="4E497F1B"/>
    <w:rsid w:val="4E524648"/>
    <w:rsid w:val="4E555EE6"/>
    <w:rsid w:val="4E591A1C"/>
    <w:rsid w:val="4E5B79A0"/>
    <w:rsid w:val="4E5D7F58"/>
    <w:rsid w:val="4E636855"/>
    <w:rsid w:val="4E76751B"/>
    <w:rsid w:val="4E816CDB"/>
    <w:rsid w:val="4E8C7E1D"/>
    <w:rsid w:val="4E8D742E"/>
    <w:rsid w:val="4E994025"/>
    <w:rsid w:val="4E9B2322"/>
    <w:rsid w:val="4E9E646A"/>
    <w:rsid w:val="4E9F6E31"/>
    <w:rsid w:val="4EA13F02"/>
    <w:rsid w:val="4EA84268"/>
    <w:rsid w:val="4EAA358A"/>
    <w:rsid w:val="4EAB3C0F"/>
    <w:rsid w:val="4EAC3D58"/>
    <w:rsid w:val="4EB14C99"/>
    <w:rsid w:val="4EB33338"/>
    <w:rsid w:val="4EB57700"/>
    <w:rsid w:val="4EC00FAD"/>
    <w:rsid w:val="4EC05A55"/>
    <w:rsid w:val="4EC31B43"/>
    <w:rsid w:val="4EC531EF"/>
    <w:rsid w:val="4EC6055A"/>
    <w:rsid w:val="4EC72940"/>
    <w:rsid w:val="4ECE0172"/>
    <w:rsid w:val="4ECF5C98"/>
    <w:rsid w:val="4ED13D9A"/>
    <w:rsid w:val="4ED35765"/>
    <w:rsid w:val="4ED64F6F"/>
    <w:rsid w:val="4EDE068B"/>
    <w:rsid w:val="4EEC23A6"/>
    <w:rsid w:val="4EED3A0F"/>
    <w:rsid w:val="4EEE3AA9"/>
    <w:rsid w:val="4EF13E61"/>
    <w:rsid w:val="4EF219BE"/>
    <w:rsid w:val="4EF23735"/>
    <w:rsid w:val="4EF342DE"/>
    <w:rsid w:val="4EF474AD"/>
    <w:rsid w:val="4EF860EF"/>
    <w:rsid w:val="4F0732B7"/>
    <w:rsid w:val="4F0A6CD0"/>
    <w:rsid w:val="4F13528D"/>
    <w:rsid w:val="4F15323B"/>
    <w:rsid w:val="4F1F09CE"/>
    <w:rsid w:val="4F22401A"/>
    <w:rsid w:val="4F241104"/>
    <w:rsid w:val="4F271630"/>
    <w:rsid w:val="4F2C1582"/>
    <w:rsid w:val="4F304989"/>
    <w:rsid w:val="4F310701"/>
    <w:rsid w:val="4F343D4D"/>
    <w:rsid w:val="4F3501F1"/>
    <w:rsid w:val="4F3B2459"/>
    <w:rsid w:val="4F3C139B"/>
    <w:rsid w:val="4F3E697A"/>
    <w:rsid w:val="4F3F1455"/>
    <w:rsid w:val="4F4246BC"/>
    <w:rsid w:val="4F475F07"/>
    <w:rsid w:val="4F47752F"/>
    <w:rsid w:val="4F5627D0"/>
    <w:rsid w:val="4F5A62DE"/>
    <w:rsid w:val="4F5A7C58"/>
    <w:rsid w:val="4F644633"/>
    <w:rsid w:val="4F6603AB"/>
    <w:rsid w:val="4F6B3C13"/>
    <w:rsid w:val="4F6B5250"/>
    <w:rsid w:val="4F6C34E7"/>
    <w:rsid w:val="4F6E30A3"/>
    <w:rsid w:val="4F6E54B1"/>
    <w:rsid w:val="4F6F4D85"/>
    <w:rsid w:val="4F701229"/>
    <w:rsid w:val="4F7747F6"/>
    <w:rsid w:val="4F7A20A8"/>
    <w:rsid w:val="4F7C2E5C"/>
    <w:rsid w:val="4F815C1D"/>
    <w:rsid w:val="4F870321"/>
    <w:rsid w:val="4F9843DC"/>
    <w:rsid w:val="4F9F790D"/>
    <w:rsid w:val="4FA40ED3"/>
    <w:rsid w:val="4FAC7D88"/>
    <w:rsid w:val="4FB62C3D"/>
    <w:rsid w:val="4FB77F18"/>
    <w:rsid w:val="4FB8497E"/>
    <w:rsid w:val="4FBF0827"/>
    <w:rsid w:val="4FBF0E9C"/>
    <w:rsid w:val="4FC62A8C"/>
    <w:rsid w:val="4FC955E3"/>
    <w:rsid w:val="4FD32219"/>
    <w:rsid w:val="4FD558DE"/>
    <w:rsid w:val="4FE13ED5"/>
    <w:rsid w:val="4FE15C83"/>
    <w:rsid w:val="4FE20F0D"/>
    <w:rsid w:val="4FE51552"/>
    <w:rsid w:val="4FE86FF8"/>
    <w:rsid w:val="4FED2454"/>
    <w:rsid w:val="4FED4628"/>
    <w:rsid w:val="4FF927CB"/>
    <w:rsid w:val="4FFB1788"/>
    <w:rsid w:val="50081462"/>
    <w:rsid w:val="500E27F0"/>
    <w:rsid w:val="50120532"/>
    <w:rsid w:val="50120A5D"/>
    <w:rsid w:val="501E6ED7"/>
    <w:rsid w:val="501F0559"/>
    <w:rsid w:val="501F67AB"/>
    <w:rsid w:val="5020105C"/>
    <w:rsid w:val="50204EFD"/>
    <w:rsid w:val="502803A8"/>
    <w:rsid w:val="502A571D"/>
    <w:rsid w:val="502C222D"/>
    <w:rsid w:val="503C55AF"/>
    <w:rsid w:val="503E6C32"/>
    <w:rsid w:val="50416722"/>
    <w:rsid w:val="50461F8A"/>
    <w:rsid w:val="50482F2E"/>
    <w:rsid w:val="504A7E49"/>
    <w:rsid w:val="504E3037"/>
    <w:rsid w:val="50504C4B"/>
    <w:rsid w:val="50557B99"/>
    <w:rsid w:val="50574197"/>
    <w:rsid w:val="50597F0F"/>
    <w:rsid w:val="505B414D"/>
    <w:rsid w:val="505D49ED"/>
    <w:rsid w:val="50646AF0"/>
    <w:rsid w:val="50671184"/>
    <w:rsid w:val="5068161E"/>
    <w:rsid w:val="506A143A"/>
    <w:rsid w:val="506B7C43"/>
    <w:rsid w:val="506F328F"/>
    <w:rsid w:val="507408A5"/>
    <w:rsid w:val="5075461D"/>
    <w:rsid w:val="50880A13"/>
    <w:rsid w:val="508F56DF"/>
    <w:rsid w:val="5095092A"/>
    <w:rsid w:val="509C607B"/>
    <w:rsid w:val="509C6E7C"/>
    <w:rsid w:val="50A373DC"/>
    <w:rsid w:val="50A8054F"/>
    <w:rsid w:val="50B27626"/>
    <w:rsid w:val="50B75092"/>
    <w:rsid w:val="50B82D80"/>
    <w:rsid w:val="50C7131D"/>
    <w:rsid w:val="50C874A7"/>
    <w:rsid w:val="50D0161F"/>
    <w:rsid w:val="50D84D1D"/>
    <w:rsid w:val="50D87052"/>
    <w:rsid w:val="50D94BAC"/>
    <w:rsid w:val="50DB2316"/>
    <w:rsid w:val="50DF6051"/>
    <w:rsid w:val="50F22714"/>
    <w:rsid w:val="50F2766B"/>
    <w:rsid w:val="50F95529"/>
    <w:rsid w:val="50FD6AED"/>
    <w:rsid w:val="51051E45"/>
    <w:rsid w:val="510C369D"/>
    <w:rsid w:val="510C4F82"/>
    <w:rsid w:val="5116195C"/>
    <w:rsid w:val="511660D5"/>
    <w:rsid w:val="511B3417"/>
    <w:rsid w:val="513444D8"/>
    <w:rsid w:val="5140188A"/>
    <w:rsid w:val="51442700"/>
    <w:rsid w:val="514B5A09"/>
    <w:rsid w:val="51504891"/>
    <w:rsid w:val="5153670D"/>
    <w:rsid w:val="5157799D"/>
    <w:rsid w:val="515D57DD"/>
    <w:rsid w:val="515E1484"/>
    <w:rsid w:val="516052CE"/>
    <w:rsid w:val="51616E44"/>
    <w:rsid w:val="5162104E"/>
    <w:rsid w:val="5164091A"/>
    <w:rsid w:val="51654692"/>
    <w:rsid w:val="51690ECB"/>
    <w:rsid w:val="5169155B"/>
    <w:rsid w:val="51694182"/>
    <w:rsid w:val="516B614C"/>
    <w:rsid w:val="51746229"/>
    <w:rsid w:val="51870AAC"/>
    <w:rsid w:val="51897D37"/>
    <w:rsid w:val="51932FAD"/>
    <w:rsid w:val="51960CEF"/>
    <w:rsid w:val="51A407AF"/>
    <w:rsid w:val="51A4794C"/>
    <w:rsid w:val="51AE428B"/>
    <w:rsid w:val="51B178D7"/>
    <w:rsid w:val="51BC1787"/>
    <w:rsid w:val="51BE267B"/>
    <w:rsid w:val="51C55131"/>
    <w:rsid w:val="51D01D41"/>
    <w:rsid w:val="51D37233"/>
    <w:rsid w:val="51D535C6"/>
    <w:rsid w:val="51D61DA2"/>
    <w:rsid w:val="51D7550F"/>
    <w:rsid w:val="51D81308"/>
    <w:rsid w:val="51DD06CC"/>
    <w:rsid w:val="51E04FA9"/>
    <w:rsid w:val="51E101BC"/>
    <w:rsid w:val="51E649EC"/>
    <w:rsid w:val="51E732F9"/>
    <w:rsid w:val="5201085F"/>
    <w:rsid w:val="5202789D"/>
    <w:rsid w:val="52056214"/>
    <w:rsid w:val="5205712C"/>
    <w:rsid w:val="52157E66"/>
    <w:rsid w:val="521A547C"/>
    <w:rsid w:val="52270510"/>
    <w:rsid w:val="52271947"/>
    <w:rsid w:val="522802B3"/>
    <w:rsid w:val="52285DEB"/>
    <w:rsid w:val="52287B99"/>
    <w:rsid w:val="522A0590"/>
    <w:rsid w:val="523429E2"/>
    <w:rsid w:val="523522B6"/>
    <w:rsid w:val="52357EFC"/>
    <w:rsid w:val="523E73BD"/>
    <w:rsid w:val="524349D3"/>
    <w:rsid w:val="524648E5"/>
    <w:rsid w:val="52466271"/>
    <w:rsid w:val="52552958"/>
    <w:rsid w:val="52575CE9"/>
    <w:rsid w:val="526430A0"/>
    <w:rsid w:val="52685999"/>
    <w:rsid w:val="526A3F14"/>
    <w:rsid w:val="526C7ABA"/>
    <w:rsid w:val="526E5618"/>
    <w:rsid w:val="5273735E"/>
    <w:rsid w:val="527703FE"/>
    <w:rsid w:val="5277467D"/>
    <w:rsid w:val="5279059B"/>
    <w:rsid w:val="527E3C5D"/>
    <w:rsid w:val="528168C7"/>
    <w:rsid w:val="52847DE9"/>
    <w:rsid w:val="528B1ED6"/>
    <w:rsid w:val="528D20F2"/>
    <w:rsid w:val="52992845"/>
    <w:rsid w:val="52A10CD2"/>
    <w:rsid w:val="52A23557"/>
    <w:rsid w:val="52A73838"/>
    <w:rsid w:val="52A829E9"/>
    <w:rsid w:val="52B32158"/>
    <w:rsid w:val="52B555F7"/>
    <w:rsid w:val="52BC083F"/>
    <w:rsid w:val="52C03D1F"/>
    <w:rsid w:val="52C06024"/>
    <w:rsid w:val="52C84ED8"/>
    <w:rsid w:val="52CB00F8"/>
    <w:rsid w:val="52CE1DA4"/>
    <w:rsid w:val="52D10231"/>
    <w:rsid w:val="52D27B05"/>
    <w:rsid w:val="52D54DF6"/>
    <w:rsid w:val="52DC2732"/>
    <w:rsid w:val="52DD513B"/>
    <w:rsid w:val="52E3325B"/>
    <w:rsid w:val="52E67E61"/>
    <w:rsid w:val="52EB0964"/>
    <w:rsid w:val="52ED1657"/>
    <w:rsid w:val="52F24A9A"/>
    <w:rsid w:val="52F474CB"/>
    <w:rsid w:val="52F63EF7"/>
    <w:rsid w:val="52F92CDD"/>
    <w:rsid w:val="52FC5C5F"/>
    <w:rsid w:val="53041FAA"/>
    <w:rsid w:val="53093984"/>
    <w:rsid w:val="5322283B"/>
    <w:rsid w:val="53276709"/>
    <w:rsid w:val="532C35FB"/>
    <w:rsid w:val="53320D06"/>
    <w:rsid w:val="5334401B"/>
    <w:rsid w:val="53377659"/>
    <w:rsid w:val="53400F13"/>
    <w:rsid w:val="53424C8B"/>
    <w:rsid w:val="534369D5"/>
    <w:rsid w:val="53592617"/>
    <w:rsid w:val="535E64A6"/>
    <w:rsid w:val="53650979"/>
    <w:rsid w:val="53674D0A"/>
    <w:rsid w:val="536A5F90"/>
    <w:rsid w:val="536D1F1D"/>
    <w:rsid w:val="536E3CD2"/>
    <w:rsid w:val="537D5CC3"/>
    <w:rsid w:val="538057B3"/>
    <w:rsid w:val="53830363"/>
    <w:rsid w:val="53860DB0"/>
    <w:rsid w:val="538F59F6"/>
    <w:rsid w:val="53911E75"/>
    <w:rsid w:val="539468C0"/>
    <w:rsid w:val="53951123"/>
    <w:rsid w:val="5395352A"/>
    <w:rsid w:val="53964FD7"/>
    <w:rsid w:val="53966D85"/>
    <w:rsid w:val="53966EC0"/>
    <w:rsid w:val="539C28B7"/>
    <w:rsid w:val="53A039CC"/>
    <w:rsid w:val="53A1505A"/>
    <w:rsid w:val="53A21BCD"/>
    <w:rsid w:val="53A267F4"/>
    <w:rsid w:val="53A70F92"/>
    <w:rsid w:val="53AA50E8"/>
    <w:rsid w:val="53AB0A82"/>
    <w:rsid w:val="53AD0E81"/>
    <w:rsid w:val="53AE40CE"/>
    <w:rsid w:val="53B00186"/>
    <w:rsid w:val="53B279B8"/>
    <w:rsid w:val="53B51901"/>
    <w:rsid w:val="53B66FD2"/>
    <w:rsid w:val="53B97094"/>
    <w:rsid w:val="53BC4F75"/>
    <w:rsid w:val="53C27B7A"/>
    <w:rsid w:val="53C438F2"/>
    <w:rsid w:val="53C54180"/>
    <w:rsid w:val="53C658BC"/>
    <w:rsid w:val="53DA21FE"/>
    <w:rsid w:val="53DD2C05"/>
    <w:rsid w:val="53DF072C"/>
    <w:rsid w:val="53E21FCA"/>
    <w:rsid w:val="53E45D42"/>
    <w:rsid w:val="53E915AA"/>
    <w:rsid w:val="53F344C4"/>
    <w:rsid w:val="53FA5565"/>
    <w:rsid w:val="53FD0BB2"/>
    <w:rsid w:val="54063E08"/>
    <w:rsid w:val="54120B01"/>
    <w:rsid w:val="5416249B"/>
    <w:rsid w:val="5417546D"/>
    <w:rsid w:val="5418076C"/>
    <w:rsid w:val="541A6D25"/>
    <w:rsid w:val="541C54DC"/>
    <w:rsid w:val="542070C3"/>
    <w:rsid w:val="54240BF1"/>
    <w:rsid w:val="5424554E"/>
    <w:rsid w:val="5426683C"/>
    <w:rsid w:val="54336CC9"/>
    <w:rsid w:val="543437E8"/>
    <w:rsid w:val="543F1B6B"/>
    <w:rsid w:val="54455CD4"/>
    <w:rsid w:val="544607AB"/>
    <w:rsid w:val="54556C40"/>
    <w:rsid w:val="5455724B"/>
    <w:rsid w:val="545B76B8"/>
    <w:rsid w:val="54601E82"/>
    <w:rsid w:val="546165CB"/>
    <w:rsid w:val="5465677E"/>
    <w:rsid w:val="54680721"/>
    <w:rsid w:val="54714874"/>
    <w:rsid w:val="547E0729"/>
    <w:rsid w:val="548742DA"/>
    <w:rsid w:val="548968E9"/>
    <w:rsid w:val="54906BB2"/>
    <w:rsid w:val="54907C78"/>
    <w:rsid w:val="54994CF6"/>
    <w:rsid w:val="549F13BA"/>
    <w:rsid w:val="54A508C8"/>
    <w:rsid w:val="54A57FFE"/>
    <w:rsid w:val="54B74F13"/>
    <w:rsid w:val="54B838D6"/>
    <w:rsid w:val="54BE38C9"/>
    <w:rsid w:val="54BF1993"/>
    <w:rsid w:val="54C07EA1"/>
    <w:rsid w:val="54C55B73"/>
    <w:rsid w:val="54C93146"/>
    <w:rsid w:val="54C94AC4"/>
    <w:rsid w:val="54D758A7"/>
    <w:rsid w:val="54DE09E3"/>
    <w:rsid w:val="54E16725"/>
    <w:rsid w:val="54E311F9"/>
    <w:rsid w:val="54E56216"/>
    <w:rsid w:val="54E81862"/>
    <w:rsid w:val="54EB4EAE"/>
    <w:rsid w:val="54F171A3"/>
    <w:rsid w:val="54F3272E"/>
    <w:rsid w:val="54F73313"/>
    <w:rsid w:val="54F80955"/>
    <w:rsid w:val="54FC7620"/>
    <w:rsid w:val="55035F6A"/>
    <w:rsid w:val="55050666"/>
    <w:rsid w:val="550E3E94"/>
    <w:rsid w:val="550F6DEF"/>
    <w:rsid w:val="55114722"/>
    <w:rsid w:val="55161FB1"/>
    <w:rsid w:val="55164621"/>
    <w:rsid w:val="55172526"/>
    <w:rsid w:val="55183B6A"/>
    <w:rsid w:val="551B1C37"/>
    <w:rsid w:val="55222717"/>
    <w:rsid w:val="552B174F"/>
    <w:rsid w:val="552D3719"/>
    <w:rsid w:val="55344AA7"/>
    <w:rsid w:val="5539253A"/>
    <w:rsid w:val="55450D54"/>
    <w:rsid w:val="554A42CB"/>
    <w:rsid w:val="555170A7"/>
    <w:rsid w:val="555403C4"/>
    <w:rsid w:val="55566E19"/>
    <w:rsid w:val="555869E7"/>
    <w:rsid w:val="555E27E2"/>
    <w:rsid w:val="556233C2"/>
    <w:rsid w:val="55652CC8"/>
    <w:rsid w:val="557650C0"/>
    <w:rsid w:val="55784DF8"/>
    <w:rsid w:val="55825812"/>
    <w:rsid w:val="558477DD"/>
    <w:rsid w:val="5587536D"/>
    <w:rsid w:val="558E1787"/>
    <w:rsid w:val="559258BC"/>
    <w:rsid w:val="55956932"/>
    <w:rsid w:val="559A7000"/>
    <w:rsid w:val="559B174B"/>
    <w:rsid w:val="559B4B26"/>
    <w:rsid w:val="55A25EB5"/>
    <w:rsid w:val="55AE2AAB"/>
    <w:rsid w:val="55B15F69"/>
    <w:rsid w:val="55B33C1E"/>
    <w:rsid w:val="55B47996"/>
    <w:rsid w:val="55B55BE8"/>
    <w:rsid w:val="55BC52D1"/>
    <w:rsid w:val="55C523D8"/>
    <w:rsid w:val="55C91B3D"/>
    <w:rsid w:val="55CB6443"/>
    <w:rsid w:val="55CC46FA"/>
    <w:rsid w:val="55CE0CF4"/>
    <w:rsid w:val="55D12672"/>
    <w:rsid w:val="55D62DB1"/>
    <w:rsid w:val="55DA38A0"/>
    <w:rsid w:val="55E55949"/>
    <w:rsid w:val="55F47A2B"/>
    <w:rsid w:val="55FB3754"/>
    <w:rsid w:val="55FD7055"/>
    <w:rsid w:val="56072192"/>
    <w:rsid w:val="56091A90"/>
    <w:rsid w:val="560C1580"/>
    <w:rsid w:val="56112C0B"/>
    <w:rsid w:val="56155343"/>
    <w:rsid w:val="56177A73"/>
    <w:rsid w:val="56187BE9"/>
    <w:rsid w:val="56191E6A"/>
    <w:rsid w:val="561A1EEF"/>
    <w:rsid w:val="561C1BD0"/>
    <w:rsid w:val="561F7505"/>
    <w:rsid w:val="562858FB"/>
    <w:rsid w:val="562A1B91"/>
    <w:rsid w:val="562B40FC"/>
    <w:rsid w:val="563034C0"/>
    <w:rsid w:val="56304A34"/>
    <w:rsid w:val="56352885"/>
    <w:rsid w:val="56370D9B"/>
    <w:rsid w:val="5640195D"/>
    <w:rsid w:val="56473FF3"/>
    <w:rsid w:val="564E4841"/>
    <w:rsid w:val="56500E7F"/>
    <w:rsid w:val="565020BD"/>
    <w:rsid w:val="56505911"/>
    <w:rsid w:val="56584D0B"/>
    <w:rsid w:val="565C6063"/>
    <w:rsid w:val="566234E3"/>
    <w:rsid w:val="56643D23"/>
    <w:rsid w:val="566E4597"/>
    <w:rsid w:val="567333AD"/>
    <w:rsid w:val="567848DB"/>
    <w:rsid w:val="567945F1"/>
    <w:rsid w:val="567D19E4"/>
    <w:rsid w:val="567F61F6"/>
    <w:rsid w:val="56821842"/>
    <w:rsid w:val="56841146"/>
    <w:rsid w:val="56867584"/>
    <w:rsid w:val="569357FD"/>
    <w:rsid w:val="569E48CE"/>
    <w:rsid w:val="569F0646"/>
    <w:rsid w:val="569F41A2"/>
    <w:rsid w:val="569F71AC"/>
    <w:rsid w:val="56A30136"/>
    <w:rsid w:val="56AE2637"/>
    <w:rsid w:val="56B20379"/>
    <w:rsid w:val="56B22A9C"/>
    <w:rsid w:val="56B23ED5"/>
    <w:rsid w:val="56B52F3D"/>
    <w:rsid w:val="56B656D9"/>
    <w:rsid w:val="56BF65F2"/>
    <w:rsid w:val="56D26BB7"/>
    <w:rsid w:val="56EB73E7"/>
    <w:rsid w:val="56F20776"/>
    <w:rsid w:val="56F72230"/>
    <w:rsid w:val="56F928D1"/>
    <w:rsid w:val="57034731"/>
    <w:rsid w:val="570404A9"/>
    <w:rsid w:val="57081D47"/>
    <w:rsid w:val="570A3D11"/>
    <w:rsid w:val="570D3802"/>
    <w:rsid w:val="570F1328"/>
    <w:rsid w:val="57100E59"/>
    <w:rsid w:val="571526B6"/>
    <w:rsid w:val="5715598F"/>
    <w:rsid w:val="571E3B8D"/>
    <w:rsid w:val="5721105B"/>
    <w:rsid w:val="57347ECA"/>
    <w:rsid w:val="5736250D"/>
    <w:rsid w:val="5737262D"/>
    <w:rsid w:val="573E39BB"/>
    <w:rsid w:val="574865E8"/>
    <w:rsid w:val="574D3BFE"/>
    <w:rsid w:val="574F3E1A"/>
    <w:rsid w:val="5755592A"/>
    <w:rsid w:val="5757420F"/>
    <w:rsid w:val="5758598D"/>
    <w:rsid w:val="575B6C94"/>
    <w:rsid w:val="575C2093"/>
    <w:rsid w:val="575D6758"/>
    <w:rsid w:val="575E405D"/>
    <w:rsid w:val="5765719A"/>
    <w:rsid w:val="57692728"/>
    <w:rsid w:val="576B059B"/>
    <w:rsid w:val="57767C23"/>
    <w:rsid w:val="578753B3"/>
    <w:rsid w:val="5789732C"/>
    <w:rsid w:val="578B3DB9"/>
    <w:rsid w:val="578D049F"/>
    <w:rsid w:val="578E3428"/>
    <w:rsid w:val="57A55815"/>
    <w:rsid w:val="57AE0B6B"/>
    <w:rsid w:val="57AE3C8F"/>
    <w:rsid w:val="57B679F5"/>
    <w:rsid w:val="57B72A76"/>
    <w:rsid w:val="57B91DA5"/>
    <w:rsid w:val="57B96C96"/>
    <w:rsid w:val="57BC40F5"/>
    <w:rsid w:val="57BD0D84"/>
    <w:rsid w:val="57BD5228"/>
    <w:rsid w:val="57C16BDD"/>
    <w:rsid w:val="57C3426C"/>
    <w:rsid w:val="57C83A61"/>
    <w:rsid w:val="57CE1F93"/>
    <w:rsid w:val="57D177FA"/>
    <w:rsid w:val="57D91936"/>
    <w:rsid w:val="57E04A72"/>
    <w:rsid w:val="57E417AB"/>
    <w:rsid w:val="57E44562"/>
    <w:rsid w:val="57E72A68"/>
    <w:rsid w:val="57E75E01"/>
    <w:rsid w:val="57E83927"/>
    <w:rsid w:val="57E9165C"/>
    <w:rsid w:val="57EC0D14"/>
    <w:rsid w:val="57F8116D"/>
    <w:rsid w:val="580C03E7"/>
    <w:rsid w:val="580E15DF"/>
    <w:rsid w:val="58164EE9"/>
    <w:rsid w:val="58193D27"/>
    <w:rsid w:val="581B3578"/>
    <w:rsid w:val="58254B7B"/>
    <w:rsid w:val="582C4844"/>
    <w:rsid w:val="582C5F09"/>
    <w:rsid w:val="58353010"/>
    <w:rsid w:val="583A2B0B"/>
    <w:rsid w:val="583D3C73"/>
    <w:rsid w:val="585409EA"/>
    <w:rsid w:val="58582A0B"/>
    <w:rsid w:val="585F037B"/>
    <w:rsid w:val="585F1E3B"/>
    <w:rsid w:val="58607961"/>
    <w:rsid w:val="58613E05"/>
    <w:rsid w:val="58677DAE"/>
    <w:rsid w:val="586B4C84"/>
    <w:rsid w:val="586B6C0A"/>
    <w:rsid w:val="586C3723"/>
    <w:rsid w:val="586E37F0"/>
    <w:rsid w:val="58744A0E"/>
    <w:rsid w:val="5878114F"/>
    <w:rsid w:val="587873A1"/>
    <w:rsid w:val="587A6839"/>
    <w:rsid w:val="587C29ED"/>
    <w:rsid w:val="58800602"/>
    <w:rsid w:val="58847AF3"/>
    <w:rsid w:val="588743D1"/>
    <w:rsid w:val="5887701A"/>
    <w:rsid w:val="588A581C"/>
    <w:rsid w:val="588B6398"/>
    <w:rsid w:val="588D6C31"/>
    <w:rsid w:val="588F3052"/>
    <w:rsid w:val="589F37FB"/>
    <w:rsid w:val="58A1580D"/>
    <w:rsid w:val="58A43BC7"/>
    <w:rsid w:val="58B01BD5"/>
    <w:rsid w:val="58C12AF6"/>
    <w:rsid w:val="58C61EBA"/>
    <w:rsid w:val="58C877EF"/>
    <w:rsid w:val="58CA6736"/>
    <w:rsid w:val="58D02C46"/>
    <w:rsid w:val="58D36385"/>
    <w:rsid w:val="58D84358"/>
    <w:rsid w:val="58DB76CE"/>
    <w:rsid w:val="58E42340"/>
    <w:rsid w:val="58E800D0"/>
    <w:rsid w:val="58E862EF"/>
    <w:rsid w:val="58E95BA9"/>
    <w:rsid w:val="58F31C0A"/>
    <w:rsid w:val="590649AC"/>
    <w:rsid w:val="590A3278"/>
    <w:rsid w:val="590B3D71"/>
    <w:rsid w:val="59154BEF"/>
    <w:rsid w:val="591A1071"/>
    <w:rsid w:val="591C41D0"/>
    <w:rsid w:val="591C7D2C"/>
    <w:rsid w:val="591F15CA"/>
    <w:rsid w:val="59203E50"/>
    <w:rsid w:val="592157EC"/>
    <w:rsid w:val="592230B8"/>
    <w:rsid w:val="59260BAB"/>
    <w:rsid w:val="59316DAB"/>
    <w:rsid w:val="59351CF1"/>
    <w:rsid w:val="59357C33"/>
    <w:rsid w:val="59397B67"/>
    <w:rsid w:val="593E5EF4"/>
    <w:rsid w:val="593E7CA2"/>
    <w:rsid w:val="595219A0"/>
    <w:rsid w:val="59531C06"/>
    <w:rsid w:val="59554FEC"/>
    <w:rsid w:val="595977CB"/>
    <w:rsid w:val="5965043F"/>
    <w:rsid w:val="596F2552"/>
    <w:rsid w:val="5971572E"/>
    <w:rsid w:val="59725B9E"/>
    <w:rsid w:val="59741A40"/>
    <w:rsid w:val="59796F2C"/>
    <w:rsid w:val="598067F2"/>
    <w:rsid w:val="59822285"/>
    <w:rsid w:val="598558D1"/>
    <w:rsid w:val="598D5E93"/>
    <w:rsid w:val="5996188C"/>
    <w:rsid w:val="599853F9"/>
    <w:rsid w:val="5999312B"/>
    <w:rsid w:val="59AF6A9C"/>
    <w:rsid w:val="59B05F22"/>
    <w:rsid w:val="59B368E2"/>
    <w:rsid w:val="59B70343"/>
    <w:rsid w:val="59B70DED"/>
    <w:rsid w:val="59BD5424"/>
    <w:rsid w:val="59BE5287"/>
    <w:rsid w:val="59C0439F"/>
    <w:rsid w:val="59C2148F"/>
    <w:rsid w:val="59C42947"/>
    <w:rsid w:val="59C57D92"/>
    <w:rsid w:val="59C60DEC"/>
    <w:rsid w:val="59D80FB4"/>
    <w:rsid w:val="59DD570D"/>
    <w:rsid w:val="59E74C9B"/>
    <w:rsid w:val="59E85E60"/>
    <w:rsid w:val="59EC476E"/>
    <w:rsid w:val="59F17FB6"/>
    <w:rsid w:val="59F7384D"/>
    <w:rsid w:val="59F842F5"/>
    <w:rsid w:val="5A00764E"/>
    <w:rsid w:val="5A131C45"/>
    <w:rsid w:val="5A144EA7"/>
    <w:rsid w:val="5A1924BD"/>
    <w:rsid w:val="5A2275C4"/>
    <w:rsid w:val="5A2519B4"/>
    <w:rsid w:val="5A3266F9"/>
    <w:rsid w:val="5A380B96"/>
    <w:rsid w:val="5A3D0B5E"/>
    <w:rsid w:val="5A3D61AC"/>
    <w:rsid w:val="5A3F5302"/>
    <w:rsid w:val="5A43165F"/>
    <w:rsid w:val="5A533AA6"/>
    <w:rsid w:val="5A584D94"/>
    <w:rsid w:val="5A647BDD"/>
    <w:rsid w:val="5A661BB0"/>
    <w:rsid w:val="5A661E4F"/>
    <w:rsid w:val="5A667610"/>
    <w:rsid w:val="5A683638"/>
    <w:rsid w:val="5A683973"/>
    <w:rsid w:val="5A697C7E"/>
    <w:rsid w:val="5A6A10F2"/>
    <w:rsid w:val="5A6B0F6B"/>
    <w:rsid w:val="5A6F73F0"/>
    <w:rsid w:val="5A715C9D"/>
    <w:rsid w:val="5A84202D"/>
    <w:rsid w:val="5A8A1EA7"/>
    <w:rsid w:val="5A9431E5"/>
    <w:rsid w:val="5A957D96"/>
    <w:rsid w:val="5A9C7376"/>
    <w:rsid w:val="5AA12BDF"/>
    <w:rsid w:val="5AA75D1B"/>
    <w:rsid w:val="5AAD5EF2"/>
    <w:rsid w:val="5AAE0D36"/>
    <w:rsid w:val="5AB4682F"/>
    <w:rsid w:val="5AB741B0"/>
    <w:rsid w:val="5AB81256"/>
    <w:rsid w:val="5AB97AD3"/>
    <w:rsid w:val="5ABE2233"/>
    <w:rsid w:val="5AC07C01"/>
    <w:rsid w:val="5AC9020D"/>
    <w:rsid w:val="5ACD7F18"/>
    <w:rsid w:val="5AD3240B"/>
    <w:rsid w:val="5ADF7B1F"/>
    <w:rsid w:val="5AF06A16"/>
    <w:rsid w:val="5AF20E4A"/>
    <w:rsid w:val="5AF251E8"/>
    <w:rsid w:val="5AF47185"/>
    <w:rsid w:val="5AF80325"/>
    <w:rsid w:val="5AFC1BC3"/>
    <w:rsid w:val="5B045119"/>
    <w:rsid w:val="5B142780"/>
    <w:rsid w:val="5B1519CB"/>
    <w:rsid w:val="5B22329D"/>
    <w:rsid w:val="5B245E69"/>
    <w:rsid w:val="5B271423"/>
    <w:rsid w:val="5B28274C"/>
    <w:rsid w:val="5B2F6B51"/>
    <w:rsid w:val="5B307ABF"/>
    <w:rsid w:val="5B3C1EE6"/>
    <w:rsid w:val="5B44356A"/>
    <w:rsid w:val="5B457277"/>
    <w:rsid w:val="5B482A95"/>
    <w:rsid w:val="5B4930DF"/>
    <w:rsid w:val="5B4B4C77"/>
    <w:rsid w:val="5B4E6197"/>
    <w:rsid w:val="5B4F263B"/>
    <w:rsid w:val="5B506202"/>
    <w:rsid w:val="5B57504B"/>
    <w:rsid w:val="5B5C4D58"/>
    <w:rsid w:val="5B6161E4"/>
    <w:rsid w:val="5B677D81"/>
    <w:rsid w:val="5B6B0AF7"/>
    <w:rsid w:val="5B6B6D49"/>
    <w:rsid w:val="5B6E1487"/>
    <w:rsid w:val="5B7C4526"/>
    <w:rsid w:val="5B800982"/>
    <w:rsid w:val="5B8411FD"/>
    <w:rsid w:val="5B982E74"/>
    <w:rsid w:val="5B9938B6"/>
    <w:rsid w:val="5BA835E7"/>
    <w:rsid w:val="5BAD55B3"/>
    <w:rsid w:val="5BBA30EF"/>
    <w:rsid w:val="5BBB7CD0"/>
    <w:rsid w:val="5BCB23D8"/>
    <w:rsid w:val="5BD37CD3"/>
    <w:rsid w:val="5BD83A12"/>
    <w:rsid w:val="5BDB7A2A"/>
    <w:rsid w:val="5BDC01A7"/>
    <w:rsid w:val="5BDE576D"/>
    <w:rsid w:val="5BDF5D95"/>
    <w:rsid w:val="5BE41F1D"/>
    <w:rsid w:val="5BE77AA9"/>
    <w:rsid w:val="5BEB2893"/>
    <w:rsid w:val="5BF705DC"/>
    <w:rsid w:val="5BFE7528"/>
    <w:rsid w:val="5C005637"/>
    <w:rsid w:val="5C007491"/>
    <w:rsid w:val="5C044ACF"/>
    <w:rsid w:val="5C1E3DBB"/>
    <w:rsid w:val="5C217C66"/>
    <w:rsid w:val="5C237883"/>
    <w:rsid w:val="5C245875"/>
    <w:rsid w:val="5C2A2760"/>
    <w:rsid w:val="5C3929A3"/>
    <w:rsid w:val="5C433822"/>
    <w:rsid w:val="5C455FC2"/>
    <w:rsid w:val="5C464523"/>
    <w:rsid w:val="5C4A069B"/>
    <w:rsid w:val="5C4F0418"/>
    <w:rsid w:val="5C555576"/>
    <w:rsid w:val="5C576AA6"/>
    <w:rsid w:val="5C593045"/>
    <w:rsid w:val="5C5F68AD"/>
    <w:rsid w:val="5C62639E"/>
    <w:rsid w:val="5C682994"/>
    <w:rsid w:val="5C6A7000"/>
    <w:rsid w:val="5C6C2D78"/>
    <w:rsid w:val="5C781EA7"/>
    <w:rsid w:val="5C7A2FAF"/>
    <w:rsid w:val="5C7B2FBB"/>
    <w:rsid w:val="5C82259C"/>
    <w:rsid w:val="5C84211D"/>
    <w:rsid w:val="5C85625D"/>
    <w:rsid w:val="5C8C4945"/>
    <w:rsid w:val="5C8E7193"/>
    <w:rsid w:val="5C902F0B"/>
    <w:rsid w:val="5C91458D"/>
    <w:rsid w:val="5C961BA3"/>
    <w:rsid w:val="5C9C024C"/>
    <w:rsid w:val="5CA240BE"/>
    <w:rsid w:val="5CA75C28"/>
    <w:rsid w:val="5CAE513F"/>
    <w:rsid w:val="5CBA5079"/>
    <w:rsid w:val="5CBA7F88"/>
    <w:rsid w:val="5CBB0AC5"/>
    <w:rsid w:val="5CBC7642"/>
    <w:rsid w:val="5CBF3842"/>
    <w:rsid w:val="5CCD707A"/>
    <w:rsid w:val="5CCE3BBA"/>
    <w:rsid w:val="5CD57FD1"/>
    <w:rsid w:val="5CD728E8"/>
    <w:rsid w:val="5CE07ABA"/>
    <w:rsid w:val="5CE2303B"/>
    <w:rsid w:val="5CE32632"/>
    <w:rsid w:val="5CE40B61"/>
    <w:rsid w:val="5CE60D7D"/>
    <w:rsid w:val="5CE62B2B"/>
    <w:rsid w:val="5CEB4C0A"/>
    <w:rsid w:val="5CEB575B"/>
    <w:rsid w:val="5CEE5E83"/>
    <w:rsid w:val="5CF52D6E"/>
    <w:rsid w:val="5CF97DDB"/>
    <w:rsid w:val="5CFE178C"/>
    <w:rsid w:val="5D005803"/>
    <w:rsid w:val="5D02513D"/>
    <w:rsid w:val="5D092032"/>
    <w:rsid w:val="5D101956"/>
    <w:rsid w:val="5D123920"/>
    <w:rsid w:val="5D137698"/>
    <w:rsid w:val="5D1458EA"/>
    <w:rsid w:val="5D172CE4"/>
    <w:rsid w:val="5D1A0A26"/>
    <w:rsid w:val="5D207DB2"/>
    <w:rsid w:val="5D243653"/>
    <w:rsid w:val="5D245401"/>
    <w:rsid w:val="5D254657"/>
    <w:rsid w:val="5D2A79FB"/>
    <w:rsid w:val="5D3D4C4F"/>
    <w:rsid w:val="5D450B14"/>
    <w:rsid w:val="5D467A6D"/>
    <w:rsid w:val="5D473C16"/>
    <w:rsid w:val="5D4C3929"/>
    <w:rsid w:val="5D4C7FC4"/>
    <w:rsid w:val="5D515502"/>
    <w:rsid w:val="5D544D6E"/>
    <w:rsid w:val="5D577585"/>
    <w:rsid w:val="5D5B1F15"/>
    <w:rsid w:val="5D697E4F"/>
    <w:rsid w:val="5D6E1694"/>
    <w:rsid w:val="5D740D4D"/>
    <w:rsid w:val="5D755C5D"/>
    <w:rsid w:val="5D7719D5"/>
    <w:rsid w:val="5D7A3273"/>
    <w:rsid w:val="5D7F1B64"/>
    <w:rsid w:val="5D7F2AAE"/>
    <w:rsid w:val="5D806E51"/>
    <w:rsid w:val="5D8368B4"/>
    <w:rsid w:val="5D891708"/>
    <w:rsid w:val="5D9200D4"/>
    <w:rsid w:val="5D926420"/>
    <w:rsid w:val="5D9F6C40"/>
    <w:rsid w:val="5DA327CA"/>
    <w:rsid w:val="5DA36C6E"/>
    <w:rsid w:val="5DA64068"/>
    <w:rsid w:val="5DA84258"/>
    <w:rsid w:val="5DA86032"/>
    <w:rsid w:val="5DA87DE0"/>
    <w:rsid w:val="5DB1138B"/>
    <w:rsid w:val="5DB72F61"/>
    <w:rsid w:val="5DB744C7"/>
    <w:rsid w:val="5DB949BF"/>
    <w:rsid w:val="5DBC1ADE"/>
    <w:rsid w:val="5DBE4B3E"/>
    <w:rsid w:val="5DC12387"/>
    <w:rsid w:val="5DC733C2"/>
    <w:rsid w:val="5DC866D4"/>
    <w:rsid w:val="5DCD5A99"/>
    <w:rsid w:val="5DD23992"/>
    <w:rsid w:val="5DD762E7"/>
    <w:rsid w:val="5DDC3D25"/>
    <w:rsid w:val="5DDE7CA6"/>
    <w:rsid w:val="5DE03A1E"/>
    <w:rsid w:val="5DE347DD"/>
    <w:rsid w:val="5DE64E88"/>
    <w:rsid w:val="5DF43025"/>
    <w:rsid w:val="5DF474C9"/>
    <w:rsid w:val="5DFB0858"/>
    <w:rsid w:val="5DFE3EA4"/>
    <w:rsid w:val="5E015734"/>
    <w:rsid w:val="5E0314BA"/>
    <w:rsid w:val="5E053AAB"/>
    <w:rsid w:val="5E086AD1"/>
    <w:rsid w:val="5E167B56"/>
    <w:rsid w:val="5E1B4A56"/>
    <w:rsid w:val="5E1D44DE"/>
    <w:rsid w:val="5E245356"/>
    <w:rsid w:val="5E2467F1"/>
    <w:rsid w:val="5E27164D"/>
    <w:rsid w:val="5E2B7EEF"/>
    <w:rsid w:val="5E2D2E8B"/>
    <w:rsid w:val="5E337FF2"/>
    <w:rsid w:val="5E371164"/>
    <w:rsid w:val="5E3E24F3"/>
    <w:rsid w:val="5E4107AB"/>
    <w:rsid w:val="5E4F3C33"/>
    <w:rsid w:val="5E5203C1"/>
    <w:rsid w:val="5E5E2B95"/>
    <w:rsid w:val="5E5E7E6E"/>
    <w:rsid w:val="5E622685"/>
    <w:rsid w:val="5E6418A6"/>
    <w:rsid w:val="5E642D92"/>
    <w:rsid w:val="5E646319"/>
    <w:rsid w:val="5E671A49"/>
    <w:rsid w:val="5E687FB4"/>
    <w:rsid w:val="5E693764"/>
    <w:rsid w:val="5E745F14"/>
    <w:rsid w:val="5E7557A0"/>
    <w:rsid w:val="5E82471A"/>
    <w:rsid w:val="5E8F4E93"/>
    <w:rsid w:val="5E934BE3"/>
    <w:rsid w:val="5E9640DD"/>
    <w:rsid w:val="5E990E3C"/>
    <w:rsid w:val="5E9B7945"/>
    <w:rsid w:val="5EAA2E6D"/>
    <w:rsid w:val="5EAB3CD3"/>
    <w:rsid w:val="5EAC5CC5"/>
    <w:rsid w:val="5EAF0B28"/>
    <w:rsid w:val="5EB0499E"/>
    <w:rsid w:val="5EB449A2"/>
    <w:rsid w:val="5EB629D1"/>
    <w:rsid w:val="5EB731DD"/>
    <w:rsid w:val="5EBB1367"/>
    <w:rsid w:val="5EBD3D5F"/>
    <w:rsid w:val="5EC24ED2"/>
    <w:rsid w:val="5EC40689"/>
    <w:rsid w:val="5ECC51FB"/>
    <w:rsid w:val="5ECE3876"/>
    <w:rsid w:val="5ED33C42"/>
    <w:rsid w:val="5EDD3642"/>
    <w:rsid w:val="5EDE5CE1"/>
    <w:rsid w:val="5EE03046"/>
    <w:rsid w:val="5EE73C99"/>
    <w:rsid w:val="5EED61F3"/>
    <w:rsid w:val="5EF5161B"/>
    <w:rsid w:val="5EF552A7"/>
    <w:rsid w:val="5EFA28BD"/>
    <w:rsid w:val="5EFF1C82"/>
    <w:rsid w:val="5F01512C"/>
    <w:rsid w:val="5F066AD1"/>
    <w:rsid w:val="5F0D6EDA"/>
    <w:rsid w:val="5F175824"/>
    <w:rsid w:val="5F177466"/>
    <w:rsid w:val="5F1A2B43"/>
    <w:rsid w:val="5F1F2324"/>
    <w:rsid w:val="5F2057CE"/>
    <w:rsid w:val="5F254560"/>
    <w:rsid w:val="5F2F6930"/>
    <w:rsid w:val="5F303320"/>
    <w:rsid w:val="5F320FAD"/>
    <w:rsid w:val="5F322E09"/>
    <w:rsid w:val="5F341E2D"/>
    <w:rsid w:val="5F3444B7"/>
    <w:rsid w:val="5F357D99"/>
    <w:rsid w:val="5F3750DA"/>
    <w:rsid w:val="5F37766E"/>
    <w:rsid w:val="5F3D77A1"/>
    <w:rsid w:val="5F4633A5"/>
    <w:rsid w:val="5F4C2735"/>
    <w:rsid w:val="5F5A480F"/>
    <w:rsid w:val="5F5F5D88"/>
    <w:rsid w:val="5F636B23"/>
    <w:rsid w:val="5F6661A5"/>
    <w:rsid w:val="5F6E6615"/>
    <w:rsid w:val="5F73062B"/>
    <w:rsid w:val="5F797C86"/>
    <w:rsid w:val="5F7F5356"/>
    <w:rsid w:val="5F7F7267"/>
    <w:rsid w:val="5F84662B"/>
    <w:rsid w:val="5F8B3350"/>
    <w:rsid w:val="5F8B5C94"/>
    <w:rsid w:val="5F8D54E0"/>
    <w:rsid w:val="5F93686E"/>
    <w:rsid w:val="5F985E62"/>
    <w:rsid w:val="5F9E593F"/>
    <w:rsid w:val="5FA15FFE"/>
    <w:rsid w:val="5FA44C0D"/>
    <w:rsid w:val="5FA63769"/>
    <w:rsid w:val="5FA647F3"/>
    <w:rsid w:val="5FA70C33"/>
    <w:rsid w:val="5FAF18FA"/>
    <w:rsid w:val="5FB837BB"/>
    <w:rsid w:val="5FB9735A"/>
    <w:rsid w:val="5FC00C06"/>
    <w:rsid w:val="5FC01D8E"/>
    <w:rsid w:val="5FC03B07"/>
    <w:rsid w:val="5FC133DB"/>
    <w:rsid w:val="5FC66CD6"/>
    <w:rsid w:val="5FCD32BF"/>
    <w:rsid w:val="5FCF78A6"/>
    <w:rsid w:val="5FD273E6"/>
    <w:rsid w:val="5FD41360"/>
    <w:rsid w:val="5FD4310E"/>
    <w:rsid w:val="5FD44EBD"/>
    <w:rsid w:val="5FD9212E"/>
    <w:rsid w:val="5FE80968"/>
    <w:rsid w:val="5FE91C23"/>
    <w:rsid w:val="5FEC48FC"/>
    <w:rsid w:val="5FF61656"/>
    <w:rsid w:val="5FFE1974"/>
    <w:rsid w:val="600B4B1F"/>
    <w:rsid w:val="60116111"/>
    <w:rsid w:val="60162291"/>
    <w:rsid w:val="60172FFB"/>
    <w:rsid w:val="6022031E"/>
    <w:rsid w:val="602F410D"/>
    <w:rsid w:val="603043B8"/>
    <w:rsid w:val="6034384C"/>
    <w:rsid w:val="603447D6"/>
    <w:rsid w:val="60381FB2"/>
    <w:rsid w:val="603D6F06"/>
    <w:rsid w:val="604069F0"/>
    <w:rsid w:val="604406E7"/>
    <w:rsid w:val="60441667"/>
    <w:rsid w:val="60496956"/>
    <w:rsid w:val="60553090"/>
    <w:rsid w:val="60563B24"/>
    <w:rsid w:val="605C33D5"/>
    <w:rsid w:val="605D0F24"/>
    <w:rsid w:val="605F08C6"/>
    <w:rsid w:val="605F3475"/>
    <w:rsid w:val="60634492"/>
    <w:rsid w:val="606A5821"/>
    <w:rsid w:val="60702996"/>
    <w:rsid w:val="60793CB6"/>
    <w:rsid w:val="607B7A2E"/>
    <w:rsid w:val="608444A2"/>
    <w:rsid w:val="608F2ABA"/>
    <w:rsid w:val="609058B2"/>
    <w:rsid w:val="60911000"/>
    <w:rsid w:val="6094289E"/>
    <w:rsid w:val="60964334"/>
    <w:rsid w:val="60965ED5"/>
    <w:rsid w:val="60980685"/>
    <w:rsid w:val="609B24C1"/>
    <w:rsid w:val="60A07495"/>
    <w:rsid w:val="60B2789C"/>
    <w:rsid w:val="60B947BF"/>
    <w:rsid w:val="60BE4FE7"/>
    <w:rsid w:val="60C03693"/>
    <w:rsid w:val="60C90799"/>
    <w:rsid w:val="60CC2038"/>
    <w:rsid w:val="60CC405A"/>
    <w:rsid w:val="60CD4AC4"/>
    <w:rsid w:val="60CF38D6"/>
    <w:rsid w:val="60D65D3F"/>
    <w:rsid w:val="60DA27FA"/>
    <w:rsid w:val="60DA29A7"/>
    <w:rsid w:val="60DB04CD"/>
    <w:rsid w:val="60E31383"/>
    <w:rsid w:val="60E357B2"/>
    <w:rsid w:val="60EB4299"/>
    <w:rsid w:val="60F51A9F"/>
    <w:rsid w:val="60F97A65"/>
    <w:rsid w:val="60FF4F56"/>
    <w:rsid w:val="61026496"/>
    <w:rsid w:val="610A2B60"/>
    <w:rsid w:val="610B0DB2"/>
    <w:rsid w:val="610D7308"/>
    <w:rsid w:val="61122B5C"/>
    <w:rsid w:val="61210567"/>
    <w:rsid w:val="612400C6"/>
    <w:rsid w:val="612F17DD"/>
    <w:rsid w:val="613172B1"/>
    <w:rsid w:val="61355E2F"/>
    <w:rsid w:val="613748B3"/>
    <w:rsid w:val="613A02BC"/>
    <w:rsid w:val="613B16DD"/>
    <w:rsid w:val="613D1187"/>
    <w:rsid w:val="613E517C"/>
    <w:rsid w:val="61452CCF"/>
    <w:rsid w:val="61471ACE"/>
    <w:rsid w:val="61477910"/>
    <w:rsid w:val="614835BB"/>
    <w:rsid w:val="614B38A4"/>
    <w:rsid w:val="614B5525"/>
    <w:rsid w:val="614B7400"/>
    <w:rsid w:val="615655C8"/>
    <w:rsid w:val="61582A86"/>
    <w:rsid w:val="615838CB"/>
    <w:rsid w:val="6162474A"/>
    <w:rsid w:val="616A7D2F"/>
    <w:rsid w:val="616C280F"/>
    <w:rsid w:val="616D381B"/>
    <w:rsid w:val="616E30EF"/>
    <w:rsid w:val="617678A9"/>
    <w:rsid w:val="61771C0F"/>
    <w:rsid w:val="617A1A94"/>
    <w:rsid w:val="617C580C"/>
    <w:rsid w:val="61871BEC"/>
    <w:rsid w:val="61875784"/>
    <w:rsid w:val="618E08DE"/>
    <w:rsid w:val="61920AE7"/>
    <w:rsid w:val="61961775"/>
    <w:rsid w:val="619A70E6"/>
    <w:rsid w:val="619C1A0A"/>
    <w:rsid w:val="619D39D4"/>
    <w:rsid w:val="61A235AD"/>
    <w:rsid w:val="61A62889"/>
    <w:rsid w:val="61AC4114"/>
    <w:rsid w:val="61B34FA6"/>
    <w:rsid w:val="61B525BF"/>
    <w:rsid w:val="61B551C2"/>
    <w:rsid w:val="61BC46E9"/>
    <w:rsid w:val="61BE38BE"/>
    <w:rsid w:val="61BE5E24"/>
    <w:rsid w:val="61BF394A"/>
    <w:rsid w:val="61C03C96"/>
    <w:rsid w:val="61C3343B"/>
    <w:rsid w:val="61D078C2"/>
    <w:rsid w:val="61D17F19"/>
    <w:rsid w:val="61D27ABD"/>
    <w:rsid w:val="61D4389A"/>
    <w:rsid w:val="61E11F84"/>
    <w:rsid w:val="61E138C1"/>
    <w:rsid w:val="61E215D8"/>
    <w:rsid w:val="61E42A84"/>
    <w:rsid w:val="61EC328F"/>
    <w:rsid w:val="61ED6709"/>
    <w:rsid w:val="61EE5FDE"/>
    <w:rsid w:val="61F07FA8"/>
    <w:rsid w:val="61F23F6F"/>
    <w:rsid w:val="61F40A0D"/>
    <w:rsid w:val="61F459C3"/>
    <w:rsid w:val="61FE26C5"/>
    <w:rsid w:val="620121B5"/>
    <w:rsid w:val="62013568"/>
    <w:rsid w:val="62052A92"/>
    <w:rsid w:val="62053A53"/>
    <w:rsid w:val="620560AC"/>
    <w:rsid w:val="6208709F"/>
    <w:rsid w:val="620F6680"/>
    <w:rsid w:val="621177D4"/>
    <w:rsid w:val="62162102"/>
    <w:rsid w:val="6219579E"/>
    <w:rsid w:val="621A5025"/>
    <w:rsid w:val="621B3775"/>
    <w:rsid w:val="621C0109"/>
    <w:rsid w:val="62236DB8"/>
    <w:rsid w:val="622F0628"/>
    <w:rsid w:val="62326812"/>
    <w:rsid w:val="62364782"/>
    <w:rsid w:val="62377985"/>
    <w:rsid w:val="62397BA1"/>
    <w:rsid w:val="623F15C0"/>
    <w:rsid w:val="623F58CC"/>
    <w:rsid w:val="62411992"/>
    <w:rsid w:val="624A3B5C"/>
    <w:rsid w:val="62526006"/>
    <w:rsid w:val="625E13B5"/>
    <w:rsid w:val="62650996"/>
    <w:rsid w:val="6267026A"/>
    <w:rsid w:val="626748EF"/>
    <w:rsid w:val="62675B5F"/>
    <w:rsid w:val="626764BC"/>
    <w:rsid w:val="626773E3"/>
    <w:rsid w:val="626E591F"/>
    <w:rsid w:val="62720DC9"/>
    <w:rsid w:val="62737D19"/>
    <w:rsid w:val="62741A3C"/>
    <w:rsid w:val="62750C70"/>
    <w:rsid w:val="627961EF"/>
    <w:rsid w:val="627E0898"/>
    <w:rsid w:val="627E32D8"/>
    <w:rsid w:val="62800E6D"/>
    <w:rsid w:val="6284156A"/>
    <w:rsid w:val="62877144"/>
    <w:rsid w:val="628D3A49"/>
    <w:rsid w:val="629253D6"/>
    <w:rsid w:val="62944DD7"/>
    <w:rsid w:val="62966DA1"/>
    <w:rsid w:val="62981606"/>
    <w:rsid w:val="629942BC"/>
    <w:rsid w:val="629B01DF"/>
    <w:rsid w:val="629C1EA0"/>
    <w:rsid w:val="62A104EB"/>
    <w:rsid w:val="62AA476A"/>
    <w:rsid w:val="62AA7047"/>
    <w:rsid w:val="62AE40EB"/>
    <w:rsid w:val="62B062BA"/>
    <w:rsid w:val="62B62F9F"/>
    <w:rsid w:val="62B72874"/>
    <w:rsid w:val="62BE6816"/>
    <w:rsid w:val="62C751AC"/>
    <w:rsid w:val="62CA25A7"/>
    <w:rsid w:val="62CC6257"/>
    <w:rsid w:val="62D065B0"/>
    <w:rsid w:val="62D60F4C"/>
    <w:rsid w:val="62D90A3C"/>
    <w:rsid w:val="62DA2113"/>
    <w:rsid w:val="62DB47B4"/>
    <w:rsid w:val="62DF24F6"/>
    <w:rsid w:val="62E0626E"/>
    <w:rsid w:val="62E17F4D"/>
    <w:rsid w:val="62E23D94"/>
    <w:rsid w:val="62E573E1"/>
    <w:rsid w:val="62EC47C4"/>
    <w:rsid w:val="62EC5EBF"/>
    <w:rsid w:val="62F92E8C"/>
    <w:rsid w:val="62FA0E4E"/>
    <w:rsid w:val="62FF6133"/>
    <w:rsid w:val="63065CD5"/>
    <w:rsid w:val="630860AF"/>
    <w:rsid w:val="630A6E47"/>
    <w:rsid w:val="630C2BBF"/>
    <w:rsid w:val="630F1827"/>
    <w:rsid w:val="631F286B"/>
    <w:rsid w:val="63220A8C"/>
    <w:rsid w:val="632A2F4B"/>
    <w:rsid w:val="632D0578"/>
    <w:rsid w:val="63305B02"/>
    <w:rsid w:val="63310878"/>
    <w:rsid w:val="63333538"/>
    <w:rsid w:val="6338770C"/>
    <w:rsid w:val="634D34D4"/>
    <w:rsid w:val="63514A76"/>
    <w:rsid w:val="63520F1A"/>
    <w:rsid w:val="63547AD9"/>
    <w:rsid w:val="63622617"/>
    <w:rsid w:val="63662E33"/>
    <w:rsid w:val="63676048"/>
    <w:rsid w:val="637D564F"/>
    <w:rsid w:val="638B5DC8"/>
    <w:rsid w:val="6390559E"/>
    <w:rsid w:val="639257BA"/>
    <w:rsid w:val="6394356A"/>
    <w:rsid w:val="639473AF"/>
    <w:rsid w:val="63953F16"/>
    <w:rsid w:val="63987044"/>
    <w:rsid w:val="639A01CB"/>
    <w:rsid w:val="639D5F0D"/>
    <w:rsid w:val="639F64D5"/>
    <w:rsid w:val="63A63014"/>
    <w:rsid w:val="63A8247C"/>
    <w:rsid w:val="63BB7FC4"/>
    <w:rsid w:val="63BD210C"/>
    <w:rsid w:val="63C61B2C"/>
    <w:rsid w:val="63C67212"/>
    <w:rsid w:val="63CA720B"/>
    <w:rsid w:val="63CB65D6"/>
    <w:rsid w:val="63CF4045"/>
    <w:rsid w:val="63D303DF"/>
    <w:rsid w:val="63D40BE9"/>
    <w:rsid w:val="63D74F7B"/>
    <w:rsid w:val="63DC4C88"/>
    <w:rsid w:val="63DE1A37"/>
    <w:rsid w:val="63EC01F2"/>
    <w:rsid w:val="63EE6769"/>
    <w:rsid w:val="63F20B51"/>
    <w:rsid w:val="63F4686C"/>
    <w:rsid w:val="63F5164E"/>
    <w:rsid w:val="63F81A82"/>
    <w:rsid w:val="63FA6EBC"/>
    <w:rsid w:val="63FA7F02"/>
    <w:rsid w:val="63FD4F70"/>
    <w:rsid w:val="63FE32AF"/>
    <w:rsid w:val="64065861"/>
    <w:rsid w:val="640A35A3"/>
    <w:rsid w:val="640D4754"/>
    <w:rsid w:val="6410048D"/>
    <w:rsid w:val="64102431"/>
    <w:rsid w:val="64147178"/>
    <w:rsid w:val="64183928"/>
    <w:rsid w:val="641B7B81"/>
    <w:rsid w:val="64214369"/>
    <w:rsid w:val="64221554"/>
    <w:rsid w:val="64267CB1"/>
    <w:rsid w:val="64276DCF"/>
    <w:rsid w:val="642C0428"/>
    <w:rsid w:val="64342B64"/>
    <w:rsid w:val="643B3538"/>
    <w:rsid w:val="64465836"/>
    <w:rsid w:val="644665A5"/>
    <w:rsid w:val="644A563F"/>
    <w:rsid w:val="644C2A6B"/>
    <w:rsid w:val="644D4406"/>
    <w:rsid w:val="64542A70"/>
    <w:rsid w:val="645760BC"/>
    <w:rsid w:val="645E38EF"/>
    <w:rsid w:val="646627A3"/>
    <w:rsid w:val="64680FFA"/>
    <w:rsid w:val="646F1658"/>
    <w:rsid w:val="64746C6E"/>
    <w:rsid w:val="64756A23"/>
    <w:rsid w:val="647E7AED"/>
    <w:rsid w:val="64805649"/>
    <w:rsid w:val="6481324A"/>
    <w:rsid w:val="648570CD"/>
    <w:rsid w:val="6488096B"/>
    <w:rsid w:val="64896EBA"/>
    <w:rsid w:val="648B3FB8"/>
    <w:rsid w:val="649E1F3D"/>
    <w:rsid w:val="64A165F8"/>
    <w:rsid w:val="64A318FC"/>
    <w:rsid w:val="64A5243A"/>
    <w:rsid w:val="64AD03D2"/>
    <w:rsid w:val="64B50AB3"/>
    <w:rsid w:val="64B67287"/>
    <w:rsid w:val="64BE613B"/>
    <w:rsid w:val="64CF20F6"/>
    <w:rsid w:val="64DE058B"/>
    <w:rsid w:val="64E75692"/>
    <w:rsid w:val="64F17BCF"/>
    <w:rsid w:val="64F531DE"/>
    <w:rsid w:val="64F90675"/>
    <w:rsid w:val="64FB68CB"/>
    <w:rsid w:val="64FE7567"/>
    <w:rsid w:val="650049A6"/>
    <w:rsid w:val="65064640"/>
    <w:rsid w:val="650A3B2D"/>
    <w:rsid w:val="650E5143"/>
    <w:rsid w:val="65165F77"/>
    <w:rsid w:val="651C526D"/>
    <w:rsid w:val="651E51E5"/>
    <w:rsid w:val="652933DC"/>
    <w:rsid w:val="652C7549"/>
    <w:rsid w:val="653308D7"/>
    <w:rsid w:val="65336B29"/>
    <w:rsid w:val="653612EB"/>
    <w:rsid w:val="65373578"/>
    <w:rsid w:val="653B6108"/>
    <w:rsid w:val="65401246"/>
    <w:rsid w:val="65404DA2"/>
    <w:rsid w:val="65420B1A"/>
    <w:rsid w:val="65442AE4"/>
    <w:rsid w:val="654523B9"/>
    <w:rsid w:val="654A79CF"/>
    <w:rsid w:val="65515201"/>
    <w:rsid w:val="655B398A"/>
    <w:rsid w:val="655F50D1"/>
    <w:rsid w:val="656211BC"/>
    <w:rsid w:val="65652A5B"/>
    <w:rsid w:val="65670581"/>
    <w:rsid w:val="65684A3A"/>
    <w:rsid w:val="656A1E1F"/>
    <w:rsid w:val="657F34D1"/>
    <w:rsid w:val="657F615E"/>
    <w:rsid w:val="65801643"/>
    <w:rsid w:val="6582540E"/>
    <w:rsid w:val="658D4F34"/>
    <w:rsid w:val="658E0AF5"/>
    <w:rsid w:val="65960E66"/>
    <w:rsid w:val="65A5045A"/>
    <w:rsid w:val="65A5639C"/>
    <w:rsid w:val="65A93335"/>
    <w:rsid w:val="65AB66C0"/>
    <w:rsid w:val="65B01296"/>
    <w:rsid w:val="65B16707"/>
    <w:rsid w:val="65B512EC"/>
    <w:rsid w:val="65B56A71"/>
    <w:rsid w:val="65BC16D6"/>
    <w:rsid w:val="65BE6466"/>
    <w:rsid w:val="65C412B5"/>
    <w:rsid w:val="65CD0D2C"/>
    <w:rsid w:val="65D90ED8"/>
    <w:rsid w:val="65D976D1"/>
    <w:rsid w:val="65E45AFC"/>
    <w:rsid w:val="65EB2F60"/>
    <w:rsid w:val="65EC74F1"/>
    <w:rsid w:val="65FE1159"/>
    <w:rsid w:val="66083B12"/>
    <w:rsid w:val="660B53B0"/>
    <w:rsid w:val="66183567"/>
    <w:rsid w:val="66195D1F"/>
    <w:rsid w:val="662879A9"/>
    <w:rsid w:val="662D5327"/>
    <w:rsid w:val="6632293D"/>
    <w:rsid w:val="663E0F92"/>
    <w:rsid w:val="664408C2"/>
    <w:rsid w:val="664A3632"/>
    <w:rsid w:val="664A4F51"/>
    <w:rsid w:val="664C55A8"/>
    <w:rsid w:val="665E7BD6"/>
    <w:rsid w:val="66666A8A"/>
    <w:rsid w:val="66725A80"/>
    <w:rsid w:val="667A42E4"/>
    <w:rsid w:val="667A51D9"/>
    <w:rsid w:val="667E7A65"/>
    <w:rsid w:val="668360E0"/>
    <w:rsid w:val="66862C89"/>
    <w:rsid w:val="66884C53"/>
    <w:rsid w:val="66942A89"/>
    <w:rsid w:val="66943559"/>
    <w:rsid w:val="66983405"/>
    <w:rsid w:val="669B5DDA"/>
    <w:rsid w:val="669C425A"/>
    <w:rsid w:val="66B400ED"/>
    <w:rsid w:val="66C0263F"/>
    <w:rsid w:val="66C310D1"/>
    <w:rsid w:val="66C70B74"/>
    <w:rsid w:val="66CA0DC7"/>
    <w:rsid w:val="66D37748"/>
    <w:rsid w:val="66D439F4"/>
    <w:rsid w:val="66DD5F80"/>
    <w:rsid w:val="66DE0D17"/>
    <w:rsid w:val="66E8749F"/>
    <w:rsid w:val="66EA7AAC"/>
    <w:rsid w:val="66EC51E2"/>
    <w:rsid w:val="66F04D16"/>
    <w:rsid w:val="66F45E44"/>
    <w:rsid w:val="66F4722E"/>
    <w:rsid w:val="66FF3B69"/>
    <w:rsid w:val="6703077D"/>
    <w:rsid w:val="67092412"/>
    <w:rsid w:val="670A1B0C"/>
    <w:rsid w:val="670C096B"/>
    <w:rsid w:val="670D133A"/>
    <w:rsid w:val="671604B0"/>
    <w:rsid w:val="6718424D"/>
    <w:rsid w:val="671A02CA"/>
    <w:rsid w:val="671F124A"/>
    <w:rsid w:val="67220F69"/>
    <w:rsid w:val="672506F4"/>
    <w:rsid w:val="672524A2"/>
    <w:rsid w:val="67281F92"/>
    <w:rsid w:val="672C203B"/>
    <w:rsid w:val="672C5ED6"/>
    <w:rsid w:val="672D68A4"/>
    <w:rsid w:val="673D68ED"/>
    <w:rsid w:val="673E3307"/>
    <w:rsid w:val="673E5311"/>
    <w:rsid w:val="6744501E"/>
    <w:rsid w:val="67455B47"/>
    <w:rsid w:val="67456B82"/>
    <w:rsid w:val="67457BF2"/>
    <w:rsid w:val="674F5770"/>
    <w:rsid w:val="674F751F"/>
    <w:rsid w:val="67566AFF"/>
    <w:rsid w:val="675A1BF4"/>
    <w:rsid w:val="67642FCA"/>
    <w:rsid w:val="67654F94"/>
    <w:rsid w:val="6765612C"/>
    <w:rsid w:val="676F7BC1"/>
    <w:rsid w:val="677156E7"/>
    <w:rsid w:val="67740755"/>
    <w:rsid w:val="677671A1"/>
    <w:rsid w:val="67780823"/>
    <w:rsid w:val="67787B9A"/>
    <w:rsid w:val="67794B47"/>
    <w:rsid w:val="677A33C6"/>
    <w:rsid w:val="6788081E"/>
    <w:rsid w:val="67895128"/>
    <w:rsid w:val="678A22B2"/>
    <w:rsid w:val="678B6D9B"/>
    <w:rsid w:val="678B7BB3"/>
    <w:rsid w:val="678E6299"/>
    <w:rsid w:val="67902011"/>
    <w:rsid w:val="67A55390"/>
    <w:rsid w:val="67A755AC"/>
    <w:rsid w:val="67B33F51"/>
    <w:rsid w:val="67B94EBC"/>
    <w:rsid w:val="67C46E67"/>
    <w:rsid w:val="67D0065F"/>
    <w:rsid w:val="67D656F7"/>
    <w:rsid w:val="67DC5256"/>
    <w:rsid w:val="67DD018E"/>
    <w:rsid w:val="67E92A5B"/>
    <w:rsid w:val="67F02AB0"/>
    <w:rsid w:val="6802409E"/>
    <w:rsid w:val="68045E56"/>
    <w:rsid w:val="68095471"/>
    <w:rsid w:val="680B6267"/>
    <w:rsid w:val="680B78E9"/>
    <w:rsid w:val="68110246"/>
    <w:rsid w:val="6812234A"/>
    <w:rsid w:val="681A3FD0"/>
    <w:rsid w:val="681F6961"/>
    <w:rsid w:val="682409AB"/>
    <w:rsid w:val="682D3D04"/>
    <w:rsid w:val="683E0E3E"/>
    <w:rsid w:val="68402040"/>
    <w:rsid w:val="68564CD3"/>
    <w:rsid w:val="685770C0"/>
    <w:rsid w:val="685A261F"/>
    <w:rsid w:val="685E3D5A"/>
    <w:rsid w:val="68610A2F"/>
    <w:rsid w:val="686B0388"/>
    <w:rsid w:val="686E1C26"/>
    <w:rsid w:val="686F60CA"/>
    <w:rsid w:val="687220AC"/>
    <w:rsid w:val="6877503D"/>
    <w:rsid w:val="68790CF7"/>
    <w:rsid w:val="68790FBD"/>
    <w:rsid w:val="687C4343"/>
    <w:rsid w:val="68805514"/>
    <w:rsid w:val="68863414"/>
    <w:rsid w:val="688A2F04"/>
    <w:rsid w:val="68906041"/>
    <w:rsid w:val="68914293"/>
    <w:rsid w:val="68956B36"/>
    <w:rsid w:val="68981BF6"/>
    <w:rsid w:val="68A452E5"/>
    <w:rsid w:val="68A5389A"/>
    <w:rsid w:val="68A67612"/>
    <w:rsid w:val="68A7702C"/>
    <w:rsid w:val="68AE0C98"/>
    <w:rsid w:val="68AF296B"/>
    <w:rsid w:val="68B852C3"/>
    <w:rsid w:val="68BA7428"/>
    <w:rsid w:val="68C27FFD"/>
    <w:rsid w:val="68C74DCD"/>
    <w:rsid w:val="68CB7079"/>
    <w:rsid w:val="68D73C6F"/>
    <w:rsid w:val="68E04F48"/>
    <w:rsid w:val="68E54CA7"/>
    <w:rsid w:val="68E91C94"/>
    <w:rsid w:val="68EA585E"/>
    <w:rsid w:val="68ED7797"/>
    <w:rsid w:val="68F97926"/>
    <w:rsid w:val="68FC18A2"/>
    <w:rsid w:val="69017C31"/>
    <w:rsid w:val="69076303"/>
    <w:rsid w:val="690802CD"/>
    <w:rsid w:val="690A5DF3"/>
    <w:rsid w:val="69132EFA"/>
    <w:rsid w:val="69135EDA"/>
    <w:rsid w:val="69146C72"/>
    <w:rsid w:val="6916570E"/>
    <w:rsid w:val="691E7A28"/>
    <w:rsid w:val="6922138F"/>
    <w:rsid w:val="69252C2D"/>
    <w:rsid w:val="692C3FBB"/>
    <w:rsid w:val="692D1EC0"/>
    <w:rsid w:val="69310AF9"/>
    <w:rsid w:val="69316E2F"/>
    <w:rsid w:val="693B7D5A"/>
    <w:rsid w:val="693C4AA5"/>
    <w:rsid w:val="69462489"/>
    <w:rsid w:val="69474951"/>
    <w:rsid w:val="694A4441"/>
    <w:rsid w:val="694E2071"/>
    <w:rsid w:val="694F13CF"/>
    <w:rsid w:val="695452C0"/>
    <w:rsid w:val="695D3823"/>
    <w:rsid w:val="69643294"/>
    <w:rsid w:val="69653029"/>
    <w:rsid w:val="69712984"/>
    <w:rsid w:val="69733998"/>
    <w:rsid w:val="69766163"/>
    <w:rsid w:val="69780FAF"/>
    <w:rsid w:val="697A3B33"/>
    <w:rsid w:val="69801C11"/>
    <w:rsid w:val="69844BA8"/>
    <w:rsid w:val="698754FF"/>
    <w:rsid w:val="69931944"/>
    <w:rsid w:val="699E02E9"/>
    <w:rsid w:val="69A55602"/>
    <w:rsid w:val="69AA4EE0"/>
    <w:rsid w:val="69AB75AC"/>
    <w:rsid w:val="69B10AAA"/>
    <w:rsid w:val="69B53783"/>
    <w:rsid w:val="69B67D29"/>
    <w:rsid w:val="69BA15C7"/>
    <w:rsid w:val="69C311F9"/>
    <w:rsid w:val="69C4398A"/>
    <w:rsid w:val="69CE5072"/>
    <w:rsid w:val="69D16911"/>
    <w:rsid w:val="69D44760"/>
    <w:rsid w:val="69D47448"/>
    <w:rsid w:val="69D76014"/>
    <w:rsid w:val="69DB0A79"/>
    <w:rsid w:val="69E440D1"/>
    <w:rsid w:val="69EC54F9"/>
    <w:rsid w:val="69EF2700"/>
    <w:rsid w:val="69F23EFC"/>
    <w:rsid w:val="69F32912"/>
    <w:rsid w:val="69FA5E67"/>
    <w:rsid w:val="6A0057D5"/>
    <w:rsid w:val="6A042CBD"/>
    <w:rsid w:val="6A050368"/>
    <w:rsid w:val="6A107439"/>
    <w:rsid w:val="6A1A7CF2"/>
    <w:rsid w:val="6A1C4030"/>
    <w:rsid w:val="6A2151A2"/>
    <w:rsid w:val="6A222CC8"/>
    <w:rsid w:val="6A231828"/>
    <w:rsid w:val="6A28608A"/>
    <w:rsid w:val="6A290733"/>
    <w:rsid w:val="6A2B6CDE"/>
    <w:rsid w:val="6A314E58"/>
    <w:rsid w:val="6A3273AF"/>
    <w:rsid w:val="6A344F44"/>
    <w:rsid w:val="6A381CBF"/>
    <w:rsid w:val="6A3E57C8"/>
    <w:rsid w:val="6A4946F9"/>
    <w:rsid w:val="6A495025"/>
    <w:rsid w:val="6A4B4EEB"/>
    <w:rsid w:val="6A503CD9"/>
    <w:rsid w:val="6A520EC7"/>
    <w:rsid w:val="6A537326"/>
    <w:rsid w:val="6A5A24AA"/>
    <w:rsid w:val="6A641533"/>
    <w:rsid w:val="6A653D53"/>
    <w:rsid w:val="6A6634FD"/>
    <w:rsid w:val="6A67145D"/>
    <w:rsid w:val="6A6E4160"/>
    <w:rsid w:val="6A7379C8"/>
    <w:rsid w:val="6A745C1A"/>
    <w:rsid w:val="6A75773F"/>
    <w:rsid w:val="6A77474D"/>
    <w:rsid w:val="6A7A4663"/>
    <w:rsid w:val="6A7E25F5"/>
    <w:rsid w:val="6A835E5D"/>
    <w:rsid w:val="6A895812"/>
    <w:rsid w:val="6A8D0272"/>
    <w:rsid w:val="6A8D1A7D"/>
    <w:rsid w:val="6A963266"/>
    <w:rsid w:val="6A99742E"/>
    <w:rsid w:val="6A9A32A0"/>
    <w:rsid w:val="6A9C2A7B"/>
    <w:rsid w:val="6A9E40CF"/>
    <w:rsid w:val="6AA560DB"/>
    <w:rsid w:val="6AA638F9"/>
    <w:rsid w:val="6AA70ABD"/>
    <w:rsid w:val="6AAB7162"/>
    <w:rsid w:val="6AB029CA"/>
    <w:rsid w:val="6AB12017"/>
    <w:rsid w:val="6AB1570C"/>
    <w:rsid w:val="6AB26742"/>
    <w:rsid w:val="6AB27C16"/>
    <w:rsid w:val="6AB27D66"/>
    <w:rsid w:val="6AB448D3"/>
    <w:rsid w:val="6ABA55F7"/>
    <w:rsid w:val="6ABA6B4B"/>
    <w:rsid w:val="6AC029BD"/>
    <w:rsid w:val="6ACE0F76"/>
    <w:rsid w:val="6ACE4BFE"/>
    <w:rsid w:val="6AD0618E"/>
    <w:rsid w:val="6AD2649C"/>
    <w:rsid w:val="6AD278A5"/>
    <w:rsid w:val="6AD64868"/>
    <w:rsid w:val="6AD8647C"/>
    <w:rsid w:val="6ADF0B16"/>
    <w:rsid w:val="6ADF3A12"/>
    <w:rsid w:val="6AE736C0"/>
    <w:rsid w:val="6AEC172A"/>
    <w:rsid w:val="6AEF1B05"/>
    <w:rsid w:val="6AF573BF"/>
    <w:rsid w:val="6AF87E20"/>
    <w:rsid w:val="6AF91B89"/>
    <w:rsid w:val="6AF91C7B"/>
    <w:rsid w:val="6AF97ECD"/>
    <w:rsid w:val="6B006EF7"/>
    <w:rsid w:val="6B016D82"/>
    <w:rsid w:val="6B0A032C"/>
    <w:rsid w:val="6B155E65"/>
    <w:rsid w:val="6B1A49CF"/>
    <w:rsid w:val="6B1B4485"/>
    <w:rsid w:val="6B22492A"/>
    <w:rsid w:val="6B23220E"/>
    <w:rsid w:val="6B286A04"/>
    <w:rsid w:val="6B322639"/>
    <w:rsid w:val="6B364C7D"/>
    <w:rsid w:val="6B4116A8"/>
    <w:rsid w:val="6B441BE6"/>
    <w:rsid w:val="6B4503EE"/>
    <w:rsid w:val="6B4B624F"/>
    <w:rsid w:val="6B4D1FC7"/>
    <w:rsid w:val="6B50394A"/>
    <w:rsid w:val="6B5547EB"/>
    <w:rsid w:val="6B560E7C"/>
    <w:rsid w:val="6B58657E"/>
    <w:rsid w:val="6B654374"/>
    <w:rsid w:val="6B696C8B"/>
    <w:rsid w:val="6B785296"/>
    <w:rsid w:val="6B7D277F"/>
    <w:rsid w:val="6B8268AB"/>
    <w:rsid w:val="6B8A321B"/>
    <w:rsid w:val="6B8C0D41"/>
    <w:rsid w:val="6B9E2823"/>
    <w:rsid w:val="6BA240C1"/>
    <w:rsid w:val="6BA804F1"/>
    <w:rsid w:val="6BAE515B"/>
    <w:rsid w:val="6BB16CE3"/>
    <w:rsid w:val="6BBB4889"/>
    <w:rsid w:val="6BBD714D"/>
    <w:rsid w:val="6BC24763"/>
    <w:rsid w:val="6BC93D43"/>
    <w:rsid w:val="6BCE278D"/>
    <w:rsid w:val="6BCF16A3"/>
    <w:rsid w:val="6BD745F3"/>
    <w:rsid w:val="6BDB75D3"/>
    <w:rsid w:val="6BDD0309"/>
    <w:rsid w:val="6BE40007"/>
    <w:rsid w:val="6BE747E0"/>
    <w:rsid w:val="6BED3748"/>
    <w:rsid w:val="6BF00B22"/>
    <w:rsid w:val="6BF13845"/>
    <w:rsid w:val="6BF6265F"/>
    <w:rsid w:val="6BF92EE7"/>
    <w:rsid w:val="6BFB7933"/>
    <w:rsid w:val="6C072AB5"/>
    <w:rsid w:val="6C083F7C"/>
    <w:rsid w:val="6C0A7EB8"/>
    <w:rsid w:val="6C101972"/>
    <w:rsid w:val="6C117498"/>
    <w:rsid w:val="6C157EC3"/>
    <w:rsid w:val="6C276CBC"/>
    <w:rsid w:val="6C2C2C28"/>
    <w:rsid w:val="6C2F53E5"/>
    <w:rsid w:val="6C352E95"/>
    <w:rsid w:val="6C382C77"/>
    <w:rsid w:val="6C3E2B17"/>
    <w:rsid w:val="6C3F52F9"/>
    <w:rsid w:val="6C423AF6"/>
    <w:rsid w:val="6C427652"/>
    <w:rsid w:val="6C4B29AA"/>
    <w:rsid w:val="6C4F02F4"/>
    <w:rsid w:val="6C5B0466"/>
    <w:rsid w:val="6C5F47DF"/>
    <w:rsid w:val="6C60633A"/>
    <w:rsid w:val="6C636C38"/>
    <w:rsid w:val="6C682561"/>
    <w:rsid w:val="6C6A5E9A"/>
    <w:rsid w:val="6C757A27"/>
    <w:rsid w:val="6C7A503E"/>
    <w:rsid w:val="6C7A6DEC"/>
    <w:rsid w:val="6C822533"/>
    <w:rsid w:val="6C845EBC"/>
    <w:rsid w:val="6C857302"/>
    <w:rsid w:val="6C9472C6"/>
    <w:rsid w:val="6CA13639"/>
    <w:rsid w:val="6CA30EBC"/>
    <w:rsid w:val="6CA65E33"/>
    <w:rsid w:val="6CAF23F6"/>
    <w:rsid w:val="6CAF678B"/>
    <w:rsid w:val="6CB06CB1"/>
    <w:rsid w:val="6CB653F2"/>
    <w:rsid w:val="6CB97C75"/>
    <w:rsid w:val="6CC23852"/>
    <w:rsid w:val="6CCB3BBF"/>
    <w:rsid w:val="6CDA6E09"/>
    <w:rsid w:val="6CDA788A"/>
    <w:rsid w:val="6CDF3370"/>
    <w:rsid w:val="6CE54BAD"/>
    <w:rsid w:val="6CEB5F3B"/>
    <w:rsid w:val="6CED3A62"/>
    <w:rsid w:val="6CEE7A22"/>
    <w:rsid w:val="6CF14A31"/>
    <w:rsid w:val="6CF21C2C"/>
    <w:rsid w:val="6CFE2F23"/>
    <w:rsid w:val="6D032F0F"/>
    <w:rsid w:val="6D035033"/>
    <w:rsid w:val="6D0509B6"/>
    <w:rsid w:val="6D0741A7"/>
    <w:rsid w:val="6D08089B"/>
    <w:rsid w:val="6D1234C8"/>
    <w:rsid w:val="6D163744"/>
    <w:rsid w:val="6D165CE6"/>
    <w:rsid w:val="6D18549A"/>
    <w:rsid w:val="6D1C01E7"/>
    <w:rsid w:val="6D1D3C35"/>
    <w:rsid w:val="6D1F0800"/>
    <w:rsid w:val="6D1F3CE0"/>
    <w:rsid w:val="6D20612F"/>
    <w:rsid w:val="6D2531FB"/>
    <w:rsid w:val="6D283D2A"/>
    <w:rsid w:val="6D297814"/>
    <w:rsid w:val="6D3519C1"/>
    <w:rsid w:val="6D4549E6"/>
    <w:rsid w:val="6D476D6D"/>
    <w:rsid w:val="6D51777A"/>
    <w:rsid w:val="6D524B22"/>
    <w:rsid w:val="6D5350EE"/>
    <w:rsid w:val="6D5533B5"/>
    <w:rsid w:val="6D5C3848"/>
    <w:rsid w:val="6D6438F3"/>
    <w:rsid w:val="6D655CEE"/>
    <w:rsid w:val="6D723F67"/>
    <w:rsid w:val="6D761CA9"/>
    <w:rsid w:val="6D7F1892"/>
    <w:rsid w:val="6D8B6DD7"/>
    <w:rsid w:val="6D8D5B9F"/>
    <w:rsid w:val="6D912FC0"/>
    <w:rsid w:val="6D920165"/>
    <w:rsid w:val="6D965EA7"/>
    <w:rsid w:val="6D997745"/>
    <w:rsid w:val="6D9D7236"/>
    <w:rsid w:val="6DA2484C"/>
    <w:rsid w:val="6DA65AA8"/>
    <w:rsid w:val="6DAD630E"/>
    <w:rsid w:val="6DB34098"/>
    <w:rsid w:val="6DB509F0"/>
    <w:rsid w:val="6DB545B6"/>
    <w:rsid w:val="6DB92EB9"/>
    <w:rsid w:val="6DBD14DA"/>
    <w:rsid w:val="6DBD3434"/>
    <w:rsid w:val="6DCC3677"/>
    <w:rsid w:val="6DD10C8D"/>
    <w:rsid w:val="6DD340A6"/>
    <w:rsid w:val="6DD442E6"/>
    <w:rsid w:val="6DE02FB4"/>
    <w:rsid w:val="6DE035C6"/>
    <w:rsid w:val="6DE15DDA"/>
    <w:rsid w:val="6DF42BCE"/>
    <w:rsid w:val="6DF861CE"/>
    <w:rsid w:val="6DFB3F5C"/>
    <w:rsid w:val="6E02353D"/>
    <w:rsid w:val="6E072901"/>
    <w:rsid w:val="6E0A23F1"/>
    <w:rsid w:val="6E0C7E92"/>
    <w:rsid w:val="6E0E1AF9"/>
    <w:rsid w:val="6E0F17B6"/>
    <w:rsid w:val="6E136669"/>
    <w:rsid w:val="6E172736"/>
    <w:rsid w:val="6E184B0E"/>
    <w:rsid w:val="6E1C3F96"/>
    <w:rsid w:val="6E2408B9"/>
    <w:rsid w:val="6E2552BD"/>
    <w:rsid w:val="6E274498"/>
    <w:rsid w:val="6E276AFF"/>
    <w:rsid w:val="6E2C05BA"/>
    <w:rsid w:val="6E2F0E6E"/>
    <w:rsid w:val="6E31797E"/>
    <w:rsid w:val="6E3F209B"/>
    <w:rsid w:val="6E494CC8"/>
    <w:rsid w:val="6E4B4EE4"/>
    <w:rsid w:val="6E514CED"/>
    <w:rsid w:val="6E587601"/>
    <w:rsid w:val="6E597266"/>
    <w:rsid w:val="6E5A4D5A"/>
    <w:rsid w:val="6E5F44EB"/>
    <w:rsid w:val="6E697118"/>
    <w:rsid w:val="6E7338E0"/>
    <w:rsid w:val="6E737F96"/>
    <w:rsid w:val="6E7B051F"/>
    <w:rsid w:val="6E8912E4"/>
    <w:rsid w:val="6E983F44"/>
    <w:rsid w:val="6E9A5523"/>
    <w:rsid w:val="6EB05B51"/>
    <w:rsid w:val="6EB26D11"/>
    <w:rsid w:val="6EB563D5"/>
    <w:rsid w:val="6EBB7166"/>
    <w:rsid w:val="6EBC0F1A"/>
    <w:rsid w:val="6EBE06B8"/>
    <w:rsid w:val="6EBE3913"/>
    <w:rsid w:val="6EC22FE7"/>
    <w:rsid w:val="6EC740C8"/>
    <w:rsid w:val="6EC74FE4"/>
    <w:rsid w:val="6EC9405A"/>
    <w:rsid w:val="6ED053E9"/>
    <w:rsid w:val="6ED63A92"/>
    <w:rsid w:val="6ED6693F"/>
    <w:rsid w:val="6ED92677"/>
    <w:rsid w:val="6ED96529"/>
    <w:rsid w:val="6EDE3EBC"/>
    <w:rsid w:val="6EE0548A"/>
    <w:rsid w:val="6EE60768"/>
    <w:rsid w:val="6EEA775A"/>
    <w:rsid w:val="6EEE03E3"/>
    <w:rsid w:val="6EEE747D"/>
    <w:rsid w:val="6EF07839"/>
    <w:rsid w:val="6EF94940"/>
    <w:rsid w:val="6EF9647B"/>
    <w:rsid w:val="6EFD04AE"/>
    <w:rsid w:val="6F055251"/>
    <w:rsid w:val="6F0D03EB"/>
    <w:rsid w:val="6F1E6154"/>
    <w:rsid w:val="6F225983"/>
    <w:rsid w:val="6F2319BD"/>
    <w:rsid w:val="6F296921"/>
    <w:rsid w:val="6F2B1F97"/>
    <w:rsid w:val="6F2B79F5"/>
    <w:rsid w:val="6F303F96"/>
    <w:rsid w:val="6F304979"/>
    <w:rsid w:val="6F322F49"/>
    <w:rsid w:val="6F35524C"/>
    <w:rsid w:val="6F372E3A"/>
    <w:rsid w:val="6F392AAA"/>
    <w:rsid w:val="6F3A220F"/>
    <w:rsid w:val="6F3C5AED"/>
    <w:rsid w:val="6F480413"/>
    <w:rsid w:val="6F4A0050"/>
    <w:rsid w:val="6F4A6F49"/>
    <w:rsid w:val="6F4D4C8B"/>
    <w:rsid w:val="6F4D6D78"/>
    <w:rsid w:val="6F5361F2"/>
    <w:rsid w:val="6F540CD9"/>
    <w:rsid w:val="6F55769C"/>
    <w:rsid w:val="6F5953DE"/>
    <w:rsid w:val="6F5E0C47"/>
    <w:rsid w:val="6F6057C3"/>
    <w:rsid w:val="6F612977"/>
    <w:rsid w:val="6F6952E7"/>
    <w:rsid w:val="6F80296B"/>
    <w:rsid w:val="6F83245B"/>
    <w:rsid w:val="6F834209"/>
    <w:rsid w:val="6F885CC3"/>
    <w:rsid w:val="6F8E5394"/>
    <w:rsid w:val="6F9138F2"/>
    <w:rsid w:val="6F985057"/>
    <w:rsid w:val="6F9957DB"/>
    <w:rsid w:val="6F9A0835"/>
    <w:rsid w:val="6FA463BC"/>
    <w:rsid w:val="6FA56875"/>
    <w:rsid w:val="6FAC5F71"/>
    <w:rsid w:val="6FAF14A2"/>
    <w:rsid w:val="6FB42615"/>
    <w:rsid w:val="6FB75A30"/>
    <w:rsid w:val="6FBE16E5"/>
    <w:rsid w:val="6FC76223"/>
    <w:rsid w:val="6FC83DE4"/>
    <w:rsid w:val="6FC874DD"/>
    <w:rsid w:val="6FD76303"/>
    <w:rsid w:val="6FE43A74"/>
    <w:rsid w:val="6FE47493"/>
    <w:rsid w:val="6FE87AAC"/>
    <w:rsid w:val="6FEC65B0"/>
    <w:rsid w:val="6FFC5590"/>
    <w:rsid w:val="6FFD220E"/>
    <w:rsid w:val="70007D55"/>
    <w:rsid w:val="700215D2"/>
    <w:rsid w:val="70027824"/>
    <w:rsid w:val="700326F9"/>
    <w:rsid w:val="700460E6"/>
    <w:rsid w:val="700E23C0"/>
    <w:rsid w:val="70111815"/>
    <w:rsid w:val="70173559"/>
    <w:rsid w:val="70187047"/>
    <w:rsid w:val="701B1584"/>
    <w:rsid w:val="701D1F8B"/>
    <w:rsid w:val="702205AA"/>
    <w:rsid w:val="70226ED5"/>
    <w:rsid w:val="702C5F58"/>
    <w:rsid w:val="702E15A7"/>
    <w:rsid w:val="702E6A5D"/>
    <w:rsid w:val="70310E8F"/>
    <w:rsid w:val="70342403"/>
    <w:rsid w:val="70355FEC"/>
    <w:rsid w:val="703674CE"/>
    <w:rsid w:val="704240C4"/>
    <w:rsid w:val="70473489"/>
    <w:rsid w:val="704859CA"/>
    <w:rsid w:val="70522FC9"/>
    <w:rsid w:val="7053276B"/>
    <w:rsid w:val="705555C9"/>
    <w:rsid w:val="705838E8"/>
    <w:rsid w:val="705A7660"/>
    <w:rsid w:val="7060454A"/>
    <w:rsid w:val="706165C6"/>
    <w:rsid w:val="70690AC0"/>
    <w:rsid w:val="706D1DD0"/>
    <w:rsid w:val="706F5992"/>
    <w:rsid w:val="7073427E"/>
    <w:rsid w:val="70814BED"/>
    <w:rsid w:val="70820965"/>
    <w:rsid w:val="7084740F"/>
    <w:rsid w:val="70856B87"/>
    <w:rsid w:val="70867E9B"/>
    <w:rsid w:val="70894095"/>
    <w:rsid w:val="708A15C7"/>
    <w:rsid w:val="708B5A6B"/>
    <w:rsid w:val="708D61CF"/>
    <w:rsid w:val="708E0E9F"/>
    <w:rsid w:val="709A00BB"/>
    <w:rsid w:val="709A5CAE"/>
    <w:rsid w:val="709D1869"/>
    <w:rsid w:val="709E580C"/>
    <w:rsid w:val="709F2E8A"/>
    <w:rsid w:val="70A21E4C"/>
    <w:rsid w:val="70A61395"/>
    <w:rsid w:val="70A66401"/>
    <w:rsid w:val="70A703CB"/>
    <w:rsid w:val="70AB7EBB"/>
    <w:rsid w:val="70B054D2"/>
    <w:rsid w:val="70B56644"/>
    <w:rsid w:val="70B623BC"/>
    <w:rsid w:val="70B75478"/>
    <w:rsid w:val="70C20D61"/>
    <w:rsid w:val="70C27F84"/>
    <w:rsid w:val="70C6151E"/>
    <w:rsid w:val="70C76378"/>
    <w:rsid w:val="70C86213"/>
    <w:rsid w:val="70D527EE"/>
    <w:rsid w:val="70DC1E23"/>
    <w:rsid w:val="70F128F5"/>
    <w:rsid w:val="70F56337"/>
    <w:rsid w:val="70F90FE4"/>
    <w:rsid w:val="70FA0CCB"/>
    <w:rsid w:val="710650F2"/>
    <w:rsid w:val="71092E34"/>
    <w:rsid w:val="71136C39"/>
    <w:rsid w:val="711F61B4"/>
    <w:rsid w:val="7122648B"/>
    <w:rsid w:val="712A221C"/>
    <w:rsid w:val="712C1829"/>
    <w:rsid w:val="712C735E"/>
    <w:rsid w:val="713200F7"/>
    <w:rsid w:val="71353C29"/>
    <w:rsid w:val="713559D7"/>
    <w:rsid w:val="713B4FFC"/>
    <w:rsid w:val="714125CE"/>
    <w:rsid w:val="714472B1"/>
    <w:rsid w:val="71502BC1"/>
    <w:rsid w:val="715B5300"/>
    <w:rsid w:val="71611738"/>
    <w:rsid w:val="716817FE"/>
    <w:rsid w:val="71692C8E"/>
    <w:rsid w:val="7169742F"/>
    <w:rsid w:val="717464FF"/>
    <w:rsid w:val="717866E1"/>
    <w:rsid w:val="718304F0"/>
    <w:rsid w:val="71844269"/>
    <w:rsid w:val="718F11A7"/>
    <w:rsid w:val="71A3409C"/>
    <w:rsid w:val="71A42010"/>
    <w:rsid w:val="71AD37BF"/>
    <w:rsid w:val="71B37676"/>
    <w:rsid w:val="71C15291"/>
    <w:rsid w:val="71C1548B"/>
    <w:rsid w:val="71C31E24"/>
    <w:rsid w:val="71CC633B"/>
    <w:rsid w:val="71CF3736"/>
    <w:rsid w:val="71D15700"/>
    <w:rsid w:val="71D27F8A"/>
    <w:rsid w:val="71D8296E"/>
    <w:rsid w:val="71D92806"/>
    <w:rsid w:val="71DC241D"/>
    <w:rsid w:val="71E024A7"/>
    <w:rsid w:val="71E05D4A"/>
    <w:rsid w:val="71E17B50"/>
    <w:rsid w:val="71E616E5"/>
    <w:rsid w:val="71F03F54"/>
    <w:rsid w:val="71F446E2"/>
    <w:rsid w:val="71F64569"/>
    <w:rsid w:val="71FB277D"/>
    <w:rsid w:val="72002324"/>
    <w:rsid w:val="720C2BDC"/>
    <w:rsid w:val="720C498A"/>
    <w:rsid w:val="720C5CCB"/>
    <w:rsid w:val="720D0019"/>
    <w:rsid w:val="720F0A10"/>
    <w:rsid w:val="721101F2"/>
    <w:rsid w:val="72194980"/>
    <w:rsid w:val="721D6B97"/>
    <w:rsid w:val="72220758"/>
    <w:rsid w:val="722577FA"/>
    <w:rsid w:val="7226201B"/>
    <w:rsid w:val="7228247C"/>
    <w:rsid w:val="72283289"/>
    <w:rsid w:val="722F32FC"/>
    <w:rsid w:val="722F3AB1"/>
    <w:rsid w:val="7234149C"/>
    <w:rsid w:val="723967E6"/>
    <w:rsid w:val="723C2B00"/>
    <w:rsid w:val="724063F5"/>
    <w:rsid w:val="7242215A"/>
    <w:rsid w:val="7246696A"/>
    <w:rsid w:val="72480BA0"/>
    <w:rsid w:val="724A3704"/>
    <w:rsid w:val="724E6D50"/>
    <w:rsid w:val="72536115"/>
    <w:rsid w:val="72553024"/>
    <w:rsid w:val="726A345E"/>
    <w:rsid w:val="726B5B54"/>
    <w:rsid w:val="726E11A1"/>
    <w:rsid w:val="726F7388"/>
    <w:rsid w:val="7273199D"/>
    <w:rsid w:val="727A4243"/>
    <w:rsid w:val="727A7CD6"/>
    <w:rsid w:val="727E6F0A"/>
    <w:rsid w:val="728575B9"/>
    <w:rsid w:val="7289545F"/>
    <w:rsid w:val="728D344D"/>
    <w:rsid w:val="728E35F1"/>
    <w:rsid w:val="728F1117"/>
    <w:rsid w:val="72912658"/>
    <w:rsid w:val="72972DE1"/>
    <w:rsid w:val="729B3C64"/>
    <w:rsid w:val="72A5093A"/>
    <w:rsid w:val="72A72905"/>
    <w:rsid w:val="72B017B9"/>
    <w:rsid w:val="72C47013"/>
    <w:rsid w:val="72C9287B"/>
    <w:rsid w:val="72CA1A12"/>
    <w:rsid w:val="72D03C09"/>
    <w:rsid w:val="72D66D46"/>
    <w:rsid w:val="72E42010"/>
    <w:rsid w:val="72E84113"/>
    <w:rsid w:val="72E8650A"/>
    <w:rsid w:val="72EB34A5"/>
    <w:rsid w:val="73076EFF"/>
    <w:rsid w:val="73087218"/>
    <w:rsid w:val="730E7201"/>
    <w:rsid w:val="73116800"/>
    <w:rsid w:val="73122968"/>
    <w:rsid w:val="73124222"/>
    <w:rsid w:val="731248EB"/>
    <w:rsid w:val="73165394"/>
    <w:rsid w:val="731955B0"/>
    <w:rsid w:val="731D4975"/>
    <w:rsid w:val="731F5D5E"/>
    <w:rsid w:val="73221F8B"/>
    <w:rsid w:val="73244A81"/>
    <w:rsid w:val="7329156C"/>
    <w:rsid w:val="732B6917"/>
    <w:rsid w:val="732D4EDB"/>
    <w:rsid w:val="732E427C"/>
    <w:rsid w:val="732F685F"/>
    <w:rsid w:val="733A0869"/>
    <w:rsid w:val="733B48CC"/>
    <w:rsid w:val="733E5A2C"/>
    <w:rsid w:val="733E6DC5"/>
    <w:rsid w:val="7346407F"/>
    <w:rsid w:val="73486C96"/>
    <w:rsid w:val="734B7734"/>
    <w:rsid w:val="734E0859"/>
    <w:rsid w:val="73503C89"/>
    <w:rsid w:val="7357094A"/>
    <w:rsid w:val="735B0B4B"/>
    <w:rsid w:val="736425A4"/>
    <w:rsid w:val="73683C95"/>
    <w:rsid w:val="736F2FF8"/>
    <w:rsid w:val="736F3422"/>
    <w:rsid w:val="73740A39"/>
    <w:rsid w:val="7375030D"/>
    <w:rsid w:val="737511A4"/>
    <w:rsid w:val="73775B66"/>
    <w:rsid w:val="73785E50"/>
    <w:rsid w:val="737E5413"/>
    <w:rsid w:val="73830C7C"/>
    <w:rsid w:val="73861F99"/>
    <w:rsid w:val="73A0182E"/>
    <w:rsid w:val="73A24EA9"/>
    <w:rsid w:val="73A806E2"/>
    <w:rsid w:val="73A84FAD"/>
    <w:rsid w:val="73A9581F"/>
    <w:rsid w:val="73AD624B"/>
    <w:rsid w:val="73AF2A40"/>
    <w:rsid w:val="73B40A19"/>
    <w:rsid w:val="73B9057D"/>
    <w:rsid w:val="73BE3217"/>
    <w:rsid w:val="73BF3577"/>
    <w:rsid w:val="73C13552"/>
    <w:rsid w:val="73C312B1"/>
    <w:rsid w:val="73C34EDB"/>
    <w:rsid w:val="73C51AD5"/>
    <w:rsid w:val="73C80D84"/>
    <w:rsid w:val="73CB081F"/>
    <w:rsid w:val="73D74B24"/>
    <w:rsid w:val="73D774A2"/>
    <w:rsid w:val="73E134D2"/>
    <w:rsid w:val="73E7745D"/>
    <w:rsid w:val="73EA2AA9"/>
    <w:rsid w:val="73ED4347"/>
    <w:rsid w:val="74024296"/>
    <w:rsid w:val="74031DBD"/>
    <w:rsid w:val="74084D1B"/>
    <w:rsid w:val="7408788C"/>
    <w:rsid w:val="740A6CA7"/>
    <w:rsid w:val="740A7D83"/>
    <w:rsid w:val="740D2C3B"/>
    <w:rsid w:val="740E25F9"/>
    <w:rsid w:val="74140207"/>
    <w:rsid w:val="74141217"/>
    <w:rsid w:val="74143FCA"/>
    <w:rsid w:val="741E793C"/>
    <w:rsid w:val="7426163B"/>
    <w:rsid w:val="74274685"/>
    <w:rsid w:val="742A379C"/>
    <w:rsid w:val="74341F76"/>
    <w:rsid w:val="743B0FB4"/>
    <w:rsid w:val="743E2DF5"/>
    <w:rsid w:val="744523D5"/>
    <w:rsid w:val="74463A57"/>
    <w:rsid w:val="745368A0"/>
    <w:rsid w:val="745C1EFA"/>
    <w:rsid w:val="745E3944"/>
    <w:rsid w:val="74640AAD"/>
    <w:rsid w:val="746740F9"/>
    <w:rsid w:val="746A0C2F"/>
    <w:rsid w:val="746F52E0"/>
    <w:rsid w:val="747607E0"/>
    <w:rsid w:val="747800B5"/>
    <w:rsid w:val="74836A59"/>
    <w:rsid w:val="748702F8"/>
    <w:rsid w:val="748A4618"/>
    <w:rsid w:val="748B7CAA"/>
    <w:rsid w:val="748E5B2A"/>
    <w:rsid w:val="748F53FE"/>
    <w:rsid w:val="74A40EAA"/>
    <w:rsid w:val="74A46893"/>
    <w:rsid w:val="74AE3AD6"/>
    <w:rsid w:val="74B45365"/>
    <w:rsid w:val="74B82BA7"/>
    <w:rsid w:val="74B87DFA"/>
    <w:rsid w:val="74BA3D13"/>
    <w:rsid w:val="74BB52E3"/>
    <w:rsid w:val="74C5589B"/>
    <w:rsid w:val="74C72DEA"/>
    <w:rsid w:val="74C74B98"/>
    <w:rsid w:val="74C96B62"/>
    <w:rsid w:val="74D379E1"/>
    <w:rsid w:val="74D5616F"/>
    <w:rsid w:val="74E223D0"/>
    <w:rsid w:val="74E4399C"/>
    <w:rsid w:val="74FD05BA"/>
    <w:rsid w:val="74FE3782"/>
    <w:rsid w:val="75036E13"/>
    <w:rsid w:val="75083B66"/>
    <w:rsid w:val="75154A19"/>
    <w:rsid w:val="751678CE"/>
    <w:rsid w:val="75175143"/>
    <w:rsid w:val="751D2A0A"/>
    <w:rsid w:val="751F5007"/>
    <w:rsid w:val="75232716"/>
    <w:rsid w:val="75275F11"/>
    <w:rsid w:val="75287A91"/>
    <w:rsid w:val="752C0E9F"/>
    <w:rsid w:val="752D502B"/>
    <w:rsid w:val="752E10BB"/>
    <w:rsid w:val="7530098F"/>
    <w:rsid w:val="753164B5"/>
    <w:rsid w:val="753348CC"/>
    <w:rsid w:val="75412B9C"/>
    <w:rsid w:val="75436B46"/>
    <w:rsid w:val="75461F61"/>
    <w:rsid w:val="754B57C9"/>
    <w:rsid w:val="75510A6A"/>
    <w:rsid w:val="755C225E"/>
    <w:rsid w:val="755F3023"/>
    <w:rsid w:val="7564688B"/>
    <w:rsid w:val="756E1ABF"/>
    <w:rsid w:val="756E5701"/>
    <w:rsid w:val="757005AB"/>
    <w:rsid w:val="75702D53"/>
    <w:rsid w:val="7577036C"/>
    <w:rsid w:val="757765BE"/>
    <w:rsid w:val="757B234F"/>
    <w:rsid w:val="757C1E26"/>
    <w:rsid w:val="75864A53"/>
    <w:rsid w:val="75882579"/>
    <w:rsid w:val="758C5085"/>
    <w:rsid w:val="7592164A"/>
    <w:rsid w:val="75945820"/>
    <w:rsid w:val="75947170"/>
    <w:rsid w:val="75960F26"/>
    <w:rsid w:val="759E1430"/>
    <w:rsid w:val="759E7199"/>
    <w:rsid w:val="75A02C3D"/>
    <w:rsid w:val="75A650F5"/>
    <w:rsid w:val="75B07897"/>
    <w:rsid w:val="75B47057"/>
    <w:rsid w:val="75B55338"/>
    <w:rsid w:val="75BC0475"/>
    <w:rsid w:val="75BC4F67"/>
    <w:rsid w:val="75BC57F3"/>
    <w:rsid w:val="75C80BC8"/>
    <w:rsid w:val="75C94940"/>
    <w:rsid w:val="75CB06B8"/>
    <w:rsid w:val="75CF1107"/>
    <w:rsid w:val="75D30D77"/>
    <w:rsid w:val="75D310CF"/>
    <w:rsid w:val="75D4756D"/>
    <w:rsid w:val="75D83391"/>
    <w:rsid w:val="75E35A02"/>
    <w:rsid w:val="75E874BC"/>
    <w:rsid w:val="75E97B4A"/>
    <w:rsid w:val="75F25735"/>
    <w:rsid w:val="75FC4D15"/>
    <w:rsid w:val="75FD0A92"/>
    <w:rsid w:val="760360A4"/>
    <w:rsid w:val="760951B9"/>
    <w:rsid w:val="760D2A7F"/>
    <w:rsid w:val="760F2C9B"/>
    <w:rsid w:val="76115319"/>
    <w:rsid w:val="76154107"/>
    <w:rsid w:val="761D3A6C"/>
    <w:rsid w:val="76223AA8"/>
    <w:rsid w:val="762A1199"/>
    <w:rsid w:val="7630676D"/>
    <w:rsid w:val="7635099D"/>
    <w:rsid w:val="76373F9F"/>
    <w:rsid w:val="763B583E"/>
    <w:rsid w:val="763E6A68"/>
    <w:rsid w:val="76434F19"/>
    <w:rsid w:val="76481041"/>
    <w:rsid w:val="764943C6"/>
    <w:rsid w:val="764F12E9"/>
    <w:rsid w:val="76524935"/>
    <w:rsid w:val="765B1E90"/>
    <w:rsid w:val="765C1B74"/>
    <w:rsid w:val="765F224D"/>
    <w:rsid w:val="76633F4F"/>
    <w:rsid w:val="76634D94"/>
    <w:rsid w:val="76746824"/>
    <w:rsid w:val="767B79AA"/>
    <w:rsid w:val="7681712F"/>
    <w:rsid w:val="76880984"/>
    <w:rsid w:val="768E1E11"/>
    <w:rsid w:val="768F7938"/>
    <w:rsid w:val="76942F90"/>
    <w:rsid w:val="76A41635"/>
    <w:rsid w:val="76A96C4B"/>
    <w:rsid w:val="76B15B00"/>
    <w:rsid w:val="76B40DA2"/>
    <w:rsid w:val="76B86E8E"/>
    <w:rsid w:val="76BF021D"/>
    <w:rsid w:val="76C74159"/>
    <w:rsid w:val="76CD53B2"/>
    <w:rsid w:val="76D31F1A"/>
    <w:rsid w:val="76D90BB3"/>
    <w:rsid w:val="76DA59FC"/>
    <w:rsid w:val="76DD4B47"/>
    <w:rsid w:val="76E539FB"/>
    <w:rsid w:val="76EF1BCA"/>
    <w:rsid w:val="76F34837"/>
    <w:rsid w:val="76FB6D7B"/>
    <w:rsid w:val="76FC0DBB"/>
    <w:rsid w:val="770B0A6E"/>
    <w:rsid w:val="770E31D1"/>
    <w:rsid w:val="770F0B50"/>
    <w:rsid w:val="771816DB"/>
    <w:rsid w:val="7718792D"/>
    <w:rsid w:val="771F0CBB"/>
    <w:rsid w:val="77201C0B"/>
    <w:rsid w:val="7724211F"/>
    <w:rsid w:val="77266B59"/>
    <w:rsid w:val="7728263E"/>
    <w:rsid w:val="772F3EB5"/>
    <w:rsid w:val="7734737D"/>
    <w:rsid w:val="77361E52"/>
    <w:rsid w:val="773A3CEA"/>
    <w:rsid w:val="773C186D"/>
    <w:rsid w:val="773E2CAD"/>
    <w:rsid w:val="77425E1D"/>
    <w:rsid w:val="77437B0E"/>
    <w:rsid w:val="77453517"/>
    <w:rsid w:val="77471FC0"/>
    <w:rsid w:val="774B2A84"/>
    <w:rsid w:val="77507796"/>
    <w:rsid w:val="7751786E"/>
    <w:rsid w:val="77545354"/>
    <w:rsid w:val="775972A4"/>
    <w:rsid w:val="775B7499"/>
    <w:rsid w:val="775D62AE"/>
    <w:rsid w:val="77602EFD"/>
    <w:rsid w:val="7771703D"/>
    <w:rsid w:val="77762421"/>
    <w:rsid w:val="777D6C79"/>
    <w:rsid w:val="77822FF8"/>
    <w:rsid w:val="77895550"/>
    <w:rsid w:val="778C5170"/>
    <w:rsid w:val="77905715"/>
    <w:rsid w:val="779727BA"/>
    <w:rsid w:val="7797301C"/>
    <w:rsid w:val="779D60E5"/>
    <w:rsid w:val="77B51620"/>
    <w:rsid w:val="77B56B1F"/>
    <w:rsid w:val="77BB1359"/>
    <w:rsid w:val="77CC333A"/>
    <w:rsid w:val="77D01FB6"/>
    <w:rsid w:val="77D140BC"/>
    <w:rsid w:val="77D5456F"/>
    <w:rsid w:val="77E23F4F"/>
    <w:rsid w:val="77E2696C"/>
    <w:rsid w:val="77E31CE9"/>
    <w:rsid w:val="77E56067"/>
    <w:rsid w:val="77ED3E16"/>
    <w:rsid w:val="77ED60C8"/>
    <w:rsid w:val="77F4137E"/>
    <w:rsid w:val="780113B5"/>
    <w:rsid w:val="78052F2F"/>
    <w:rsid w:val="78054355"/>
    <w:rsid w:val="780F09F4"/>
    <w:rsid w:val="780F109C"/>
    <w:rsid w:val="780F3344"/>
    <w:rsid w:val="78124A07"/>
    <w:rsid w:val="78130702"/>
    <w:rsid w:val="781C51FB"/>
    <w:rsid w:val="781C5D92"/>
    <w:rsid w:val="781E0F73"/>
    <w:rsid w:val="781E71C5"/>
    <w:rsid w:val="78226EDA"/>
    <w:rsid w:val="78252301"/>
    <w:rsid w:val="78262173"/>
    <w:rsid w:val="782A5B6A"/>
    <w:rsid w:val="782A5CF2"/>
    <w:rsid w:val="7836058B"/>
    <w:rsid w:val="783C764B"/>
    <w:rsid w:val="783F1434"/>
    <w:rsid w:val="784B5AE0"/>
    <w:rsid w:val="784C4644"/>
    <w:rsid w:val="784D1524"/>
    <w:rsid w:val="78544995"/>
    <w:rsid w:val="785B0B8C"/>
    <w:rsid w:val="785B4326"/>
    <w:rsid w:val="785E26D1"/>
    <w:rsid w:val="78623556"/>
    <w:rsid w:val="786A065C"/>
    <w:rsid w:val="786F17CF"/>
    <w:rsid w:val="78713799"/>
    <w:rsid w:val="78721902"/>
    <w:rsid w:val="787A5908"/>
    <w:rsid w:val="787B1CD3"/>
    <w:rsid w:val="788D4EC9"/>
    <w:rsid w:val="789254BD"/>
    <w:rsid w:val="78931961"/>
    <w:rsid w:val="789631FF"/>
    <w:rsid w:val="78A43CB2"/>
    <w:rsid w:val="78A82EFF"/>
    <w:rsid w:val="78A90480"/>
    <w:rsid w:val="78B00E0E"/>
    <w:rsid w:val="78B05DCF"/>
    <w:rsid w:val="78B10039"/>
    <w:rsid w:val="78B11DE7"/>
    <w:rsid w:val="78B57239"/>
    <w:rsid w:val="78B81387"/>
    <w:rsid w:val="78B86803"/>
    <w:rsid w:val="78C55892"/>
    <w:rsid w:val="78D235BF"/>
    <w:rsid w:val="78D67AA0"/>
    <w:rsid w:val="78DD2BDC"/>
    <w:rsid w:val="78F87A16"/>
    <w:rsid w:val="78FF656E"/>
    <w:rsid w:val="79000073"/>
    <w:rsid w:val="791B27F0"/>
    <w:rsid w:val="791B4B57"/>
    <w:rsid w:val="791F31F5"/>
    <w:rsid w:val="79224A93"/>
    <w:rsid w:val="79264B05"/>
    <w:rsid w:val="792C03FB"/>
    <w:rsid w:val="79314CD6"/>
    <w:rsid w:val="79343663"/>
    <w:rsid w:val="793622EC"/>
    <w:rsid w:val="79382508"/>
    <w:rsid w:val="793842B6"/>
    <w:rsid w:val="793A6FD4"/>
    <w:rsid w:val="793D065D"/>
    <w:rsid w:val="793D2E8F"/>
    <w:rsid w:val="793E61A4"/>
    <w:rsid w:val="79400FBF"/>
    <w:rsid w:val="79420138"/>
    <w:rsid w:val="794514C8"/>
    <w:rsid w:val="794D6E35"/>
    <w:rsid w:val="79507852"/>
    <w:rsid w:val="795C61F7"/>
    <w:rsid w:val="795D7D8E"/>
    <w:rsid w:val="796055BB"/>
    <w:rsid w:val="796C21B2"/>
    <w:rsid w:val="796C49ED"/>
    <w:rsid w:val="796E7CD8"/>
    <w:rsid w:val="7970473D"/>
    <w:rsid w:val="797F1EE5"/>
    <w:rsid w:val="79804B75"/>
    <w:rsid w:val="79815C5D"/>
    <w:rsid w:val="798E4FA2"/>
    <w:rsid w:val="798F6A90"/>
    <w:rsid w:val="79917707"/>
    <w:rsid w:val="799254CB"/>
    <w:rsid w:val="799A7DA0"/>
    <w:rsid w:val="799E2D8D"/>
    <w:rsid w:val="799F6AF8"/>
    <w:rsid w:val="79A33A55"/>
    <w:rsid w:val="79A41434"/>
    <w:rsid w:val="79B32BCF"/>
    <w:rsid w:val="79BF0534"/>
    <w:rsid w:val="79C03624"/>
    <w:rsid w:val="79C5087D"/>
    <w:rsid w:val="79CB512B"/>
    <w:rsid w:val="79CE4C1B"/>
    <w:rsid w:val="79CE69C9"/>
    <w:rsid w:val="79D0629D"/>
    <w:rsid w:val="79D50AC0"/>
    <w:rsid w:val="79E60706"/>
    <w:rsid w:val="79E87A8A"/>
    <w:rsid w:val="79EA0DBB"/>
    <w:rsid w:val="79EC465B"/>
    <w:rsid w:val="79F71CAC"/>
    <w:rsid w:val="79FF6B82"/>
    <w:rsid w:val="79FF74E0"/>
    <w:rsid w:val="7A000087"/>
    <w:rsid w:val="7A027042"/>
    <w:rsid w:val="7A0B5527"/>
    <w:rsid w:val="7A0C6AB7"/>
    <w:rsid w:val="7A0E5017"/>
    <w:rsid w:val="7A0F059A"/>
    <w:rsid w:val="7A0F14BB"/>
    <w:rsid w:val="7A1239D6"/>
    <w:rsid w:val="7A140880"/>
    <w:rsid w:val="7A15284A"/>
    <w:rsid w:val="7A1F0FD2"/>
    <w:rsid w:val="7A236D15"/>
    <w:rsid w:val="7A291E51"/>
    <w:rsid w:val="7A2B20CE"/>
    <w:rsid w:val="7A2F56B9"/>
    <w:rsid w:val="7A2F7467"/>
    <w:rsid w:val="7A33329F"/>
    <w:rsid w:val="7A364017"/>
    <w:rsid w:val="7A391008"/>
    <w:rsid w:val="7A391CE2"/>
    <w:rsid w:val="7A3A3BDC"/>
    <w:rsid w:val="7A3A405E"/>
    <w:rsid w:val="7A3B66BC"/>
    <w:rsid w:val="7A401675"/>
    <w:rsid w:val="7A46297F"/>
    <w:rsid w:val="7A467E34"/>
    <w:rsid w:val="7A4B0019"/>
    <w:rsid w:val="7A571FB9"/>
    <w:rsid w:val="7A5944E4"/>
    <w:rsid w:val="7A5B3CBD"/>
    <w:rsid w:val="7A682979"/>
    <w:rsid w:val="7A717781"/>
    <w:rsid w:val="7A747570"/>
    <w:rsid w:val="7A772BBC"/>
    <w:rsid w:val="7A775435"/>
    <w:rsid w:val="7A792DD8"/>
    <w:rsid w:val="7A7B08FF"/>
    <w:rsid w:val="7A7E0698"/>
    <w:rsid w:val="7A8265E1"/>
    <w:rsid w:val="7A832E97"/>
    <w:rsid w:val="7A842082"/>
    <w:rsid w:val="7A8F5F05"/>
    <w:rsid w:val="7A990D85"/>
    <w:rsid w:val="7A996D5D"/>
    <w:rsid w:val="7AA65250"/>
    <w:rsid w:val="7ABC61FE"/>
    <w:rsid w:val="7AC57DCC"/>
    <w:rsid w:val="7AC8152C"/>
    <w:rsid w:val="7ACC2F08"/>
    <w:rsid w:val="7ADB314B"/>
    <w:rsid w:val="7ADC6EC3"/>
    <w:rsid w:val="7ADE2C3C"/>
    <w:rsid w:val="7AE069B4"/>
    <w:rsid w:val="7AE34CE0"/>
    <w:rsid w:val="7AE44B93"/>
    <w:rsid w:val="7AE855FB"/>
    <w:rsid w:val="7AEA7832"/>
    <w:rsid w:val="7AF20033"/>
    <w:rsid w:val="7AF4420D"/>
    <w:rsid w:val="7AFA18DF"/>
    <w:rsid w:val="7AFD7566"/>
    <w:rsid w:val="7AFE7A82"/>
    <w:rsid w:val="7B000E04"/>
    <w:rsid w:val="7B0326A2"/>
    <w:rsid w:val="7B041F22"/>
    <w:rsid w:val="7B0703E4"/>
    <w:rsid w:val="7B1A0118"/>
    <w:rsid w:val="7B2014A6"/>
    <w:rsid w:val="7B20371A"/>
    <w:rsid w:val="7B22521E"/>
    <w:rsid w:val="7B226FCC"/>
    <w:rsid w:val="7B2A1FC7"/>
    <w:rsid w:val="7B334ED0"/>
    <w:rsid w:val="7B354F51"/>
    <w:rsid w:val="7B362A78"/>
    <w:rsid w:val="7B3D3E06"/>
    <w:rsid w:val="7B3D6A9E"/>
    <w:rsid w:val="7B3E3380"/>
    <w:rsid w:val="7B4C5DF7"/>
    <w:rsid w:val="7B507F21"/>
    <w:rsid w:val="7B547409"/>
    <w:rsid w:val="7B5A0493"/>
    <w:rsid w:val="7B5B24DE"/>
    <w:rsid w:val="7B5B445D"/>
    <w:rsid w:val="7B5C4722"/>
    <w:rsid w:val="7B686D42"/>
    <w:rsid w:val="7B7315D6"/>
    <w:rsid w:val="7B75534E"/>
    <w:rsid w:val="7B762E74"/>
    <w:rsid w:val="7B811F45"/>
    <w:rsid w:val="7B841746"/>
    <w:rsid w:val="7B861FC5"/>
    <w:rsid w:val="7B8F3F36"/>
    <w:rsid w:val="7B91039C"/>
    <w:rsid w:val="7B915345"/>
    <w:rsid w:val="7B98728E"/>
    <w:rsid w:val="7BA60E98"/>
    <w:rsid w:val="7BB10350"/>
    <w:rsid w:val="7BB265A2"/>
    <w:rsid w:val="7BB44E46"/>
    <w:rsid w:val="7BC2090C"/>
    <w:rsid w:val="7BC50F7C"/>
    <w:rsid w:val="7BC97230"/>
    <w:rsid w:val="7BCF5727"/>
    <w:rsid w:val="7BCF772F"/>
    <w:rsid w:val="7BD07BA2"/>
    <w:rsid w:val="7BD52DEA"/>
    <w:rsid w:val="7BD823A4"/>
    <w:rsid w:val="7BD91DEC"/>
    <w:rsid w:val="7BDF6457"/>
    <w:rsid w:val="7BE20509"/>
    <w:rsid w:val="7BEC2D44"/>
    <w:rsid w:val="7BF22E42"/>
    <w:rsid w:val="7BFA031C"/>
    <w:rsid w:val="7BFF730D"/>
    <w:rsid w:val="7C0148BF"/>
    <w:rsid w:val="7C017F97"/>
    <w:rsid w:val="7C047433"/>
    <w:rsid w:val="7C080890"/>
    <w:rsid w:val="7C090879"/>
    <w:rsid w:val="7C0B3F04"/>
    <w:rsid w:val="7C0E12FE"/>
    <w:rsid w:val="7C177484"/>
    <w:rsid w:val="7C1F175E"/>
    <w:rsid w:val="7C305C49"/>
    <w:rsid w:val="7C345209"/>
    <w:rsid w:val="7C376AA7"/>
    <w:rsid w:val="7C3A0345"/>
    <w:rsid w:val="7C414E46"/>
    <w:rsid w:val="7C482A62"/>
    <w:rsid w:val="7C53073E"/>
    <w:rsid w:val="7C543B48"/>
    <w:rsid w:val="7C570EF7"/>
    <w:rsid w:val="7C596A1E"/>
    <w:rsid w:val="7C641FE8"/>
    <w:rsid w:val="7C6C5AC7"/>
    <w:rsid w:val="7C703D67"/>
    <w:rsid w:val="7C705B15"/>
    <w:rsid w:val="7C744804"/>
    <w:rsid w:val="7C776574"/>
    <w:rsid w:val="7C776EA4"/>
    <w:rsid w:val="7C790E6E"/>
    <w:rsid w:val="7C887A04"/>
    <w:rsid w:val="7C8A307B"/>
    <w:rsid w:val="7C975798"/>
    <w:rsid w:val="7C99506C"/>
    <w:rsid w:val="7C9B6C60"/>
    <w:rsid w:val="7CA314C8"/>
    <w:rsid w:val="7CAF4890"/>
    <w:rsid w:val="7CB16847"/>
    <w:rsid w:val="7CB2612E"/>
    <w:rsid w:val="7CBC0D5A"/>
    <w:rsid w:val="7CBF6753"/>
    <w:rsid w:val="7CC06A9D"/>
    <w:rsid w:val="7CC350F2"/>
    <w:rsid w:val="7CC6544B"/>
    <w:rsid w:val="7CC7607D"/>
    <w:rsid w:val="7CDC13FD"/>
    <w:rsid w:val="7CF229CE"/>
    <w:rsid w:val="7CF36E72"/>
    <w:rsid w:val="7CF81CAA"/>
    <w:rsid w:val="7CFF11A9"/>
    <w:rsid w:val="7D006EFD"/>
    <w:rsid w:val="7D0239FF"/>
    <w:rsid w:val="7D0270B5"/>
    <w:rsid w:val="7D0C3A90"/>
    <w:rsid w:val="7D0F16A0"/>
    <w:rsid w:val="7D1C69E1"/>
    <w:rsid w:val="7D20753B"/>
    <w:rsid w:val="7D28155C"/>
    <w:rsid w:val="7D29491B"/>
    <w:rsid w:val="7D347AB4"/>
    <w:rsid w:val="7D3876F8"/>
    <w:rsid w:val="7D3B25C7"/>
    <w:rsid w:val="7D3F20B7"/>
    <w:rsid w:val="7D474AC8"/>
    <w:rsid w:val="7D4D311D"/>
    <w:rsid w:val="7D5E40CD"/>
    <w:rsid w:val="7D625DA6"/>
    <w:rsid w:val="7D66602B"/>
    <w:rsid w:val="7D6705F8"/>
    <w:rsid w:val="7D677C31"/>
    <w:rsid w:val="7D6A5DC3"/>
    <w:rsid w:val="7D733B0F"/>
    <w:rsid w:val="7D745762"/>
    <w:rsid w:val="7D7A1991"/>
    <w:rsid w:val="7D7E4CB6"/>
    <w:rsid w:val="7D80447E"/>
    <w:rsid w:val="7D807FDA"/>
    <w:rsid w:val="7D8335F7"/>
    <w:rsid w:val="7D926753"/>
    <w:rsid w:val="7D9F282F"/>
    <w:rsid w:val="7D9F66B2"/>
    <w:rsid w:val="7DA023D2"/>
    <w:rsid w:val="7DA55C93"/>
    <w:rsid w:val="7DA93C7C"/>
    <w:rsid w:val="7DA93EBE"/>
    <w:rsid w:val="7DA97531"/>
    <w:rsid w:val="7DAA5057"/>
    <w:rsid w:val="7DAE4B47"/>
    <w:rsid w:val="7DCD56F2"/>
    <w:rsid w:val="7DD81BC4"/>
    <w:rsid w:val="7DE467BB"/>
    <w:rsid w:val="7DE509E5"/>
    <w:rsid w:val="7DE82AFE"/>
    <w:rsid w:val="7DEE7639"/>
    <w:rsid w:val="7E0B3D48"/>
    <w:rsid w:val="7E0D5D12"/>
    <w:rsid w:val="7E0E00C5"/>
    <w:rsid w:val="7E114337"/>
    <w:rsid w:val="7E146EA1"/>
    <w:rsid w:val="7E254463"/>
    <w:rsid w:val="7E2E5C88"/>
    <w:rsid w:val="7E333943"/>
    <w:rsid w:val="7E370FE0"/>
    <w:rsid w:val="7E374D98"/>
    <w:rsid w:val="7E391383"/>
    <w:rsid w:val="7E397D0D"/>
    <w:rsid w:val="7E3D5ECB"/>
    <w:rsid w:val="7E3E411D"/>
    <w:rsid w:val="7E4159BB"/>
    <w:rsid w:val="7E4436FD"/>
    <w:rsid w:val="7E452524"/>
    <w:rsid w:val="7E462FD2"/>
    <w:rsid w:val="7E4A27CF"/>
    <w:rsid w:val="7E4C610E"/>
    <w:rsid w:val="7E500D3F"/>
    <w:rsid w:val="7E5020A2"/>
    <w:rsid w:val="7E5730A1"/>
    <w:rsid w:val="7E5E47BF"/>
    <w:rsid w:val="7E7A59E2"/>
    <w:rsid w:val="7E7D41D6"/>
    <w:rsid w:val="7E802CE1"/>
    <w:rsid w:val="7E81225C"/>
    <w:rsid w:val="7E977CD1"/>
    <w:rsid w:val="7E980A71"/>
    <w:rsid w:val="7E9E6A02"/>
    <w:rsid w:val="7EA0165E"/>
    <w:rsid w:val="7EA47CF8"/>
    <w:rsid w:val="7EA83C8C"/>
    <w:rsid w:val="7EAE4002"/>
    <w:rsid w:val="7EAE6B37"/>
    <w:rsid w:val="7EB67D63"/>
    <w:rsid w:val="7EBB39C0"/>
    <w:rsid w:val="7EC34EA8"/>
    <w:rsid w:val="7EC62364"/>
    <w:rsid w:val="7EC76812"/>
    <w:rsid w:val="7ECD724F"/>
    <w:rsid w:val="7ECD7463"/>
    <w:rsid w:val="7ED607F9"/>
    <w:rsid w:val="7EE55F7C"/>
    <w:rsid w:val="7EE8052D"/>
    <w:rsid w:val="7EEC7FF7"/>
    <w:rsid w:val="7EED169F"/>
    <w:rsid w:val="7EFB0260"/>
    <w:rsid w:val="7F001CE7"/>
    <w:rsid w:val="7F003179"/>
    <w:rsid w:val="7F005876"/>
    <w:rsid w:val="7F030EC3"/>
    <w:rsid w:val="7F080287"/>
    <w:rsid w:val="7F0A3197"/>
    <w:rsid w:val="7F0B7D32"/>
    <w:rsid w:val="7F0C2270"/>
    <w:rsid w:val="7F147010"/>
    <w:rsid w:val="7F1C1F84"/>
    <w:rsid w:val="7F1D649E"/>
    <w:rsid w:val="7F202690"/>
    <w:rsid w:val="7F2A28F3"/>
    <w:rsid w:val="7F3B240A"/>
    <w:rsid w:val="7F3F56E6"/>
    <w:rsid w:val="7F40088B"/>
    <w:rsid w:val="7F405C73"/>
    <w:rsid w:val="7F4D28CC"/>
    <w:rsid w:val="7F5013F1"/>
    <w:rsid w:val="7F531E4A"/>
    <w:rsid w:val="7F590AE3"/>
    <w:rsid w:val="7F6531DB"/>
    <w:rsid w:val="7F6556D9"/>
    <w:rsid w:val="7F6851CA"/>
    <w:rsid w:val="7F694622"/>
    <w:rsid w:val="7F6A6282"/>
    <w:rsid w:val="7F737DF6"/>
    <w:rsid w:val="7F743B6E"/>
    <w:rsid w:val="7F743C80"/>
    <w:rsid w:val="7F747EA7"/>
    <w:rsid w:val="7F754894"/>
    <w:rsid w:val="7F790FDC"/>
    <w:rsid w:val="7F82628B"/>
    <w:rsid w:val="7F8F7EA5"/>
    <w:rsid w:val="7FAA57E2"/>
    <w:rsid w:val="7FB465F3"/>
    <w:rsid w:val="7FB83A5B"/>
    <w:rsid w:val="7FBA3C77"/>
    <w:rsid w:val="7FBA6FEC"/>
    <w:rsid w:val="7FBB79EF"/>
    <w:rsid w:val="7FBE4DEA"/>
    <w:rsid w:val="7FBF303C"/>
    <w:rsid w:val="7FD14B1D"/>
    <w:rsid w:val="7FD67265"/>
    <w:rsid w:val="7FD821AA"/>
    <w:rsid w:val="7FD85EAB"/>
    <w:rsid w:val="7FDD1714"/>
    <w:rsid w:val="7FE47E50"/>
    <w:rsid w:val="7FE647DB"/>
    <w:rsid w:val="7FE72592"/>
    <w:rsid w:val="7FEB2083"/>
    <w:rsid w:val="7FEC43B7"/>
    <w:rsid w:val="7FEC7BA9"/>
    <w:rsid w:val="7FF75ABE"/>
    <w:rsid w:val="7FFA5397"/>
    <w:rsid w:val="7FFC4290"/>
    <w:rsid w:val="7FFC555D"/>
    <w:rsid w:val="7FFC5BE1"/>
    <w:rsid w:val="7FFD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qFormat="1" w:uiPriority="99"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qFormat="1" w:unhideWhenUsed="0" w:uiPriority="0" w:semiHidden="0" w:name="Table Theme" w:locked="1"/>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locked/>
    <w:uiPriority w:val="99"/>
    <w:pPr>
      <w:keepNext/>
      <w:overflowPunct w:val="0"/>
      <w:snapToGrid w:val="0"/>
      <w:spacing w:before="120" w:after="160" w:line="259" w:lineRule="auto"/>
      <w:ind w:left="432" w:hanging="432"/>
      <w:outlineLvl w:val="0"/>
    </w:pPr>
    <w:rPr>
      <w:rFonts w:eastAsia="黑体"/>
      <w:bCs/>
      <w:color w:val="000000"/>
      <w:kern w:val="44"/>
      <w:sz w:val="30"/>
      <w:szCs w:val="30"/>
    </w:rPr>
  </w:style>
  <w:style w:type="paragraph" w:styleId="6">
    <w:name w:val="heading 2"/>
    <w:basedOn w:val="1"/>
    <w:next w:val="1"/>
    <w:link w:val="61"/>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62"/>
    <w:semiHidden/>
    <w:unhideWhenUsed/>
    <w:qFormat/>
    <w:locked/>
    <w:uiPriority w:val="0"/>
    <w:pPr>
      <w:keepNext/>
      <w:keepLines/>
      <w:spacing w:before="260" w:after="260" w:line="416" w:lineRule="auto"/>
      <w:outlineLvl w:val="2"/>
    </w:pPr>
    <w:rPr>
      <w:b/>
      <w:bCs/>
      <w:sz w:val="32"/>
      <w:szCs w:val="32"/>
    </w:rPr>
  </w:style>
  <w:style w:type="paragraph" w:styleId="9">
    <w:name w:val="heading 4"/>
    <w:basedOn w:val="1"/>
    <w:next w:val="1"/>
    <w:qFormat/>
    <w:locked/>
    <w:uiPriority w:val="0"/>
    <w:pPr>
      <w:keepNext/>
      <w:keepLines/>
      <w:outlineLvl w:val="3"/>
    </w:pPr>
    <w:rPr>
      <w:rFonts w:ascii="Calibri Light" w:hAnsi="Calibri Light" w:eastAsia="宋体" w:cs="Times New Roman"/>
      <w:bCs/>
      <w:sz w:val="24"/>
      <w:szCs w:val="28"/>
      <w:lang w:val="zh-CN" w:eastAsia="zh-CN" w:bidi="zh-CN"/>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uiPriority w:val="0"/>
    <w:pPr>
      <w:widowControl/>
      <w:snapToGrid w:val="0"/>
      <w:spacing w:before="60" w:after="160" w:line="259" w:lineRule="auto"/>
      <w:ind w:right="113"/>
    </w:pPr>
    <w:rPr>
      <w:kern w:val="0"/>
      <w:sz w:val="18"/>
      <w:szCs w:val="20"/>
    </w:rPr>
  </w:style>
  <w:style w:type="paragraph" w:styleId="3">
    <w:name w:val="Body Text Indent"/>
    <w:basedOn w:val="1"/>
    <w:next w:val="1"/>
    <w:link w:val="54"/>
    <w:qFormat/>
    <w:uiPriority w:val="0"/>
    <w:pPr>
      <w:spacing w:after="120"/>
      <w:ind w:left="420" w:leftChars="200"/>
    </w:pPr>
    <w:rPr>
      <w:kern w:val="0"/>
      <w:sz w:val="24"/>
      <w:szCs w:val="20"/>
    </w:rPr>
  </w:style>
  <w:style w:type="paragraph" w:customStyle="1" w:styleId="5">
    <w:name w:val="报告表标题1.1"/>
    <w:basedOn w:val="1"/>
    <w:qFormat/>
    <w:uiPriority w:val="0"/>
    <w:pPr>
      <w:adjustRightInd w:val="0"/>
      <w:spacing w:line="240" w:lineRule="auto"/>
      <w:ind w:firstLine="0" w:firstLineChars="0"/>
    </w:pPr>
    <w:rPr>
      <w:b/>
    </w:rPr>
  </w:style>
  <w:style w:type="paragraph" w:customStyle="1" w:styleId="8">
    <w:name w:val="正文首行缩进1"/>
    <w:basedOn w:val="1"/>
    <w:qFormat/>
    <w:uiPriority w:val="0"/>
    <w:pPr>
      <w:adjustRightInd w:val="0"/>
      <w:snapToGrid w:val="0"/>
      <w:spacing w:line="360" w:lineRule="auto"/>
      <w:ind w:firstLine="482"/>
      <w:jc w:val="left"/>
    </w:pPr>
    <w:rPr>
      <w:snapToGrid w:val="0"/>
      <w:kern w:val="0"/>
      <w:sz w:val="24"/>
    </w:rPr>
  </w:style>
  <w:style w:type="paragraph" w:styleId="10">
    <w:name w:val="index 8"/>
    <w:basedOn w:val="1"/>
    <w:next w:val="1"/>
    <w:unhideWhenUsed/>
    <w:qFormat/>
    <w:locked/>
    <w:uiPriority w:val="99"/>
    <w:pPr>
      <w:adjustRightInd w:val="0"/>
      <w:snapToGrid w:val="0"/>
      <w:spacing w:line="360" w:lineRule="auto"/>
      <w:ind w:left="1400" w:leftChars="1400" w:firstLine="200" w:firstLineChars="200"/>
    </w:pPr>
    <w:rPr>
      <w:sz w:val="24"/>
      <w:szCs w:val="22"/>
    </w:rPr>
  </w:style>
  <w:style w:type="paragraph" w:styleId="11">
    <w:name w:val="Normal Indent"/>
    <w:basedOn w:val="1"/>
    <w:next w:val="12"/>
    <w:qFormat/>
    <w:locked/>
    <w:uiPriority w:val="0"/>
    <w:pPr>
      <w:spacing w:before="120" w:line="500" w:lineRule="exact"/>
      <w:ind w:firstLine="420"/>
    </w:pPr>
    <w:rPr>
      <w:sz w:val="24"/>
    </w:rPr>
  </w:style>
  <w:style w:type="paragraph" w:customStyle="1" w:styleId="12">
    <w:name w:val="表头"/>
    <w:basedOn w:val="13"/>
    <w:next w:val="1"/>
    <w:qFormat/>
    <w:uiPriority w:val="98"/>
    <w:pPr>
      <w:spacing w:line="360" w:lineRule="auto"/>
      <w:jc w:val="center"/>
      <w:outlineLvl w:val="3"/>
    </w:pPr>
    <w:rPr>
      <w:rFonts w:ascii="Times New Roman" w:hAnsi="Times New Roman" w:eastAsia="宋体"/>
      <w:b/>
    </w:rPr>
  </w:style>
  <w:style w:type="paragraph" w:styleId="13">
    <w:name w:val="List"/>
    <w:basedOn w:val="1"/>
    <w:next w:val="8"/>
    <w:qFormat/>
    <w:locked/>
    <w:uiPriority w:val="0"/>
    <w:pPr>
      <w:spacing w:line="400" w:lineRule="exact"/>
      <w:ind w:left="0" w:leftChars="0" w:firstLine="0" w:firstLineChars="0"/>
      <w:jc w:val="center"/>
    </w:pPr>
    <w:rPr>
      <w:rFonts w:eastAsia="仿宋_GB2312"/>
      <w:sz w:val="24"/>
    </w:rPr>
  </w:style>
  <w:style w:type="paragraph" w:styleId="14">
    <w:name w:val="caption"/>
    <w:basedOn w:val="1"/>
    <w:next w:val="1"/>
    <w:unhideWhenUsed/>
    <w:qFormat/>
    <w:locked/>
    <w:uiPriority w:val="0"/>
    <w:pPr>
      <w:spacing w:line="360" w:lineRule="auto"/>
      <w:jc w:val="center"/>
    </w:pPr>
    <w:rPr>
      <w:rFonts w:eastAsia="Times New Roman" w:cstheme="majorBidi"/>
      <w:b/>
      <w:szCs w:val="20"/>
    </w:rPr>
  </w:style>
  <w:style w:type="paragraph" w:styleId="15">
    <w:name w:val="annotation text"/>
    <w:basedOn w:val="1"/>
    <w:link w:val="46"/>
    <w:semiHidden/>
    <w:qFormat/>
    <w:uiPriority w:val="0"/>
    <w:pPr>
      <w:jc w:val="left"/>
    </w:pPr>
    <w:rPr>
      <w:kern w:val="0"/>
      <w:sz w:val="24"/>
      <w:szCs w:val="20"/>
    </w:rPr>
  </w:style>
  <w:style w:type="paragraph" w:styleId="16">
    <w:name w:val="Plain Text"/>
    <w:basedOn w:val="1"/>
    <w:qFormat/>
    <w:locked/>
    <w:uiPriority w:val="0"/>
    <w:rPr>
      <w:rFonts w:ascii="宋体" w:hAnsi="Courier New"/>
    </w:rPr>
  </w:style>
  <w:style w:type="paragraph" w:styleId="17">
    <w:name w:val="List Bullet 5"/>
    <w:basedOn w:val="1"/>
    <w:qFormat/>
    <w:locked/>
    <w:uiPriority w:val="0"/>
    <w:pPr>
      <w:numPr>
        <w:ilvl w:val="0"/>
        <w:numId w:val="1"/>
      </w:numPr>
    </w:pPr>
  </w:style>
  <w:style w:type="paragraph" w:styleId="18">
    <w:name w:val="Date"/>
    <w:basedOn w:val="1"/>
    <w:next w:val="1"/>
    <w:link w:val="41"/>
    <w:qFormat/>
    <w:uiPriority w:val="0"/>
    <w:pPr>
      <w:ind w:left="100" w:leftChars="2500"/>
    </w:pPr>
    <w:rPr>
      <w:kern w:val="0"/>
      <w:sz w:val="24"/>
      <w:szCs w:val="20"/>
    </w:rPr>
  </w:style>
  <w:style w:type="paragraph" w:styleId="19">
    <w:name w:val="Balloon Text"/>
    <w:basedOn w:val="1"/>
    <w:link w:val="50"/>
    <w:semiHidden/>
    <w:qFormat/>
    <w:uiPriority w:val="0"/>
    <w:rPr>
      <w:kern w:val="0"/>
      <w:sz w:val="18"/>
      <w:szCs w:val="20"/>
    </w:rPr>
  </w:style>
  <w:style w:type="paragraph" w:styleId="20">
    <w:name w:val="footer"/>
    <w:basedOn w:val="1"/>
    <w:link w:val="40"/>
    <w:qFormat/>
    <w:uiPriority w:val="99"/>
    <w:pPr>
      <w:tabs>
        <w:tab w:val="center" w:pos="4153"/>
        <w:tab w:val="right" w:pos="8306"/>
      </w:tabs>
      <w:snapToGrid w:val="0"/>
      <w:jc w:val="left"/>
    </w:pPr>
    <w:rPr>
      <w:kern w:val="0"/>
      <w:sz w:val="18"/>
      <w:szCs w:val="20"/>
    </w:rPr>
  </w:style>
  <w:style w:type="paragraph" w:styleId="21">
    <w:name w:val="header"/>
    <w:basedOn w:val="1"/>
    <w:link w:val="52"/>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locked/>
    <w:uiPriority w:val="0"/>
    <w:pPr>
      <w:spacing w:line="560" w:lineRule="exact"/>
    </w:pPr>
    <w:rPr>
      <w:rFonts w:ascii="仿宋_GB2312" w:hAnsi="仿宋_GB2312" w:eastAsia="黑体"/>
      <w:sz w:val="24"/>
      <w:szCs w:val="22"/>
    </w:rPr>
  </w:style>
  <w:style w:type="paragraph" w:styleId="23">
    <w:name w:val="table of figures"/>
    <w:basedOn w:val="1"/>
    <w:next w:val="1"/>
    <w:qFormat/>
    <w:locked/>
    <w:uiPriority w:val="0"/>
    <w:pPr>
      <w:ind w:left="0" w:leftChars="0" w:firstLine="0" w:firstLineChars="0"/>
    </w:pPr>
    <w:rPr>
      <w:rFonts w:ascii="Times New Roman" w:hAnsi="Times New Roman"/>
    </w:rPr>
  </w:style>
  <w:style w:type="paragraph" w:styleId="24">
    <w:name w:val="Normal (Web)"/>
    <w:basedOn w:val="1"/>
    <w:link w:val="43"/>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15"/>
    <w:next w:val="15"/>
    <w:link w:val="51"/>
    <w:semiHidden/>
    <w:qFormat/>
    <w:uiPriority w:val="0"/>
    <w:rPr>
      <w:b/>
    </w:rPr>
  </w:style>
  <w:style w:type="paragraph" w:styleId="26">
    <w:name w:val="Body Text First Indent"/>
    <w:basedOn w:val="2"/>
    <w:next w:val="1"/>
    <w:qFormat/>
    <w:locked/>
    <w:uiPriority w:val="0"/>
    <w:pPr>
      <w:ind w:firstLine="420" w:firstLineChars="100"/>
    </w:pPr>
    <w:rPr>
      <w:kern w:val="0"/>
      <w:sz w:val="20"/>
    </w:rPr>
  </w:style>
  <w:style w:type="paragraph" w:styleId="27">
    <w:name w:val="Body Text First Indent 2"/>
    <w:basedOn w:val="3"/>
    <w:next w:val="1"/>
    <w:qFormat/>
    <w:locked/>
    <w:uiPriority w:val="0"/>
    <w:pPr>
      <w:spacing w:line="240" w:lineRule="auto"/>
      <w:ind w:left="420" w:leftChars="200" w:firstLine="420"/>
    </w:pPr>
    <w:rPr>
      <w:rFonts w:ascii="Times New Roman" w:hAnsi="Times New Roman"/>
      <w:color w:val="auto"/>
      <w:sz w:val="28"/>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Table Theme"/>
    <w:basedOn w:val="2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locked/>
    <w:uiPriority w:val="0"/>
  </w:style>
  <w:style w:type="character" w:styleId="33">
    <w:name w:val="Emphasis"/>
    <w:basedOn w:val="31"/>
    <w:qFormat/>
    <w:locked/>
    <w:uiPriority w:val="0"/>
    <w:rPr>
      <w:i/>
      <w:iCs/>
    </w:rPr>
  </w:style>
  <w:style w:type="character" w:styleId="34">
    <w:name w:val="Hyperlink"/>
    <w:basedOn w:val="31"/>
    <w:qFormat/>
    <w:locked/>
    <w:uiPriority w:val="0"/>
    <w:rPr>
      <w:color w:val="0000FF"/>
      <w:u w:val="single"/>
    </w:rPr>
  </w:style>
  <w:style w:type="character" w:styleId="35">
    <w:name w:val="annotation reference"/>
    <w:semiHidden/>
    <w:qFormat/>
    <w:uiPriority w:val="0"/>
    <w:rPr>
      <w:sz w:val="21"/>
    </w:rPr>
  </w:style>
  <w:style w:type="paragraph" w:customStyle="1" w:styleId="36">
    <w:name w:val="Default"/>
    <w:basedOn w:val="37"/>
    <w:next w:val="1"/>
    <w:qFormat/>
    <w:uiPriority w:val="0"/>
    <w:pPr>
      <w:widowControl w:val="0"/>
      <w:autoSpaceDE w:val="0"/>
      <w:autoSpaceDN w:val="0"/>
      <w:adjustRightInd w:val="0"/>
    </w:pPr>
    <w:rPr>
      <w:rFonts w:ascii="宋体" w:hAnsi="Calibri" w:eastAsia="微软雅黑" w:cs="宋体"/>
      <w:color w:val="000000"/>
      <w:sz w:val="24"/>
      <w:szCs w:val="24"/>
      <w:lang w:val="en-US" w:eastAsia="zh-CN" w:bidi="ar-SA"/>
    </w:rPr>
  </w:style>
  <w:style w:type="paragraph" w:customStyle="1" w:styleId="37">
    <w:name w:val="纯文本1"/>
    <w:basedOn w:val="1"/>
    <w:qFormat/>
    <w:uiPriority w:val="0"/>
    <w:pPr>
      <w:adjustRightInd w:val="0"/>
    </w:pPr>
    <w:rPr>
      <w:rFonts w:ascii="宋体" w:hAnsi="Courier New"/>
    </w:rPr>
  </w:style>
  <w:style w:type="paragraph" w:customStyle="1" w:styleId="38">
    <w:name w:val="1正文段落"/>
    <w:basedOn w:val="1"/>
    <w:qFormat/>
    <w:uiPriority w:val="0"/>
    <w:pPr>
      <w:spacing w:line="360" w:lineRule="auto"/>
      <w:ind w:firstLine="200" w:firstLineChars="200"/>
      <w:jc w:val="left"/>
    </w:pPr>
    <w:rPr>
      <w:rFonts w:ascii="Calibri" w:hAnsi="Calibri"/>
      <w:snapToGrid w:val="0"/>
      <w:kern w:val="0"/>
      <w:sz w:val="24"/>
    </w:rPr>
  </w:style>
  <w:style w:type="paragraph" w:customStyle="1" w:styleId="39">
    <w:name w:val="样式 正文缩进正文缩进2正文缩进 Char Char正文缩进 Char Char Char Char正文缩进 Char ..."/>
    <w:basedOn w:val="11"/>
    <w:next w:val="1"/>
    <w:qFormat/>
    <w:uiPriority w:val="0"/>
    <w:pPr>
      <w:spacing w:line="360" w:lineRule="auto"/>
      <w:ind w:firstLine="200"/>
    </w:pPr>
    <w:rPr>
      <w:rFonts w:cs="宋体"/>
      <w:sz w:val="24"/>
    </w:rPr>
  </w:style>
  <w:style w:type="character" w:customStyle="1" w:styleId="40">
    <w:name w:val="页脚 字符1"/>
    <w:link w:val="20"/>
    <w:qFormat/>
    <w:locked/>
    <w:uiPriority w:val="99"/>
    <w:rPr>
      <w:sz w:val="18"/>
    </w:rPr>
  </w:style>
  <w:style w:type="character" w:customStyle="1" w:styleId="41">
    <w:name w:val="日期 字符1"/>
    <w:link w:val="18"/>
    <w:qFormat/>
    <w:locked/>
    <w:uiPriority w:val="0"/>
    <w:rPr>
      <w:rFonts w:ascii="Times New Roman" w:hAnsi="Times New Roman" w:eastAsia="宋体"/>
      <w:sz w:val="24"/>
    </w:rPr>
  </w:style>
  <w:style w:type="character" w:customStyle="1" w:styleId="42">
    <w:name w:val="页脚 字符"/>
    <w:basedOn w:val="31"/>
    <w:qFormat/>
    <w:uiPriority w:val="99"/>
  </w:style>
  <w:style w:type="character" w:customStyle="1" w:styleId="43">
    <w:name w:val="普通(网站) 字符"/>
    <w:link w:val="24"/>
    <w:qFormat/>
    <w:locked/>
    <w:uiPriority w:val="0"/>
    <w:rPr>
      <w:rFonts w:ascii="宋体" w:hAnsi="宋体" w:eastAsia="宋体"/>
      <w:sz w:val="24"/>
    </w:rPr>
  </w:style>
  <w:style w:type="character" w:customStyle="1" w:styleId="44">
    <w:name w:val="正文文本 字符1"/>
    <w:semiHidden/>
    <w:qFormat/>
    <w:uiPriority w:val="0"/>
    <w:rPr>
      <w:rFonts w:ascii="Times New Roman" w:hAnsi="Times New Roman" w:eastAsia="宋体"/>
      <w:sz w:val="24"/>
    </w:rPr>
  </w:style>
  <w:style w:type="character" w:customStyle="1" w:styleId="45">
    <w:name w:val="正文文本 字符"/>
    <w:link w:val="2"/>
    <w:qFormat/>
    <w:locked/>
    <w:uiPriority w:val="0"/>
    <w:rPr>
      <w:sz w:val="18"/>
    </w:rPr>
  </w:style>
  <w:style w:type="character" w:customStyle="1" w:styleId="46">
    <w:name w:val="批注文字 字符"/>
    <w:link w:val="15"/>
    <w:qFormat/>
    <w:locked/>
    <w:uiPriority w:val="0"/>
    <w:rPr>
      <w:rFonts w:ascii="Times New Roman" w:hAnsi="Times New Roman" w:eastAsia="宋体"/>
      <w:sz w:val="24"/>
    </w:rPr>
  </w:style>
  <w:style w:type="character" w:customStyle="1" w:styleId="47">
    <w:name w:val="表格 Char"/>
    <w:link w:val="48"/>
    <w:qFormat/>
    <w:locked/>
    <w:uiPriority w:val="0"/>
    <w:rPr>
      <w:rFonts w:ascii="宋体"/>
      <w:sz w:val="21"/>
    </w:rPr>
  </w:style>
  <w:style w:type="paragraph" w:customStyle="1" w:styleId="48">
    <w:name w:val="表格"/>
    <w:basedOn w:val="12"/>
    <w:next w:val="1"/>
    <w:link w:val="47"/>
    <w:qFormat/>
    <w:uiPriority w:val="0"/>
    <w:pPr>
      <w:adjustRightInd w:val="0"/>
      <w:snapToGrid w:val="0"/>
      <w:spacing w:beforeLines="10" w:afterLines="10" w:line="259" w:lineRule="auto"/>
      <w:jc w:val="center"/>
    </w:pPr>
    <w:rPr>
      <w:rFonts w:ascii="宋体"/>
      <w:kern w:val="0"/>
      <w:szCs w:val="20"/>
    </w:rPr>
  </w:style>
  <w:style w:type="character" w:customStyle="1" w:styleId="49">
    <w:name w:val="日期 字符"/>
    <w:semiHidden/>
    <w:qFormat/>
    <w:uiPriority w:val="0"/>
    <w:rPr>
      <w:rFonts w:ascii="Times New Roman" w:hAnsi="Times New Roman" w:eastAsia="宋体"/>
      <w:sz w:val="24"/>
    </w:rPr>
  </w:style>
  <w:style w:type="character" w:customStyle="1" w:styleId="50">
    <w:name w:val="批注框文本 字符"/>
    <w:link w:val="19"/>
    <w:semiHidden/>
    <w:qFormat/>
    <w:locked/>
    <w:uiPriority w:val="0"/>
    <w:rPr>
      <w:rFonts w:ascii="Times New Roman" w:hAnsi="Times New Roman" w:eastAsia="宋体"/>
      <w:sz w:val="18"/>
    </w:rPr>
  </w:style>
  <w:style w:type="character" w:customStyle="1" w:styleId="51">
    <w:name w:val="批注主题 字符"/>
    <w:link w:val="25"/>
    <w:semiHidden/>
    <w:qFormat/>
    <w:locked/>
    <w:uiPriority w:val="0"/>
    <w:rPr>
      <w:rFonts w:ascii="Times New Roman" w:hAnsi="Times New Roman" w:eastAsia="宋体"/>
      <w:b/>
      <w:kern w:val="2"/>
      <w:sz w:val="24"/>
    </w:rPr>
  </w:style>
  <w:style w:type="character" w:customStyle="1" w:styleId="52">
    <w:name w:val="页眉 字符"/>
    <w:link w:val="21"/>
    <w:qFormat/>
    <w:locked/>
    <w:uiPriority w:val="0"/>
    <w:rPr>
      <w:sz w:val="18"/>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正文文本缩进 字符"/>
    <w:link w:val="3"/>
    <w:semiHidden/>
    <w:qFormat/>
    <w:locked/>
    <w:uiPriority w:val="0"/>
    <w:rPr>
      <w:rFonts w:ascii="Times New Roman" w:hAnsi="Times New Roman" w:eastAsia="宋体"/>
      <w:sz w:val="24"/>
    </w:rPr>
  </w:style>
  <w:style w:type="paragraph" w:customStyle="1" w:styleId="5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普通(网站)2"/>
    <w:basedOn w:val="1"/>
    <w:qFormat/>
    <w:uiPriority w:val="0"/>
    <w:pPr>
      <w:widowControl/>
      <w:spacing w:before="100" w:beforeAutospacing="1" w:after="100" w:afterAutospacing="1"/>
      <w:jc w:val="left"/>
    </w:pPr>
    <w:rPr>
      <w:rFonts w:ascii="宋体" w:hAnsi="宋体"/>
      <w:sz w:val="24"/>
      <w:szCs w:val="20"/>
    </w:rPr>
  </w:style>
  <w:style w:type="paragraph" w:styleId="57">
    <w:name w:val="No Spacing"/>
    <w:qFormat/>
    <w:uiPriority w:val="1"/>
    <w:pPr>
      <w:widowControl w:val="0"/>
      <w:jc w:val="center"/>
    </w:pPr>
    <w:rPr>
      <w:rFonts w:ascii="Times New Roman" w:hAnsi="Times New Roman" w:eastAsia="宋体" w:cs="Times New Roman"/>
      <w:kern w:val="2"/>
      <w:sz w:val="21"/>
      <w:szCs w:val="24"/>
      <w:lang w:val="en-US" w:eastAsia="zh-CN" w:bidi="ar-SA"/>
    </w:rPr>
  </w:style>
  <w:style w:type="paragraph" w:styleId="58">
    <w:name w:val="Intense Quote"/>
    <w:basedOn w:val="1"/>
    <w:next w:val="1"/>
    <w:link w:val="59"/>
    <w:qFormat/>
    <w:uiPriority w:val="30"/>
    <w:pPr>
      <w:pBdr>
        <w:top w:val="single" w:color="4472C4" w:themeColor="accent1" w:sz="4" w:space="10"/>
        <w:bottom w:val="single" w:color="4472C4" w:themeColor="accent1" w:sz="4" w:space="10"/>
      </w:pBdr>
      <w:spacing w:line="360" w:lineRule="auto"/>
      <w:ind w:firstLine="200" w:firstLineChars="200"/>
    </w:pPr>
    <w:rPr>
      <w:iCs/>
    </w:rPr>
  </w:style>
  <w:style w:type="character" w:customStyle="1" w:styleId="59">
    <w:name w:val="明显引用 字符"/>
    <w:basedOn w:val="31"/>
    <w:link w:val="58"/>
    <w:qFormat/>
    <w:uiPriority w:val="30"/>
    <w:rPr>
      <w:iCs/>
      <w:kern w:val="2"/>
      <w:sz w:val="21"/>
      <w:szCs w:val="24"/>
    </w:rPr>
  </w:style>
  <w:style w:type="paragraph" w:customStyle="1" w:styleId="60">
    <w:name w:val="文本"/>
    <w:basedOn w:val="1"/>
    <w:qFormat/>
    <w:uiPriority w:val="0"/>
    <w:pPr>
      <w:spacing w:line="360" w:lineRule="auto"/>
      <w:ind w:firstLine="200" w:firstLineChars="200"/>
    </w:pPr>
  </w:style>
  <w:style w:type="character" w:customStyle="1" w:styleId="61">
    <w:name w:val="标题 2 字符"/>
    <w:basedOn w:val="31"/>
    <w:link w:val="6"/>
    <w:semiHidden/>
    <w:qFormat/>
    <w:uiPriority w:val="0"/>
    <w:rPr>
      <w:rFonts w:asciiTheme="majorHAnsi" w:hAnsiTheme="majorHAnsi" w:eastAsiaTheme="majorEastAsia" w:cstheme="majorBidi"/>
      <w:b/>
      <w:bCs/>
      <w:kern w:val="2"/>
      <w:sz w:val="32"/>
      <w:szCs w:val="32"/>
    </w:rPr>
  </w:style>
  <w:style w:type="character" w:customStyle="1" w:styleId="62">
    <w:name w:val="标题 3 字符"/>
    <w:basedOn w:val="31"/>
    <w:link w:val="7"/>
    <w:semiHidden/>
    <w:qFormat/>
    <w:uiPriority w:val="0"/>
    <w:rPr>
      <w:b/>
      <w:bCs/>
      <w:kern w:val="2"/>
      <w:sz w:val="32"/>
      <w:szCs w:val="32"/>
    </w:rPr>
  </w:style>
  <w:style w:type="paragraph" w:customStyle="1" w:styleId="63">
    <w:name w:val="Table Paragraph"/>
    <w:basedOn w:val="1"/>
    <w:qFormat/>
    <w:uiPriority w:val="1"/>
    <w:pPr>
      <w:autoSpaceDE w:val="0"/>
      <w:autoSpaceDN w:val="0"/>
      <w:jc w:val="left"/>
    </w:pPr>
    <w:rPr>
      <w:rFonts w:ascii="宋体" w:hAnsi="宋体" w:cs="宋体"/>
      <w:kern w:val="0"/>
      <w:sz w:val="22"/>
      <w:szCs w:val="22"/>
      <w:lang w:eastAsia="en-US"/>
    </w:rPr>
  </w:style>
  <w:style w:type="character" w:styleId="64">
    <w:name w:val="Placeholder Text"/>
    <w:basedOn w:val="31"/>
    <w:semiHidden/>
    <w:qFormat/>
    <w:uiPriority w:val="99"/>
    <w:rPr>
      <w:color w:val="808080"/>
    </w:rPr>
  </w:style>
  <w:style w:type="paragraph" w:customStyle="1" w:styleId="65">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66">
    <w:name w:val="+正文"/>
    <w:basedOn w:val="1"/>
    <w:qFormat/>
    <w:uiPriority w:val="0"/>
    <w:pPr>
      <w:adjustRightInd w:val="0"/>
      <w:snapToGrid w:val="0"/>
      <w:spacing w:line="360" w:lineRule="auto"/>
      <w:ind w:firstLine="200" w:firstLineChars="200"/>
    </w:pPr>
    <w:rPr>
      <w:rFonts w:ascii="Times New Roman" w:hAnsi="Times New Roman"/>
      <w:sz w:val="24"/>
    </w:rPr>
  </w:style>
  <w:style w:type="paragraph" w:customStyle="1" w:styleId="67">
    <w:name w:val="+表头"/>
    <w:basedOn w:val="1"/>
    <w:next w:val="66"/>
    <w:qFormat/>
    <w:uiPriority w:val="0"/>
    <w:pPr>
      <w:adjustRightInd w:val="0"/>
      <w:snapToGrid w:val="0"/>
      <w:jc w:val="center"/>
    </w:pPr>
    <w:rPr>
      <w:rFonts w:ascii="Times New Roman" w:hAnsi="Times New Roman"/>
      <w:b/>
      <w:szCs w:val="21"/>
    </w:rPr>
  </w:style>
  <w:style w:type="paragraph" w:customStyle="1" w:styleId="68">
    <w:name w:val="*正文"/>
    <w:basedOn w:val="1"/>
    <w:qFormat/>
    <w:uiPriority w:val="0"/>
    <w:pPr>
      <w:adjustRightInd w:val="0"/>
      <w:spacing w:line="360" w:lineRule="auto"/>
      <w:ind w:firstLine="200" w:firstLineChars="200"/>
    </w:pPr>
    <w:rPr>
      <w:sz w:val="24"/>
      <w:szCs w:val="24"/>
    </w:rPr>
  </w:style>
  <w:style w:type="paragraph" w:customStyle="1" w:styleId="69">
    <w:name w:val="_Style 44"/>
    <w:basedOn w:val="1"/>
    <w:qFormat/>
    <w:uiPriority w:val="0"/>
    <w:rPr>
      <w:rFonts w:ascii="Tahoma" w:hAnsi="Tahoma"/>
      <w:sz w:val="24"/>
      <w:szCs w:val="20"/>
    </w:rPr>
  </w:style>
  <w:style w:type="paragraph" w:styleId="70">
    <w:name w:val="List Paragraph"/>
    <w:basedOn w:val="1"/>
    <w:qFormat/>
    <w:uiPriority w:val="34"/>
    <w:pPr>
      <w:spacing w:line="240" w:lineRule="auto"/>
      <w:ind w:firstLine="420"/>
    </w:pPr>
    <w:rPr>
      <w:szCs w:val="20"/>
    </w:rPr>
  </w:style>
  <w:style w:type="paragraph" w:customStyle="1" w:styleId="71">
    <w:name w:val="表格字体"/>
    <w:basedOn w:val="1"/>
    <w:semiHidden/>
    <w:qFormat/>
    <w:uiPriority w:val="0"/>
    <w:pPr>
      <w:adjustRightInd w:val="0"/>
      <w:spacing w:beforeLines="20" w:afterLines="20"/>
      <w:jc w:val="center"/>
      <w:textAlignment w:val="center"/>
    </w:pPr>
    <w:rPr>
      <w:szCs w:val="21"/>
    </w:rPr>
  </w:style>
  <w:style w:type="paragraph" w:customStyle="1" w:styleId="72">
    <w:name w:val="表格内容"/>
    <w:basedOn w:val="11"/>
    <w:next w:val="1"/>
    <w:qFormat/>
    <w:uiPriority w:val="0"/>
    <w:pPr>
      <w:ind w:firstLine="0" w:firstLineChars="0"/>
      <w:jc w:val="center"/>
    </w:pPr>
    <w:rPr>
      <w:rFonts w:ascii="Calibri" w:hAnsi="Calibri" w:eastAsia="Calibri"/>
      <w:kern w:val="0"/>
      <w:szCs w:val="20"/>
      <w:lang w:eastAsia="en-US"/>
    </w:rPr>
  </w:style>
  <w:style w:type="paragraph" w:customStyle="1" w:styleId="73">
    <w:name w:val="段落1"/>
    <w:basedOn w:val="1"/>
    <w:qFormat/>
    <w:uiPriority w:val="0"/>
    <w:pPr>
      <w:spacing w:line="480" w:lineRule="exact"/>
      <w:ind w:firstLine="200" w:firstLineChars="200"/>
    </w:pPr>
    <w:rPr>
      <w:rFonts w:eastAsia="楷体_GB2312"/>
      <w:spacing w:val="6"/>
      <w:sz w:val="28"/>
      <w:szCs w:val="24"/>
    </w:rPr>
  </w:style>
  <w:style w:type="paragraph" w:customStyle="1" w:styleId="74">
    <w:name w:val="！正文"/>
    <w:next w:val="10"/>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8"/>
      <w:lang w:val="zh-CN" w:eastAsia="zh-CN" w:bidi="ar-SA"/>
    </w:rPr>
  </w:style>
  <w:style w:type="paragraph" w:customStyle="1" w:styleId="75">
    <w:name w:val="12345正文"/>
    <w:basedOn w:val="1"/>
    <w:qFormat/>
    <w:uiPriority w:val="0"/>
    <w:pPr>
      <w:autoSpaceDE w:val="0"/>
      <w:autoSpaceDN w:val="0"/>
      <w:adjustRightInd w:val="0"/>
      <w:spacing w:line="360" w:lineRule="auto"/>
      <w:ind w:firstLine="480" w:firstLineChars="200"/>
      <w:contextualSpacing/>
    </w:pPr>
    <w:rPr>
      <w:rFonts w:cs="宋体"/>
      <w:kern w:val="0"/>
      <w:sz w:val="24"/>
    </w:rPr>
  </w:style>
  <w:style w:type="paragraph" w:customStyle="1" w:styleId="76">
    <w:name w:val="表头1"/>
    <w:basedOn w:val="1"/>
    <w:qFormat/>
    <w:uiPriority w:val="0"/>
    <w:pPr>
      <w:spacing w:before="60" w:after="60" w:line="320" w:lineRule="exact"/>
      <w:jc w:val="center"/>
    </w:pPr>
    <w:rPr>
      <w:rFonts w:ascii="仿宋_GB2312" w:hAnsi="Calibri" w:eastAsia="仿宋_GB2312"/>
      <w:b/>
      <w:sz w:val="24"/>
      <w:szCs w:val="20"/>
    </w:rPr>
  </w:style>
  <w:style w:type="paragraph" w:customStyle="1" w:styleId="77">
    <w:name w:val="图标"/>
    <w:basedOn w:val="1"/>
    <w:qFormat/>
    <w:uiPriority w:val="0"/>
    <w:pPr>
      <w:snapToGrid w:val="0"/>
      <w:spacing w:beforeLines="50"/>
      <w:jc w:val="center"/>
    </w:pPr>
    <w:rPr>
      <w:rFonts w:eastAsia="仿宋_GB2312"/>
      <w:b/>
      <w:sz w:val="24"/>
    </w:rPr>
  </w:style>
  <w:style w:type="paragraph" w:customStyle="1" w:styleId="78">
    <w:name w:val="小标题 qq"/>
    <w:basedOn w:val="3"/>
    <w:qFormat/>
    <w:uiPriority w:val="0"/>
    <w:pPr>
      <w:spacing w:line="360" w:lineRule="exact"/>
      <w:jc w:val="center"/>
    </w:pPr>
    <w:rPr>
      <w:b/>
      <w:szCs w:val="21"/>
    </w:rPr>
  </w:style>
  <w:style w:type="paragraph" w:customStyle="1" w:styleId="79">
    <w:name w:val="qq表格文字qq"/>
    <w:basedOn w:val="1"/>
    <w:qFormat/>
    <w:uiPriority w:val="0"/>
    <w:pPr>
      <w:jc w:val="center"/>
    </w:pPr>
  </w:style>
  <w:style w:type="paragraph" w:customStyle="1" w:styleId="80">
    <w:name w:val="正文01"/>
    <w:basedOn w:val="1"/>
    <w:qFormat/>
    <w:uiPriority w:val="0"/>
    <w:pPr>
      <w:adjustRightInd w:val="0"/>
      <w:snapToGrid w:val="0"/>
      <w:spacing w:before="60" w:line="460" w:lineRule="exact"/>
      <w:ind w:firstLine="200" w:firstLineChars="200"/>
      <w:jc w:val="left"/>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B1200-E5BD-4275-AC88-E099DE335226}">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121</Pages>
  <Words>69056</Words>
  <Characters>78497</Characters>
  <Lines>374</Lines>
  <Paragraphs>105</Paragraphs>
  <TotalTime>2</TotalTime>
  <ScaleCrop>false</ScaleCrop>
  <LinksUpToDate>false</LinksUpToDate>
  <CharactersWithSpaces>78972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2022-01-19T07:53:00Z</dcterms:created>
  <dc:creator>lhj</dc:creator>
  <cp:lastModifiedBy>冯广东</cp:lastModifiedBy>
  <cp:lastPrinted>2023-05-14T07:32:00Z</cp:lastPrinted>
  <dcterms:modified xsi:type="dcterms:W3CDTF">2023-06-20T06:41:18Z</dcterms:modified>
  <dc:title>附件2</dc:title>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08E8B781AC264B1986BA75D11D5D39E2</vt:lpwstr>
  </property>
</Properties>
</file>