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eastAsia="宋体" w:cs="Times New Roman"/>
          <w:color w:val="000000" w:themeColor="text1"/>
          <w:sz w:val="20"/>
          <w:szCs w:val="20"/>
          <w14:textFill>
            <w14:solidFill>
              <w14:schemeClr w14:val="tx1"/>
            </w14:solidFill>
          </w14:textFill>
        </w:rPr>
      </w:pPr>
    </w:p>
    <w:p>
      <w:pPr>
        <w:rPr>
          <w:rFonts w:ascii="Times New Roman" w:hAnsi="Times New Roman" w:eastAsia="宋体" w:cs="Times New Roman"/>
          <w:color w:val="000000" w:themeColor="text1"/>
          <w:sz w:val="20"/>
          <w:szCs w:val="20"/>
          <w14:textFill>
            <w14:solidFill>
              <w14:schemeClr w14:val="tx1"/>
            </w14:solidFill>
          </w14:textFill>
        </w:rPr>
      </w:pPr>
    </w:p>
    <w:p>
      <w:pPr>
        <w:spacing w:before="8" w:line="360" w:lineRule="auto"/>
        <w:rPr>
          <w:rFonts w:ascii="Times New Roman" w:hAnsi="Times New Roman" w:eastAsia="宋体" w:cs="Times New Roman"/>
          <w:color w:val="000000" w:themeColor="text1"/>
          <w:sz w:val="28"/>
          <w:szCs w:val="28"/>
          <w:lang w:eastAsia="zh-CN"/>
          <w14:textFill>
            <w14:solidFill>
              <w14:schemeClr w14:val="tx1"/>
            </w14:solidFill>
          </w14:textFill>
        </w:rPr>
      </w:pPr>
    </w:p>
    <w:p>
      <w:pPr>
        <w:spacing w:before="8" w:line="360" w:lineRule="auto"/>
        <w:rPr>
          <w:rFonts w:ascii="Times New Roman" w:hAnsi="Times New Roman" w:eastAsia="宋体" w:cs="Times New Roman"/>
          <w:color w:val="000000" w:themeColor="text1"/>
          <w:sz w:val="28"/>
          <w:szCs w:val="28"/>
          <w:lang w:eastAsia="zh-CN"/>
          <w14:textFill>
            <w14:solidFill>
              <w14:schemeClr w14:val="tx1"/>
            </w14:solidFill>
          </w14:textFill>
        </w:rPr>
      </w:pPr>
    </w:p>
    <w:p>
      <w:pPr>
        <w:spacing w:before="8" w:line="360" w:lineRule="auto"/>
        <w:rPr>
          <w:rFonts w:ascii="Times New Roman" w:hAnsi="Times New Roman" w:eastAsia="宋体" w:cs="Times New Roman"/>
          <w:color w:val="000000" w:themeColor="text1"/>
          <w:sz w:val="28"/>
          <w:szCs w:val="28"/>
          <w:lang w:eastAsia="zh-CN"/>
          <w14:textFill>
            <w14:solidFill>
              <w14:schemeClr w14:val="tx1"/>
            </w14:solidFill>
          </w14:textFill>
        </w:rPr>
      </w:pPr>
    </w:p>
    <w:p>
      <w:pPr>
        <w:spacing w:line="360" w:lineRule="auto"/>
        <w:jc w:val="center"/>
        <w:rPr>
          <w:rFonts w:ascii="Times New Roman" w:hAnsi="Times New Roman" w:eastAsia="宋体" w:cs="微软雅黑"/>
          <w:color w:val="000000" w:themeColor="text1"/>
          <w:sz w:val="72"/>
          <w:szCs w:val="72"/>
          <w:lang w:eastAsia="zh-CN"/>
          <w14:textFill>
            <w14:solidFill>
              <w14:schemeClr w14:val="tx1"/>
            </w14:solidFill>
          </w14:textFill>
        </w:rPr>
      </w:pPr>
      <w:r>
        <w:rPr>
          <w:rFonts w:ascii="Times New Roman" w:hAnsi="Times New Roman" w:eastAsia="宋体" w:cs="微软雅黑"/>
          <w:color w:val="000000" w:themeColor="text1"/>
          <w:sz w:val="72"/>
          <w:szCs w:val="72"/>
          <w:lang w:eastAsia="zh-CN"/>
          <w14:textFill>
            <w14:solidFill>
              <w14:schemeClr w14:val="tx1"/>
            </w14:solidFill>
          </w14:textFill>
        </w:rPr>
        <w:t>建设项目环境影响报告表</w:t>
      </w:r>
    </w:p>
    <w:p>
      <w:pPr>
        <w:spacing w:line="360" w:lineRule="auto"/>
        <w:jc w:val="center"/>
        <w:rPr>
          <w:rFonts w:ascii="Times New Roman" w:hAnsi="Times New Roman" w:eastAsia="宋体" w:cs="楷体"/>
          <w:color w:val="000000" w:themeColor="text1"/>
          <w:sz w:val="48"/>
          <w:szCs w:val="48"/>
          <w:lang w:eastAsia="zh-CN"/>
          <w14:textFill>
            <w14:solidFill>
              <w14:schemeClr w14:val="tx1"/>
            </w14:solidFill>
          </w14:textFill>
        </w:rPr>
      </w:pPr>
      <w:r>
        <w:rPr>
          <w:rFonts w:ascii="Times New Roman" w:hAnsi="Times New Roman" w:eastAsia="宋体" w:cs="楷体"/>
          <w:color w:val="000000" w:themeColor="text1"/>
          <w:sz w:val="48"/>
          <w:szCs w:val="48"/>
          <w:lang w:eastAsia="zh-CN"/>
          <w14:textFill>
            <w14:solidFill>
              <w14:schemeClr w14:val="tx1"/>
            </w14:solidFill>
          </w14:textFill>
        </w:rPr>
        <w:t>（污染影响类）</w:t>
      </w:r>
    </w:p>
    <w:p>
      <w:pPr>
        <w:rPr>
          <w:rFonts w:ascii="Times New Roman" w:hAnsi="Times New Roman" w:eastAsia="宋体" w:cs="楷体"/>
          <w:color w:val="000000" w:themeColor="text1"/>
          <w:sz w:val="48"/>
          <w:szCs w:val="48"/>
          <w:lang w:eastAsia="zh-CN"/>
          <w14:textFill>
            <w14:solidFill>
              <w14:schemeClr w14:val="tx1"/>
            </w14:solidFill>
          </w14:textFill>
        </w:rPr>
      </w:pPr>
    </w:p>
    <w:p>
      <w:pPr>
        <w:rPr>
          <w:rFonts w:ascii="Times New Roman" w:hAnsi="Times New Roman" w:eastAsia="宋体" w:cs="楷体"/>
          <w:color w:val="000000" w:themeColor="text1"/>
          <w:sz w:val="48"/>
          <w:szCs w:val="48"/>
          <w:lang w:eastAsia="zh-CN"/>
          <w14:textFill>
            <w14:solidFill>
              <w14:schemeClr w14:val="tx1"/>
            </w14:solidFill>
          </w14:textFill>
        </w:rPr>
      </w:pPr>
    </w:p>
    <w:p>
      <w:pPr>
        <w:rPr>
          <w:rFonts w:ascii="Times New Roman" w:hAnsi="Times New Roman" w:eastAsia="宋体" w:cs="楷体"/>
          <w:color w:val="000000" w:themeColor="text1"/>
          <w:sz w:val="48"/>
          <w:szCs w:val="48"/>
          <w:lang w:eastAsia="zh-CN"/>
          <w14:textFill>
            <w14:solidFill>
              <w14:schemeClr w14:val="tx1"/>
            </w14:solidFill>
          </w14:textFill>
        </w:rPr>
      </w:pPr>
    </w:p>
    <w:p>
      <w:pPr>
        <w:tabs>
          <w:tab w:val="left" w:pos="6842"/>
        </w:tabs>
        <w:jc w:val="center"/>
        <w:rPr>
          <w:rFonts w:ascii="Times New Roman" w:hAnsi="Times New Roman" w:eastAsia="宋体" w:cs="楷体"/>
          <w:color w:val="000000" w:themeColor="text1"/>
          <w:sz w:val="48"/>
          <w:szCs w:val="48"/>
          <w:lang w:eastAsia="zh-CN"/>
          <w14:textFill>
            <w14:solidFill>
              <w14:schemeClr w14:val="tx1"/>
            </w14:solidFill>
          </w14:textFill>
        </w:rPr>
      </w:pPr>
    </w:p>
    <w:p>
      <w:pPr>
        <w:tabs>
          <w:tab w:val="left" w:pos="6842"/>
        </w:tabs>
        <w:jc w:val="center"/>
        <w:rPr>
          <w:rFonts w:ascii="Times New Roman" w:hAnsi="Times New Roman" w:eastAsia="宋体" w:cs="楷体"/>
          <w:color w:val="000000" w:themeColor="text1"/>
          <w:sz w:val="48"/>
          <w:szCs w:val="48"/>
          <w:lang w:eastAsia="zh-CN"/>
          <w14:textFill>
            <w14:solidFill>
              <w14:schemeClr w14:val="tx1"/>
            </w14:solidFill>
          </w14:textFill>
        </w:rPr>
      </w:pPr>
    </w:p>
    <w:p>
      <w:pPr>
        <w:tabs>
          <w:tab w:val="left" w:pos="6842"/>
        </w:tabs>
        <w:spacing w:line="360" w:lineRule="auto"/>
        <w:ind w:firstLine="720" w:firstLineChars="200"/>
        <w:rPr>
          <w:rFonts w:ascii="Times New Roman" w:hAnsi="Times New Roman" w:eastAsia="宋体" w:cs="Times New Roman"/>
          <w:color w:val="000000" w:themeColor="text1"/>
          <w:sz w:val="36"/>
          <w:szCs w:val="36"/>
          <w:lang w:eastAsia="zh-CN"/>
          <w14:textFill>
            <w14:solidFill>
              <w14:schemeClr w14:val="tx1"/>
            </w14:solidFill>
          </w14:textFill>
        </w:rPr>
      </w:pPr>
      <w:r>
        <w:rPr>
          <w:rFonts w:ascii="Times New Roman" w:hAnsi="Times New Roman" w:eastAsia="宋体" w:cs="微软雅黑"/>
          <w:color w:val="000000" w:themeColor="text1"/>
          <w:sz w:val="36"/>
          <w:szCs w:val="36"/>
          <w:lang w:eastAsia="zh-CN"/>
          <w14:textFill>
            <w14:solidFill>
              <w14:schemeClr w14:val="tx1"/>
            </w14:solidFill>
          </w14:textFill>
        </w:rPr>
        <w:t>项目名称：</w:t>
      </w:r>
      <w:r>
        <w:rPr>
          <w:rFonts w:hint="eastAsia" w:ascii="Times New Roman" w:hAnsi="Times New Roman" w:eastAsia="宋体" w:cs="微软雅黑"/>
          <w:bCs/>
          <w:color w:val="000000" w:themeColor="text1"/>
          <w:spacing w:val="-23"/>
          <w:sz w:val="36"/>
          <w:szCs w:val="36"/>
          <w:u w:val="single"/>
          <w:lang w:eastAsia="zh-CN"/>
          <w14:textFill>
            <w14:solidFill>
              <w14:schemeClr w14:val="tx1"/>
            </w14:solidFill>
          </w14:textFill>
        </w:rPr>
        <w:t>宁县兽医实验室能力提升和考核续展修缮工程</w:t>
      </w:r>
      <w:r>
        <w:rPr>
          <w:rFonts w:hint="eastAsia" w:ascii="Times New Roman" w:hAnsi="Times New Roman" w:eastAsia="宋体" w:cs="微软雅黑"/>
          <w:bCs/>
          <w:color w:val="000000" w:themeColor="text1"/>
          <w:spacing w:val="-1"/>
          <w:sz w:val="36"/>
          <w:szCs w:val="36"/>
          <w:u w:val="single"/>
          <w:lang w:eastAsia="zh-CN"/>
          <w14:textFill>
            <w14:solidFill>
              <w14:schemeClr w14:val="tx1"/>
            </w14:solidFill>
          </w14:textFill>
        </w:rPr>
        <w:t xml:space="preserve">   </w:t>
      </w:r>
      <w:r>
        <w:rPr>
          <w:rFonts w:hint="eastAsia" w:ascii="Times New Roman" w:hAnsi="Times New Roman" w:eastAsia="宋体" w:cs="微软雅黑"/>
          <w:bCs/>
          <w:color w:val="000000" w:themeColor="text1"/>
          <w:spacing w:val="-1"/>
          <w:sz w:val="36"/>
          <w:szCs w:val="36"/>
          <w:lang w:eastAsia="zh-CN"/>
          <w14:textFill>
            <w14:solidFill>
              <w14:schemeClr w14:val="tx1"/>
            </w14:solidFill>
          </w14:textFill>
        </w:rPr>
        <w:t xml:space="preserve">  </w:t>
      </w:r>
    </w:p>
    <w:p>
      <w:pPr>
        <w:spacing w:line="360" w:lineRule="auto"/>
        <w:ind w:firstLine="360" w:firstLineChars="200"/>
        <w:rPr>
          <w:rFonts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eastAsia="zh-CN"/>
          <w14:textFill>
            <w14:solidFill>
              <w14:schemeClr w14:val="tx1"/>
            </w14:solidFill>
          </w14:textFill>
        </w:rPr>
        <w:t xml:space="preserve">  </w:t>
      </w:r>
    </w:p>
    <w:p>
      <w:pPr>
        <w:tabs>
          <w:tab w:val="left" w:pos="6842"/>
        </w:tabs>
        <w:spacing w:line="360" w:lineRule="auto"/>
        <w:ind w:firstLine="720" w:firstLineChars="200"/>
        <w:rPr>
          <w:rFonts w:ascii="Times New Roman" w:hAnsi="Times New Roman" w:eastAsia="宋体" w:cs="Times New Roman"/>
          <w:color w:val="000000" w:themeColor="text1"/>
          <w:sz w:val="36"/>
          <w:szCs w:val="36"/>
          <w:lang w:eastAsia="zh-CN"/>
          <w14:textFill>
            <w14:solidFill>
              <w14:schemeClr w14:val="tx1"/>
            </w14:solidFill>
          </w14:textFill>
        </w:rPr>
      </w:pPr>
      <w:r>
        <w:rPr>
          <w:rFonts w:ascii="Times New Roman" w:hAnsi="Times New Roman" w:eastAsia="宋体" w:cs="微软雅黑"/>
          <w:color w:val="000000" w:themeColor="text1"/>
          <w:sz w:val="36"/>
          <w:szCs w:val="36"/>
          <w:lang w:eastAsia="zh-CN"/>
          <w14:textFill>
            <w14:solidFill>
              <w14:schemeClr w14:val="tx1"/>
            </w14:solidFill>
          </w14:textFill>
        </w:rPr>
        <w:t>建设单位（盖章</w:t>
      </w:r>
      <w:r>
        <w:rPr>
          <w:rFonts w:ascii="Times New Roman" w:hAnsi="Times New Roman" w:eastAsia="宋体" w:cs="微软雅黑"/>
          <w:color w:val="000000" w:themeColor="text1"/>
          <w:spacing w:val="-180"/>
          <w:sz w:val="36"/>
          <w:szCs w:val="36"/>
          <w:lang w:eastAsia="zh-CN"/>
          <w14:textFill>
            <w14:solidFill>
              <w14:schemeClr w14:val="tx1"/>
            </w14:solidFill>
          </w14:textFill>
        </w:rPr>
        <w:t>）</w:t>
      </w:r>
      <w:r>
        <w:rPr>
          <w:rFonts w:ascii="Times New Roman" w:hAnsi="Times New Roman" w:eastAsia="宋体" w:cs="微软雅黑"/>
          <w:color w:val="000000" w:themeColor="text1"/>
          <w:sz w:val="36"/>
          <w:szCs w:val="36"/>
          <w:lang w:eastAsia="zh-CN"/>
          <w14:textFill>
            <w14:solidFill>
              <w14:schemeClr w14:val="tx1"/>
            </w14:solidFill>
          </w14:textFill>
        </w:rPr>
        <w:t>：</w:t>
      </w:r>
      <w:r>
        <w:rPr>
          <w:rFonts w:hint="eastAsia"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val="en-US" w:eastAsia="zh-CN"/>
          <w14:textFill>
            <w14:solidFill>
              <w14:schemeClr w14:val="tx1"/>
            </w14:solidFill>
          </w14:textFill>
        </w:rPr>
        <w:t xml:space="preserve">    宁</w:t>
      </w:r>
      <w:r>
        <w:rPr>
          <w:rFonts w:hint="eastAsia" w:ascii="Times New Roman" w:hAnsi="Times New Roman" w:eastAsia="宋体" w:cs="Times New Roman"/>
          <w:bCs/>
          <w:color w:val="000000" w:themeColor="text1"/>
          <w:sz w:val="36"/>
          <w:szCs w:val="36"/>
          <w:u w:val="single"/>
          <w:lang w:eastAsia="zh-CN"/>
          <w14:textFill>
            <w14:solidFill>
              <w14:schemeClr w14:val="tx1"/>
            </w14:solidFill>
          </w14:textFill>
        </w:rPr>
        <w:t xml:space="preserve">县畜牧兽医站                       </w:t>
      </w:r>
    </w:p>
    <w:p>
      <w:pPr>
        <w:tabs>
          <w:tab w:val="left" w:pos="6842"/>
        </w:tabs>
        <w:ind w:firstLine="720" w:firstLineChars="200"/>
        <w:rPr>
          <w:rFonts w:ascii="Times New Roman" w:hAnsi="Times New Roman" w:eastAsia="宋体" w:cs="微软雅黑"/>
          <w:color w:val="000000" w:themeColor="text1"/>
          <w:sz w:val="36"/>
          <w:szCs w:val="36"/>
          <w:lang w:eastAsia="zh-CN"/>
          <w14:textFill>
            <w14:solidFill>
              <w14:schemeClr w14:val="tx1"/>
            </w14:solidFill>
          </w14:textFill>
        </w:rPr>
      </w:pPr>
    </w:p>
    <w:p>
      <w:pPr>
        <w:tabs>
          <w:tab w:val="left" w:pos="6842"/>
        </w:tabs>
        <w:spacing w:line="360" w:lineRule="auto"/>
        <w:ind w:firstLine="720" w:firstLineChars="200"/>
        <w:rPr>
          <w:rFonts w:ascii="Times New Roman" w:hAnsi="Times New Roman" w:eastAsia="宋体" w:cs="Times New Roman"/>
          <w:color w:val="000000" w:themeColor="text1"/>
          <w:sz w:val="36"/>
          <w:szCs w:val="36"/>
          <w:lang w:eastAsia="zh-CN"/>
          <w14:textFill>
            <w14:solidFill>
              <w14:schemeClr w14:val="tx1"/>
            </w14:solidFill>
          </w14:textFill>
        </w:rPr>
      </w:pPr>
      <w:r>
        <w:rPr>
          <w:rFonts w:ascii="Times New Roman" w:hAnsi="Times New Roman" w:eastAsia="宋体" w:cs="微软雅黑"/>
          <w:color w:val="000000" w:themeColor="text1"/>
          <w:sz w:val="36"/>
          <w:szCs w:val="36"/>
          <w:lang w:eastAsia="zh-CN"/>
          <w14:textFill>
            <w14:solidFill>
              <w14:schemeClr w14:val="tx1"/>
            </w14:solidFill>
          </w14:textFill>
        </w:rPr>
        <w:t>编制日期：</w:t>
      </w:r>
      <w:r>
        <w:rPr>
          <w:rFonts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val="en-US" w:eastAsia="zh-CN"/>
          <w14:textFill>
            <w14:solidFill>
              <w14:schemeClr w14:val="tx1"/>
            </w14:solidFill>
          </w14:textFill>
        </w:rPr>
        <w:t xml:space="preserve">           </w:t>
      </w:r>
      <w:r>
        <w:rPr>
          <w:rFonts w:hint="eastAsia"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ascii="Times New Roman" w:hAnsi="Times New Roman" w:eastAsia="宋体" w:cs="微软雅黑"/>
          <w:color w:val="000000" w:themeColor="text1"/>
          <w:sz w:val="36"/>
          <w:szCs w:val="36"/>
          <w:u w:val="single"/>
          <w:lang w:eastAsia="zh-CN"/>
          <w14:textFill>
            <w14:solidFill>
              <w14:schemeClr w14:val="tx1"/>
            </w14:solidFill>
          </w14:textFill>
        </w:rPr>
        <w:t>202</w:t>
      </w:r>
      <w:r>
        <w:rPr>
          <w:rFonts w:hint="eastAsia" w:ascii="Times New Roman" w:hAnsi="Times New Roman" w:eastAsia="宋体" w:cs="微软雅黑"/>
          <w:color w:val="000000" w:themeColor="text1"/>
          <w:sz w:val="36"/>
          <w:szCs w:val="36"/>
          <w:u w:val="single"/>
          <w:lang w:val="en-US" w:eastAsia="zh-CN"/>
          <w14:textFill>
            <w14:solidFill>
              <w14:schemeClr w14:val="tx1"/>
            </w14:solidFill>
          </w14:textFill>
        </w:rPr>
        <w:t>3</w:t>
      </w:r>
      <w:r>
        <w:rPr>
          <w:rFonts w:ascii="Times New Roman" w:hAnsi="Times New Roman" w:eastAsia="宋体" w:cs="微软雅黑"/>
          <w:color w:val="000000" w:themeColor="text1"/>
          <w:sz w:val="36"/>
          <w:szCs w:val="36"/>
          <w:u w:val="single"/>
          <w:lang w:eastAsia="zh-CN"/>
          <w14:textFill>
            <w14:solidFill>
              <w14:schemeClr w14:val="tx1"/>
            </w14:solidFill>
          </w14:textFill>
        </w:rPr>
        <w:t xml:space="preserve"> 年</w:t>
      </w:r>
      <w:r>
        <w:rPr>
          <w:rFonts w:hint="eastAsia" w:ascii="Times New Roman" w:hAnsi="Times New Roman" w:eastAsia="宋体" w:cs="微软雅黑"/>
          <w:color w:val="000000" w:themeColor="text1"/>
          <w:sz w:val="36"/>
          <w:szCs w:val="36"/>
          <w:u w:val="single"/>
          <w:lang w:val="en-US" w:eastAsia="zh-CN"/>
          <w14:textFill>
            <w14:solidFill>
              <w14:schemeClr w14:val="tx1"/>
            </w14:solidFill>
          </w14:textFill>
        </w:rPr>
        <w:t>6</w:t>
      </w:r>
      <w:r>
        <w:rPr>
          <w:rFonts w:ascii="Times New Roman" w:hAnsi="Times New Roman" w:eastAsia="宋体" w:cs="微软雅黑"/>
          <w:color w:val="000000" w:themeColor="text1"/>
          <w:sz w:val="36"/>
          <w:szCs w:val="36"/>
          <w:u w:val="single"/>
          <w:lang w:eastAsia="zh-CN"/>
          <w14:textFill>
            <w14:solidFill>
              <w14:schemeClr w14:val="tx1"/>
            </w14:solidFill>
          </w14:textFill>
        </w:rPr>
        <w:t>月</w:t>
      </w:r>
      <w:r>
        <w:rPr>
          <w:rFonts w:hint="eastAsia" w:ascii="Times New Roman" w:hAnsi="Times New Roman" w:eastAsia="宋体" w:cs="微软雅黑"/>
          <w:color w:val="000000" w:themeColor="text1"/>
          <w:sz w:val="36"/>
          <w:szCs w:val="36"/>
          <w:u w:val="single"/>
          <w:lang w:eastAsia="zh-CN"/>
          <w14:textFill>
            <w14:solidFill>
              <w14:schemeClr w14:val="tx1"/>
            </w14:solidFill>
          </w14:textFill>
        </w:rPr>
        <w:t xml:space="preserve">                            </w:t>
      </w:r>
      <w:r>
        <w:rPr>
          <w:rFonts w:hint="eastAsia" w:ascii="Times New Roman" w:hAnsi="Times New Roman" w:eastAsia="宋体" w:cs="Times New Roman"/>
          <w:color w:val="000000" w:themeColor="text1"/>
          <w:sz w:val="36"/>
          <w:szCs w:val="36"/>
          <w:lang w:eastAsia="zh-CN"/>
          <w14:textFill>
            <w14:solidFill>
              <w14:schemeClr w14:val="tx1"/>
            </w14:solidFill>
          </w14:textFill>
        </w:rPr>
        <w:t xml:space="preserve">     </w:t>
      </w:r>
    </w:p>
    <w:p>
      <w:pPr>
        <w:spacing w:line="360" w:lineRule="auto"/>
        <w:jc w:val="center"/>
        <w:rPr>
          <w:rFonts w:ascii="Times New Roman" w:hAnsi="Times New Roman" w:eastAsia="宋体" w:cs="微软雅黑"/>
          <w:color w:val="000000" w:themeColor="text1"/>
          <w:sz w:val="20"/>
          <w:szCs w:val="20"/>
          <w:lang w:eastAsia="zh-CN"/>
          <w14:textFill>
            <w14:solidFill>
              <w14:schemeClr w14:val="tx1"/>
            </w14:solidFill>
          </w14:textFill>
        </w:rPr>
      </w:pPr>
    </w:p>
    <w:p>
      <w:pPr>
        <w:rPr>
          <w:rFonts w:ascii="Times New Roman" w:hAnsi="Times New Roman" w:eastAsia="宋体" w:cs="微软雅黑"/>
          <w:color w:val="000000" w:themeColor="text1"/>
          <w:sz w:val="20"/>
          <w:szCs w:val="20"/>
          <w:lang w:eastAsia="zh-CN"/>
          <w14:textFill>
            <w14:solidFill>
              <w14:schemeClr w14:val="tx1"/>
            </w14:solidFill>
          </w14:textFill>
        </w:rPr>
      </w:pPr>
    </w:p>
    <w:p>
      <w:pPr>
        <w:rPr>
          <w:rFonts w:ascii="Times New Roman" w:hAnsi="Times New Roman" w:eastAsia="宋体" w:cs="微软雅黑"/>
          <w:color w:val="000000" w:themeColor="text1"/>
          <w:sz w:val="20"/>
          <w:szCs w:val="20"/>
          <w:lang w:eastAsia="zh-CN"/>
          <w14:textFill>
            <w14:solidFill>
              <w14:schemeClr w14:val="tx1"/>
            </w14:solidFill>
          </w14:textFill>
        </w:rPr>
      </w:pPr>
    </w:p>
    <w:p>
      <w:pPr>
        <w:rPr>
          <w:rFonts w:ascii="Times New Roman" w:hAnsi="Times New Roman" w:eastAsia="宋体" w:cs="微软雅黑"/>
          <w:color w:val="000000" w:themeColor="text1"/>
          <w:sz w:val="20"/>
          <w:szCs w:val="20"/>
          <w:lang w:eastAsia="zh-CN"/>
          <w14:textFill>
            <w14:solidFill>
              <w14:schemeClr w14:val="tx1"/>
            </w14:solidFill>
          </w14:textFill>
        </w:rPr>
      </w:pPr>
    </w:p>
    <w:p>
      <w:pPr>
        <w:rPr>
          <w:rFonts w:ascii="Times New Roman" w:hAnsi="Times New Roman" w:eastAsia="宋体" w:cs="微软雅黑"/>
          <w:color w:val="000000" w:themeColor="text1"/>
          <w:sz w:val="20"/>
          <w:szCs w:val="20"/>
          <w:lang w:eastAsia="zh-CN"/>
          <w14:textFill>
            <w14:solidFill>
              <w14:schemeClr w14:val="tx1"/>
            </w14:solidFill>
          </w14:textFill>
        </w:rPr>
      </w:pPr>
    </w:p>
    <w:p>
      <w:pPr>
        <w:rPr>
          <w:rFonts w:ascii="Times New Roman" w:hAnsi="Times New Roman" w:eastAsia="宋体" w:cs="微软雅黑"/>
          <w:color w:val="000000" w:themeColor="text1"/>
          <w:sz w:val="23"/>
          <w:szCs w:val="23"/>
          <w:lang w:eastAsia="zh-CN"/>
          <w14:textFill>
            <w14:solidFill>
              <w14:schemeClr w14:val="tx1"/>
            </w14:solidFill>
          </w14:textFill>
        </w:rPr>
      </w:pPr>
    </w:p>
    <w:p>
      <w:pPr>
        <w:rPr>
          <w:rFonts w:ascii="Times New Roman" w:hAnsi="Times New Roman" w:eastAsia="宋体" w:cs="微软雅黑"/>
          <w:color w:val="000000" w:themeColor="text1"/>
          <w:sz w:val="23"/>
          <w:szCs w:val="23"/>
          <w:lang w:eastAsia="zh-CN"/>
          <w14:textFill>
            <w14:solidFill>
              <w14:schemeClr w14:val="tx1"/>
            </w14:solidFill>
          </w14:textFill>
        </w:rPr>
      </w:pPr>
    </w:p>
    <w:p>
      <w:pPr>
        <w:spacing w:line="460" w:lineRule="exact"/>
        <w:jc w:val="center"/>
        <w:rPr>
          <w:rFonts w:ascii="Times New Roman" w:hAnsi="Times New Roman" w:eastAsia="宋体" w:cs="楷体"/>
          <w:color w:val="000000" w:themeColor="text1"/>
          <w:sz w:val="36"/>
          <w:szCs w:val="36"/>
          <w:lang w:eastAsia="zh-CN"/>
          <w14:textFill>
            <w14:solidFill>
              <w14:schemeClr w14:val="tx1"/>
            </w14:solidFill>
          </w14:textFill>
        </w:rPr>
      </w:pPr>
      <w:r>
        <w:rPr>
          <w:rFonts w:ascii="Times New Roman" w:hAnsi="Times New Roman" w:eastAsia="宋体" w:cs="楷体"/>
          <w:color w:val="000000" w:themeColor="text1"/>
          <w:sz w:val="36"/>
          <w:szCs w:val="36"/>
          <w:lang w:eastAsia="zh-CN"/>
          <w14:textFill>
            <w14:solidFill>
              <w14:schemeClr w14:val="tx1"/>
            </w14:solidFill>
          </w14:textFill>
        </w:rPr>
        <w:t>中华人民共和国生态环境部制</w:t>
      </w:r>
    </w:p>
    <w:p>
      <w:pPr>
        <w:pStyle w:val="36"/>
        <w:spacing w:before="0"/>
        <w:jc w:val="center"/>
        <w:outlineLvl w:val="9"/>
        <w:rPr>
          <w:rFonts w:ascii="Times New Roman" w:hAnsi="Times New Roman" w:eastAsia="宋体"/>
          <w:b/>
          <w:color w:val="000000" w:themeColor="text1"/>
          <w:lang w:eastAsia="zh-CN"/>
          <w14:textFill>
            <w14:solidFill>
              <w14:schemeClr w14:val="tx1"/>
            </w14:solidFill>
          </w14:textFill>
        </w:rPr>
      </w:pPr>
    </w:p>
    <w:p>
      <w:pPr>
        <w:pStyle w:val="36"/>
        <w:jc w:val="center"/>
        <w:outlineLvl w:val="9"/>
        <w:rPr>
          <w:rFonts w:ascii="Times New Roman" w:hAnsi="Times New Roman" w:eastAsia="宋体"/>
          <w:b/>
          <w:color w:val="000000" w:themeColor="text1"/>
          <w:lang w:eastAsia="zh-CN"/>
          <w14:textFill>
            <w14:solidFill>
              <w14:schemeClr w14:val="tx1"/>
            </w14:solidFill>
          </w14:textFill>
        </w:rPr>
      </w:pPr>
    </w:p>
    <w:p>
      <w:pPr>
        <w:pStyle w:val="36"/>
        <w:jc w:val="center"/>
        <w:outlineLvl w:val="9"/>
        <w:rPr>
          <w:rFonts w:ascii="Times New Roman" w:hAnsi="Times New Roman" w:eastAsia="宋体"/>
          <w:b/>
          <w:color w:val="000000" w:themeColor="text1"/>
          <w:lang w:eastAsia="zh-CN"/>
          <w14:textFill>
            <w14:solidFill>
              <w14:schemeClr w14:val="tx1"/>
            </w14:solidFill>
          </w14:textFill>
        </w:rPr>
      </w:pPr>
    </w:p>
    <w:p>
      <w:pPr>
        <w:pStyle w:val="36"/>
        <w:jc w:val="center"/>
        <w:outlineLvl w:val="9"/>
        <w:rPr>
          <w:rFonts w:ascii="Times New Roman" w:hAnsi="Times New Roman" w:eastAsia="宋体"/>
          <w:b/>
          <w:color w:val="000000" w:themeColor="text1"/>
          <w:lang w:eastAsia="zh-CN"/>
          <w14:textFill>
            <w14:solidFill>
              <w14:schemeClr w14:val="tx1"/>
            </w14:solidFill>
          </w14:textFill>
        </w:rPr>
      </w:pPr>
    </w:p>
    <w:p>
      <w:pPr>
        <w:pStyle w:val="36"/>
        <w:jc w:val="center"/>
        <w:outlineLvl w:val="9"/>
        <w:rPr>
          <w:rFonts w:ascii="Times New Roman" w:hAnsi="Times New Roman" w:eastAsia="宋体"/>
          <w:b/>
          <w:color w:val="000000" w:themeColor="text1"/>
          <w:lang w:eastAsia="zh-CN"/>
          <w14:textFill>
            <w14:solidFill>
              <w14:schemeClr w14:val="tx1"/>
            </w14:solidFill>
          </w14:textFill>
        </w:rPr>
      </w:pPr>
    </w:p>
    <w:p>
      <w:pPr>
        <w:pStyle w:val="36"/>
        <w:jc w:val="center"/>
        <w:outlineLvl w:val="9"/>
        <w:rPr>
          <w:rFonts w:ascii="Times New Roman" w:hAnsi="Times New Roman" w:eastAsia="宋体"/>
          <w:b/>
          <w:color w:val="000000" w:themeColor="text1"/>
          <w:lang w:eastAsia="zh-CN"/>
          <w14:textFill>
            <w14:solidFill>
              <w14:schemeClr w14:val="tx1"/>
            </w14:solidFill>
          </w14:textFill>
        </w:rPr>
        <w:sectPr>
          <w:footerReference r:id="rId7" w:type="first"/>
          <w:footerReference r:id="rId5" w:type="default"/>
          <w:headerReference r:id="rId4" w:type="even"/>
          <w:footerReference r:id="rId6" w:type="even"/>
          <w:pgSz w:w="11910" w:h="16840"/>
          <w:pgMar w:top="1134" w:right="1134" w:bottom="1134" w:left="1134" w:header="0" w:footer="567" w:gutter="0"/>
          <w:pgBorders>
            <w:top w:val="none" w:color="auto" w:sz="0" w:space="0"/>
            <w:left w:val="none" w:color="auto" w:sz="0" w:space="0"/>
            <w:bottom w:val="none" w:color="auto" w:sz="0" w:space="0"/>
            <w:right w:val="none" w:color="auto" w:sz="0" w:space="0"/>
          </w:pgBorders>
          <w:pgNumType w:start="1"/>
          <w:cols w:space="720" w:num="1"/>
          <w:titlePg/>
          <w:docGrid w:linePitch="299" w:charSpace="0"/>
        </w:sectPr>
      </w:pPr>
    </w:p>
    <w:p>
      <w:pPr>
        <w:pStyle w:val="36"/>
        <w:spacing w:line="360" w:lineRule="auto"/>
        <w:jc w:val="center"/>
        <w:outlineLvl w:val="0"/>
        <w:rPr>
          <w:rFonts w:ascii="Times New Roman" w:hAnsi="Times New Roman" w:eastAsia="宋体"/>
          <w:b/>
          <w:color w:val="000000" w:themeColor="text1"/>
          <w:lang w:eastAsia="zh-CN"/>
          <w14:textFill>
            <w14:solidFill>
              <w14:schemeClr w14:val="tx1"/>
            </w14:solidFill>
          </w14:textFill>
        </w:rPr>
      </w:pPr>
      <w:bookmarkStart w:id="0" w:name="_Toc14663"/>
      <w:r>
        <w:rPr>
          <w:rFonts w:ascii="Times New Roman" w:hAnsi="Times New Roman" w:eastAsia="宋体"/>
          <w:b/>
          <w:color w:val="000000" w:themeColor="text1"/>
          <w:lang w:eastAsia="zh-CN"/>
          <w14:textFill>
            <w14:solidFill>
              <w14:schemeClr w14:val="tx1"/>
            </w14:solidFill>
          </w14:textFill>
        </w:rPr>
        <w:t>一、建设项目基本情况</w:t>
      </w:r>
      <w:bookmarkEnd w:id="0"/>
    </w:p>
    <w:tbl>
      <w:tblPr>
        <w:tblStyle w:val="35"/>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2580"/>
        <w:gridCol w:w="54"/>
        <w:gridCol w:w="1928"/>
        <w:gridCol w:w="453"/>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adjustRightInd w:val="0"/>
              <w:snapToGrid w:val="0"/>
              <w:spacing w:line="360" w:lineRule="auto"/>
              <w:jc w:val="center"/>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建设项目名称</w:t>
            </w:r>
          </w:p>
        </w:tc>
        <w:tc>
          <w:tcPr>
            <w:tcW w:w="8936" w:type="dxa"/>
            <w:gridSpan w:val="5"/>
            <w:vAlign w:val="center"/>
          </w:tcPr>
          <w:p>
            <w:pPr>
              <w:pStyle w:val="39"/>
              <w:adjustRightInd w:val="0"/>
              <w:snapToGrid w:val="0"/>
              <w:spacing w:line="360" w:lineRule="auto"/>
              <w:jc w:val="center"/>
              <w:rPr>
                <w:rFonts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pacing w:val="-2"/>
                <w:sz w:val="24"/>
                <w:szCs w:val="24"/>
                <w:lang w:eastAsia="zh-CN"/>
                <w14:textFill>
                  <w14:solidFill>
                    <w14:schemeClr w14:val="tx1"/>
                  </w14:solidFill>
                </w14:textFill>
              </w:rPr>
              <w:t>宁县兽医实验室能力提升和考核续展修缮工程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项目代码</w:t>
            </w:r>
          </w:p>
        </w:tc>
        <w:tc>
          <w:tcPr>
            <w:tcW w:w="8936" w:type="dxa"/>
            <w:gridSpan w:val="5"/>
            <w:vAlign w:val="center"/>
          </w:tcPr>
          <w:p>
            <w:pPr>
              <w:adjustRightInd w:val="0"/>
              <w:snapToGrid w:val="0"/>
              <w:spacing w:line="360" w:lineRule="auto"/>
              <w:jc w:val="cente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建设单位联系</w:t>
            </w:r>
            <w:r>
              <w:rPr>
                <w:rFonts w:ascii="Times New Roman" w:hAnsi="Times New Roman" w:eastAsia="宋体" w:cs="宋体"/>
                <w:color w:val="000000" w:themeColor="text1"/>
                <w:sz w:val="24"/>
                <w:szCs w:val="24"/>
                <w14:textFill>
                  <w14:solidFill>
                    <w14:schemeClr w14:val="tx1"/>
                  </w14:solidFill>
                </w14:textFill>
              </w:rPr>
              <w:t>人</w:t>
            </w:r>
          </w:p>
        </w:tc>
        <w:tc>
          <w:tcPr>
            <w:tcW w:w="2634" w:type="dxa"/>
            <w:gridSpan w:val="2"/>
            <w:vAlign w:val="center"/>
          </w:tcPr>
          <w:p>
            <w:pPr>
              <w:adjustRightInd w:val="0"/>
              <w:snapToGrid w:val="0"/>
              <w:spacing w:line="360" w:lineRule="auto"/>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付永正</w:t>
            </w:r>
          </w:p>
        </w:tc>
        <w:tc>
          <w:tcPr>
            <w:tcW w:w="2381" w:type="dxa"/>
            <w:gridSpan w:val="2"/>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联系方式</w:t>
            </w:r>
          </w:p>
        </w:tc>
        <w:tc>
          <w:tcPr>
            <w:tcW w:w="3921" w:type="dxa"/>
            <w:vAlign w:val="center"/>
          </w:tcPr>
          <w:p>
            <w:pPr>
              <w:adjustRightInd w:val="0"/>
              <w:snapToGrid w:val="0"/>
              <w:spacing w:line="360" w:lineRule="auto"/>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13993472122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建设地点</w:t>
            </w:r>
          </w:p>
        </w:tc>
        <w:tc>
          <w:tcPr>
            <w:tcW w:w="8936" w:type="dxa"/>
            <w:gridSpan w:val="5"/>
            <w:vAlign w:val="center"/>
          </w:tcPr>
          <w:p>
            <w:pPr>
              <w:adjustRightInd w:val="0"/>
              <w:snapToGrid w:val="0"/>
              <w:spacing w:line="360" w:lineRule="auto"/>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宁县新宁镇城关社区马莲路</w:t>
            </w:r>
            <w:bookmarkStart w:id="33" w:name="_GoBack"/>
            <w:bookmarkEnd w:id="33"/>
            <w:r>
              <w:rPr>
                <w:rFonts w:hint="eastAsia" w:ascii="Times New Roman" w:hAnsi="Times New Roman" w:eastAsia="宋体"/>
                <w:color w:val="000000" w:themeColor="text1"/>
                <w:sz w:val="24"/>
                <w:szCs w:val="24"/>
                <w:lang w:val="en-US" w:eastAsia="zh-CN"/>
                <w14:textFill>
                  <w14:solidFill>
                    <w14:schemeClr w14:val="tx1"/>
                  </w14:solidFill>
                </w14:textFill>
              </w:rPr>
              <w:t>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地理坐标</w:t>
            </w:r>
          </w:p>
        </w:tc>
        <w:tc>
          <w:tcPr>
            <w:tcW w:w="8936" w:type="dxa"/>
            <w:gridSpan w:val="5"/>
            <w:vAlign w:val="center"/>
          </w:tcPr>
          <w:p>
            <w:pPr>
              <w:pStyle w:val="39"/>
              <w:tabs>
                <w:tab w:val="left" w:pos="1444"/>
                <w:tab w:val="left" w:pos="2076"/>
                <w:tab w:val="left" w:pos="3756"/>
                <w:tab w:val="left" w:pos="4385"/>
              </w:tabs>
              <w:adjustRightInd w:val="0"/>
              <w:snapToGrid w:val="0"/>
              <w:spacing w:line="360" w:lineRule="auto"/>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eastAsia="zh-CN"/>
                <w14:textFill>
                  <w14:solidFill>
                    <w14:schemeClr w14:val="tx1"/>
                  </w14:solidFill>
                </w14:textFill>
              </w:rPr>
              <w:t>东经</w:t>
            </w:r>
            <w:r>
              <w:rPr>
                <w:rFonts w:hint="eastAsia" w:ascii="Times New Roman" w:hAnsi="Times New Roman" w:eastAsia="宋体" w:cs="Times New Roman"/>
                <w:color w:val="000000" w:themeColor="text1"/>
                <w:sz w:val="24"/>
                <w:szCs w:val="24"/>
                <w:lang w:eastAsia="zh-CN"/>
                <w14:textFill>
                  <w14:solidFill>
                    <w14:schemeClr w14:val="tx1"/>
                  </w14:solidFill>
                </w14:textFill>
              </w:rPr>
              <w:t>107</w:t>
            </w:r>
            <w:r>
              <w:rPr>
                <w:rFonts w:ascii="Times New Roman" w:hAnsi="Times New Roman" w:eastAsia="宋体" w:cs="宋体"/>
                <w:color w:val="000000" w:themeColor="text1"/>
                <w:sz w:val="24"/>
                <w:szCs w:val="24"/>
                <w:lang w:eastAsia="zh-CN"/>
                <w14:textFill>
                  <w14:solidFill>
                    <w14:schemeClr w14:val="tx1"/>
                  </w14:solidFill>
                </w14:textFill>
              </w:rPr>
              <w:t>度</w:t>
            </w:r>
            <w:r>
              <w:rPr>
                <w:rFonts w:hint="eastAsia" w:ascii="Times New Roman" w:hAnsi="Times New Roman" w:eastAsia="宋体" w:cs="宋体"/>
                <w:color w:val="000000" w:themeColor="text1"/>
                <w:sz w:val="24"/>
                <w:szCs w:val="24"/>
                <w:lang w:val="en-US" w:eastAsia="zh-CN"/>
                <w14:textFill>
                  <w14:solidFill>
                    <w14:schemeClr w14:val="tx1"/>
                  </w14:solidFill>
                </w14:textFill>
              </w:rPr>
              <w:t>54</w:t>
            </w:r>
            <w:r>
              <w:rPr>
                <w:rFonts w:ascii="Times New Roman" w:hAnsi="Times New Roman" w:eastAsia="宋体" w:cs="宋体"/>
                <w:color w:val="000000" w:themeColor="text1"/>
                <w:sz w:val="24"/>
                <w:szCs w:val="24"/>
                <w:lang w:eastAsia="zh-CN"/>
                <w14:textFill>
                  <w14:solidFill>
                    <w14:schemeClr w14:val="tx1"/>
                  </w14:solidFill>
                </w14:textFill>
              </w:rPr>
              <w:t>分</w:t>
            </w:r>
            <w:r>
              <w:rPr>
                <w:rFonts w:hint="eastAsia" w:ascii="Times New Roman" w:hAnsi="Times New Roman" w:eastAsia="宋体" w:cs="宋体"/>
                <w:color w:val="000000" w:themeColor="text1"/>
                <w:sz w:val="24"/>
                <w:szCs w:val="24"/>
                <w:lang w:val="en-US" w:eastAsia="zh-CN"/>
                <w14:textFill>
                  <w14:solidFill>
                    <w14:schemeClr w14:val="tx1"/>
                  </w14:solidFill>
                </w14:textFill>
              </w:rPr>
              <w:t>45.362</w:t>
            </w:r>
            <w:r>
              <w:rPr>
                <w:rFonts w:ascii="Times New Roman" w:hAnsi="Times New Roman" w:eastAsia="宋体" w:cs="宋体"/>
                <w:color w:val="000000" w:themeColor="text1"/>
                <w:spacing w:val="-3"/>
                <w:sz w:val="24"/>
                <w:szCs w:val="24"/>
                <w:lang w:eastAsia="zh-CN"/>
                <w14:textFill>
                  <w14:solidFill>
                    <w14:schemeClr w14:val="tx1"/>
                  </w14:solidFill>
                </w14:textFill>
              </w:rPr>
              <w:t>秒，北纬</w:t>
            </w:r>
            <w:r>
              <w:rPr>
                <w:rFonts w:hint="eastAsia" w:ascii="Times New Roman" w:hAnsi="Times New Roman" w:eastAsia="宋体" w:cs="Times New Roman"/>
                <w:color w:val="000000" w:themeColor="text1"/>
                <w:sz w:val="24"/>
                <w:szCs w:val="24"/>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5</w:t>
            </w:r>
            <w:r>
              <w:rPr>
                <w:rFonts w:ascii="Times New Roman" w:hAnsi="Times New Roman" w:eastAsia="宋体" w:cs="宋体"/>
                <w:color w:val="000000" w:themeColor="text1"/>
                <w:sz w:val="24"/>
                <w:szCs w:val="24"/>
                <w:lang w:eastAsia="zh-CN"/>
                <w14:textFill>
                  <w14:solidFill>
                    <w14:schemeClr w14:val="tx1"/>
                  </w14:solidFill>
                </w14:textFill>
              </w:rPr>
              <w:t>度</w:t>
            </w:r>
            <w:r>
              <w:rPr>
                <w:rFonts w:hint="eastAsia" w:ascii="Times New Roman" w:hAnsi="Times New Roman" w:eastAsia="宋体" w:cs="Times New Roman"/>
                <w:color w:val="000000" w:themeColor="text1"/>
                <w:sz w:val="24"/>
                <w:szCs w:val="24"/>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ascii="Times New Roman" w:hAnsi="Times New Roman" w:eastAsia="宋体" w:cs="宋体"/>
                <w:color w:val="000000" w:themeColor="text1"/>
                <w:spacing w:val="-3"/>
                <w:w w:val="95"/>
                <w:sz w:val="24"/>
                <w:szCs w:val="24"/>
                <w:lang w:eastAsia="zh-CN"/>
                <w14:textFill>
                  <w14:solidFill>
                    <w14:schemeClr w14:val="tx1"/>
                  </w14:solidFill>
                </w14:textFill>
              </w:rPr>
              <w:t>分</w:t>
            </w:r>
            <w:r>
              <w:rPr>
                <w:rFonts w:hint="eastAsia" w:ascii="Times New Roman" w:hAnsi="Times New Roman" w:eastAsia="宋体" w:cs="Times New Roman"/>
                <w:color w:val="000000" w:themeColor="text1"/>
                <w:spacing w:val="-3"/>
                <w:w w:val="95"/>
                <w:sz w:val="24"/>
                <w:szCs w:val="24"/>
                <w:lang w:val="en-US" w:eastAsia="zh-CN"/>
                <w14:textFill>
                  <w14:solidFill>
                    <w14:schemeClr w14:val="tx1"/>
                  </w14:solidFill>
                </w14:textFill>
              </w:rPr>
              <w:t>34.205</w:t>
            </w:r>
            <w:r>
              <w:rPr>
                <w:rFonts w:ascii="Times New Roman" w:hAnsi="Times New Roman" w:eastAsia="宋体" w:cs="宋体"/>
                <w:color w:val="000000" w:themeColor="text1"/>
                <w:sz w:val="24"/>
                <w:szCs w:val="24"/>
                <w:lang w:eastAsia="zh-CN"/>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rPr>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国民经济行业类别</w:t>
            </w:r>
          </w:p>
        </w:tc>
        <w:tc>
          <w:tcPr>
            <w:tcW w:w="2580" w:type="dxa"/>
            <w:vAlign w:val="center"/>
          </w:tcPr>
          <w:p>
            <w:pPr>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7451检验检疫服务</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建设项目行业类别</w:t>
            </w:r>
          </w:p>
        </w:tc>
        <w:tc>
          <w:tcPr>
            <w:tcW w:w="4374" w:type="dxa"/>
            <w:gridSpan w:val="2"/>
            <w:vAlign w:val="center"/>
          </w:tcPr>
          <w:p>
            <w:pPr>
              <w:pStyle w:val="39"/>
              <w:adjustRightInd w:val="0"/>
              <w:snapToGrid w:val="0"/>
              <w:jc w:val="center"/>
              <w:rPr>
                <w:rFonts w:hint="eastAsia"/>
                <w:color w:val="000000" w:themeColor="text1"/>
                <w:spacing w:val="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9</w:t>
            </w:r>
            <w:r>
              <w:rPr>
                <w:rFonts w:hint="eastAsia"/>
                <w:color w:val="000000" w:themeColor="text1"/>
                <w:sz w:val="24"/>
                <w:lang w:val="en-US" w:eastAsia="zh-CN"/>
                <w14:textFill>
                  <w14:solidFill>
                    <w14:schemeClr w14:val="tx1"/>
                  </w14:solidFill>
                </w14:textFill>
              </w:rPr>
              <w:t>8</w:t>
            </w:r>
            <w:r>
              <w:rPr>
                <w:color w:val="000000" w:themeColor="text1"/>
                <w:spacing w:val="1"/>
                <w:sz w:val="24"/>
                <w:lang w:eastAsia="zh-CN"/>
                <w14:textFill>
                  <w14:solidFill>
                    <w14:schemeClr w14:val="tx1"/>
                  </w14:solidFill>
                </w14:textFill>
              </w:rPr>
              <w:t>、</w:t>
            </w:r>
            <w:r>
              <w:rPr>
                <w:rFonts w:hint="eastAsia"/>
                <w:color w:val="000000" w:themeColor="text1"/>
                <w:spacing w:val="1"/>
                <w:sz w:val="24"/>
                <w:lang w:eastAsia="zh-CN"/>
                <w14:textFill>
                  <w14:solidFill>
                    <w14:schemeClr w14:val="tx1"/>
                  </w14:solidFill>
                </w14:textFill>
              </w:rPr>
              <w:t>专业实验室、研发（试</w:t>
            </w:r>
          </w:p>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hint="eastAsia"/>
                <w:color w:val="000000" w:themeColor="text1"/>
                <w:spacing w:val="1"/>
                <w:sz w:val="24"/>
                <w:lang w:eastAsia="zh-CN"/>
                <w14:textFill>
                  <w14:solidFill>
                    <w14:schemeClr w14:val="tx1"/>
                  </w14:solidFill>
                </w14:textFill>
              </w:rPr>
              <w:t>验）基地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建设性质</w:t>
            </w:r>
          </w:p>
        </w:tc>
        <w:tc>
          <w:tcPr>
            <w:tcW w:w="2580" w:type="dxa"/>
            <w:vAlign w:val="center"/>
          </w:tcPr>
          <w:p>
            <w:pPr>
              <w:pStyle w:val="39"/>
              <w:adjustRightInd w:val="0"/>
              <w:snapToGrid w:val="0"/>
              <w:rPr>
                <w:rFonts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MS Mincho" w:eastAsia="宋体" w:cs="Times New Roman"/>
                <w:color w:val="000000" w:themeColor="text1"/>
                <w:spacing w:val="-1"/>
                <w:sz w:val="24"/>
                <w:szCs w:val="24"/>
                <w:lang w:eastAsia="zh-CN"/>
                <w14:textFill>
                  <w14:solidFill>
                    <w14:schemeClr w14:val="tx1"/>
                  </w14:solidFill>
                </w14:textFill>
              </w:rPr>
              <w:sym w:font="Wingdings 2" w:char="0052"/>
            </w:r>
            <w:r>
              <w:rPr>
                <w:rFonts w:ascii="Times New Roman" w:hAnsi="Times New Roman" w:eastAsia="宋体" w:cs="宋体"/>
                <w:color w:val="000000" w:themeColor="text1"/>
                <w:spacing w:val="-1"/>
                <w:sz w:val="24"/>
                <w:szCs w:val="24"/>
                <w:lang w:eastAsia="zh-CN"/>
                <w14:textFill>
                  <w14:solidFill>
                    <w14:schemeClr w14:val="tx1"/>
                  </w14:solidFill>
                </w14:textFill>
              </w:rPr>
              <w:t>新建（迁建）</w:t>
            </w:r>
          </w:p>
          <w:p>
            <w:pPr>
              <w:pStyle w:val="39"/>
              <w:adjustRightInd w:val="0"/>
              <w:snapToGrid w:val="0"/>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pacing w:val="-1"/>
                <w:sz w:val="24"/>
                <w:szCs w:val="24"/>
                <w:lang w:eastAsia="zh-CN"/>
                <w14:textFill>
                  <w14:solidFill>
                    <w14:schemeClr w14:val="tx1"/>
                  </w14:solidFill>
                </w14:textFill>
              </w:rPr>
              <w:sym w:font="Wingdings 2" w:char="00A3"/>
            </w:r>
            <w:r>
              <w:rPr>
                <w:rFonts w:ascii="Times New Roman" w:hAnsi="Times New Roman" w:eastAsia="宋体" w:cs="宋体"/>
                <w:color w:val="000000" w:themeColor="text1"/>
                <w:spacing w:val="-1"/>
                <w:sz w:val="24"/>
                <w:szCs w:val="24"/>
                <w:lang w:eastAsia="zh-CN"/>
                <w14:textFill>
                  <w14:solidFill>
                    <w14:schemeClr w14:val="tx1"/>
                  </w14:solidFill>
                </w14:textFill>
              </w:rPr>
              <w:t>改建</w:t>
            </w:r>
          </w:p>
          <w:p>
            <w:pPr>
              <w:pStyle w:val="39"/>
              <w:adjustRightInd w:val="0"/>
              <w:snapToGrid w:val="0"/>
              <w:rPr>
                <w:rFonts w:ascii="Times New Roman" w:hAnsi="Times New Roman" w:eastAsia="宋体" w:cs="宋体"/>
                <w:color w:val="000000" w:themeColor="text1"/>
                <w:spacing w:val="-1"/>
                <w:sz w:val="24"/>
                <w:szCs w:val="24"/>
                <w:lang w:eastAsia="zh-CN"/>
                <w14:textFill>
                  <w14:solidFill>
                    <w14:schemeClr w14:val="tx1"/>
                  </w14:solidFill>
                </w14:textFill>
              </w:rPr>
            </w:pPr>
            <w:r>
              <w:rPr>
                <w:rFonts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宋体"/>
                <w:color w:val="000000" w:themeColor="text1"/>
                <w:spacing w:val="-1"/>
                <w:sz w:val="24"/>
                <w:szCs w:val="24"/>
                <w:lang w:eastAsia="zh-CN"/>
                <w14:textFill>
                  <w14:solidFill>
                    <w14:schemeClr w14:val="tx1"/>
                  </w14:solidFill>
                </w14:textFill>
              </w:rPr>
              <w:t>扩建</w:t>
            </w:r>
          </w:p>
          <w:p>
            <w:pPr>
              <w:pStyle w:val="39"/>
              <w:adjustRightInd w:val="0"/>
              <w:snapToGrid w:val="0"/>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pacing w:val="-1"/>
                <w:sz w:val="24"/>
                <w:szCs w:val="24"/>
                <w14:textFill>
                  <w14:solidFill>
                    <w14:schemeClr w14:val="tx1"/>
                  </w14:solidFill>
                </w14:textFill>
              </w:rPr>
              <w:t>□</w:t>
            </w:r>
            <w:r>
              <w:rPr>
                <w:rFonts w:ascii="Times New Roman" w:hAnsi="Times New Roman" w:eastAsia="宋体" w:cs="宋体"/>
                <w:color w:val="000000" w:themeColor="text1"/>
                <w:spacing w:val="-1"/>
                <w:sz w:val="24"/>
                <w:szCs w:val="24"/>
                <w14:textFill>
                  <w14:solidFill>
                    <w14:schemeClr w14:val="tx1"/>
                  </w14:solidFill>
                </w14:textFill>
              </w:rPr>
              <w:t>技术改造</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建设项目申报情形</w:t>
            </w:r>
          </w:p>
        </w:tc>
        <w:tc>
          <w:tcPr>
            <w:tcW w:w="4374" w:type="dxa"/>
            <w:gridSpan w:val="2"/>
            <w:vAlign w:val="center"/>
          </w:tcPr>
          <w:p>
            <w:pPr>
              <w:pStyle w:val="39"/>
              <w:adjustRightInd w:val="0"/>
              <w:snapToGrid w:val="0"/>
              <w:rPr>
                <w:rFonts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MS Mincho" w:cs="MS Mincho"/>
                <w:color w:val="000000" w:themeColor="text1"/>
                <w:spacing w:val="-1"/>
                <w:sz w:val="24"/>
                <w:szCs w:val="24"/>
                <w:lang w:eastAsia="zh-CN"/>
                <w14:textFill>
                  <w14:solidFill>
                    <w14:schemeClr w14:val="tx1"/>
                  </w14:solidFill>
                </w14:textFill>
              </w:rPr>
              <w:t>☑</w:t>
            </w:r>
            <w:r>
              <w:rPr>
                <w:rFonts w:ascii="Times New Roman" w:hAnsi="Times New Roman" w:eastAsia="宋体" w:cs="宋体"/>
                <w:color w:val="000000" w:themeColor="text1"/>
                <w:spacing w:val="-1"/>
                <w:sz w:val="24"/>
                <w:szCs w:val="24"/>
                <w:lang w:eastAsia="zh-CN"/>
                <w14:textFill>
                  <w14:solidFill>
                    <w14:schemeClr w14:val="tx1"/>
                  </w14:solidFill>
                </w14:textFill>
              </w:rPr>
              <w:t>首次申报项目</w:t>
            </w:r>
          </w:p>
          <w:p>
            <w:pPr>
              <w:pStyle w:val="39"/>
              <w:adjustRightInd w:val="0"/>
              <w:snapToGrid w:val="0"/>
              <w:rPr>
                <w:rFonts w:ascii="Times New Roman" w:hAnsi="Times New Roman" w:eastAsia="宋体" w:cs="宋体"/>
                <w:color w:val="000000" w:themeColor="text1"/>
                <w:spacing w:val="-2"/>
                <w:sz w:val="24"/>
                <w:szCs w:val="24"/>
                <w:lang w:eastAsia="zh-CN"/>
                <w14:textFill>
                  <w14:solidFill>
                    <w14:schemeClr w14:val="tx1"/>
                  </w14:solidFill>
                </w14:textFill>
              </w:rPr>
            </w:pPr>
            <w:r>
              <w:rPr>
                <w:rFonts w:ascii="Times New Roman" w:hAnsi="Times New Roman" w:eastAsia="宋体" w:cs="Times New Roman"/>
                <w:color w:val="000000" w:themeColor="text1"/>
                <w:spacing w:val="-2"/>
                <w:sz w:val="24"/>
                <w:szCs w:val="24"/>
                <w:lang w:eastAsia="zh-CN"/>
                <w14:textFill>
                  <w14:solidFill>
                    <w14:schemeClr w14:val="tx1"/>
                  </w14:solidFill>
                </w14:textFill>
              </w:rPr>
              <w:t>□</w:t>
            </w:r>
            <w:r>
              <w:rPr>
                <w:rFonts w:ascii="Times New Roman" w:hAnsi="Times New Roman" w:eastAsia="宋体" w:cs="宋体"/>
                <w:color w:val="000000" w:themeColor="text1"/>
                <w:spacing w:val="-2"/>
                <w:sz w:val="24"/>
                <w:szCs w:val="24"/>
                <w:lang w:eastAsia="zh-CN"/>
                <w14:textFill>
                  <w14:solidFill>
                    <w14:schemeClr w14:val="tx1"/>
                  </w14:solidFill>
                </w14:textFill>
              </w:rPr>
              <w:t>不予批准后再次申报项目</w:t>
            </w:r>
          </w:p>
          <w:p>
            <w:pPr>
              <w:pStyle w:val="39"/>
              <w:adjustRightInd w:val="0"/>
              <w:snapToGrid w:val="0"/>
              <w:rPr>
                <w:rFonts w:ascii="Times New Roman" w:hAnsi="Times New Roman" w:eastAsia="宋体" w:cs="宋体"/>
                <w:color w:val="000000" w:themeColor="text1"/>
                <w:spacing w:val="-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宋体"/>
                <w:color w:val="000000" w:themeColor="text1"/>
                <w:spacing w:val="-1"/>
                <w:sz w:val="24"/>
                <w:szCs w:val="24"/>
                <w:lang w:eastAsia="zh-CN"/>
                <w14:textFill>
                  <w14:solidFill>
                    <w14:schemeClr w14:val="tx1"/>
                  </w14:solidFill>
                </w14:textFill>
              </w:rPr>
              <w:t>超五年重新审核项目</w:t>
            </w:r>
          </w:p>
          <w:p>
            <w:pPr>
              <w:pStyle w:val="39"/>
              <w:adjustRightInd w:val="0"/>
              <w:snapToGrid w:val="0"/>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pacing w:val="-2"/>
                <w:sz w:val="24"/>
                <w:szCs w:val="24"/>
                <w:lang w:eastAsia="zh-CN"/>
                <w14:textFill>
                  <w14:solidFill>
                    <w14:schemeClr w14:val="tx1"/>
                  </w14:solidFill>
                </w14:textFill>
              </w:rPr>
              <w:t>□</w:t>
            </w:r>
            <w:r>
              <w:rPr>
                <w:rFonts w:ascii="Times New Roman" w:hAnsi="Times New Roman" w:eastAsia="宋体" w:cs="宋体"/>
                <w:color w:val="000000" w:themeColor="text1"/>
                <w:spacing w:val="-2"/>
                <w:sz w:val="24"/>
                <w:szCs w:val="24"/>
                <w:lang w:eastAsia="zh-CN"/>
                <w14:textFill>
                  <w14:solidFill>
                    <w14:schemeClr w14:val="tx1"/>
                  </w14:solidFill>
                </w14:textFill>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z w:val="24"/>
                <w:szCs w:val="24"/>
                <w:lang w:eastAsia="zh-CN"/>
                <w14:textFill>
                  <w14:solidFill>
                    <w14:schemeClr w14:val="tx1"/>
                  </w14:solidFill>
                </w14:textFill>
              </w:rPr>
              <w:t>项目</w:t>
            </w:r>
            <w:r>
              <w:rPr>
                <w:rFonts w:ascii="Times New Roman" w:hAnsi="Times New Roman" w:eastAsia="宋体" w:cs="宋体"/>
                <w:color w:val="000000" w:themeColor="text1"/>
                <w:spacing w:val="-3"/>
                <w:sz w:val="24"/>
                <w:szCs w:val="24"/>
                <w:lang w:eastAsia="zh-CN"/>
                <w14:textFill>
                  <w14:solidFill>
                    <w14:schemeClr w14:val="tx1"/>
                  </w14:solidFill>
                </w14:textFill>
              </w:rPr>
              <w:t>审</w:t>
            </w:r>
            <w:r>
              <w:rPr>
                <w:rFonts w:ascii="Times New Roman" w:hAnsi="Times New Roman" w:eastAsia="宋体" w:cs="宋体"/>
                <w:color w:val="000000" w:themeColor="text1"/>
                <w:spacing w:val="-36"/>
                <w:sz w:val="24"/>
                <w:szCs w:val="24"/>
                <w:lang w:eastAsia="zh-CN"/>
                <w14:textFill>
                  <w14:solidFill>
                    <w14:schemeClr w14:val="tx1"/>
                  </w14:solidFill>
                </w14:textFill>
              </w:rPr>
              <w:t>批</w:t>
            </w:r>
            <w:r>
              <w:rPr>
                <w:rFonts w:ascii="Times New Roman" w:hAnsi="Times New Roman" w:eastAsia="宋体" w:cs="宋体"/>
                <w:color w:val="000000" w:themeColor="text1"/>
                <w:sz w:val="24"/>
                <w:szCs w:val="24"/>
                <w:lang w:eastAsia="zh-CN"/>
                <w14:textFill>
                  <w14:solidFill>
                    <w14:schemeClr w14:val="tx1"/>
                  </w14:solidFill>
                </w14:textFill>
              </w:rPr>
              <w:t>（</w:t>
            </w:r>
            <w:r>
              <w:rPr>
                <w:rFonts w:ascii="Times New Roman" w:hAnsi="Times New Roman" w:eastAsia="宋体" w:cs="宋体"/>
                <w:color w:val="000000" w:themeColor="text1"/>
                <w:spacing w:val="-3"/>
                <w:sz w:val="24"/>
                <w:szCs w:val="24"/>
                <w:lang w:eastAsia="zh-CN"/>
                <w14:textFill>
                  <w14:solidFill>
                    <w14:schemeClr w14:val="tx1"/>
                  </w14:solidFill>
                </w14:textFill>
              </w:rPr>
              <w:t>核</w:t>
            </w:r>
            <w:r>
              <w:rPr>
                <w:rFonts w:ascii="Times New Roman" w:hAnsi="Times New Roman" w:eastAsia="宋体" w:cs="宋体"/>
                <w:color w:val="000000" w:themeColor="text1"/>
                <w:sz w:val="24"/>
                <w:szCs w:val="24"/>
                <w:lang w:eastAsia="zh-CN"/>
                <w14:textFill>
                  <w14:solidFill>
                    <w14:schemeClr w14:val="tx1"/>
                  </w14:solidFill>
                </w14:textFill>
              </w:rPr>
              <w:t>准</w:t>
            </w:r>
            <w:r>
              <w:rPr>
                <w:rFonts w:ascii="Times New Roman" w:hAnsi="Times New Roman" w:eastAsia="宋体" w:cs="Times New Roman"/>
                <w:color w:val="000000" w:themeColor="text1"/>
                <w:spacing w:val="-2"/>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备案</w:t>
            </w:r>
            <w:r>
              <w:rPr>
                <w:rFonts w:ascii="Times New Roman" w:hAnsi="Times New Roman" w:eastAsia="宋体" w:cs="宋体"/>
                <w:color w:val="000000" w:themeColor="text1"/>
                <w:spacing w:val="-48"/>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部</w:t>
            </w:r>
            <w:r>
              <w:rPr>
                <w:rFonts w:ascii="Times New Roman" w:hAnsi="Times New Roman" w:eastAsia="宋体" w:cs="宋体"/>
                <w:color w:val="000000" w:themeColor="text1"/>
                <w:spacing w:val="-48"/>
                <w:sz w:val="24"/>
                <w:szCs w:val="24"/>
                <w:lang w:eastAsia="zh-CN"/>
                <w14:textFill>
                  <w14:solidFill>
                    <w14:schemeClr w14:val="tx1"/>
                  </w14:solidFill>
                </w14:textFill>
              </w:rPr>
              <w:t>门</w:t>
            </w:r>
            <w:r>
              <w:rPr>
                <w:rFonts w:ascii="Times New Roman" w:hAnsi="Times New Roman" w:eastAsia="宋体" w:cs="宋体"/>
                <w:color w:val="000000" w:themeColor="text1"/>
                <w:spacing w:val="-3"/>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选填）</w:t>
            </w:r>
          </w:p>
        </w:tc>
        <w:tc>
          <w:tcPr>
            <w:tcW w:w="2580" w:type="dxa"/>
            <w:vAlign w:val="center"/>
          </w:tcPr>
          <w:p>
            <w:pPr>
              <w:adjustRightInd w:val="0"/>
              <w:snapToGrid w:val="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宁县农业农村局</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pacing w:val="-1"/>
                <w:sz w:val="24"/>
                <w:szCs w:val="24"/>
                <w:lang w:eastAsia="zh-CN"/>
                <w14:textFill>
                  <w14:solidFill>
                    <w14:schemeClr w14:val="tx1"/>
                  </w14:solidFill>
                </w14:textFill>
              </w:rPr>
              <w:t>项目审批（核准</w:t>
            </w:r>
            <w:r>
              <w:rPr>
                <w:rFonts w:ascii="Times New Roman" w:hAnsi="Times New Roman" w:eastAsia="宋体" w:cs="Times New Roman"/>
                <w:color w:val="000000" w:themeColor="text1"/>
                <w:spacing w:val="-1"/>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备案</w:t>
            </w:r>
            <w:r>
              <w:rPr>
                <w:rFonts w:ascii="Times New Roman" w:hAnsi="Times New Roman" w:eastAsia="宋体" w:cs="宋体"/>
                <w:color w:val="000000" w:themeColor="text1"/>
                <w:spacing w:val="-51"/>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文</w:t>
            </w:r>
            <w:r>
              <w:rPr>
                <w:rFonts w:ascii="Times New Roman" w:hAnsi="Times New Roman" w:eastAsia="宋体" w:cs="宋体"/>
                <w:color w:val="000000" w:themeColor="text1"/>
                <w:spacing w:val="-48"/>
                <w:sz w:val="24"/>
                <w:szCs w:val="24"/>
                <w:lang w:eastAsia="zh-CN"/>
                <w14:textFill>
                  <w14:solidFill>
                    <w14:schemeClr w14:val="tx1"/>
                  </w14:solidFill>
                </w14:textFill>
              </w:rPr>
              <w:t>号</w:t>
            </w:r>
            <w:r>
              <w:rPr>
                <w:rFonts w:ascii="Times New Roman" w:hAnsi="Times New Roman" w:eastAsia="宋体" w:cs="宋体"/>
                <w:color w:val="000000" w:themeColor="text1"/>
                <w:spacing w:val="-3"/>
                <w:sz w:val="24"/>
                <w:szCs w:val="24"/>
                <w:lang w:eastAsia="zh-CN"/>
                <w14:textFill>
                  <w14:solidFill>
                    <w14:schemeClr w14:val="tx1"/>
                  </w14:solidFill>
                </w14:textFill>
              </w:rPr>
              <w:t>（</w:t>
            </w:r>
            <w:r>
              <w:rPr>
                <w:rFonts w:ascii="Times New Roman" w:hAnsi="Times New Roman" w:eastAsia="宋体" w:cs="宋体"/>
                <w:color w:val="000000" w:themeColor="text1"/>
                <w:sz w:val="24"/>
                <w:szCs w:val="24"/>
                <w:lang w:eastAsia="zh-CN"/>
                <w14:textFill>
                  <w14:solidFill>
                    <w14:schemeClr w14:val="tx1"/>
                  </w14:solidFill>
                </w14:textFill>
              </w:rPr>
              <w:t>选填</w:t>
            </w:r>
            <w:r>
              <w:rPr>
                <w:rFonts w:hint="eastAsia" w:ascii="Times New Roman" w:hAnsi="Times New Roman" w:eastAsia="宋体" w:cs="宋体"/>
                <w:color w:val="000000" w:themeColor="text1"/>
                <w:sz w:val="24"/>
                <w:szCs w:val="24"/>
                <w:lang w:eastAsia="zh-CN"/>
                <w14:textFill>
                  <w14:solidFill>
                    <w14:schemeClr w14:val="tx1"/>
                  </w14:solidFill>
                </w14:textFill>
              </w:rPr>
              <w:t>）</w:t>
            </w:r>
          </w:p>
        </w:tc>
        <w:tc>
          <w:tcPr>
            <w:tcW w:w="4374" w:type="dxa"/>
            <w:gridSpan w:val="2"/>
            <w:vAlign w:val="center"/>
          </w:tcPr>
          <w:p>
            <w:pPr>
              <w:pStyle w:val="39"/>
              <w:adjustRightInd w:val="0"/>
              <w:snapToGrid w:val="0"/>
              <w:jc w:val="center"/>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宁农</w:t>
            </w:r>
            <w:r>
              <w:rPr>
                <w:rFonts w:hint="eastAsia" w:ascii="Times New Roman" w:hAnsi="Times New Roman" w:eastAsia="宋体" w:cs="Times New Roman"/>
                <w:color w:val="000000" w:themeColor="text1"/>
                <w:sz w:val="24"/>
                <w:szCs w:val="24"/>
                <w:lang w:eastAsia="zh-CN"/>
                <w14:textFill>
                  <w14:solidFill>
                    <w14:schemeClr w14:val="tx1"/>
                  </w14:solidFill>
                </w14:textFill>
              </w:rPr>
              <w:t>发[2021]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75</w:t>
            </w:r>
            <w:r>
              <w:rPr>
                <w:rFonts w:hint="eastAsia" w:ascii="Times New Roman" w:hAnsi="Times New Roman" w:eastAsia="宋体" w:cs="Times New Roman"/>
                <w:color w:val="000000" w:themeColor="text1"/>
                <w:sz w:val="24"/>
                <w:szCs w:val="24"/>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2"/>
                <w:sz w:val="24"/>
                <w:szCs w:val="24"/>
                <w14:textFill>
                  <w14:solidFill>
                    <w14:schemeClr w14:val="tx1"/>
                  </w14:solidFill>
                </w14:textFill>
              </w:rPr>
              <w:t>总投资（万元）</w:t>
            </w:r>
          </w:p>
        </w:tc>
        <w:tc>
          <w:tcPr>
            <w:tcW w:w="2580" w:type="dxa"/>
            <w:vAlign w:val="center"/>
          </w:tcPr>
          <w:p>
            <w:pPr>
              <w:adjustRightInd w:val="0"/>
              <w:snapToGrid w:val="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49.07</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2"/>
                <w:sz w:val="24"/>
                <w:szCs w:val="24"/>
                <w14:textFill>
                  <w14:solidFill>
                    <w14:schemeClr w14:val="tx1"/>
                  </w14:solidFill>
                </w14:textFill>
              </w:rPr>
              <w:t>环保投资（万元）</w:t>
            </w:r>
          </w:p>
        </w:tc>
        <w:tc>
          <w:tcPr>
            <w:tcW w:w="4374" w:type="dxa"/>
            <w:gridSpan w:val="2"/>
            <w:vAlign w:val="center"/>
          </w:tcPr>
          <w:p>
            <w:pPr>
              <w:adjustRightInd w:val="0"/>
              <w:snapToGrid w:val="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环保投资占比（</w:t>
            </w:r>
            <w:r>
              <w:rPr>
                <w:rFonts w:ascii="Times New Roman" w:hAnsi="Times New Roman" w:eastAsia="宋体" w:cs="Times New Roman"/>
                <w:color w:val="000000" w:themeColor="text1"/>
                <w:spacing w:val="-1"/>
                <w:sz w:val="24"/>
                <w:szCs w:val="24"/>
                <w14:textFill>
                  <w14:solidFill>
                    <w14:schemeClr w14:val="tx1"/>
                  </w14:solidFill>
                </w14:textFill>
              </w:rPr>
              <w:t>%</w:t>
            </w:r>
            <w:r>
              <w:rPr>
                <w:rFonts w:ascii="Times New Roman" w:hAnsi="Times New Roman" w:eastAsia="宋体" w:cs="宋体"/>
                <w:color w:val="000000" w:themeColor="text1"/>
                <w:spacing w:val="-1"/>
                <w:sz w:val="24"/>
                <w:szCs w:val="24"/>
                <w14:textFill>
                  <w14:solidFill>
                    <w14:schemeClr w14:val="tx1"/>
                  </w14:solidFill>
                </w14:textFill>
              </w:rPr>
              <w:t>）</w:t>
            </w:r>
          </w:p>
        </w:tc>
        <w:tc>
          <w:tcPr>
            <w:tcW w:w="2580" w:type="dxa"/>
            <w:vAlign w:val="center"/>
          </w:tcPr>
          <w:p>
            <w:pPr>
              <w:adjustRightInd w:val="0"/>
              <w:snapToGrid w:val="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49.5</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施工工期</w:t>
            </w:r>
          </w:p>
        </w:tc>
        <w:tc>
          <w:tcPr>
            <w:tcW w:w="4374" w:type="dxa"/>
            <w:gridSpan w:val="2"/>
            <w:vAlign w:val="center"/>
          </w:tcPr>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5</w:t>
            </w:r>
            <w:r>
              <w:rPr>
                <w:rFonts w:hint="eastAsia" w:ascii="Times New Roman" w:hAnsi="Times New Roman" w:eastAsia="宋体" w:cs="宋体"/>
                <w:color w:val="000000" w:themeColor="text1"/>
                <w:sz w:val="24"/>
                <w:szCs w:val="24"/>
                <w:lang w:eastAsia="zh-CN"/>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是否开工建设</w:t>
            </w:r>
          </w:p>
        </w:tc>
        <w:tc>
          <w:tcPr>
            <w:tcW w:w="2580" w:type="dxa"/>
            <w:vAlign w:val="center"/>
          </w:tcPr>
          <w:p>
            <w:pPr>
              <w:pStyle w:val="39"/>
              <w:adjustRightInd w:val="0"/>
              <w:snapToGrid w:val="0"/>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MS Mincho" w:cs="MS Mincho"/>
                <w:color w:val="000000" w:themeColor="text1"/>
                <w:spacing w:val="-1"/>
                <w:sz w:val="24"/>
                <w:szCs w:val="24"/>
                <w14:textFill>
                  <w14:solidFill>
                    <w14:schemeClr w14:val="tx1"/>
                  </w14:solidFill>
                </w14:textFill>
              </w:rPr>
              <w:t>☑</w:t>
            </w:r>
            <w:r>
              <w:rPr>
                <w:rFonts w:ascii="Times New Roman" w:hAnsi="Times New Roman" w:eastAsia="宋体" w:cs="宋体"/>
                <w:color w:val="000000" w:themeColor="text1"/>
                <w:spacing w:val="-1"/>
                <w:sz w:val="24"/>
                <w:szCs w:val="24"/>
                <w14:textFill>
                  <w14:solidFill>
                    <w14:schemeClr w14:val="tx1"/>
                  </w14:solidFill>
                </w14:textFill>
              </w:rPr>
              <w:t>否</w:t>
            </w:r>
          </w:p>
          <w:p>
            <w:pPr>
              <w:adjustRightInd w:val="0"/>
              <w:snapToGrid w:val="0"/>
              <w:rPr>
                <w:rFonts w:ascii="Times New Roman" w:hAnsi="Times New Roman" w:eastAsia="宋体"/>
                <w:color w:val="000000" w:themeColor="text1"/>
                <w:sz w:val="24"/>
                <w:szCs w:val="24"/>
                <w:u w:val="single"/>
                <w:lang w:eastAsia="zh-CN"/>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w:t>
            </w:r>
            <w:r>
              <w:rPr>
                <w:rFonts w:ascii="Times New Roman" w:hAnsi="Times New Roman" w:eastAsia="宋体" w:cs="宋体"/>
                <w:color w:val="000000" w:themeColor="text1"/>
                <w:spacing w:val="-1"/>
                <w:sz w:val="24"/>
                <w:szCs w:val="24"/>
                <w14:textFill>
                  <w14:solidFill>
                    <w14:schemeClr w14:val="tx1"/>
                  </w14:solidFill>
                </w14:textFill>
              </w:rPr>
              <w:t>是：</w:t>
            </w:r>
            <w:r>
              <w:rPr>
                <w:rFonts w:hint="eastAsia" w:ascii="Times New Roman" w:hAnsi="Times New Roman" w:eastAsia="宋体" w:cs="宋体"/>
                <w:color w:val="000000" w:themeColor="text1"/>
                <w:spacing w:val="-1"/>
                <w:sz w:val="24"/>
                <w:szCs w:val="24"/>
                <w:u w:val="single"/>
                <w:lang w:eastAsia="zh-CN"/>
                <w14:textFill>
                  <w14:solidFill>
                    <w14:schemeClr w14:val="tx1"/>
                  </w14:solidFill>
                </w14:textFill>
              </w:rPr>
              <w:t xml:space="preserve">          </w:t>
            </w:r>
          </w:p>
        </w:tc>
        <w:tc>
          <w:tcPr>
            <w:tcW w:w="1982" w:type="dxa"/>
            <w:gridSpan w:val="2"/>
            <w:vAlign w:val="center"/>
          </w:tcPr>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pacing w:val="-12"/>
                <w:sz w:val="24"/>
                <w:szCs w:val="24"/>
                <w:lang w:eastAsia="zh-CN"/>
                <w14:textFill>
                  <w14:solidFill>
                    <w14:schemeClr w14:val="tx1"/>
                  </w14:solidFill>
                </w14:textFill>
              </w:rPr>
              <w:t>用地（用海）</w:t>
            </w:r>
            <w:r>
              <w:rPr>
                <w:rFonts w:ascii="Times New Roman" w:hAnsi="Times New Roman" w:eastAsia="宋体" w:cs="宋体"/>
                <w:color w:val="000000" w:themeColor="text1"/>
                <w:spacing w:val="22"/>
                <w:sz w:val="24"/>
                <w:szCs w:val="24"/>
                <w:lang w:eastAsia="zh-CN"/>
                <w14:textFill>
                  <w14:solidFill>
                    <w14:schemeClr w14:val="tx1"/>
                  </w14:solidFill>
                </w14:textFill>
              </w:rPr>
              <w:t xml:space="preserve"> </w:t>
            </w:r>
            <w:r>
              <w:rPr>
                <w:rFonts w:ascii="Times New Roman" w:hAnsi="Times New Roman" w:eastAsia="宋体" w:cs="宋体"/>
                <w:color w:val="000000" w:themeColor="text1"/>
                <w:spacing w:val="-10"/>
                <w:sz w:val="24"/>
                <w:szCs w:val="24"/>
                <w:lang w:eastAsia="zh-CN"/>
                <w14:textFill>
                  <w14:solidFill>
                    <w14:schemeClr w14:val="tx1"/>
                  </w14:solidFill>
                </w14:textFill>
              </w:rPr>
              <w:t>面积（</w:t>
            </w:r>
            <w:r>
              <w:rPr>
                <w:rFonts w:ascii="Times New Roman" w:hAnsi="Times New Roman" w:eastAsia="宋体" w:cs="Times New Roman"/>
                <w:color w:val="000000" w:themeColor="text1"/>
                <w:spacing w:val="-10"/>
                <w:sz w:val="24"/>
                <w:szCs w:val="24"/>
                <w:lang w:eastAsia="zh-CN"/>
                <w14:textFill>
                  <w14:solidFill>
                    <w14:schemeClr w14:val="tx1"/>
                  </w14:solidFill>
                </w14:textFill>
              </w:rPr>
              <w:t>m</w:t>
            </w:r>
            <w:r>
              <w:rPr>
                <w:rFonts w:ascii="Times New Roman" w:hAnsi="Times New Roman" w:eastAsia="宋体" w:cs="Times New Roman"/>
                <w:color w:val="000000" w:themeColor="text1"/>
                <w:spacing w:val="-11"/>
                <w:position w:val="7"/>
                <w:sz w:val="16"/>
                <w:szCs w:val="24"/>
                <w:lang w:eastAsia="zh-CN"/>
                <w14:textFill>
                  <w14:solidFill>
                    <w14:schemeClr w14:val="tx1"/>
                  </w14:solidFill>
                </w14:textFill>
              </w:rPr>
              <w:t>2</w:t>
            </w:r>
            <w:r>
              <w:rPr>
                <w:rFonts w:ascii="Times New Roman" w:hAnsi="Times New Roman" w:eastAsia="宋体" w:cs="宋体"/>
                <w:color w:val="000000" w:themeColor="text1"/>
                <w:spacing w:val="-10"/>
                <w:sz w:val="24"/>
                <w:szCs w:val="24"/>
                <w:lang w:eastAsia="zh-CN"/>
                <w14:textFill>
                  <w14:solidFill>
                    <w14:schemeClr w14:val="tx1"/>
                  </w14:solidFill>
                </w14:textFill>
              </w:rPr>
              <w:t>）</w:t>
            </w:r>
          </w:p>
        </w:tc>
        <w:tc>
          <w:tcPr>
            <w:tcW w:w="4374" w:type="dxa"/>
            <w:gridSpan w:val="2"/>
            <w:vAlign w:val="center"/>
          </w:tcPr>
          <w:p>
            <w:pPr>
              <w:pStyle w:val="39"/>
              <w:adjustRightInd w:val="0"/>
              <w:snapToGrid w:val="0"/>
              <w:jc w:val="center"/>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专项评价设</w:t>
            </w:r>
            <w:r>
              <w:rPr>
                <w:rFonts w:ascii="Times New Roman" w:hAnsi="Times New Roman" w:eastAsia="宋体" w:cs="宋体"/>
                <w:color w:val="000000" w:themeColor="text1"/>
                <w:sz w:val="24"/>
                <w:szCs w:val="24"/>
                <w14:textFill>
                  <w14:solidFill>
                    <w14:schemeClr w14:val="tx1"/>
                  </w14:solidFill>
                </w14:textFill>
              </w:rPr>
              <w:t>置情况</w:t>
            </w:r>
          </w:p>
        </w:tc>
        <w:tc>
          <w:tcPr>
            <w:tcW w:w="8936" w:type="dxa"/>
            <w:gridSpan w:val="5"/>
            <w:vAlign w:val="center"/>
          </w:tcPr>
          <w:tbl>
            <w:tblPr>
              <w:tblStyle w:val="28"/>
              <w:tblW w:w="897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04"/>
              <w:gridCol w:w="5386"/>
              <w:gridCol w:w="17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7"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专项评价类别</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涉及项目类别</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项目实际情况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5"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地表水</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水</w:t>
                  </w:r>
                  <w:r>
                    <w:rPr>
                      <w:rFonts w:hint="eastAsia" w:ascii="Times New Roman" w:hAnsi="Times New Roman" w:eastAsia="宋体"/>
                      <w:color w:val="000000" w:themeColor="text1"/>
                      <w:sz w:val="21"/>
                      <w:szCs w:val="21"/>
                      <w:lang w:eastAsia="zh-CN"/>
                      <w14:textFill>
                        <w14:solidFill>
                          <w14:schemeClr w14:val="tx1"/>
                        </w14:solidFill>
                      </w14:textFill>
                    </w:rPr>
                    <w:t>新增工业废水直排建设项目（槽罐车外送污水处理厂的除外）；新增废水直排的污水集中处理厂</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0"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地下水</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地下水原则上不开展专项评价，涉及集中式饮用水水源和热水、矿泉水、温泉等特殊地下水资源保护区的开展地下水专项评价工作。</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0"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生态</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取水口下游500米范围内有重要水生生物的自然产卵场、索饵场、越冬场和洄游通道的新增河道取水的污染类建设项目</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2"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大气</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排放废气含有毒有害污染物</w:t>
                  </w:r>
                  <w:r>
                    <w:rPr>
                      <w:rFonts w:hint="eastAsia" w:ascii="Times New Roman" w:hAnsi="Times New Roman" w:eastAsia="宋体"/>
                      <w:color w:val="000000" w:themeColor="text1"/>
                      <w:sz w:val="21"/>
                      <w:szCs w:val="21"/>
                      <w:vertAlign w:val="superscript"/>
                      <w:lang w:eastAsia="zh-CN"/>
                      <w14:textFill>
                        <w14:solidFill>
                          <w14:schemeClr w14:val="tx1"/>
                        </w14:solidFill>
                      </w14:textFill>
                    </w:rPr>
                    <w:t>1</w:t>
                  </w:r>
                  <w:r>
                    <w:rPr>
                      <w:rFonts w:hint="eastAsia" w:ascii="Times New Roman" w:hAnsi="Times New Roman" w:eastAsia="宋体"/>
                      <w:color w:val="000000" w:themeColor="text1"/>
                      <w:sz w:val="21"/>
                      <w:szCs w:val="21"/>
                      <w:lang w:eastAsia="zh-CN"/>
                      <w14:textFill>
                        <w14:solidFill>
                          <w14:schemeClr w14:val="tx1"/>
                        </w14:solidFill>
                      </w14:textFill>
                    </w:rPr>
                    <w:t>、二噁英、苯并[a]芘、氰化物、氯气且厂界外500米范围内有环境空气保护目标</w:t>
                  </w:r>
                  <w:r>
                    <w:rPr>
                      <w:rFonts w:hint="eastAsia" w:ascii="Times New Roman" w:hAnsi="Times New Roman" w:eastAsia="宋体"/>
                      <w:color w:val="000000" w:themeColor="text1"/>
                      <w:sz w:val="21"/>
                      <w:szCs w:val="21"/>
                      <w:vertAlign w:val="superscript"/>
                      <w:lang w:eastAsia="zh-CN"/>
                      <w14:textFill>
                        <w14:solidFill>
                          <w14:schemeClr w14:val="tx1"/>
                        </w14:solidFill>
                      </w14:textFill>
                    </w:rPr>
                    <w:t>2</w:t>
                  </w:r>
                  <w:r>
                    <w:rPr>
                      <w:rFonts w:hint="eastAsia" w:ascii="Times New Roman" w:hAnsi="Times New Roman" w:eastAsia="宋体"/>
                      <w:color w:val="000000" w:themeColor="text1"/>
                      <w:sz w:val="21"/>
                      <w:szCs w:val="21"/>
                      <w:lang w:eastAsia="zh-CN"/>
                      <w14:textFill>
                        <w14:solidFill>
                          <w14:schemeClr w14:val="tx1"/>
                        </w14:solidFill>
                      </w14:textFill>
                    </w:rPr>
                    <w:t>的建设项目</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2" w:hRule="atLeast"/>
                <w:jc w:val="center"/>
              </w:trPr>
              <w:tc>
                <w:tcPr>
                  <w:tcW w:w="1804"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环境风险</w:t>
                  </w:r>
                </w:p>
              </w:tc>
              <w:tc>
                <w:tcPr>
                  <w:tcW w:w="5386"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有毒有害和易燃易爆危险物质存储量超过临界量</w:t>
                  </w:r>
                  <w:r>
                    <w:rPr>
                      <w:rFonts w:hint="eastAsia" w:ascii="Times New Roman" w:hAnsi="Times New Roman" w:eastAsia="宋体"/>
                      <w:color w:val="000000" w:themeColor="text1"/>
                      <w:sz w:val="21"/>
                      <w:szCs w:val="21"/>
                      <w:vertAlign w:val="superscript"/>
                      <w:lang w:eastAsia="zh-CN"/>
                      <w14:textFill>
                        <w14:solidFill>
                          <w14:schemeClr w14:val="tx1"/>
                        </w14:solidFill>
                      </w14:textFill>
                    </w:rPr>
                    <w:t>3</w:t>
                  </w:r>
                  <w:r>
                    <w:rPr>
                      <w:rFonts w:hint="eastAsia" w:ascii="Times New Roman" w:hAnsi="Times New Roman" w:eastAsia="宋体"/>
                      <w:color w:val="000000" w:themeColor="text1"/>
                      <w:sz w:val="21"/>
                      <w:szCs w:val="21"/>
                      <w:lang w:eastAsia="zh-CN"/>
                      <w14:textFill>
                        <w14:solidFill>
                          <w14:schemeClr w14:val="tx1"/>
                        </w14:solidFill>
                      </w14:textFill>
                    </w:rPr>
                    <w:t>的建设项目</w:t>
                  </w:r>
                </w:p>
              </w:tc>
              <w:tc>
                <w:tcPr>
                  <w:tcW w:w="1788" w:type="dxa"/>
                  <w:tcBorders>
                    <w:tl2br w:val="nil"/>
                    <w:tr2bl w:val="nil"/>
                  </w:tcBorders>
                  <w:vAlign w:val="center"/>
                </w:tcPr>
                <w:p>
                  <w:pPr>
                    <w:pStyle w:val="10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不涉及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83" w:hRule="atLeast"/>
                <w:jc w:val="center"/>
              </w:trPr>
              <w:tc>
                <w:tcPr>
                  <w:tcW w:w="8978" w:type="dxa"/>
                  <w:gridSpan w:val="3"/>
                  <w:tcBorders>
                    <w:tl2br w:val="nil"/>
                    <w:tr2bl w:val="nil"/>
                  </w:tcBorders>
                  <w:vAlign w:val="center"/>
                </w:tcPr>
                <w:p>
                  <w:pPr>
                    <w:pStyle w:val="100"/>
                    <w:jc w:val="both"/>
                    <w:rPr>
                      <w:rFonts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eastAsia="zh-CN"/>
                      <w14:textFill>
                        <w14:solidFill>
                          <w14:schemeClr w14:val="tx1"/>
                        </w14:solidFill>
                      </w14:textFill>
                    </w:rPr>
                    <w:t>注：1.废气中有毒有害污染物指纳入《有毒有害大气污染物名录》的污染物（不包括无排放标准的污染物）。2.环境空气保护目标指自然保护区、风景名胜区、居住区、文化区和农村地区中人群较集中的区域。3.临界量及其计算方法可参考《建设项目环境风险评价技术导则》（HJ169）附录B、附录C。</w:t>
                  </w:r>
                </w:p>
              </w:tc>
            </w:tr>
          </w:tbl>
          <w:p>
            <w:pPr>
              <w:adjustRightInd w:val="0"/>
              <w:snapToGrid w:val="0"/>
              <w:spacing w:line="360" w:lineRule="auto"/>
              <w:jc w:val="center"/>
              <w:rPr>
                <w:rFonts w:ascii="Times New Roman" w:hAnsi="Times New Roman"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spacing w:line="360" w:lineRule="auto"/>
              <w:jc w:val="center"/>
              <w:rPr>
                <w:rFonts w:ascii="Times New Roman" w:hAnsi="Times New Roman" w:eastAsia="宋体" w:cs="宋体"/>
                <w:color w:val="000000" w:themeColor="text1"/>
                <w:sz w:val="24"/>
                <w:szCs w:val="24"/>
                <w14:textFill>
                  <w14:solidFill>
                    <w14:schemeClr w14:val="tx1"/>
                  </w14:solidFill>
                </w14:textFill>
              </w:rPr>
            </w:pPr>
            <w:r>
              <w:rPr>
                <w:rFonts w:ascii="Times New Roman" w:hAnsi="Times New Roman" w:eastAsia="宋体" w:cs="宋体"/>
                <w:color w:val="000000" w:themeColor="text1"/>
                <w:spacing w:val="-1"/>
                <w:sz w:val="24"/>
                <w:szCs w:val="24"/>
                <w14:textFill>
                  <w14:solidFill>
                    <w14:schemeClr w14:val="tx1"/>
                  </w14:solidFill>
                </w14:textFill>
              </w:rPr>
              <w:t>规划情况</w:t>
            </w:r>
          </w:p>
        </w:tc>
        <w:tc>
          <w:tcPr>
            <w:tcW w:w="8936"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宋体" w:eastAsiaTheme="minorEastAsia"/>
                <w:color w:val="000000" w:themeColor="text1"/>
                <w:sz w:val="24"/>
                <w:szCs w:val="24"/>
                <w:lang w:eastAsia="zh-CN"/>
                <w14:textFill>
                  <w14:solidFill>
                    <w14:schemeClr w14:val="tx1"/>
                  </w14:solidFill>
                </w14:textFill>
              </w:rPr>
            </w:pPr>
            <w:r>
              <w:rPr>
                <w:rFonts w:hint="eastAsia"/>
                <w:color w:val="FF0000"/>
                <w:sz w:val="24"/>
                <w:szCs w:val="24"/>
                <w:lang w:val="en-US" w:eastAsia="zh-CN"/>
              </w:rPr>
              <w:t>项目厂址位于宁县新宁镇，本项目用地性质为国有建设用地，符合当地土地利用规划相关要求</w:t>
            </w:r>
            <w:r>
              <w:rPr>
                <w:rFonts w:hint="eastAsia"/>
                <w:color w:val="FF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adjustRightInd w:val="0"/>
              <w:snapToGrid w:val="0"/>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pacing w:val="-1"/>
                <w:sz w:val="24"/>
                <w:szCs w:val="24"/>
                <w:lang w:eastAsia="zh-CN"/>
                <w14:textFill>
                  <w14:solidFill>
                    <w14:schemeClr w14:val="tx1"/>
                  </w14:solidFill>
                </w14:textFill>
              </w:rPr>
              <w:t>规划环境影</w:t>
            </w:r>
            <w:r>
              <w:rPr>
                <w:rFonts w:ascii="Times New Roman" w:hAnsi="Times New Roman" w:eastAsia="宋体" w:cs="宋体"/>
                <w:color w:val="000000" w:themeColor="text1"/>
                <w:sz w:val="24"/>
                <w:szCs w:val="24"/>
                <w:lang w:eastAsia="zh-CN"/>
                <w14:textFill>
                  <w14:solidFill>
                    <w14:schemeClr w14:val="tx1"/>
                  </w14:solidFill>
                </w14:textFill>
              </w:rPr>
              <w:t>响</w:t>
            </w:r>
            <w:r>
              <w:rPr>
                <w:rFonts w:ascii="Times New Roman" w:hAnsi="Times New Roman" w:eastAsia="宋体" w:cs="宋体"/>
                <w:color w:val="000000" w:themeColor="text1"/>
                <w:spacing w:val="-1"/>
                <w:sz w:val="24"/>
                <w:szCs w:val="24"/>
                <w:lang w:eastAsia="zh-CN"/>
                <w14:textFill>
                  <w14:solidFill>
                    <w14:schemeClr w14:val="tx1"/>
                  </w14:solidFill>
                </w14:textFill>
              </w:rPr>
              <w:t>评价情况</w:t>
            </w:r>
          </w:p>
        </w:tc>
        <w:tc>
          <w:tcPr>
            <w:tcW w:w="8936" w:type="dxa"/>
            <w:gridSpan w:val="5"/>
            <w:vAlign w:val="center"/>
          </w:tcPr>
          <w:p>
            <w:pPr>
              <w:autoSpaceDE w:val="0"/>
              <w:autoSpaceDN w:val="0"/>
              <w:adjustRightInd w:val="0"/>
              <w:spacing w:line="360" w:lineRule="auto"/>
              <w:jc w:val="center"/>
              <w:rPr>
                <w:rFonts w:ascii="Times New Roman" w:hAnsi="Times New Roman" w:eastAsia="宋体" w:cs="宋体"/>
                <w:color w:val="000000" w:themeColor="text1"/>
                <w:sz w:val="24"/>
                <w:szCs w:val="24"/>
                <w:lang w:eastAsia="zh-CN"/>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988" w:type="dxa"/>
            <w:vAlign w:val="center"/>
          </w:tcPr>
          <w:p>
            <w:pPr>
              <w:pStyle w:val="39"/>
              <w:ind w:right="2"/>
              <w:jc w:val="center"/>
              <w:rPr>
                <w:rFonts w:ascii="Times New Roman" w:hAnsi="Times New Roman" w:eastAsia="宋体" w:cs="宋体"/>
                <w:color w:val="000000" w:themeColor="text1"/>
                <w:sz w:val="24"/>
                <w:szCs w:val="21"/>
                <w:lang w:eastAsia="zh-CN"/>
                <w14:textFill>
                  <w14:solidFill>
                    <w14:schemeClr w14:val="tx1"/>
                  </w14:solidFill>
                </w14:textFill>
              </w:rPr>
            </w:pPr>
            <w:r>
              <w:rPr>
                <w:rFonts w:ascii="Times New Roman" w:hAnsi="Times New Roman" w:eastAsia="宋体" w:cs="宋体"/>
                <w:color w:val="000000" w:themeColor="text1"/>
                <w:sz w:val="24"/>
                <w:szCs w:val="21"/>
                <w:lang w:eastAsia="zh-CN"/>
                <w14:textFill>
                  <w14:solidFill>
                    <w14:schemeClr w14:val="tx1"/>
                  </w14:solidFill>
                </w14:textFill>
              </w:rPr>
              <w:t>规划及规划环境影</w:t>
            </w:r>
          </w:p>
          <w:p>
            <w:pPr>
              <w:pStyle w:val="39"/>
              <w:ind w:right="2"/>
              <w:jc w:val="center"/>
              <w:rPr>
                <w:rFonts w:ascii="Times New Roman" w:hAnsi="Times New Roman" w:eastAsia="宋体" w:cs="宋体"/>
                <w:color w:val="000000" w:themeColor="text1"/>
                <w:spacing w:val="-1"/>
                <w:sz w:val="24"/>
                <w:szCs w:val="24"/>
                <w:lang w:eastAsia="zh-CN"/>
                <w14:textFill>
                  <w14:solidFill>
                    <w14:schemeClr w14:val="tx1"/>
                  </w14:solidFill>
                </w14:textFill>
              </w:rPr>
            </w:pPr>
            <w:r>
              <w:rPr>
                <w:rFonts w:ascii="Times New Roman" w:hAnsi="Times New Roman" w:eastAsia="宋体" w:cs="宋体"/>
                <w:color w:val="000000" w:themeColor="text1"/>
                <w:sz w:val="24"/>
                <w:szCs w:val="21"/>
                <w:lang w:eastAsia="zh-CN"/>
                <w14:textFill>
                  <w14:solidFill>
                    <w14:schemeClr w14:val="tx1"/>
                  </w14:solidFill>
                </w14:textFill>
              </w:rPr>
              <w:t>响评价符合性分析</w:t>
            </w:r>
          </w:p>
        </w:tc>
        <w:tc>
          <w:tcPr>
            <w:tcW w:w="8936" w:type="dxa"/>
            <w:gridSpan w:val="5"/>
            <w:vAlign w:val="center"/>
          </w:tcPr>
          <w:p>
            <w:pPr>
              <w:autoSpaceDE w:val="0"/>
              <w:autoSpaceDN w:val="0"/>
              <w:adjustRightInd w:val="0"/>
              <w:spacing w:line="360" w:lineRule="auto"/>
              <w:jc w:val="center"/>
              <w:rPr>
                <w:rFonts w:ascii="Times New Roman" w:hAnsi="Times New Roman" w:eastAsia="宋体" w:cs="宋体"/>
                <w:color w:val="000000" w:themeColor="text1"/>
                <w:spacing w:val="-2"/>
                <w:sz w:val="24"/>
                <w:szCs w:val="24"/>
                <w:lang w:eastAsia="zh-CN"/>
                <w14:textFill>
                  <w14:solidFill>
                    <w14:schemeClr w14:val="tx1"/>
                  </w14:solidFill>
                </w14:textFill>
              </w:rPr>
            </w:pPr>
            <w:r>
              <w:rPr>
                <w:rFonts w:ascii="Times New Roman" w:hAnsi="Times New Roman" w:eastAsia="宋体" w:cs="宋体"/>
                <w:color w:val="000000" w:themeColor="text1"/>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88" w:type="dxa"/>
            <w:vAlign w:val="center"/>
          </w:tcPr>
          <w:p>
            <w:pPr>
              <w:pStyle w:val="39"/>
              <w:spacing w:line="360" w:lineRule="auto"/>
              <w:ind w:right="2"/>
              <w:jc w:val="center"/>
              <w:rPr>
                <w:rFonts w:ascii="Times New Roman" w:hAnsi="Times New Roman" w:eastAsia="宋体" w:cs="宋体"/>
                <w:color w:val="000000" w:themeColor="text1"/>
                <w:sz w:val="24"/>
                <w:szCs w:val="21"/>
                <w:highlight w:val="yellow"/>
                <w:lang w:eastAsia="zh-CN"/>
                <w14:textFill>
                  <w14:solidFill>
                    <w14:schemeClr w14:val="tx1"/>
                  </w14:solidFill>
                </w14:textFill>
              </w:rPr>
            </w:pPr>
            <w:r>
              <w:rPr>
                <w:rFonts w:hint="eastAsia" w:ascii="Times New Roman" w:hAnsi="Times New Roman" w:eastAsia="宋体" w:cs="宋体"/>
                <w:color w:val="000000" w:themeColor="text1"/>
                <w:sz w:val="24"/>
                <w:szCs w:val="21"/>
                <w:lang w:eastAsia="zh-CN"/>
                <w14:textFill>
                  <w14:solidFill>
                    <w14:schemeClr w14:val="tx1"/>
                  </w14:solidFill>
                </w14:textFill>
              </w:rPr>
              <w:t>其他符合性分析</w:t>
            </w:r>
          </w:p>
        </w:tc>
        <w:tc>
          <w:tcPr>
            <w:tcW w:w="8936" w:type="dxa"/>
            <w:gridSpan w:val="5"/>
            <w:vAlign w:val="center"/>
          </w:tcPr>
          <w:p>
            <w:pPr>
              <w:autoSpaceDE w:val="0"/>
              <w:autoSpaceDN w:val="0"/>
              <w:adjustRightInd w:val="0"/>
              <w:snapToGrid w:val="0"/>
              <w:spacing w:line="360" w:lineRule="auto"/>
              <w:rPr>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1、产业政策符合性分析</w:t>
            </w:r>
          </w:p>
          <w:p>
            <w:pPr>
              <w:spacing w:line="360" w:lineRule="auto"/>
              <w:ind w:firstLine="480"/>
              <w:rPr>
                <w:bCs/>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本项目行业类别为“</w:t>
            </w:r>
            <w:r>
              <w:rPr>
                <w:rFonts w:hint="eastAsia"/>
                <w:color w:val="000000" w:themeColor="text1"/>
                <w:sz w:val="24"/>
                <w:lang w:eastAsia="zh-CN"/>
                <w14:textFill>
                  <w14:solidFill>
                    <w14:schemeClr w14:val="tx1"/>
                  </w14:solidFill>
                </w14:textFill>
              </w:rPr>
              <w:t>7451检验检疫服务</w:t>
            </w:r>
            <w:r>
              <w:rPr>
                <w:color w:val="000000" w:themeColor="text1"/>
                <w:sz w:val="24"/>
                <w:lang w:eastAsia="zh-CN"/>
                <w14:textFill>
                  <w14:solidFill>
                    <w14:schemeClr w14:val="tx1"/>
                  </w14:solidFill>
                </w14:textFill>
              </w:rPr>
              <w:t>”，本项目</w:t>
            </w:r>
            <w:r>
              <w:rPr>
                <w:rFonts w:hint="eastAsia"/>
                <w:color w:val="000000" w:themeColor="text1"/>
                <w:sz w:val="24"/>
                <w:lang w:eastAsia="zh-CN"/>
                <w14:textFill>
                  <w14:solidFill>
                    <w14:schemeClr w14:val="tx1"/>
                  </w14:solidFill>
                </w14:textFill>
              </w:rPr>
              <w:t>属于</w:t>
            </w:r>
            <w:r>
              <w:rPr>
                <w:color w:val="000000" w:themeColor="text1"/>
                <w:sz w:val="24"/>
                <w:lang w:eastAsia="zh-CN"/>
                <w14:textFill>
                  <w14:solidFill>
                    <w14:schemeClr w14:val="tx1"/>
                  </w14:solidFill>
                </w14:textFill>
              </w:rPr>
              <w:t>《产业结构调整指导目录（2019 年本）》中的鼓励类</w:t>
            </w:r>
            <w:r>
              <w:rPr>
                <w:rFonts w:hint="eastAsia"/>
                <w:bCs/>
                <w:color w:val="000000" w:themeColor="text1"/>
                <w:sz w:val="24"/>
                <w:lang w:eastAsia="zh-CN"/>
                <w14:textFill>
                  <w14:solidFill>
                    <w14:schemeClr w14:val="tx1"/>
                  </w14:solidFill>
                </w14:textFill>
              </w:rPr>
              <w:t>“三十一：科技服务”中的“1、检验检测服务”，因此，本项目符合国家的产业政策。</w:t>
            </w:r>
          </w:p>
          <w:p>
            <w:pPr>
              <w:spacing w:line="360" w:lineRule="auto"/>
              <w:rPr>
                <w:rFonts w:hint="default" w:ascii="Times New Roman" w:hAnsi="Times New Roman" w:cs="Times New Roman"/>
                <w:b/>
                <w:bCs/>
                <w:lang w:eastAsia="zh-CN"/>
              </w:rPr>
            </w:pPr>
            <w:r>
              <w:rPr>
                <w:rFonts w:hint="eastAsia"/>
                <w:b/>
                <w:bCs/>
                <w:color w:val="000000" w:themeColor="text1"/>
                <w:sz w:val="24"/>
                <w:lang w:eastAsia="zh-CN"/>
                <w14:textFill>
                  <w14:solidFill>
                    <w14:schemeClr w14:val="tx1"/>
                  </w14:solidFill>
                </w14:textFill>
              </w:rPr>
              <w:t>2、</w:t>
            </w:r>
            <w:r>
              <w:rPr>
                <w:rFonts w:hint="default" w:ascii="Times New Roman" w:hAnsi="Times New Roman" w:cs="Times New Roman"/>
                <w:b/>
                <w:bCs/>
                <w:lang w:eastAsia="zh-CN"/>
              </w:rPr>
              <w:t>甘肃省“三线一单”环境管控单元</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（1）生态保护红线</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根据《甘肃省人民政府关于实施“三线一单”生态环境分区管控的意见》（甘政发〔2020〕68号），全省共划定环境管控单元842个，分为优先保护单元、重点管控单元和一般管控单元三类，实施分类管控。</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优先保护单元。共491个，主要包括生态保护红线、自然保护地、集中式饮用水水源保护区等生态功能重要区和生态环境敏感区。该区域严格按照国家生态保护红线和省级生态空间管控区域管理规定进行管控。依法禁止或限制大规模、高强度的工业开发和城镇建设，严禁不符合国家有关规定的各类开发活动，确保生态环境功能不降低。</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重点管控单元。共263个，主要包括中心城区和城镇规划区、各级各类工业园区及工业集聚区等开发强度高、环境问题相对集中的区域。该区域是经济社会高质量发展的主要承载区，主要推进产业结构和能源结构调整，优化交通结构和用地结构，不断提高资源能源利用效率，加强污染物排放控制和环境风险防控，解决突出生态环境问题。</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一般管控单元。共88个，主要包括优先保护单元、重点管控单元以外的区域。该区域以促进生活、生态、生产功能的协调融合为主要目标，主要落实生态环境保护基本要求，加强生活污染和农业面源污染治理，推动区域生态环境质量持续改善和区域经济社会可持续发展。</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与甘肃省“三线一单”生态环境分区管控图进行对比分析，本次工程属于甘肃省“三线一单”环境管控单元中的重点管控单元，根据要求，重点管控单元主要推进产业结构和能源结构调整，优化交通结构和用地结构，不断提高资源能源利用效率，加强污染物排放控制和环境风险防控，解决突出生态环境问题。本项目的建设，提高了地区基础设施，符合重点管控单元要求。</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（2）本项目与环境质量底线的符合性分析</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通过项目区生态环境部门公布的结果，项目所在区域环境空气质量能够满足《环境空气质量标准》（GB3095-2012）中二级标准、区域声环境质量满足《声环境质量标准》（GB3096-2008）中的2类标准限值。通过严控废气处置措施，废水均得到合理处置，固废合理处置，采取有效的噪声防治措施，不会造成区域环境质量的超标，综上，本项目建设符合环境质量底线要求。</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（3）本项目与资源利用上线的符合性分析</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对照《限制用地项目名录（2012年本）》和《禁止用地项目目录（2012年本）》，本项目不属于其中“禁止”或“限制”类项目，符合国家当前土地供应政策。符合土地资源利用上线要求。项目施工、运营期会消耗一定的电源、水资源等，本项目的建设，符合水、电资源利用上线的要求。</w:t>
            </w:r>
          </w:p>
          <w:p>
            <w:pPr>
              <w:spacing w:line="360" w:lineRule="auto"/>
              <w:ind w:firstLine="48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（4）本项目与生态环境准入清单的符合性分析</w:t>
            </w:r>
          </w:p>
          <w:p>
            <w:pPr>
              <w:widowControl/>
              <w:spacing w:line="360" w:lineRule="auto"/>
              <w:ind w:firstLine="480" w:firstLineChars="20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符合国家产业政策要求。同时，根据甘肃省发展和改革委员会关于印发试行《甘肃省国家重点生态功能区产业准入负面清单（试行）》（甘发改规划[2017]752号）的通知，项目所在地不属于负面清单管理范围，因此本项目不属于负面清单禁止内项目，符合当地环境功能区划的要求。</w:t>
            </w:r>
          </w:p>
          <w:p>
            <w:pPr>
              <w:spacing w:line="360" w:lineRule="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3、庆阳市“三线一单”符合性分析</w:t>
            </w:r>
          </w:p>
          <w:p>
            <w:pPr>
              <w:wordWrap w:val="0"/>
              <w:autoSpaceDE w:val="0"/>
              <w:autoSpaceDN w:val="0"/>
              <w:spacing w:line="360" w:lineRule="auto"/>
              <w:ind w:firstLine="480" w:firstLineChars="200"/>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根据《庆阳市人民政府关于印发庆阳市“三线一单”生态环境分区管控实施方案的通知》（庆政发〔2021〕29号），全市共划定环境管控单元72个，分为优先保护单元、重点管控单元和一般管控单元三类，实施分类管控。</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（1）生态保护红线</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本项目位于庆阳市宁县</w:t>
            </w:r>
            <w:r>
              <w:rPr>
                <w:rFonts w:hint="eastAsia" w:ascii="Times New Roman" w:hAnsi="Times New Roman" w:cs="Times New Roman"/>
                <w:color w:val="FF0000"/>
                <w:sz w:val="24"/>
                <w:szCs w:val="24"/>
                <w:lang w:val="en-US" w:eastAsia="zh-CN"/>
              </w:rPr>
              <w:t>新宁镇</w:t>
            </w:r>
            <w:r>
              <w:rPr>
                <w:rFonts w:hint="default" w:ascii="Times New Roman" w:hAnsi="Times New Roman" w:cs="Times New Roman"/>
                <w:color w:val="FF0000"/>
                <w:sz w:val="24"/>
                <w:szCs w:val="24"/>
                <w:lang w:eastAsia="zh-CN"/>
              </w:rPr>
              <w:t>，项目选址不在自然保护区、森林公园、风景名胜区、世界文化自然遗产、地质公园、饮用水水源保护区等生态保护区范围内，满足区域生态保护红线的管控要求。</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（2）环境质量底线</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总量控制要求。</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本项目含有病原微生物的气体不外排</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lang w:eastAsia="zh-CN"/>
              </w:rPr>
              <w:t>生物实验室废气采用负压方式经高效空气过滤器净化后通过排风管道引至楼楼顶</w:t>
            </w:r>
            <w:r>
              <w:rPr>
                <w:rFonts w:hint="eastAsia" w:ascii="Times New Roman" w:hAnsi="Times New Roman" w:cs="Times New Roman"/>
                <w:color w:val="FF0000"/>
                <w:sz w:val="24"/>
                <w:szCs w:val="24"/>
                <w:lang w:val="en-US" w:eastAsia="zh-CN"/>
              </w:rPr>
              <w:t>4</w:t>
            </w:r>
            <w:r>
              <w:rPr>
                <w:rFonts w:hint="default" w:ascii="Times New Roman" w:hAnsi="Times New Roman" w:cs="Times New Roman"/>
                <w:color w:val="FF0000"/>
                <w:sz w:val="24"/>
                <w:szCs w:val="24"/>
                <w:lang w:eastAsia="zh-CN"/>
              </w:rPr>
              <w:t>m高的排气筒排放</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排气筒距离地面高度15m</w:t>
            </w:r>
            <w:r>
              <w:rPr>
                <w:rFonts w:hint="eastAsia" w:ascii="Times New Roman" w:hAnsi="Times New Roman" w:cs="Times New Roman"/>
                <w:color w:val="FF0000"/>
                <w:sz w:val="24"/>
                <w:szCs w:val="24"/>
                <w:lang w:eastAsia="zh-CN"/>
              </w:rPr>
              <w:t>）</w:t>
            </w:r>
            <w:r>
              <w:rPr>
                <w:rFonts w:hint="default" w:ascii="Times New Roman" w:hAnsi="Times New Roman" w:cs="Times New Roman"/>
                <w:color w:val="FF0000"/>
                <w:sz w:val="24"/>
                <w:szCs w:val="24"/>
                <w:lang w:eastAsia="zh-CN"/>
              </w:rPr>
              <w:t>，对环境造成的影响程度很小，</w:t>
            </w:r>
            <w:r>
              <w:rPr>
                <w:rFonts w:hint="default" w:ascii="Times New Roman" w:hAnsi="Times New Roman" w:cs="Times New Roman"/>
                <w:color w:val="FF0000"/>
                <w:sz w:val="24"/>
                <w:szCs w:val="24"/>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w:t>
            </w:r>
            <w:r>
              <w:rPr>
                <w:rFonts w:hint="default" w:ascii="Times New Roman" w:hAnsi="Times New Roman" w:cs="Times New Roman"/>
                <w:color w:val="FF0000"/>
                <w:sz w:val="24"/>
                <w:szCs w:val="24"/>
                <w:lang w:eastAsia="zh-CN"/>
              </w:rPr>
              <w:t>，不会改变环境功能区，能够严守环境质量底线；噪声通过采取基础减震与隔声等措施治理后，对区域声环境质量影响较小。生活垃圾由环卫部门定期清运，危险废物暂存于危险废物暂存间，定期交由有资质的单位进行处置，不会突破环境质量底线。</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综上所述，本项目建成后，上述措施能确保污染物对环境质量的影响降到最小，不突破所在区域环境质量底线。</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（3）资源利用上线</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资源是环境的载体，资源利用上线是个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本项目运营过程中会消耗一定量的电、水，项目资源消耗量相对区域资源利用总量较少，能源消耗均未超出区域负荷上限，不会给该地区造成资源负担，满足资源利用上线要求。</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（4）环境准入清单</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环境准入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清单，充分发挥清单对产业发展和项目准入的指导和约束作用。</w:t>
            </w:r>
          </w:p>
          <w:p>
            <w:pPr>
              <w:topLinePunct/>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本项目位于宁县城区，属于庆阳市宁县三线一单“重点管控单元”，</w:t>
            </w:r>
            <w:r>
              <w:rPr>
                <w:rFonts w:hint="default" w:ascii="Times New Roman" w:hAnsi="Times New Roman" w:cs="Times New Roman"/>
                <w:color w:val="FF0000"/>
                <w:sz w:val="24"/>
                <w:szCs w:val="24"/>
                <w:lang w:val="en-US" w:eastAsia="zh-CN"/>
              </w:rPr>
              <w:t>环境管控单元编码：</w:t>
            </w:r>
            <w:r>
              <w:rPr>
                <w:rFonts w:hint="default" w:ascii="Times New Roman" w:hAnsi="Times New Roman" w:cs="Times New Roman"/>
                <w:color w:val="FF0000"/>
                <w:sz w:val="24"/>
                <w:szCs w:val="24"/>
                <w:lang w:eastAsia="zh-CN"/>
              </w:rPr>
              <w:t>ZH62102620001，</w:t>
            </w:r>
            <w:r>
              <w:rPr>
                <w:rFonts w:hint="default" w:ascii="Times New Roman" w:hAnsi="Times New Roman" w:cs="Times New Roman"/>
                <w:color w:val="FF0000"/>
                <w:sz w:val="24"/>
                <w:szCs w:val="24"/>
                <w:lang w:val="en-US" w:eastAsia="zh-CN"/>
              </w:rPr>
              <w:t>环境管控单元名称：宁县城镇空间</w:t>
            </w:r>
            <w:r>
              <w:rPr>
                <w:rFonts w:hint="default" w:ascii="Times New Roman" w:hAnsi="Times New Roman" w:cs="Times New Roman"/>
                <w:color w:val="FF0000"/>
                <w:sz w:val="24"/>
                <w:szCs w:val="24"/>
                <w:lang w:eastAsia="zh-CN"/>
              </w:rPr>
              <w:t>。根据《庆阳市生态环境准入清单》（庆环委办发[2022]2号），本项目所在区域管控要求如下。</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color w:val="FF0000"/>
                <w:sz w:val="21"/>
                <w:szCs w:val="21"/>
                <w:lang w:eastAsia="zh-CN"/>
              </w:rPr>
            </w:pPr>
            <w:r>
              <w:rPr>
                <w:rFonts w:hint="default" w:ascii="Times New Roman" w:hAnsi="Times New Roman" w:cs="Times New Roman"/>
                <w:b/>
                <w:bCs/>
                <w:color w:val="FF0000"/>
                <w:sz w:val="21"/>
                <w:szCs w:val="21"/>
                <w:lang w:eastAsia="zh-CN"/>
              </w:rPr>
              <w:t xml:space="preserve">表1-1   </w:t>
            </w:r>
            <w:r>
              <w:rPr>
                <w:rFonts w:hint="eastAsia" w:ascii="Times New Roman" w:hAnsi="Times New Roman" w:cs="Times New Roman"/>
                <w:b/>
                <w:bCs/>
                <w:color w:val="FF0000"/>
                <w:sz w:val="21"/>
                <w:szCs w:val="21"/>
                <w:lang w:val="en-US" w:eastAsia="zh-CN"/>
              </w:rPr>
              <w:t xml:space="preserve">  </w:t>
            </w:r>
            <w:r>
              <w:rPr>
                <w:rFonts w:hint="default" w:ascii="Times New Roman" w:hAnsi="Times New Roman" w:cs="Times New Roman"/>
                <w:b/>
                <w:bCs/>
                <w:color w:val="FF0000"/>
                <w:sz w:val="21"/>
                <w:szCs w:val="21"/>
                <w:lang w:eastAsia="zh-CN"/>
              </w:rPr>
              <w:t>《庆阳市生态环境准入清单》管控要求</w:t>
            </w:r>
          </w:p>
          <w:tbl>
            <w:tblPr>
              <w:tblStyle w:val="28"/>
              <w:tblW w:w="89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13"/>
              <w:gridCol w:w="3360"/>
              <w:gridCol w:w="2594"/>
              <w:gridCol w:w="10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32" w:type="dxa"/>
                  <w:tcBorders>
                    <w:top w:val="single" w:color="auto" w:sz="12" w:space="0"/>
                    <w:left w:val="nil"/>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管控单元</w:t>
                  </w:r>
                </w:p>
              </w:tc>
              <w:tc>
                <w:tcPr>
                  <w:tcW w:w="4373" w:type="dxa"/>
                  <w:gridSpan w:val="2"/>
                  <w:tcBorders>
                    <w:top w:val="single" w:color="auto" w:sz="12" w:space="0"/>
                    <w:left w:val="single" w:color="auto" w:sz="4" w:space="0"/>
                    <w:bottom w:val="single" w:color="auto" w:sz="4" w:space="0"/>
                    <w:right w:val="single" w:color="auto" w:sz="4" w:space="0"/>
                  </w:tcBorders>
                  <w:vAlign w:val="center"/>
                </w:tcPr>
                <w:p>
                  <w:pPr>
                    <w:ind w:firstLine="422"/>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管控要求</w:t>
                  </w:r>
                </w:p>
              </w:tc>
              <w:tc>
                <w:tcPr>
                  <w:tcW w:w="2594" w:type="dxa"/>
                  <w:tcBorders>
                    <w:top w:val="single" w:color="auto" w:sz="12"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本项目</w:t>
                  </w:r>
                </w:p>
              </w:tc>
              <w:tc>
                <w:tcPr>
                  <w:tcW w:w="1039" w:type="dxa"/>
                  <w:tcBorders>
                    <w:top w:val="single" w:color="auto" w:sz="12"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932" w:type="dxa"/>
                  <w:vMerge w:val="restart"/>
                  <w:tcBorders>
                    <w:top w:val="single" w:color="auto" w:sz="4" w:space="0"/>
                    <w:left w:val="nil"/>
                    <w:bottom w:val="single" w:color="auto" w:sz="4" w:space="0"/>
                    <w:right w:val="single" w:color="auto" w:sz="4" w:space="0"/>
                  </w:tcBorders>
                  <w:vAlign w:val="center"/>
                </w:tcPr>
                <w:p>
                  <w:pPr>
                    <w:topLinePunct/>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宁县重点管控单元1</w:t>
                  </w:r>
                </w:p>
                <w:p>
                  <w:pPr>
                    <w:topLinePunct/>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ZH62102620001</w:t>
                  </w: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空间布局约束</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执行全省及庆阳市生态环境总体准入清单中关于重点管控单元空间布局约束要求。落实主体功能区规划、国土空间规划等要求</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本项目位于宁县</w:t>
                  </w:r>
                  <w:r>
                    <w:rPr>
                      <w:rFonts w:hint="eastAsia" w:ascii="Times New Roman" w:hAnsi="Times New Roman" w:cs="Times New Roman"/>
                      <w:color w:val="FF0000"/>
                      <w:sz w:val="21"/>
                      <w:szCs w:val="21"/>
                      <w:lang w:val="en-US" w:eastAsia="zh-CN"/>
                    </w:rPr>
                    <w:t>县城</w:t>
                  </w:r>
                  <w:r>
                    <w:rPr>
                      <w:rFonts w:hint="default" w:ascii="Times New Roman" w:hAnsi="Times New Roman" w:cs="Times New Roman" w:eastAsiaTheme="minorEastAsia"/>
                      <w:color w:val="FF0000"/>
                      <w:sz w:val="21"/>
                      <w:szCs w:val="21"/>
                      <w:lang w:eastAsia="zh-CN"/>
                    </w:rPr>
                    <w:t>，不新增占地，不对城区规划和空间布局产生影响，项目周边无乡镇饮用水源保护区。</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13"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FF0000"/>
                      <w:sz w:val="21"/>
                      <w:szCs w:val="21"/>
                      <w:lang w:eastAsia="zh-CN"/>
                    </w:rPr>
                  </w:pP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污染物排放管控</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1.按照规划环评相关要求加强污染物排放管控，执行总量控制相关要求。</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2.执行《关于加强高耗能、高排放建设项目生态环境源头防控的指导意见》（环环评〔2021〕45）中的污染物排放管控要求。</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3.执行《重点行业挥发性有机物综合治理方案》（环大气〔2019〕53号）《甘肃省大气污染治理领导小组办公室关于做好重点行业挥发性有机物综合治理工作的通知》中挥发性有机物污染物排放管控的相关要求。</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4.提高生活垃圾收集和无害化处理率。</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1、本项目为生态环境监测站，不属于两高项目；</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2、施工工地全面落实“六个百分之百”，产生的污染物项目落实相关环保要求，运营期项目含有病原微生物的气体不外排</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生物实验室废气采用负压方式经高效空气过滤器净化后通过排风管道引至楼顶</w:t>
                  </w:r>
                  <w:r>
                    <w:rPr>
                      <w:rFonts w:hint="eastAsia" w:ascii="Times New Roman" w:hAnsi="Times New Roman" w:cs="Times New Roman"/>
                      <w:color w:val="FF0000"/>
                      <w:sz w:val="21"/>
                      <w:szCs w:val="21"/>
                      <w:lang w:val="en-US" w:eastAsia="zh-CN"/>
                    </w:rPr>
                    <w:t>4</w:t>
                  </w:r>
                  <w:r>
                    <w:rPr>
                      <w:rFonts w:hint="default" w:ascii="Times New Roman" w:hAnsi="Times New Roman" w:cs="Times New Roman" w:eastAsiaTheme="minorEastAsia"/>
                      <w:color w:val="FF0000"/>
                      <w:sz w:val="21"/>
                      <w:szCs w:val="21"/>
                      <w:lang w:eastAsia="zh-CN"/>
                    </w:rPr>
                    <w:t>m的排气筒排放</w:t>
                  </w:r>
                  <w:r>
                    <w:rPr>
                      <w:rFonts w:hint="eastAsia" w:ascii="Times New Roman" w:hAnsi="Times New Roman" w:cs="Times New Roman"/>
                      <w:color w:val="FF0000"/>
                      <w:sz w:val="21"/>
                      <w:szCs w:val="21"/>
                      <w:lang w:eastAsia="zh-CN"/>
                    </w:rPr>
                    <w:t>（</w:t>
                  </w:r>
                  <w:r>
                    <w:rPr>
                      <w:rFonts w:hint="eastAsia" w:ascii="Times New Roman" w:hAnsi="Times New Roman" w:cs="Times New Roman"/>
                      <w:color w:val="FF0000"/>
                      <w:sz w:val="21"/>
                      <w:szCs w:val="21"/>
                      <w:lang w:val="en-US" w:eastAsia="zh-CN"/>
                    </w:rPr>
                    <w:t>排气筒距离地面高度15m</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，产生的污染物均得到有效治理，能够满足达标排放。</w:t>
                  </w:r>
                </w:p>
                <w:p>
                  <w:pPr>
                    <w:widowControl/>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3、项目采取雨污分流制，①</w:t>
                  </w:r>
                  <w:r>
                    <w:rPr>
                      <w:rFonts w:hint="default" w:ascii="Times New Roman" w:hAnsi="Times New Roman" w:cs="Times New Roman" w:eastAsiaTheme="minorEastAsia"/>
                      <w:color w:val="FF0000"/>
                      <w:sz w:val="21"/>
                      <w:szCs w:val="21"/>
                    </w:rPr>
                    <w:t>生活污水排入化粪池处理后经市政污水管网进入</w:t>
                  </w:r>
                  <w:r>
                    <w:rPr>
                      <w:rFonts w:hint="default" w:ascii="Times New Roman" w:hAnsi="Times New Roman" w:cs="Times New Roman" w:eastAsiaTheme="minorEastAsia"/>
                      <w:color w:val="FF0000"/>
                      <w:sz w:val="21"/>
                      <w:szCs w:val="21"/>
                      <w:lang w:eastAsia="zh-CN"/>
                    </w:rPr>
                    <w:t>宁县生活污水处理厂</w:t>
                  </w:r>
                  <w:r>
                    <w:rPr>
                      <w:rFonts w:hint="default" w:ascii="Times New Roman" w:hAnsi="Times New Roman" w:cs="Times New Roman" w:eastAsiaTheme="minorEastAsia"/>
                      <w:color w:val="FF0000"/>
                      <w:sz w:val="21"/>
                      <w:szCs w:val="21"/>
                    </w:rPr>
                    <w:t>；②纯水制备产生的浓水直接排入污水</w:t>
                  </w:r>
                  <w:r>
                    <w:rPr>
                      <w:rFonts w:hint="default" w:ascii="Times New Roman" w:hAnsi="Times New Roman" w:cs="Times New Roman" w:eastAsiaTheme="minorEastAsia"/>
                      <w:color w:val="FF0000"/>
                      <w:sz w:val="21"/>
                      <w:szCs w:val="21"/>
                      <w:lang w:eastAsia="zh-CN"/>
                    </w:rPr>
                    <w:t>管网。固体废物包括废旧离子交换树脂</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污泥</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一次性实验用品</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过期药剂</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过滤器</w:t>
                  </w:r>
                  <w:r>
                    <w:rPr>
                      <w:rFonts w:hint="eastAsia" w:ascii="Times New Roman" w:hAnsi="Times New Roman" w:cs="Times New Roman"/>
                      <w:color w:val="FF0000"/>
                      <w:sz w:val="21"/>
                      <w:szCs w:val="21"/>
                      <w:lang w:eastAsia="zh-CN"/>
                    </w:rPr>
                    <w:t>、</w:t>
                  </w:r>
                  <w:r>
                    <w:rPr>
                      <w:rFonts w:hint="default" w:ascii="Times New Roman" w:hAnsi="Times New Roman" w:cs="Times New Roman" w:eastAsiaTheme="minorEastAsia"/>
                      <w:color w:val="FF0000"/>
                      <w:sz w:val="21"/>
                      <w:szCs w:val="21"/>
                      <w:lang w:eastAsia="zh-CN"/>
                    </w:rPr>
                    <w:t>费培养基样品，暂存于危险废物暂存间，定期交由有资质的单位进行处置；生活垃圾暂存于厂区垃圾桶，交由环卫部门定期清运。</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FF0000"/>
                      <w:sz w:val="21"/>
                      <w:szCs w:val="21"/>
                      <w:lang w:eastAsia="zh-CN"/>
                    </w:rPr>
                  </w:pPr>
                </w:p>
              </w:tc>
              <w:tc>
                <w:tcPr>
                  <w:tcW w:w="1013"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环境风险防控</w:t>
                  </w:r>
                </w:p>
              </w:tc>
              <w:tc>
                <w:tcPr>
                  <w:tcW w:w="336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1.企业应按照《环境保护法》《突发环境事件应急管理办法》等要求开展突发环境事件风险评估；完善突发环境事件风险防控措施；排查治理环境安全隐患；制定突发环境事件应急预案并备案、演练；加强环境应急能力保障建设。发生或者可能发生突发环境事件时，企业事业单位应当依法进行处理，并对所造成的损害承担责任。</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 xml:space="preserve">2.企业应完善包括有效防止泄漏物质、消防水、污染雨水等扩散至外环境的收集、导流、拦截、降污等突发环境事件风险防控措施。 </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3.企业要加强内部管理，将土壤污染防治纳入环境风险防控体系，严格依法依规建设和运营污染治理设施，确保重点污染物稳定达标排放。</w:t>
                  </w:r>
                </w:p>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 xml:space="preserve"> 4.落实《关于提升危险废物环境监管能力、利用处置能力和环境风险防范能力的指导意见》（环固体〔2019〕92号）等的危险废物环境风险管控的相关要求。</w:t>
                  </w:r>
                </w:p>
              </w:tc>
              <w:tc>
                <w:tcPr>
                  <w:tcW w:w="259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项目配备了完善的环境风险防控体系，建立常态化的企业隐患排查整治监管机制，加强风险防控体系建设。</w:t>
                  </w:r>
                </w:p>
              </w:tc>
              <w:tc>
                <w:tcPr>
                  <w:tcW w:w="1039"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932" w:type="dxa"/>
                  <w:vMerge w:val="continue"/>
                  <w:tcBorders>
                    <w:top w:val="single" w:color="auto" w:sz="4" w:space="0"/>
                    <w:left w:val="nil"/>
                    <w:bottom w:val="single" w:color="auto" w:sz="4" w:space="0"/>
                    <w:right w:val="single" w:color="auto" w:sz="4" w:space="0"/>
                  </w:tcBorders>
                  <w:vAlign w:val="center"/>
                </w:tcPr>
                <w:p>
                  <w:pPr>
                    <w:widowControl/>
                    <w:rPr>
                      <w:rFonts w:hint="default" w:ascii="Times New Roman" w:hAnsi="Times New Roman" w:cs="Times New Roman" w:eastAsiaTheme="minorEastAsia"/>
                      <w:color w:val="FF0000"/>
                      <w:sz w:val="21"/>
                      <w:szCs w:val="21"/>
                      <w:lang w:eastAsia="zh-CN"/>
                    </w:rPr>
                  </w:pPr>
                </w:p>
              </w:tc>
              <w:tc>
                <w:tcPr>
                  <w:tcW w:w="1013"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资源利用效率</w:t>
                  </w:r>
                </w:p>
              </w:tc>
              <w:tc>
                <w:tcPr>
                  <w:tcW w:w="3360"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实行水资源消耗总量和强度双控。</w:t>
                  </w:r>
                </w:p>
              </w:tc>
              <w:tc>
                <w:tcPr>
                  <w:tcW w:w="2594" w:type="dxa"/>
                  <w:tcBorders>
                    <w:top w:val="single" w:color="auto" w:sz="4" w:space="0"/>
                    <w:left w:val="single" w:color="auto" w:sz="4" w:space="0"/>
                    <w:bottom w:val="single" w:color="auto" w:sz="12" w:space="0"/>
                    <w:right w:val="single" w:color="auto" w:sz="4" w:space="0"/>
                  </w:tcBorders>
                  <w:vAlign w:val="center"/>
                </w:tcPr>
                <w:p>
                  <w:pPr>
                    <w:jc w:val="both"/>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本项目采用先进的生产工艺与节水节能设施，不涉及高污染燃料。</w:t>
                  </w:r>
                </w:p>
              </w:tc>
              <w:tc>
                <w:tcPr>
                  <w:tcW w:w="1039" w:type="dxa"/>
                  <w:tcBorders>
                    <w:top w:val="single" w:color="auto" w:sz="4" w:space="0"/>
                    <w:left w:val="single" w:color="auto" w:sz="4" w:space="0"/>
                    <w:bottom w:val="single" w:color="auto" w:sz="12" w:space="0"/>
                    <w:right w:val="nil"/>
                  </w:tcBorders>
                  <w:vAlign w:val="center"/>
                </w:tcPr>
                <w:p>
                  <w:pPr>
                    <w:jc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FF0000"/>
                      <w:sz w:val="21"/>
                      <w:szCs w:val="21"/>
                      <w:lang w:eastAsia="zh-CN"/>
                    </w:rPr>
                    <w:t>符合</w:t>
                  </w:r>
                </w:p>
              </w:tc>
            </w:tr>
          </w:tbl>
          <w:p>
            <w:pPr>
              <w:spacing w:line="360" w:lineRule="auto"/>
              <w:ind w:firstLine="440" w:firstLineChars="200"/>
              <w:jc w:val="both"/>
              <w:rPr>
                <w:rFonts w:hint="default" w:ascii="Times New Roman" w:hAnsi="Times New Roman" w:cs="Times New Roman"/>
                <w:color w:val="FF0000"/>
                <w:lang w:eastAsia="zh-CN"/>
              </w:rPr>
            </w:pPr>
            <w:r>
              <w:rPr>
                <w:rFonts w:hint="default" w:ascii="Times New Roman" w:hAnsi="Times New Roman" w:cs="Times New Roman"/>
                <w:color w:val="FF0000"/>
                <w:lang w:eastAsia="zh-CN"/>
              </w:rPr>
              <w:t>根据对照上述环境管控要求，本项目实施符合</w:t>
            </w:r>
            <w:r>
              <w:rPr>
                <w:rFonts w:hint="eastAsia" w:ascii="Times New Roman" w:hAnsi="Times New Roman" w:cs="Times New Roman"/>
                <w:color w:val="FF0000"/>
                <w:lang w:val="en-US" w:eastAsia="zh-CN"/>
              </w:rPr>
              <w:t>宁县</w:t>
            </w:r>
            <w:r>
              <w:rPr>
                <w:rFonts w:hint="default" w:ascii="Times New Roman" w:hAnsi="Times New Roman" w:cs="Times New Roman"/>
                <w:color w:val="FF0000"/>
                <w:lang w:eastAsia="zh-CN"/>
              </w:rPr>
              <w:t>重点管控单元中空间布局约束、污染物排放管控、环境风险防控、资源利用效率等相关要求，本项目的建设符合庆阳市宁县“三线一单”重点管控单元环境管控要求。</w:t>
            </w:r>
          </w:p>
          <w:p>
            <w:pPr>
              <w:spacing w:line="360" w:lineRule="auto"/>
              <w:rPr>
                <w:rFonts w:hint="default" w:ascii="Times New Roman" w:hAnsi="Times New Roman" w:cs="Times New Roman"/>
                <w:b/>
                <w:bCs/>
                <w:color w:val="FF0000"/>
                <w:sz w:val="24"/>
                <w:szCs w:val="24"/>
                <w:lang w:eastAsia="zh-CN"/>
              </w:rPr>
            </w:pPr>
            <w:r>
              <w:rPr>
                <w:rFonts w:hint="default" w:ascii="Times New Roman" w:hAnsi="Times New Roman" w:cs="Times New Roman"/>
                <w:b/>
                <w:bCs/>
                <w:color w:val="FF0000"/>
                <w:sz w:val="24"/>
                <w:szCs w:val="24"/>
                <w:lang w:eastAsia="zh-CN"/>
              </w:rPr>
              <w:t>4、庆阳市宁县“十四五”生态环境保护规划符合性分析</w:t>
            </w:r>
          </w:p>
          <w:p>
            <w:pPr>
              <w:adjustRightInd w:val="0"/>
              <w:snapToGrid w:val="0"/>
              <w:spacing w:line="360" w:lineRule="exact"/>
              <w:ind w:firstLine="480"/>
              <w:jc w:val="center"/>
              <w:rPr>
                <w:rFonts w:hint="default" w:ascii="Times New Roman" w:hAnsi="Times New Roman" w:cs="Times New Roman"/>
                <w:b/>
                <w:bCs/>
                <w:color w:val="FF0000"/>
                <w:sz w:val="21"/>
                <w:szCs w:val="21"/>
                <w:lang w:eastAsia="zh-CN"/>
              </w:rPr>
            </w:pPr>
            <w:r>
              <w:rPr>
                <w:rFonts w:hint="default" w:ascii="Times New Roman" w:hAnsi="Times New Roman" w:cs="Times New Roman"/>
                <w:b/>
                <w:bCs/>
                <w:color w:val="FF0000"/>
                <w:sz w:val="21"/>
                <w:szCs w:val="21"/>
                <w:lang w:eastAsia="zh-CN"/>
              </w:rPr>
              <w:t>表1-2    庆阳市宁县“十四五”生态环境保护规划管控要求</w:t>
            </w:r>
          </w:p>
          <w:tbl>
            <w:tblPr>
              <w:tblStyle w:val="28"/>
              <w:tblW w:w="89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5103"/>
              <w:gridCol w:w="1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2621" w:type="dxa"/>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管控要求</w:t>
                  </w:r>
                </w:p>
              </w:tc>
              <w:tc>
                <w:tcPr>
                  <w:tcW w:w="510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w:t>
                  </w:r>
                </w:p>
              </w:tc>
              <w:tc>
                <w:tcPr>
                  <w:tcW w:w="1195"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1、推进重点行业氮氧化物、挥发性有机物治理</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本项目实验室产生的有机废气由万向吸收罩收集后通过1套二级活性炭吸附装置处理后通过高出楼顶</w:t>
                  </w:r>
                  <w:r>
                    <w:rPr>
                      <w:rFonts w:hint="eastAsia" w:ascii="Times New Roman" w:hAnsi="Times New Roman" w:eastAsia="宋体" w:cs="Times New Roman"/>
                      <w:color w:val="FF0000"/>
                      <w:sz w:val="21"/>
                      <w:szCs w:val="21"/>
                      <w:lang w:val="en-US" w:eastAsia="zh-CN"/>
                    </w:rPr>
                    <w:t>4</w:t>
                  </w:r>
                  <w:r>
                    <w:rPr>
                      <w:rFonts w:hint="default" w:ascii="Times New Roman" w:hAnsi="Times New Roman" w:eastAsia="宋体" w:cs="Times New Roman"/>
                      <w:color w:val="FF0000"/>
                      <w:sz w:val="21"/>
                      <w:szCs w:val="21"/>
                      <w:lang w:eastAsia="zh-CN"/>
                    </w:rPr>
                    <w:t>m的排气筒排放</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2、加强绿色施工和扬尘污染精细化管控</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施工期严格参照“6个百分百”防治施工期扬尘污染，施工工地周边100%围挡、物料堆放100%覆盖、施工现场地面100%硬化、工地100%湿法作业、渣土车辆100%密闭运输；施工单位其纳入日常动态监管范围，加大施工扬尘污染的治理力度，确保大气污染防治要求落到实处。</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3、强化建筑施工噪声环境管理</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（1）严格选用符合标准的低噪声机械及车辆，加强管理，定期对施工机械维护保养。避免带病作业及空转。严禁夜间（22：00~6：00）及中午（13：00~14:00）作业。</w:t>
                  </w:r>
                </w:p>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（2）加强运输管理，控制运输车辆速度，严禁超载；进场道路入口处设置指示牌加以引导，避免车辆不必要的怠速、制动、启动、鸣号；</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4、加快推进工业水污染防治</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雨污分流，①实验室化验废水排入化验室内废液收集桶，定点存储至危废暂存间，交有资质单位处理；②生活污水排入化粪池，最终进入市政污水管网；</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5、推进地下水生态环境保护</w:t>
                  </w:r>
                </w:p>
              </w:tc>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本项目场地采取分区防渗措施，化粪池、危废暂存间采取重点防渗</w:t>
                  </w:r>
                </w:p>
              </w:tc>
              <w:tc>
                <w:tcPr>
                  <w:tcW w:w="1195"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621" w:type="dxa"/>
                  <w:tcBorders>
                    <w:top w:val="single" w:color="auto" w:sz="4" w:space="0"/>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6、加强固体废物污染防治</w:t>
                  </w:r>
                </w:p>
              </w:tc>
              <w:tc>
                <w:tcPr>
                  <w:tcW w:w="5103"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固体废物包括废旧离子交换树脂、污泥、一次性实验用品、过期药剂、过滤器、费培养基样品，暂存于危险废物暂存间，定期交由有资质的单位进行处置；生活垃圾暂存于厂区垃圾桶，交由环卫部门定期清运。</w:t>
                  </w:r>
                </w:p>
              </w:tc>
              <w:tc>
                <w:tcPr>
                  <w:tcW w:w="1195" w:type="dxa"/>
                  <w:tcBorders>
                    <w:top w:val="single" w:color="auto" w:sz="4" w:space="0"/>
                    <w:left w:val="single" w:color="auto" w:sz="4" w:space="0"/>
                    <w:bottom w:val="single" w:color="auto" w:sz="12"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bl>
          <w:p>
            <w:pPr>
              <w:spacing w:line="360" w:lineRule="auto"/>
              <w:ind w:firstLine="480" w:firstLineChars="200"/>
              <w:jc w:val="both"/>
              <w:rPr>
                <w:rFonts w:hint="default" w:ascii="Times New Roman" w:hAnsi="Times New Roman" w:cs="Times New Roman"/>
                <w:color w:val="FF0000"/>
                <w:sz w:val="24"/>
                <w:szCs w:val="24"/>
                <w:lang w:eastAsia="zh-CN"/>
              </w:rPr>
            </w:pPr>
            <w:r>
              <w:rPr>
                <w:rFonts w:hint="default" w:ascii="Times New Roman" w:hAnsi="Times New Roman" w:cs="Times New Roman"/>
                <w:color w:val="FF0000"/>
                <w:sz w:val="24"/>
                <w:szCs w:val="24"/>
                <w:lang w:eastAsia="zh-CN"/>
              </w:rPr>
              <w:t>综上所述，本项目的建设符合庆阳市西峰区“十四五”生态环境保护规划要求。</w:t>
            </w:r>
          </w:p>
          <w:p>
            <w:pPr>
              <w:numPr>
                <w:ilvl w:val="0"/>
                <w:numId w:val="1"/>
              </w:numPr>
              <w:spacing w:line="360" w:lineRule="auto"/>
              <w:rPr>
                <w:rFonts w:hint="default" w:ascii="Times New Roman" w:hAnsi="Times New Roman" w:cs="Times New Roman"/>
                <w:b/>
                <w:bCs/>
                <w:color w:val="FF0000"/>
                <w:sz w:val="24"/>
                <w:szCs w:val="24"/>
                <w:lang w:val="en-US" w:eastAsia="zh-CN"/>
              </w:rPr>
            </w:pPr>
            <w:r>
              <w:rPr>
                <w:rFonts w:hint="default" w:ascii="Times New Roman" w:hAnsi="Times New Roman" w:cs="Times New Roman"/>
                <w:b/>
                <w:bCs/>
                <w:color w:val="FF0000"/>
                <w:sz w:val="24"/>
                <w:szCs w:val="24"/>
                <w:lang w:val="en-US" w:eastAsia="zh-CN"/>
              </w:rPr>
              <w:t>项目与《</w:t>
            </w:r>
            <w:r>
              <w:rPr>
                <w:rFonts w:hint="default" w:ascii="Times New Roman" w:hAnsi="Times New Roman" w:cs="Times New Roman"/>
                <w:b/>
                <w:bCs/>
                <w:color w:val="FF0000"/>
                <w:sz w:val="24"/>
                <w:szCs w:val="24"/>
                <w:lang w:eastAsia="zh-CN"/>
              </w:rPr>
              <w:t>检验检测实验室技术要求验收规范</w:t>
            </w:r>
            <w:r>
              <w:rPr>
                <w:rFonts w:hint="default" w:ascii="Times New Roman" w:hAnsi="Times New Roman" w:cs="Times New Roman"/>
                <w:b/>
                <w:bCs/>
                <w:color w:val="FF0000"/>
                <w:sz w:val="24"/>
                <w:szCs w:val="24"/>
                <w:lang w:val="en-US" w:eastAsia="zh-CN"/>
              </w:rPr>
              <w:t>》（GB/T 37140-2018）符合性分析</w:t>
            </w:r>
          </w:p>
          <w:p>
            <w:pPr>
              <w:adjustRightInd w:val="0"/>
              <w:snapToGrid w:val="0"/>
              <w:spacing w:line="360" w:lineRule="exact"/>
              <w:ind w:firstLine="480"/>
              <w:jc w:val="center"/>
              <w:rPr>
                <w:rFonts w:hint="default" w:ascii="Times New Roman" w:hAnsi="Times New Roman" w:cs="Times New Roman"/>
                <w:b/>
                <w:bCs/>
                <w:color w:val="FF0000"/>
                <w:sz w:val="21"/>
                <w:szCs w:val="21"/>
                <w:lang w:eastAsia="zh-CN"/>
              </w:rPr>
            </w:pPr>
            <w:r>
              <w:rPr>
                <w:rFonts w:hint="default" w:ascii="Times New Roman" w:hAnsi="Times New Roman" w:cs="Times New Roman"/>
                <w:b/>
                <w:bCs/>
                <w:color w:val="FF0000"/>
                <w:sz w:val="21"/>
                <w:szCs w:val="21"/>
                <w:lang w:eastAsia="zh-CN"/>
              </w:rPr>
              <w:t>表1-</w:t>
            </w:r>
            <w:r>
              <w:rPr>
                <w:rFonts w:hint="default" w:ascii="Times New Roman" w:hAnsi="Times New Roman" w:cs="Times New Roman"/>
                <w:b/>
                <w:bCs/>
                <w:color w:val="FF0000"/>
                <w:sz w:val="21"/>
                <w:szCs w:val="21"/>
                <w:lang w:val="en-US" w:eastAsia="zh-CN"/>
              </w:rPr>
              <w:t>3</w:t>
            </w:r>
            <w:r>
              <w:rPr>
                <w:rFonts w:hint="default" w:ascii="Times New Roman" w:hAnsi="Times New Roman" w:cs="Times New Roman"/>
                <w:b/>
                <w:bCs/>
                <w:color w:val="FF0000"/>
                <w:sz w:val="21"/>
                <w:szCs w:val="21"/>
                <w:lang w:eastAsia="zh-CN"/>
              </w:rPr>
              <w:t xml:space="preserve">    检验检测实验室技术要求验收规范要求</w:t>
            </w:r>
          </w:p>
          <w:tbl>
            <w:tblPr>
              <w:tblStyle w:val="28"/>
              <w:tblW w:w="88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2828"/>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25" w:type="dxa"/>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管控要求</w:t>
                  </w:r>
                </w:p>
              </w:tc>
              <w:tc>
                <w:tcPr>
                  <w:tcW w:w="282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w:t>
                  </w:r>
                </w:p>
              </w:tc>
              <w:tc>
                <w:tcPr>
                  <w:tcW w:w="846"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1、选址及平面布局</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1.1检验检测实验室的建设,应符合所在地区城市总体规划和区域检验检测机构设置的总体规划的要求,充分利用现有检验检测资源和基础设施条件,避免重复建设。</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1.2对于改扩建项目,应正确处理现状与发展、需求与可能的关系,做到规模适宜、功能适用、装备适度、经济合理、安全卫生。</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1.3 实验室的总平面布置应根据近远期建设计划,统一规划设计,宜集中布置,节约用地，预留发展空间，满足可持续发展的要求。</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1.4 以安全、绿色、人性化、可持续性为前提,考虑实验室工作流程,以满足实验室的主要功能及特殊要求为原则,构建规划合理、布局科学的实验室。</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 xml:space="preserve">1.5 </w:t>
                  </w:r>
                  <w:r>
                    <w:rPr>
                      <w:rFonts w:hint="default" w:ascii="Times New Roman" w:hAnsi="Times New Roman" w:eastAsia="宋体" w:cs="Times New Roman"/>
                      <w:color w:val="FF0000"/>
                      <w:sz w:val="21"/>
                      <w:szCs w:val="21"/>
                      <w:lang w:eastAsia="zh-CN"/>
                    </w:rPr>
                    <w:t>实验室选址宜优先考虑基础设施完善、交通便利、通讯良好的地区,并满足发展用地的需求,对于在检验检测过程中,易对外界环境造成影响的实验室,在选址时应考虑减少公害,如布置在下风方向及下游地段,采取绿化隔离、远离人群等措施,同时应满足环境影响评价报告的要求。宜避开化学、生物、噪声、振动、强电磁场等易对检测结果造成影响的污染源及易燃易爆场所</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项目位于</w:t>
                  </w:r>
                  <w:r>
                    <w:rPr>
                      <w:rFonts w:hint="default" w:ascii="Times New Roman" w:hAnsi="Times New Roman" w:eastAsia="宋体" w:cs="Times New Roman"/>
                      <w:color w:val="FF0000"/>
                      <w:sz w:val="21"/>
                      <w:szCs w:val="21"/>
                      <w:lang w:eastAsia="zh-CN"/>
                    </w:rPr>
                    <w:t>宁县</w:t>
                  </w:r>
                  <w:r>
                    <w:rPr>
                      <w:rFonts w:hint="eastAsia" w:ascii="Times New Roman" w:hAnsi="Times New Roman" w:eastAsia="宋体" w:cs="Times New Roman"/>
                      <w:color w:val="FF0000"/>
                      <w:sz w:val="21"/>
                      <w:szCs w:val="21"/>
                      <w:lang w:val="en-US" w:eastAsia="zh-CN"/>
                    </w:rPr>
                    <w:t>新宁镇</w:t>
                  </w:r>
                  <w:r>
                    <w:rPr>
                      <w:rFonts w:hint="default" w:ascii="Times New Roman" w:hAnsi="Times New Roman" w:eastAsia="宋体" w:cs="Times New Roman"/>
                      <w:color w:val="FF0000"/>
                      <w:sz w:val="21"/>
                      <w:szCs w:val="21"/>
                      <w:lang w:val="en-US" w:eastAsia="zh-CN"/>
                    </w:rPr>
                    <w:t>，项目建设不新增占地，区域内无自然保护区、风景名胜区和饮用水水源保护区等需要特殊保护的环境敏感点，无历史文物保护单位，区域环境敏感度较低，符合庆阳市环境功能区划的要求。同时，本项目不属于《禁止用地项目目录（2012年本）》及《限制用地项目目录（2012年本）》中淘汰和限制项目，符合用地规范的要求；该区域内已配套完善的供水、供电等基础设施，交通地理位置优越</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w:t>
                  </w:r>
                  <w:r>
                    <w:rPr>
                      <w:rFonts w:hint="default" w:ascii="Times New Roman" w:hAnsi="Times New Roman" w:eastAsia="宋体" w:cs="Times New Roman"/>
                      <w:color w:val="FF0000"/>
                      <w:sz w:val="21"/>
                      <w:szCs w:val="21"/>
                      <w:lang w:eastAsia="zh-CN"/>
                    </w:rPr>
                    <w:t xml:space="preserve"> 污、废水处理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w:t>
                  </w:r>
                  <w:r>
                    <w:rPr>
                      <w:rFonts w:hint="default" w:ascii="Times New Roman" w:hAnsi="Times New Roman" w:eastAsia="宋体" w:cs="Times New Roman"/>
                      <w:color w:val="FF0000"/>
                      <w:sz w:val="21"/>
                      <w:szCs w:val="21"/>
                      <w:lang w:eastAsia="zh-CN"/>
                    </w:rPr>
                    <w:t>.1 凡含有毒和有害物质的污、废水,均应进行必要的处理,处理达到国家或地方排放标准后方能排放;同时应结合当地的环评要求进行相关设计。</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w:t>
                  </w:r>
                  <w:r>
                    <w:rPr>
                      <w:rFonts w:hint="default" w:ascii="Times New Roman" w:hAnsi="Times New Roman" w:eastAsia="宋体" w:cs="Times New Roman"/>
                      <w:color w:val="FF0000"/>
                      <w:sz w:val="21"/>
                      <w:szCs w:val="21"/>
                      <w:lang w:eastAsia="zh-CN"/>
                    </w:rPr>
                    <w:t>.2 实验室污、废水按污、废水性质、成分及污染程度应进行物理、化学、生物等不同方式处理。产生的酸、碱污水应进行中和处理,中和后达不到中性时,应采用反应池加药处理。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w:t>
                  </w:r>
                  <w:r>
                    <w:rPr>
                      <w:rFonts w:hint="default" w:ascii="Times New Roman" w:hAnsi="Times New Roman" w:eastAsia="宋体" w:cs="Times New Roman"/>
                      <w:color w:val="FF0000"/>
                      <w:sz w:val="21"/>
                      <w:szCs w:val="21"/>
                      <w:lang w:eastAsia="zh-CN"/>
                    </w:rPr>
                    <w:t>.3 凡含有放射性核素的废水,应根据核素的半衰期长短,分为长寿命和短寿命两种放射性核素废水，并应分别进行处理。长寿命放射性核素且放射性浓度较高的废水，应将废水集中存放,待到一定数量后,采用净化法处理;净化过程中产生的少量浓缩液,可采用固化法处理:短寿命放射性核素废水,应采用贮存法处理。</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2</w:t>
                  </w:r>
                  <w:r>
                    <w:rPr>
                      <w:rFonts w:hint="default" w:ascii="Times New Roman" w:hAnsi="Times New Roman" w:eastAsia="宋体" w:cs="Times New Roman"/>
                      <w:color w:val="FF0000"/>
                      <w:sz w:val="21"/>
                      <w:szCs w:val="21"/>
                      <w:lang w:eastAsia="zh-CN"/>
                    </w:rPr>
                    <w:t>.4 用于收集和处理实验污水、废水的埋地水池应考虑对地表、土壤有腐蚀性影响的废液防渗处理，并应执行国家相关规范。</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不直接外排</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3、</w:t>
                  </w:r>
                  <w:r>
                    <w:rPr>
                      <w:rFonts w:hint="default" w:ascii="Times New Roman" w:hAnsi="Times New Roman" w:eastAsia="宋体" w:cs="Times New Roman"/>
                      <w:color w:val="FF0000"/>
                      <w:sz w:val="21"/>
                      <w:szCs w:val="21"/>
                      <w:lang w:eastAsia="zh-CN"/>
                    </w:rPr>
                    <w:t>通风系统</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凡实验过程中产生有害气体、蒸汽、气味、烟雾、挥发性物质等的实验室,应设置通风柜等工艺排风设施。除非有特殊要求,实验室应保持微负压,并保证室内空气由清洁区向污染的实验区流动</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本项目含有病原微生物的气体不外排。生物实验室废气采用负压方式经高效空气过滤器净化后通过排风管道引至楼顶</w:t>
                  </w:r>
                  <w:r>
                    <w:rPr>
                      <w:rFonts w:hint="eastAsia" w:ascii="Times New Roman" w:hAnsi="Times New Roman" w:eastAsia="宋体" w:cs="Times New Roman"/>
                      <w:color w:val="FF0000"/>
                      <w:sz w:val="21"/>
                      <w:szCs w:val="21"/>
                      <w:lang w:val="en-US" w:eastAsia="zh-CN"/>
                    </w:rPr>
                    <w:t>4</w:t>
                  </w:r>
                  <w:r>
                    <w:rPr>
                      <w:rFonts w:hint="default" w:ascii="Times New Roman" w:hAnsi="Times New Roman" w:eastAsia="宋体" w:cs="Times New Roman"/>
                      <w:color w:val="FF0000"/>
                      <w:sz w:val="21"/>
                      <w:szCs w:val="21"/>
                      <w:lang w:eastAsia="zh-CN"/>
                    </w:rPr>
                    <w:t>m高的排气筒排放。</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5225"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消声与隔振</w:t>
                  </w:r>
                </w:p>
                <w:p>
                  <w:pPr>
                    <w:keepNext w:val="0"/>
                    <w:keepLines w:val="0"/>
                    <w:pageBreakBefore w:val="0"/>
                    <w:widowControl/>
                    <w:numPr>
                      <w:ilvl w:val="0"/>
                      <w:numId w:val="0"/>
                    </w:numPr>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的送排风机及集中送风的空调机组宜设置在实验室房间之外,数量较多时应设在专用的风机房内。设置在实验室内的各种设备均应选用低噪声产品通风、空调系统所产生的噪声,当依靠自然衰减不能达到允许的噪声标准时,应设置消声设备或采取其他消声措施。系统所需的消声量和消声设备的选择,应通过计算确定暴露在室外的设备,当其噪声达不到环境噪声标准要求时,应采取降噪措施。通风、空调设备产生的振动,当依靠自然衰减不能满足要求时,应设置隔振器或采取其他隔振措施。</w:t>
                  </w:r>
                </w:p>
              </w:tc>
              <w:tc>
                <w:tcPr>
                  <w:tcW w:w="2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项目</w:t>
                  </w:r>
                  <w:r>
                    <w:rPr>
                      <w:rFonts w:hint="default" w:ascii="Times New Roman" w:hAnsi="Times New Roman" w:eastAsia="宋体" w:cs="Times New Roman"/>
                      <w:color w:val="FF0000"/>
                      <w:sz w:val="21"/>
                      <w:szCs w:val="21"/>
                      <w:lang w:eastAsia="zh-CN"/>
                    </w:rPr>
                    <w:t>实验室的送排风机及集中送风的空调机组</w:t>
                  </w:r>
                  <w:r>
                    <w:rPr>
                      <w:rFonts w:hint="default" w:ascii="Times New Roman" w:hAnsi="Times New Roman" w:eastAsia="宋体" w:cs="Times New Roman"/>
                      <w:color w:val="FF0000"/>
                      <w:sz w:val="21"/>
                      <w:szCs w:val="21"/>
                      <w:lang w:val="en-US" w:eastAsia="zh-CN"/>
                    </w:rPr>
                    <w:t>设置在实验楼之外，</w:t>
                  </w:r>
                  <w:r>
                    <w:rPr>
                      <w:rFonts w:hint="default" w:ascii="Times New Roman" w:hAnsi="Times New Roman" w:eastAsia="宋体" w:cs="Times New Roman"/>
                      <w:color w:val="FF0000"/>
                      <w:sz w:val="21"/>
                      <w:szCs w:val="21"/>
                      <w:lang w:eastAsia="zh-CN"/>
                    </w:rPr>
                    <w:t>设置在实验室内的各种设备均应选用低噪声产品通风、空调系统所产生的噪声，</w:t>
                  </w:r>
                  <w:r>
                    <w:rPr>
                      <w:rFonts w:hint="default" w:ascii="Times New Roman" w:hAnsi="Times New Roman" w:eastAsia="宋体" w:cs="Times New Roman"/>
                      <w:color w:val="FF0000"/>
                      <w:sz w:val="21"/>
                      <w:szCs w:val="21"/>
                      <w:lang w:val="en-US" w:eastAsia="zh-CN"/>
                    </w:rPr>
                    <w:t>并采取了</w:t>
                  </w:r>
                  <w:r>
                    <w:rPr>
                      <w:rFonts w:hint="default" w:ascii="Times New Roman" w:hAnsi="Times New Roman" w:eastAsia="宋体" w:cs="Times New Roman"/>
                      <w:color w:val="FF0000"/>
                      <w:sz w:val="21"/>
                      <w:szCs w:val="21"/>
                      <w:lang w:eastAsia="zh-CN"/>
                    </w:rPr>
                    <w:t>消声</w:t>
                  </w:r>
                  <w:r>
                    <w:rPr>
                      <w:rFonts w:hint="default" w:ascii="Times New Roman" w:hAnsi="Times New Roman" w:eastAsia="宋体" w:cs="Times New Roman"/>
                      <w:color w:val="FF0000"/>
                      <w:sz w:val="21"/>
                      <w:szCs w:val="21"/>
                      <w:lang w:val="en-US" w:eastAsia="zh-CN"/>
                    </w:rPr>
                    <w:t>和基础</w:t>
                  </w:r>
                  <w:r>
                    <w:rPr>
                      <w:rFonts w:hint="default" w:ascii="Times New Roman" w:hAnsi="Times New Roman" w:eastAsia="宋体" w:cs="Times New Roman"/>
                      <w:color w:val="FF0000"/>
                      <w:sz w:val="21"/>
                      <w:szCs w:val="21"/>
                      <w:lang w:eastAsia="zh-CN"/>
                    </w:rPr>
                    <w:t>隔振</w:t>
                  </w:r>
                  <w:r>
                    <w:rPr>
                      <w:rFonts w:hint="default" w:ascii="Times New Roman" w:hAnsi="Times New Roman" w:eastAsia="宋体" w:cs="Times New Roman"/>
                      <w:color w:val="FF0000"/>
                      <w:sz w:val="21"/>
                      <w:szCs w:val="21"/>
                      <w:lang w:val="en-US" w:eastAsia="zh-CN"/>
                    </w:rPr>
                    <w:t>等措施</w:t>
                  </w:r>
                </w:p>
              </w:tc>
              <w:tc>
                <w:tcPr>
                  <w:tcW w:w="84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bl>
          <w:p>
            <w:pPr>
              <w:spacing w:line="360" w:lineRule="auto"/>
              <w:ind w:firstLine="480" w:firstLineChars="200"/>
              <w:rPr>
                <w:rFonts w:hint="eastAsia"/>
                <w:color w:val="000000" w:themeColor="text1"/>
                <w:sz w:val="24"/>
                <w:lang w:eastAsia="zh-CN"/>
                <w14:textFill>
                  <w14:solidFill>
                    <w14:schemeClr w14:val="tx1"/>
                  </w14:solidFill>
                </w14:textFill>
              </w:rPr>
            </w:pPr>
            <w:r>
              <w:rPr>
                <w:rFonts w:hint="default"/>
                <w:color w:val="000000" w:themeColor="text1"/>
                <w:sz w:val="24"/>
                <w:lang w:eastAsia="zh-CN"/>
                <w14:textFill>
                  <w14:solidFill>
                    <w14:schemeClr w14:val="tx1"/>
                  </w14:solidFill>
                </w14:textFill>
              </w:rPr>
              <w:t>综上所述，本项目的建设符合</w:t>
            </w:r>
            <w:r>
              <w:rPr>
                <w:rFonts w:hint="default"/>
                <w:color w:val="000000" w:themeColor="text1"/>
                <w:sz w:val="24"/>
                <w:lang w:val="en-US" w:eastAsia="zh-CN"/>
                <w14:textFill>
                  <w14:solidFill>
                    <w14:schemeClr w14:val="tx1"/>
                  </w14:solidFill>
                </w14:textFill>
              </w:rPr>
              <w:t>《</w:t>
            </w:r>
            <w:r>
              <w:rPr>
                <w:rFonts w:hint="default"/>
                <w:color w:val="000000" w:themeColor="text1"/>
                <w:sz w:val="24"/>
                <w:lang w:eastAsia="zh-CN"/>
                <w14:textFill>
                  <w14:solidFill>
                    <w14:schemeClr w14:val="tx1"/>
                  </w14:solidFill>
                </w14:textFill>
              </w:rPr>
              <w:t>检验检测实验室技术要求验收规范</w:t>
            </w:r>
            <w:r>
              <w:rPr>
                <w:rFonts w:hint="default"/>
                <w:color w:val="000000" w:themeColor="text1"/>
                <w:sz w:val="24"/>
                <w:lang w:val="en-US" w:eastAsia="zh-CN"/>
                <w14:textFill>
                  <w14:solidFill>
                    <w14:schemeClr w14:val="tx1"/>
                  </w14:solidFill>
                </w14:textFill>
              </w:rPr>
              <w:t>》（GB/T 37140-2018）的相关</w:t>
            </w:r>
            <w:r>
              <w:rPr>
                <w:rFonts w:hint="default"/>
                <w:color w:val="000000" w:themeColor="text1"/>
                <w:sz w:val="24"/>
                <w:lang w:eastAsia="zh-CN"/>
                <w14:textFill>
                  <w14:solidFill>
                    <w14:schemeClr w14:val="tx1"/>
                  </w14:solidFill>
                </w14:textFill>
              </w:rPr>
              <w:t>要求</w:t>
            </w:r>
            <w:r>
              <w:rPr>
                <w:rFonts w:hint="eastAsia"/>
                <w:color w:val="000000" w:themeColor="text1"/>
                <w:sz w:val="24"/>
                <w:lang w:eastAsia="zh-CN"/>
                <w14:textFill>
                  <w14:solidFill>
                    <w14:schemeClr w14:val="tx1"/>
                  </w14:solidFill>
                </w14:textFill>
              </w:rPr>
              <w:t>。</w:t>
            </w:r>
          </w:p>
          <w:p>
            <w:pPr>
              <w:numPr>
                <w:ilvl w:val="0"/>
                <w:numId w:val="0"/>
              </w:numPr>
              <w:spacing w:line="360" w:lineRule="auto"/>
              <w:ind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6、项目与《实验室设计规范和标准》符合性分析</w:t>
            </w:r>
          </w:p>
          <w:p>
            <w:pPr>
              <w:adjustRightInd w:val="0"/>
              <w:snapToGrid w:val="0"/>
              <w:spacing w:line="360" w:lineRule="exact"/>
              <w:ind w:firstLine="480"/>
              <w:jc w:val="center"/>
              <w:rPr>
                <w:rFonts w:hint="default" w:ascii="Times New Roman" w:hAnsi="Times New Roman" w:cs="Times New Roman"/>
                <w:b/>
                <w:bCs/>
                <w:color w:val="FF0000"/>
                <w:sz w:val="21"/>
                <w:szCs w:val="21"/>
                <w:lang w:eastAsia="zh-CN"/>
              </w:rPr>
            </w:pPr>
            <w:r>
              <w:rPr>
                <w:rFonts w:hint="default" w:ascii="Times New Roman" w:hAnsi="Times New Roman" w:cs="Times New Roman"/>
                <w:b/>
                <w:bCs/>
                <w:color w:val="FF0000"/>
                <w:sz w:val="21"/>
                <w:szCs w:val="21"/>
                <w:lang w:eastAsia="zh-CN"/>
              </w:rPr>
              <w:t>表1-</w:t>
            </w:r>
            <w:r>
              <w:rPr>
                <w:rFonts w:hint="eastAsia" w:ascii="Times New Roman" w:hAnsi="Times New Roman" w:cs="Times New Roman"/>
                <w:b/>
                <w:bCs/>
                <w:color w:val="FF0000"/>
                <w:sz w:val="21"/>
                <w:szCs w:val="21"/>
                <w:lang w:val="en-US" w:eastAsia="zh-CN"/>
              </w:rPr>
              <w:t xml:space="preserve">4   </w:t>
            </w:r>
            <w:r>
              <w:rPr>
                <w:rFonts w:hint="default" w:ascii="Times New Roman" w:hAnsi="Times New Roman" w:cs="Times New Roman"/>
                <w:b/>
                <w:bCs/>
                <w:color w:val="FF0000"/>
                <w:sz w:val="21"/>
                <w:szCs w:val="21"/>
                <w:lang w:eastAsia="zh-CN"/>
              </w:rPr>
              <w:t xml:space="preserve">   实验室设计规范和标准要求</w:t>
            </w:r>
          </w:p>
          <w:tbl>
            <w:tblPr>
              <w:tblStyle w:val="28"/>
              <w:tblW w:w="88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720"/>
              <w:gridCol w:w="377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27" w:hRule="atLeast"/>
                <w:jc w:val="center"/>
              </w:trPr>
              <w:tc>
                <w:tcPr>
                  <w:tcW w:w="4407" w:type="dxa"/>
                  <w:gridSpan w:val="2"/>
                  <w:tcBorders>
                    <w:top w:val="single" w:color="auto" w:sz="12"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设计规范和标准要求</w:t>
                  </w:r>
                </w:p>
              </w:tc>
              <w:tc>
                <w:tcPr>
                  <w:tcW w:w="3776"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本项目</w:t>
                  </w:r>
                </w:p>
              </w:tc>
              <w:tc>
                <w:tcPr>
                  <w:tcW w:w="716" w:type="dxa"/>
                  <w:tcBorders>
                    <w:top w:val="single" w:color="auto" w:sz="12"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8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整体布局要求</w:t>
                  </w: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实验室按照不同的功能进行区划，如样品准备区、实验台区、仪器设备区、储存区、洗涤区等，每个功能区都应有清晰的界限和相应的设备和装置。</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本项目实验室配备前室、准备间、生物培养间、器械消毒及清洗间等不同功能区，各功能区有明确的门牌标示</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68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FF0000"/>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实验室通风系统需要满足国家标准，确保室内空气流通，排除空气中的有害物质，保证实验环境的清洁。</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项目实验室设置排风系统，保证室内空气流通，排除空气中的有害物质，保证实验环境的清洁</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87"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实验室安全规范</w:t>
                  </w: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实验室应设置明确的安全出入口，保证实验室人员的安全进出，同时防止未经许可人员的进入。</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lang w:val="en-US" w:eastAsia="zh-CN" w:bidi="ar-SA"/>
                    </w:rPr>
                  </w:pPr>
                  <w:r>
                    <w:rPr>
                      <w:rFonts w:hint="eastAsia" w:ascii="Times New Roman" w:hAnsi="Times New Roman" w:eastAsia="宋体" w:cs="Times New Roman"/>
                      <w:color w:val="FF0000"/>
                      <w:sz w:val="21"/>
                      <w:szCs w:val="21"/>
                      <w:lang w:val="en-US" w:eastAsia="zh-CN" w:bidi="ar-SA"/>
                    </w:rPr>
                    <w:t>实验室实验区设置有安全出入口，禁止无关人员出入</w:t>
                  </w:r>
                </w:p>
              </w:tc>
              <w:tc>
                <w:tcPr>
                  <w:tcW w:w="716" w:type="dxa"/>
                  <w:tcBorders>
                    <w:top w:val="single" w:color="auto" w:sz="4" w:space="0"/>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FF0000"/>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实验室的用电设施和设备需要符合电气安全标准，定期检测用电设备的安全性，并设置相应的安全保护装置。</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实验室装修用电器设施线路满足实验室要求</w:t>
                  </w:r>
                </w:p>
              </w:tc>
              <w:tc>
                <w:tcPr>
                  <w:tcW w:w="716" w:type="dxa"/>
                  <w:tcBorders>
                    <w:top w:val="single" w:color="auto" w:sz="4" w:space="0"/>
                    <w:left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FF0000"/>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安全淋浴器等，这些设施需要定期检查并保持正常的实验室的安全设施包括灭火器、安全洗眼器、工作状态。</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实验室配备</w:t>
                  </w:r>
                  <w:r>
                    <w:rPr>
                      <w:rFonts w:hint="default" w:ascii="Times New Roman" w:hAnsi="Times New Roman" w:eastAsia="宋体" w:cs="Times New Roman"/>
                      <w:color w:val="FF0000"/>
                      <w:sz w:val="21"/>
                      <w:szCs w:val="21"/>
                      <w:lang w:eastAsia="zh-CN"/>
                    </w:rPr>
                    <w:t>灭火器、安全洗眼器</w:t>
                  </w:r>
                  <w:r>
                    <w:rPr>
                      <w:rFonts w:hint="eastAsia" w:ascii="Times New Roman" w:hAnsi="Times New Roman" w:eastAsia="宋体" w:cs="Times New Roman"/>
                      <w:color w:val="FF0000"/>
                      <w:sz w:val="21"/>
                      <w:szCs w:val="21"/>
                      <w:lang w:val="en-US" w:eastAsia="zh-CN"/>
                    </w:rPr>
                    <w:t>等安全设施</w:t>
                  </w:r>
                </w:p>
              </w:tc>
              <w:tc>
                <w:tcPr>
                  <w:tcW w:w="716" w:type="dxa"/>
                  <w:tcBorders>
                    <w:top w:val="single" w:color="auto" w:sz="4" w:space="0"/>
                    <w:left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8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Times New Roman" w:hAnsi="Times New Roman" w:eastAsia="宋体" w:cs="Times New Roman"/>
                      <w:color w:val="FF0000"/>
                      <w:sz w:val="21"/>
                      <w:szCs w:val="21"/>
                      <w:lang w:val="en-US" w:eastAsia="zh-CN"/>
                    </w:rPr>
                  </w:pPr>
                </w:p>
              </w:tc>
              <w:tc>
                <w:tcPr>
                  <w:tcW w:w="3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实验室产生的废物需要按照环保规范进行妥善处理，分类收集并交由专门机构进行处理，以减少对环境的污染。</w:t>
                  </w:r>
                </w:p>
              </w:tc>
              <w:tc>
                <w:tcPr>
                  <w:tcW w:w="3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eastAsia="zh-CN"/>
                    </w:rPr>
                    <w:t>本项目含有病原微生物的气体不外排。生物实验室废气采用负压方式经高效空气过滤器净化后通过排风管道引至楼顶</w:t>
                  </w:r>
                  <w:r>
                    <w:rPr>
                      <w:rFonts w:hint="eastAsia" w:ascii="Times New Roman" w:hAnsi="Times New Roman" w:eastAsia="宋体" w:cs="Times New Roman"/>
                      <w:color w:val="FF0000"/>
                      <w:sz w:val="21"/>
                      <w:szCs w:val="21"/>
                      <w:lang w:val="en-US" w:eastAsia="zh-CN"/>
                    </w:rPr>
                    <w:t>4</w:t>
                  </w:r>
                  <w:r>
                    <w:rPr>
                      <w:rFonts w:hint="default" w:ascii="Times New Roman" w:hAnsi="Times New Roman" w:eastAsia="宋体" w:cs="Times New Roman"/>
                      <w:color w:val="FF0000"/>
                      <w:sz w:val="21"/>
                      <w:szCs w:val="21"/>
                      <w:lang w:eastAsia="zh-CN"/>
                    </w:rPr>
                    <w:t>m高的排气筒排放</w:t>
                  </w:r>
                  <w:r>
                    <w:rPr>
                      <w:rFonts w:hint="eastAsia" w:ascii="Times New Roman" w:hAnsi="Times New Roman" w:eastAsia="宋体" w:cs="Times New Roman"/>
                      <w:color w:val="FF0000"/>
                      <w:sz w:val="21"/>
                      <w:szCs w:val="21"/>
                      <w:lang w:eastAsia="zh-CN"/>
                    </w:rPr>
                    <w:t>；</w:t>
                  </w:r>
                  <w:r>
                    <w:rPr>
                      <w:rFonts w:hint="default" w:ascii="Times New Roman" w:hAnsi="Times New Roman" w:eastAsia="宋体" w:cs="Times New Roman"/>
                      <w:color w:val="FF0000"/>
                      <w:sz w:val="21"/>
                      <w:szCs w:val="21"/>
                      <w:lang w:val="en-US" w:eastAsia="zh-CN"/>
                    </w:rPr>
                    <w:t>项目运营期废水主要实验期间产生的纯水制备废水、正洗反洗水、清洁用水，生活污水经化粪池处理后与其余废水经本项目设置的污水处理设施处理后接管至进入市政污水管网，最终进入宁县生活污水处理厂处置，不直接外排</w:t>
                  </w:r>
                  <w:r>
                    <w:rPr>
                      <w:rFonts w:hint="eastAsia" w:ascii="Times New Roman" w:hAnsi="Times New Roman" w:eastAsia="宋体" w:cs="Times New Roman"/>
                      <w:color w:val="FF0000"/>
                      <w:sz w:val="21"/>
                      <w:szCs w:val="21"/>
                      <w:lang w:val="en-US" w:eastAsia="zh-CN"/>
                    </w:rPr>
                    <w:t>；固体废物包括废旧离子交换树脂、污泥、一次性实验用品、过期药剂、过滤器、费培养基样品，暂存于危险废物暂存间，定期交由有资质的单位进行处置；生活垃圾暂存于厂区垃圾桶，交由环卫部门定期清运。</w:t>
                  </w:r>
                </w:p>
              </w:tc>
              <w:tc>
                <w:tcPr>
                  <w:tcW w:w="716" w:type="dxa"/>
                  <w:tcBorders>
                    <w:left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符合</w:t>
                  </w:r>
                </w:p>
              </w:tc>
            </w:tr>
          </w:tbl>
          <w:p>
            <w:pPr>
              <w:spacing w:line="360" w:lineRule="auto"/>
              <w:ind w:firstLine="480" w:firstLineChars="200"/>
              <w:rPr>
                <w:rFonts w:hint="eastAsia"/>
                <w:color w:val="000000" w:themeColor="text1"/>
                <w:sz w:val="24"/>
                <w:lang w:eastAsia="zh-CN"/>
                <w14:textFill>
                  <w14:solidFill>
                    <w14:schemeClr w14:val="tx1"/>
                  </w14:solidFill>
                </w14:textFill>
              </w:rPr>
            </w:pPr>
            <w:r>
              <w:rPr>
                <w:rFonts w:hint="default"/>
                <w:color w:val="000000" w:themeColor="text1"/>
                <w:sz w:val="24"/>
                <w:lang w:eastAsia="zh-CN"/>
                <w14:textFill>
                  <w14:solidFill>
                    <w14:schemeClr w14:val="tx1"/>
                  </w14:solidFill>
                </w14:textFill>
              </w:rPr>
              <w:t>综上所述，本项目的建设符合</w:t>
            </w:r>
            <w:r>
              <w:rPr>
                <w:rFonts w:hint="default"/>
                <w:color w:val="000000" w:themeColor="text1"/>
                <w:sz w:val="24"/>
                <w:lang w:val="en-US" w:eastAsia="zh-CN"/>
                <w14:textFill>
                  <w14:solidFill>
                    <w14:schemeClr w14:val="tx1"/>
                  </w14:solidFill>
                </w14:textFill>
              </w:rPr>
              <w:t>《实验室设计规范和标准》的相关</w:t>
            </w:r>
            <w:r>
              <w:rPr>
                <w:rFonts w:hint="default"/>
                <w:color w:val="000000" w:themeColor="text1"/>
                <w:sz w:val="24"/>
                <w:lang w:eastAsia="zh-CN"/>
                <w14:textFill>
                  <w14:solidFill>
                    <w14:schemeClr w14:val="tx1"/>
                  </w14:solidFill>
                </w14:textFill>
              </w:rPr>
              <w:t>要求。</w:t>
            </w:r>
          </w:p>
          <w:p>
            <w:pPr>
              <w:spacing w:line="360" w:lineRule="auto"/>
              <w:rPr>
                <w:b/>
                <w:bCs/>
                <w:color w:val="000000" w:themeColor="text1"/>
                <w:sz w:val="24"/>
                <w:lang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7</w:t>
            </w:r>
            <w:r>
              <w:rPr>
                <w:rFonts w:hint="eastAsia"/>
                <w:b/>
                <w:bCs/>
                <w:color w:val="000000" w:themeColor="text1"/>
                <w:sz w:val="24"/>
                <w:lang w:eastAsia="zh-CN"/>
                <w14:textFill>
                  <w14:solidFill>
                    <w14:schemeClr w14:val="tx1"/>
                  </w14:solidFill>
                </w14:textFill>
              </w:rPr>
              <w:t>、选址合理性分析</w:t>
            </w:r>
          </w:p>
          <w:p>
            <w:pPr>
              <w:spacing w:line="360" w:lineRule="auto"/>
              <w:ind w:firstLine="480" w:firstLineChars="200"/>
              <w:rPr>
                <w:color w:val="auto"/>
                <w:sz w:val="24"/>
                <w:lang w:eastAsia="zh-CN"/>
              </w:rPr>
            </w:pPr>
            <w:r>
              <w:rPr>
                <w:rFonts w:hint="eastAsia"/>
                <w:color w:val="auto"/>
                <w:sz w:val="24"/>
                <w:lang w:eastAsia="zh-CN"/>
              </w:rPr>
              <w:t>宁县兽医实验室能力提升和考核续展修缮工程建设地点位于</w:t>
            </w:r>
            <w:r>
              <w:rPr>
                <w:rFonts w:hint="eastAsia"/>
                <w:color w:val="auto"/>
                <w:sz w:val="24"/>
                <w:lang w:val="en-US" w:eastAsia="zh-CN"/>
              </w:rPr>
              <w:t>宁县新宁镇</w:t>
            </w:r>
            <w:r>
              <w:rPr>
                <w:rFonts w:hint="eastAsia"/>
                <w:color w:val="auto"/>
                <w:sz w:val="24"/>
                <w:lang w:eastAsia="zh-CN"/>
              </w:rPr>
              <w:t>，规划用地总面积为</w:t>
            </w:r>
            <w:r>
              <w:rPr>
                <w:rFonts w:hint="eastAsia"/>
                <w:color w:val="auto"/>
                <w:sz w:val="24"/>
                <w:lang w:val="en-US" w:eastAsia="zh-CN"/>
              </w:rPr>
              <w:t>2200</w:t>
            </w:r>
            <w:r>
              <w:rPr>
                <w:color w:val="auto"/>
                <w:sz w:val="24"/>
                <w:lang w:eastAsia="zh-CN"/>
              </w:rPr>
              <w:t>平方米</w:t>
            </w:r>
            <w:r>
              <w:rPr>
                <w:rFonts w:hint="eastAsia"/>
                <w:color w:val="auto"/>
                <w:sz w:val="24"/>
                <w:lang w:eastAsia="zh-CN"/>
              </w:rPr>
              <w:t>，场地</w:t>
            </w:r>
            <w:r>
              <w:rPr>
                <w:rFonts w:hint="eastAsia"/>
                <w:color w:val="auto"/>
                <w:sz w:val="24"/>
                <w:lang w:val="en-US" w:eastAsia="zh-CN"/>
              </w:rPr>
              <w:t>北</w:t>
            </w:r>
            <w:r>
              <w:rPr>
                <w:rFonts w:hint="eastAsia"/>
                <w:color w:val="auto"/>
                <w:sz w:val="24"/>
                <w:lang w:eastAsia="zh-CN"/>
              </w:rPr>
              <w:t>侧为</w:t>
            </w:r>
            <w:r>
              <w:rPr>
                <w:rFonts w:hint="eastAsia"/>
                <w:color w:val="auto"/>
                <w:sz w:val="24"/>
                <w:lang w:val="en-US" w:eastAsia="zh-CN"/>
              </w:rPr>
              <w:t>宁县种子管理站</w:t>
            </w:r>
            <w:r>
              <w:rPr>
                <w:rFonts w:hint="eastAsia"/>
                <w:color w:val="auto"/>
                <w:sz w:val="24"/>
                <w:lang w:eastAsia="zh-CN"/>
              </w:rPr>
              <w:t>，南侧为空地，西侧为</w:t>
            </w:r>
            <w:r>
              <w:rPr>
                <w:rFonts w:hint="eastAsia"/>
                <w:color w:val="auto"/>
                <w:sz w:val="24"/>
                <w:lang w:val="en-US" w:eastAsia="zh-CN"/>
              </w:rPr>
              <w:t>道路</w:t>
            </w:r>
            <w:r>
              <w:rPr>
                <w:rFonts w:hint="eastAsia"/>
                <w:color w:val="auto"/>
                <w:sz w:val="24"/>
                <w:lang w:eastAsia="zh-CN"/>
              </w:rPr>
              <w:t>，</w:t>
            </w:r>
            <w:r>
              <w:rPr>
                <w:rFonts w:hint="eastAsia"/>
                <w:color w:val="auto"/>
                <w:sz w:val="24"/>
                <w:lang w:val="en-US" w:eastAsia="zh-CN"/>
              </w:rPr>
              <w:t>东</w:t>
            </w:r>
            <w:r>
              <w:rPr>
                <w:rFonts w:hint="eastAsia"/>
                <w:color w:val="auto"/>
                <w:sz w:val="24"/>
                <w:lang w:eastAsia="zh-CN"/>
              </w:rPr>
              <w:t>侧为</w:t>
            </w:r>
            <w:r>
              <w:rPr>
                <w:rFonts w:hint="eastAsia"/>
                <w:color w:val="auto"/>
                <w:sz w:val="24"/>
                <w:lang w:val="en-US" w:eastAsia="zh-CN"/>
              </w:rPr>
              <w:t>马莲河</w:t>
            </w:r>
            <w:r>
              <w:rPr>
                <w:rFonts w:hint="eastAsia"/>
                <w:color w:val="auto"/>
                <w:sz w:val="24"/>
                <w:lang w:eastAsia="zh-CN"/>
              </w:rPr>
              <w:t>，项目所处地理位置优越，交通、疏散、排水、供电等公用条件非常便利。</w:t>
            </w:r>
          </w:p>
          <w:p>
            <w:pPr>
              <w:spacing w:line="360" w:lineRule="auto"/>
              <w:ind w:firstLine="480" w:firstLineChars="200"/>
              <w:rPr>
                <w:color w:val="FF0000"/>
                <w:sz w:val="24"/>
                <w:lang w:eastAsia="zh-CN"/>
              </w:rPr>
            </w:pPr>
            <w:r>
              <w:rPr>
                <w:rFonts w:hint="eastAsia"/>
                <w:color w:val="FF0000"/>
                <w:sz w:val="24"/>
                <w:lang w:eastAsia="zh-CN"/>
              </w:rPr>
              <w:t>项目选址符合《实验室生物安全通用要求》（GB19489）选址要求，不在水源保护区、自然保护区、风景名胜区等环境敏感区，项目选址基础设施建设条件良好。</w:t>
            </w:r>
            <w:r>
              <w:rPr>
                <w:color w:val="FF0000"/>
                <w:sz w:val="24"/>
                <w:lang w:eastAsia="zh-CN"/>
              </w:rPr>
              <w:t>项目建成运行后，污染物在采取本环评</w:t>
            </w:r>
            <w:r>
              <w:rPr>
                <w:rFonts w:hint="eastAsia"/>
                <w:color w:val="FF0000"/>
                <w:sz w:val="24"/>
                <w:lang w:eastAsia="zh-CN"/>
              </w:rPr>
              <w:t>提出</w:t>
            </w:r>
            <w:r>
              <w:rPr>
                <w:color w:val="FF0000"/>
                <w:sz w:val="24"/>
                <w:lang w:eastAsia="zh-CN"/>
              </w:rPr>
              <w:t>的环保措施后，</w:t>
            </w:r>
            <w:r>
              <w:rPr>
                <w:rFonts w:hint="eastAsia"/>
                <w:color w:val="FF0000"/>
                <w:sz w:val="24"/>
                <w:lang w:val="en-US" w:eastAsia="zh-CN"/>
              </w:rPr>
              <w:t>废气、废水</w:t>
            </w:r>
            <w:r>
              <w:rPr>
                <w:color w:val="FF0000"/>
                <w:sz w:val="24"/>
                <w:lang w:eastAsia="zh-CN"/>
              </w:rPr>
              <w:t>均能实现达标排放</w:t>
            </w:r>
            <w:r>
              <w:rPr>
                <w:rFonts w:hint="eastAsia"/>
                <w:color w:val="FF0000"/>
                <w:sz w:val="24"/>
                <w:lang w:eastAsia="zh-CN"/>
              </w:rPr>
              <w:t>，</w:t>
            </w:r>
            <w:r>
              <w:rPr>
                <w:rFonts w:hint="eastAsia"/>
                <w:color w:val="FF0000"/>
                <w:sz w:val="24"/>
                <w:lang w:val="en-US" w:eastAsia="zh-CN"/>
              </w:rPr>
              <w:t>固废均得到合理处置</w:t>
            </w:r>
            <w:r>
              <w:rPr>
                <w:color w:val="FF0000"/>
                <w:sz w:val="24"/>
                <w:lang w:eastAsia="zh-CN"/>
              </w:rPr>
              <w:t>，不会对周围环境造成大的不利影响</w:t>
            </w:r>
            <w:r>
              <w:rPr>
                <w:rFonts w:hint="eastAsia"/>
                <w:color w:val="FF0000"/>
                <w:sz w:val="24"/>
                <w:lang w:eastAsia="zh-CN"/>
              </w:rPr>
              <w:t>，项目选址合理。</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宁县农业农村局</w:t>
            </w:r>
            <w:r>
              <w:rPr>
                <w:rFonts w:ascii="Times New Roman" w:hAnsi="Times New Roman" w:eastAsia="宋体" w:cs="Times New Roman"/>
                <w:color w:val="auto"/>
                <w:sz w:val="24"/>
                <w:szCs w:val="24"/>
                <w:lang w:eastAsia="zh-CN"/>
              </w:rPr>
              <w:t>《关于</w:t>
            </w:r>
            <w:r>
              <w:rPr>
                <w:rFonts w:hint="eastAsia" w:ascii="Times New Roman" w:hAnsi="Times New Roman" w:eastAsia="宋体" w:cs="Times New Roman"/>
                <w:color w:val="auto"/>
                <w:sz w:val="24"/>
                <w:szCs w:val="24"/>
                <w:lang w:eastAsia="zh-CN"/>
              </w:rPr>
              <w:t>宁县兽医实验室能力提升和考核续展修缮工程</w:t>
            </w:r>
            <w:r>
              <w:rPr>
                <w:rFonts w:hint="eastAsia" w:ascii="Times New Roman" w:hAnsi="Times New Roman" w:eastAsia="宋体" w:cs="Times New Roman"/>
                <w:color w:val="auto"/>
                <w:sz w:val="24"/>
                <w:szCs w:val="24"/>
                <w:lang w:val="en-US" w:eastAsia="zh-CN"/>
              </w:rPr>
              <w:t>实施方案</w:t>
            </w:r>
            <w:r>
              <w:rPr>
                <w:rFonts w:ascii="Times New Roman" w:hAnsi="Times New Roman" w:eastAsia="宋体" w:cs="Times New Roman"/>
                <w:color w:val="auto"/>
                <w:sz w:val="24"/>
                <w:szCs w:val="24"/>
                <w:lang w:eastAsia="zh-CN"/>
              </w:rPr>
              <w:t>的批复》（</w:t>
            </w:r>
            <w:r>
              <w:rPr>
                <w:rFonts w:hint="eastAsia" w:ascii="Times New Roman" w:hAnsi="Times New Roman" w:eastAsia="宋体" w:cs="Times New Roman"/>
                <w:color w:val="auto"/>
                <w:sz w:val="24"/>
                <w:szCs w:val="24"/>
                <w:lang w:eastAsia="zh-CN"/>
              </w:rPr>
              <w:t>宁农发[2021]75号</w:t>
            </w:r>
            <w:r>
              <w:rPr>
                <w:rFonts w:ascii="Times New Roman" w:hAnsi="Times New Roman" w:eastAsia="宋体" w:cs="Times New Roman"/>
                <w:color w:val="auto"/>
                <w:sz w:val="24"/>
                <w:szCs w:val="24"/>
                <w:lang w:eastAsia="zh-CN"/>
              </w:rPr>
              <w:t>），本项目建设符合</w:t>
            </w:r>
            <w:r>
              <w:rPr>
                <w:rFonts w:hint="eastAsia" w:ascii="Times New Roman" w:hAnsi="Times New Roman" w:eastAsia="宋体" w:cs="Times New Roman"/>
                <w:color w:val="auto"/>
                <w:sz w:val="24"/>
                <w:szCs w:val="24"/>
                <w:lang w:val="en-US" w:eastAsia="zh-CN"/>
              </w:rPr>
              <w:t>宁</w:t>
            </w:r>
            <w:r>
              <w:rPr>
                <w:rFonts w:hint="eastAsia" w:ascii="Times New Roman" w:hAnsi="Times New Roman" w:eastAsia="宋体" w:cs="Times New Roman"/>
                <w:color w:val="auto"/>
                <w:sz w:val="24"/>
                <w:szCs w:val="24"/>
                <w:lang w:eastAsia="zh-CN"/>
              </w:rPr>
              <w:t>县</w:t>
            </w:r>
            <w:r>
              <w:rPr>
                <w:rFonts w:ascii="Times New Roman" w:hAnsi="Times New Roman" w:eastAsia="宋体" w:cs="Times New Roman"/>
                <w:color w:val="auto"/>
                <w:sz w:val="24"/>
                <w:szCs w:val="24"/>
                <w:lang w:eastAsia="zh-CN"/>
              </w:rPr>
              <w:t>土地利用总体规划和小城镇建设规划。</w:t>
            </w:r>
          </w:p>
          <w:p>
            <w:pPr>
              <w:numPr>
                <w:ilvl w:val="0"/>
                <w:numId w:val="0"/>
              </w:numPr>
              <w:spacing w:line="360" w:lineRule="auto"/>
              <w:rPr>
                <w:rFonts w:hint="eastAsia" w:asciiTheme="minorHAnsi" w:hAnsiTheme="minorHAnsi" w:eastAsiaTheme="minorEastAsia" w:cstheme="minorBidi"/>
                <w:b/>
                <w:bCs/>
                <w:color w:val="000000" w:themeColor="text1"/>
                <w:sz w:val="24"/>
                <w:szCs w:val="22"/>
                <w:lang w:val="en-US" w:eastAsia="zh-CN" w:bidi="ar-SA"/>
                <w14:textFill>
                  <w14:solidFill>
                    <w14:schemeClr w14:val="tx1"/>
                  </w14:solidFill>
                </w14:textFill>
              </w:rPr>
            </w:pPr>
            <w:r>
              <w:rPr>
                <w:rFonts w:hint="eastAsia"/>
                <w:b/>
                <w:bCs/>
                <w:color w:val="000000" w:themeColor="text1"/>
                <w:sz w:val="24"/>
                <w:lang w:val="en-US" w:eastAsia="zh-CN"/>
                <w14:textFill>
                  <w14:solidFill>
                    <w14:schemeClr w14:val="tx1"/>
                  </w14:solidFill>
                </w14:textFill>
              </w:rPr>
              <w:t>8、与生物安全相关规范的符合性分析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FF0000"/>
                <w:sz w:val="24"/>
                <w:szCs w:val="22"/>
                <w:lang w:val="en-US" w:eastAsia="zh-CN" w:bidi="ar-SA"/>
              </w:rPr>
            </w:pPr>
            <w:r>
              <w:rPr>
                <w:rFonts w:hint="eastAsia" w:cstheme="minorBidi"/>
                <w:b/>
                <w:bCs/>
                <w:color w:val="FF0000"/>
                <w:sz w:val="24"/>
                <w:szCs w:val="22"/>
                <w:lang w:val="en-US" w:eastAsia="zh-CN" w:bidi="ar-SA"/>
              </w:rPr>
              <w:t>表1-5   项目与《科学实验室建筑设计规范标准》符合性分析</w:t>
            </w:r>
          </w:p>
          <w:tbl>
            <w:tblPr>
              <w:tblStyle w:val="28"/>
              <w:tblW w:w="8898" w:type="dxa"/>
              <w:jc w:val="center"/>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3529"/>
              <w:gridCol w:w="91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jc w:val="center"/>
              </w:trPr>
              <w:tc>
                <w:tcPr>
                  <w:tcW w:w="4450" w:type="dxa"/>
                  <w:vAlign w:val="center"/>
                </w:tcPr>
                <w:p>
                  <w:pPr>
                    <w:jc w:val="center"/>
                    <w:rPr>
                      <w:rFonts w:ascii="宋体" w:hAnsi="宋体" w:cs="宋体"/>
                      <w:color w:val="FF0000"/>
                      <w:sz w:val="21"/>
                      <w:szCs w:val="21"/>
                    </w:rPr>
                  </w:pPr>
                  <w:r>
                    <w:rPr>
                      <w:rFonts w:hint="eastAsia" w:asciiTheme="minorHAnsi" w:hAnsiTheme="minorHAnsi" w:eastAsiaTheme="minorEastAsia" w:cstheme="minorBidi"/>
                      <w:color w:val="FF0000"/>
                      <w:sz w:val="21"/>
                      <w:szCs w:val="21"/>
                      <w:lang w:val="en-US" w:eastAsia="zh-CN" w:bidi="ar-SA"/>
                    </w:rPr>
                    <w:t>设计规范标准要求</w:t>
                  </w:r>
                </w:p>
              </w:tc>
              <w:tc>
                <w:tcPr>
                  <w:tcW w:w="3529" w:type="dxa"/>
                  <w:vAlign w:val="center"/>
                </w:tcPr>
                <w:p>
                  <w:pPr>
                    <w:jc w:val="center"/>
                    <w:rPr>
                      <w:rFonts w:ascii="宋体" w:hAnsi="宋体" w:cs="宋体"/>
                      <w:color w:val="FF0000"/>
                      <w:sz w:val="21"/>
                      <w:szCs w:val="21"/>
                    </w:rPr>
                  </w:pPr>
                  <w:r>
                    <w:rPr>
                      <w:rFonts w:ascii="宋体" w:hAnsi="宋体" w:cs="宋体"/>
                      <w:color w:val="FF0000"/>
                      <w:spacing w:val="-2"/>
                      <w:sz w:val="21"/>
                      <w:szCs w:val="21"/>
                    </w:rPr>
                    <w:t>项目情况分析</w:t>
                  </w:r>
                </w:p>
              </w:tc>
              <w:tc>
                <w:tcPr>
                  <w:tcW w:w="919" w:type="dxa"/>
                  <w:vAlign w:val="center"/>
                </w:tcPr>
                <w:p>
                  <w:pPr>
                    <w:jc w:val="center"/>
                    <w:rPr>
                      <w:rFonts w:ascii="宋体" w:hAnsi="宋体" w:cs="宋体"/>
                      <w:color w:val="FF0000"/>
                      <w:sz w:val="21"/>
                      <w:szCs w:val="21"/>
                    </w:rPr>
                  </w:pPr>
                  <w:r>
                    <w:rPr>
                      <w:rFonts w:ascii="宋体" w:hAnsi="宋体" w:cs="宋体"/>
                      <w:color w:val="FF0000"/>
                      <w:spacing w:val="-3"/>
                      <w:sz w:val="21"/>
                      <w:szCs w:val="21"/>
                    </w:rPr>
                    <w:t>符合性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4450" w:type="dxa"/>
                  <w:vAlign w:val="center"/>
                </w:tcPr>
                <w:p>
                  <w:pPr>
                    <w:jc w:val="center"/>
                    <w:rPr>
                      <w:rFonts w:hint="eastAsia" w:ascii="宋体" w:hAnsi="宋体" w:cs="宋体" w:eastAsiaTheme="minorEastAsia"/>
                      <w:color w:val="FF0000"/>
                      <w:spacing w:val="-1"/>
                      <w:szCs w:val="21"/>
                      <w:lang w:eastAsia="zh-CN"/>
                    </w:rPr>
                  </w:pPr>
                  <w:r>
                    <w:rPr>
                      <w:rFonts w:hint="eastAsia" w:ascii="宋体" w:hAnsi="宋体" w:cs="宋体" w:eastAsiaTheme="minorEastAsia"/>
                      <w:color w:val="FF0000"/>
                      <w:spacing w:val="-1"/>
                      <w:szCs w:val="21"/>
                      <w:lang w:eastAsia="zh-CN"/>
                    </w:rPr>
                    <w:t>基地选择必须符合当地城市规划和环境保护的要求，应节约用地，不占或少占良田</w:t>
                  </w:r>
                </w:p>
              </w:tc>
              <w:tc>
                <w:tcPr>
                  <w:tcW w:w="3529" w:type="dxa"/>
                  <w:vAlign w:val="center"/>
                </w:tcPr>
                <w:p>
                  <w:pPr>
                    <w:jc w:val="center"/>
                    <w:rPr>
                      <w:rFonts w:hint="default" w:ascii="宋体" w:hAnsi="宋体" w:cs="宋体" w:eastAsiaTheme="minorEastAsia"/>
                      <w:color w:val="FF0000"/>
                      <w:spacing w:val="-2"/>
                      <w:szCs w:val="21"/>
                      <w:lang w:val="en-US" w:eastAsia="zh-CN"/>
                    </w:rPr>
                  </w:pPr>
                  <w:r>
                    <w:rPr>
                      <w:rFonts w:hint="eastAsia" w:ascii="宋体" w:hAnsi="宋体" w:cs="宋体"/>
                      <w:color w:val="FF0000"/>
                      <w:spacing w:val="-2"/>
                      <w:szCs w:val="21"/>
                      <w:lang w:val="en-US" w:eastAsia="zh-CN"/>
                    </w:rPr>
                    <w:t>项目位于宁县新宁镇，位于城市建成区，不占用良田</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jc w:val="center"/>
              </w:trPr>
              <w:tc>
                <w:tcPr>
                  <w:tcW w:w="4450" w:type="dxa"/>
                  <w:vAlign w:val="center"/>
                </w:tcPr>
                <w:p>
                  <w:pPr>
                    <w:jc w:val="center"/>
                    <w:rPr>
                      <w:rFonts w:hint="default" w:ascii="宋体" w:hAnsi="宋体" w:cs="宋体"/>
                      <w:color w:val="FF0000"/>
                      <w:spacing w:val="-1"/>
                      <w:szCs w:val="21"/>
                      <w:lang w:val="en-US" w:eastAsia="zh-CN"/>
                    </w:rPr>
                  </w:pPr>
                  <w:r>
                    <w:rPr>
                      <w:rFonts w:hint="default" w:ascii="宋体" w:hAnsi="宋体" w:cs="宋体"/>
                      <w:color w:val="FF0000"/>
                      <w:spacing w:val="-1"/>
                      <w:szCs w:val="21"/>
                      <w:lang w:val="en-US" w:eastAsia="zh-CN"/>
                    </w:rPr>
                    <w:t>基地与易燃、易爆品生产及储存区之间的安全距离应符合国家现行有关规范的规定</w:t>
                  </w:r>
                </w:p>
              </w:tc>
              <w:tc>
                <w:tcPr>
                  <w:tcW w:w="3529" w:type="dxa"/>
                  <w:vAlign w:val="center"/>
                </w:tcPr>
                <w:p>
                  <w:pPr>
                    <w:jc w:val="center"/>
                    <w:rPr>
                      <w:rFonts w:hint="default" w:ascii="宋体" w:hAnsi="宋体" w:cs="宋体"/>
                      <w:color w:val="FF0000"/>
                      <w:spacing w:val="-1"/>
                      <w:szCs w:val="21"/>
                      <w:lang w:val="en-US" w:eastAsia="zh-CN"/>
                    </w:rPr>
                  </w:pPr>
                  <w:r>
                    <w:rPr>
                      <w:rFonts w:hint="eastAsia" w:ascii="宋体" w:hAnsi="宋体" w:cs="宋体"/>
                      <w:color w:val="FF0000"/>
                      <w:spacing w:val="-1"/>
                      <w:szCs w:val="21"/>
                      <w:lang w:val="en-US" w:eastAsia="zh-CN"/>
                    </w:rPr>
                    <w:t>项目区周边无易燃、易爆品生产及储存区</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jc w:val="center"/>
              </w:trPr>
              <w:tc>
                <w:tcPr>
                  <w:tcW w:w="4450" w:type="dxa"/>
                  <w:vAlign w:val="center"/>
                </w:tcPr>
                <w:p>
                  <w:pPr>
                    <w:jc w:val="center"/>
                    <w:rPr>
                      <w:rFonts w:hint="default" w:ascii="宋体" w:hAnsi="宋体" w:cs="宋体"/>
                      <w:color w:val="FF0000"/>
                      <w:spacing w:val="-1"/>
                      <w:szCs w:val="21"/>
                      <w:lang w:val="en-US" w:eastAsia="zh-CN"/>
                    </w:rPr>
                  </w:pPr>
                  <w:r>
                    <w:rPr>
                      <w:rFonts w:hint="default" w:ascii="宋体" w:hAnsi="宋体" w:cs="宋体"/>
                      <w:color w:val="FF0000"/>
                      <w:spacing w:val="-1"/>
                      <w:szCs w:val="21"/>
                      <w:lang w:val="en-US" w:eastAsia="zh-CN"/>
                    </w:rPr>
                    <w:t>设置空气调节的实验室外窗应具有良好的密闭性及隔热性，且宜设不少于窗面积1</w:t>
                  </w:r>
                  <w:r>
                    <w:rPr>
                      <w:rFonts w:hint="eastAsia" w:ascii="宋体" w:hAnsi="宋体" w:cs="宋体"/>
                      <w:color w:val="FF0000"/>
                      <w:spacing w:val="-1"/>
                      <w:szCs w:val="21"/>
                      <w:lang w:val="en-US" w:eastAsia="zh-CN"/>
                    </w:rPr>
                    <w:t>/</w:t>
                  </w:r>
                  <w:r>
                    <w:rPr>
                      <w:rFonts w:hint="default" w:ascii="宋体" w:hAnsi="宋体" w:cs="宋体"/>
                      <w:color w:val="FF0000"/>
                      <w:spacing w:val="-1"/>
                      <w:szCs w:val="21"/>
                      <w:lang w:val="en-US" w:eastAsia="zh-CN"/>
                    </w:rPr>
                    <w:t>3的可开启窗扇。</w:t>
                  </w:r>
                </w:p>
              </w:tc>
              <w:tc>
                <w:tcPr>
                  <w:tcW w:w="3529" w:type="dxa"/>
                  <w:vAlign w:val="center"/>
                </w:tcPr>
                <w:p>
                  <w:pPr>
                    <w:jc w:val="center"/>
                    <w:rPr>
                      <w:rFonts w:hint="default" w:ascii="宋体" w:hAnsi="宋体" w:cs="宋体"/>
                      <w:color w:val="FF0000"/>
                      <w:spacing w:val="-1"/>
                      <w:szCs w:val="21"/>
                      <w:lang w:val="en-US" w:eastAsia="zh-CN"/>
                    </w:rPr>
                  </w:pPr>
                  <w:r>
                    <w:rPr>
                      <w:rFonts w:hint="eastAsia" w:ascii="宋体" w:hAnsi="宋体" w:cs="宋体"/>
                      <w:color w:val="FF0000"/>
                      <w:spacing w:val="-2"/>
                      <w:szCs w:val="21"/>
                      <w:lang w:val="en-US" w:eastAsia="zh-CN"/>
                    </w:rPr>
                    <w:t>现有建筑物窗户均为单层玻璃，可开启窗户面积占窗面积1/2；密闭性和隔热性较差，本次环评要求将实验室窗户改造为双层玻璃，同时设置遮光百叶；</w:t>
                  </w:r>
                </w:p>
              </w:tc>
              <w:tc>
                <w:tcPr>
                  <w:tcW w:w="919" w:type="dxa"/>
                  <w:vAlign w:val="center"/>
                </w:tcPr>
                <w:p>
                  <w:pPr>
                    <w:jc w:val="center"/>
                    <w:rPr>
                      <w:rFonts w:hint="default" w:ascii="宋体" w:hAnsi="宋体" w:cs="宋体"/>
                      <w:color w:val="FF0000"/>
                      <w:spacing w:val="-3"/>
                      <w:szCs w:val="21"/>
                      <w:lang w:val="en-US" w:eastAsia="zh-CN"/>
                    </w:rPr>
                  </w:pPr>
                  <w:r>
                    <w:rPr>
                      <w:rFonts w:hint="eastAsia" w:ascii="宋体" w:hAnsi="宋体" w:cs="宋体"/>
                      <w:color w:val="FF0000"/>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jc w:val="center"/>
              </w:trPr>
              <w:tc>
                <w:tcPr>
                  <w:tcW w:w="4450" w:type="dxa"/>
                  <w:vAlign w:val="center"/>
                </w:tcPr>
                <w:p>
                  <w:pPr>
                    <w:jc w:val="center"/>
                    <w:rPr>
                      <w:rFonts w:hint="default" w:ascii="宋体" w:hAnsi="宋体" w:cs="宋体"/>
                      <w:color w:val="FF0000"/>
                      <w:spacing w:val="-1"/>
                      <w:szCs w:val="21"/>
                      <w:lang w:val="en-US" w:eastAsia="zh-CN"/>
                    </w:rPr>
                  </w:pPr>
                  <w:r>
                    <w:rPr>
                      <w:rFonts w:hint="default" w:ascii="宋体" w:hAnsi="宋体" w:cs="宋体"/>
                      <w:color w:val="FF0000"/>
                      <w:spacing w:val="-1"/>
                      <w:szCs w:val="21"/>
                      <w:lang w:val="en-US" w:eastAsia="zh-CN"/>
                    </w:rPr>
                    <w:t>由1/2个标准单元组成的实验室的门洞宽度不应小于1m，高度不应小于2.10m。</w:t>
                  </w:r>
                  <w:r>
                    <w:rPr>
                      <w:rFonts w:hint="default" w:ascii="宋体" w:hAnsi="宋体" w:cs="宋体"/>
                      <w:color w:val="0000FF"/>
                      <w:spacing w:val="-1"/>
                      <w:szCs w:val="21"/>
                      <w:lang w:val="en-US" w:eastAsia="zh-CN"/>
                    </w:rPr>
                    <w:t>由</w:t>
                  </w:r>
                  <w:r>
                    <w:rPr>
                      <w:color w:val="0000FF"/>
                    </w:rPr>
                    <w:commentReference w:id="0"/>
                  </w:r>
                  <w:r>
                    <w:rPr>
                      <w:rFonts w:hint="eastAsia" w:ascii="宋体" w:hAnsi="宋体" w:cs="宋体"/>
                      <w:color w:val="0000FF"/>
                      <w:spacing w:val="-1"/>
                      <w:szCs w:val="21"/>
                      <w:lang w:val="en-US" w:eastAsia="zh-CN"/>
                    </w:rPr>
                    <w:t>一</w:t>
                  </w:r>
                  <w:r>
                    <w:rPr>
                      <w:rFonts w:hint="default" w:ascii="宋体" w:hAnsi="宋体" w:cs="宋体"/>
                      <w:color w:val="0000FF"/>
                      <w:spacing w:val="-1"/>
                      <w:szCs w:val="21"/>
                      <w:lang w:val="en-US" w:eastAsia="zh-CN"/>
                    </w:rPr>
                    <w:t>个及以上标准单元组成的实验室的门洞宽度不应小于1.20m，高度不应小于2.10m</w:t>
                  </w:r>
                </w:p>
              </w:tc>
              <w:tc>
                <w:tcPr>
                  <w:tcW w:w="3529" w:type="dxa"/>
                  <w:vAlign w:val="center"/>
                </w:tcPr>
                <w:p>
                  <w:pPr>
                    <w:jc w:val="center"/>
                    <w:rPr>
                      <w:rFonts w:hint="default" w:ascii="宋体" w:hAnsi="宋体" w:cs="宋体"/>
                      <w:color w:val="FF0000"/>
                      <w:spacing w:val="-1"/>
                      <w:szCs w:val="21"/>
                      <w:lang w:val="en-US" w:eastAsia="zh-CN"/>
                    </w:rPr>
                  </w:pPr>
                  <w:r>
                    <w:rPr>
                      <w:rFonts w:hint="eastAsia" w:ascii="宋体" w:hAnsi="宋体" w:cs="宋体"/>
                      <w:color w:val="0000FF"/>
                      <w:spacing w:val="-1"/>
                      <w:szCs w:val="21"/>
                      <w:lang w:val="en-US" w:eastAsia="zh-CN"/>
                    </w:rPr>
                    <w:t>本项目实验室由1个标准单元和1/2个标准单元组成，门洞宽度0.9m，高度2.0m，不满足设计要求；本次环评要求对实验区门进行整改，一个标准单元整改后门洞宽度1.30m，高度2.10m；1/2个标准单元整改后门洞宽1.0m，高度2.0m</w:t>
                  </w:r>
                </w:p>
              </w:tc>
              <w:tc>
                <w:tcPr>
                  <w:tcW w:w="919" w:type="dxa"/>
                  <w:vAlign w:val="center"/>
                </w:tcPr>
                <w:p>
                  <w:pPr>
                    <w:jc w:val="center"/>
                    <w:rPr>
                      <w:rFonts w:hint="default" w:ascii="宋体" w:hAnsi="宋体" w:cs="宋体"/>
                      <w:color w:val="FF0000"/>
                      <w:spacing w:val="-3"/>
                      <w:szCs w:val="21"/>
                      <w:lang w:val="en-US" w:eastAsia="zh-CN"/>
                    </w:rPr>
                  </w:pPr>
                  <w:r>
                    <w:rPr>
                      <w:rFonts w:hint="eastAsia" w:ascii="宋体" w:hAnsi="宋体" w:cs="宋体"/>
                      <w:color w:val="FF0000"/>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jc w:val="center"/>
              </w:trPr>
              <w:tc>
                <w:tcPr>
                  <w:tcW w:w="4450" w:type="dxa"/>
                  <w:vAlign w:val="center"/>
                </w:tcPr>
                <w:p>
                  <w:pPr>
                    <w:jc w:val="center"/>
                    <w:rPr>
                      <w:rFonts w:hint="default" w:ascii="宋体" w:hAnsi="宋体" w:cs="宋体"/>
                      <w:color w:val="FF0000"/>
                      <w:spacing w:val="-1"/>
                      <w:szCs w:val="21"/>
                      <w:lang w:val="en-US" w:eastAsia="zh-CN"/>
                    </w:rPr>
                  </w:pPr>
                  <w:r>
                    <w:rPr>
                      <w:rFonts w:hint="eastAsia" w:ascii="宋体" w:hAnsi="宋体" w:cs="宋体"/>
                      <w:color w:val="FF0000"/>
                      <w:spacing w:val="-1"/>
                      <w:szCs w:val="21"/>
                      <w:lang w:val="en-US" w:eastAsia="zh-CN"/>
                    </w:rPr>
                    <w:t>单面布房单走道最小净宽1.3m</w:t>
                  </w:r>
                </w:p>
              </w:tc>
              <w:tc>
                <w:tcPr>
                  <w:tcW w:w="3529" w:type="dxa"/>
                  <w:vAlign w:val="center"/>
                </w:tcPr>
                <w:p>
                  <w:pPr>
                    <w:jc w:val="center"/>
                    <w:rPr>
                      <w:rFonts w:hint="default" w:ascii="宋体" w:hAnsi="宋体" w:cs="宋体"/>
                      <w:color w:val="FF0000"/>
                      <w:spacing w:val="-1"/>
                      <w:szCs w:val="21"/>
                      <w:lang w:val="en-US" w:eastAsia="zh-CN"/>
                    </w:rPr>
                  </w:pPr>
                  <w:r>
                    <w:rPr>
                      <w:rFonts w:hint="eastAsia" w:ascii="宋体" w:hAnsi="宋体" w:cs="宋体"/>
                      <w:color w:val="FF0000"/>
                      <w:spacing w:val="-1"/>
                      <w:szCs w:val="21"/>
                      <w:lang w:val="en-US" w:eastAsia="zh-CN"/>
                    </w:rPr>
                    <w:t>项目实验室单面布房单走道宽度1.57m</w:t>
                  </w:r>
                </w:p>
              </w:tc>
              <w:tc>
                <w:tcPr>
                  <w:tcW w:w="919" w:type="dxa"/>
                  <w:vAlign w:val="center"/>
                </w:tcPr>
                <w:p>
                  <w:pPr>
                    <w:jc w:val="center"/>
                    <w:rPr>
                      <w:rFonts w:hint="default" w:ascii="宋体" w:hAnsi="宋体" w:cs="宋体"/>
                      <w:color w:val="FF0000"/>
                      <w:spacing w:val="-3"/>
                      <w:szCs w:val="21"/>
                      <w:lang w:val="en-US" w:eastAsia="zh-CN"/>
                    </w:rPr>
                  </w:pPr>
                  <w:r>
                    <w:rPr>
                      <w:rFonts w:hint="eastAsia" w:ascii="宋体" w:hAnsi="宋体" w:cs="宋体"/>
                      <w:color w:val="FF0000"/>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1144" w:hRule="atLeast"/>
                <w:jc w:val="center"/>
              </w:trPr>
              <w:tc>
                <w:tcPr>
                  <w:tcW w:w="4450" w:type="dxa"/>
                  <w:vAlign w:val="center"/>
                </w:tcPr>
                <w:p>
                  <w:pPr>
                    <w:jc w:val="center"/>
                    <w:rPr>
                      <w:rFonts w:hint="eastAsia" w:ascii="宋体" w:hAnsi="宋体" w:cs="宋体" w:eastAsiaTheme="minorEastAsia"/>
                      <w:color w:val="FF0000"/>
                      <w:spacing w:val="-1"/>
                      <w:szCs w:val="21"/>
                      <w:lang w:eastAsia="zh-CN"/>
                    </w:rPr>
                  </w:pPr>
                  <w:r>
                    <w:rPr>
                      <w:rFonts w:hint="eastAsia" w:ascii="宋体" w:hAnsi="宋体" w:cs="宋体" w:eastAsiaTheme="minorEastAsia"/>
                      <w:color w:val="FF0000"/>
                      <w:spacing w:val="-1"/>
                      <w:szCs w:val="21"/>
                      <w:lang w:eastAsia="zh-CN"/>
                    </w:rPr>
                    <w:t>生物培养室应防止人流交叉感染。宜布置在建筑物的尽端，不宜开设外窗。有外窗时，应做双层密闭窗及遮光百叶。</w:t>
                  </w:r>
                </w:p>
              </w:tc>
              <w:tc>
                <w:tcPr>
                  <w:tcW w:w="3529" w:type="dxa"/>
                  <w:vAlign w:val="center"/>
                </w:tcPr>
                <w:p>
                  <w:pPr>
                    <w:jc w:val="center"/>
                    <w:rPr>
                      <w:rFonts w:hint="default" w:ascii="宋体" w:hAnsi="宋体" w:cs="宋体" w:eastAsiaTheme="minorEastAsia"/>
                      <w:color w:val="FF0000"/>
                      <w:spacing w:val="-2"/>
                      <w:szCs w:val="21"/>
                      <w:lang w:val="en-US" w:eastAsia="zh-CN"/>
                    </w:rPr>
                  </w:pPr>
                  <w:r>
                    <w:rPr>
                      <w:rFonts w:hint="eastAsia" w:ascii="宋体" w:hAnsi="宋体" w:cs="宋体"/>
                      <w:color w:val="FF0000"/>
                      <w:spacing w:val="-2"/>
                      <w:szCs w:val="21"/>
                      <w:lang w:val="en-US" w:eastAsia="zh-CN"/>
                    </w:rPr>
                    <w:t>本项目实验室在现有办公楼改造，根据调查，现有建筑物窗户均为单层玻璃，无遮光；不符合技术规范，本次改造过程根据设计规范要求，将实验室窗户改造为双层玻璃，同时设置遮光百叶</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整改后符合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jc w:val="center"/>
              </w:trPr>
              <w:tc>
                <w:tcPr>
                  <w:tcW w:w="4450" w:type="dxa"/>
                  <w:vAlign w:val="center"/>
                </w:tcPr>
                <w:p>
                  <w:pPr>
                    <w:jc w:val="center"/>
                    <w:rPr>
                      <w:rFonts w:hint="eastAsia" w:ascii="宋体" w:hAnsi="宋体" w:cs="宋体" w:eastAsiaTheme="minorEastAsia"/>
                      <w:color w:val="FF0000"/>
                      <w:spacing w:val="-1"/>
                      <w:szCs w:val="21"/>
                      <w:lang w:eastAsia="zh-CN"/>
                    </w:rPr>
                  </w:pPr>
                  <w:r>
                    <w:rPr>
                      <w:rFonts w:hint="eastAsia" w:ascii="宋体" w:hAnsi="宋体" w:cs="宋体" w:eastAsiaTheme="minorEastAsia"/>
                      <w:color w:val="FF0000"/>
                      <w:spacing w:val="-1"/>
                      <w:szCs w:val="21"/>
                      <w:lang w:eastAsia="zh-CN"/>
                    </w:rPr>
                    <w:t>生物培养室与各功能房间玻璃隔断墙上的门，宜采用推拉门。</w:t>
                  </w:r>
                </w:p>
              </w:tc>
              <w:tc>
                <w:tcPr>
                  <w:tcW w:w="3529" w:type="dxa"/>
                  <w:vAlign w:val="center"/>
                </w:tcPr>
                <w:p>
                  <w:pPr>
                    <w:jc w:val="center"/>
                    <w:rPr>
                      <w:rFonts w:hint="default" w:ascii="宋体" w:hAnsi="宋体" w:cs="宋体" w:eastAsiaTheme="minorEastAsia"/>
                      <w:color w:val="FF0000"/>
                      <w:spacing w:val="-2"/>
                      <w:szCs w:val="21"/>
                      <w:lang w:val="en-US" w:eastAsia="zh-CN"/>
                    </w:rPr>
                  </w:pPr>
                  <w:r>
                    <w:rPr>
                      <w:rFonts w:hint="eastAsia" w:ascii="宋体" w:hAnsi="宋体" w:cs="宋体"/>
                      <w:color w:val="FF0000"/>
                      <w:spacing w:val="-2"/>
                      <w:szCs w:val="21"/>
                      <w:lang w:val="en-US" w:eastAsia="zh-CN"/>
                    </w:rPr>
                    <w:t>项目实验室建设时实验室外隔断门采用推拉式</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4450" w:type="dxa"/>
                  <w:vAlign w:val="center"/>
                </w:tcPr>
                <w:p>
                  <w:pPr>
                    <w:jc w:val="center"/>
                    <w:rPr>
                      <w:rFonts w:hint="eastAsia" w:ascii="宋体" w:hAnsi="宋体" w:cs="宋体" w:eastAsiaTheme="minorEastAsia"/>
                      <w:color w:val="FF0000"/>
                      <w:spacing w:val="-1"/>
                      <w:szCs w:val="21"/>
                      <w:lang w:eastAsia="zh-CN"/>
                    </w:rPr>
                  </w:pPr>
                  <w:r>
                    <w:rPr>
                      <w:rFonts w:hint="eastAsia" w:ascii="宋体" w:hAnsi="宋体" w:cs="宋体" w:eastAsiaTheme="minorEastAsia"/>
                      <w:color w:val="FF0000"/>
                      <w:spacing w:val="-1"/>
                      <w:szCs w:val="21"/>
                      <w:lang w:eastAsia="zh-CN"/>
                    </w:rPr>
                    <w:t>生物培养室宜留有设置灭菌器的位置。</w:t>
                  </w:r>
                </w:p>
              </w:tc>
              <w:tc>
                <w:tcPr>
                  <w:tcW w:w="3529" w:type="dxa"/>
                  <w:vAlign w:val="center"/>
                </w:tcPr>
                <w:p>
                  <w:pPr>
                    <w:jc w:val="center"/>
                    <w:rPr>
                      <w:rFonts w:hint="default" w:ascii="宋体" w:hAnsi="宋体" w:cs="宋体" w:eastAsiaTheme="minorEastAsia"/>
                      <w:color w:val="FF0000"/>
                      <w:spacing w:val="-2"/>
                      <w:szCs w:val="21"/>
                      <w:lang w:val="en-US" w:eastAsia="zh-CN"/>
                    </w:rPr>
                  </w:pPr>
                  <w:r>
                    <w:rPr>
                      <w:rFonts w:hint="eastAsia" w:ascii="宋体" w:hAnsi="宋体" w:cs="宋体"/>
                      <w:color w:val="FF0000"/>
                      <w:spacing w:val="-2"/>
                      <w:szCs w:val="21"/>
                      <w:lang w:val="en-US" w:eastAsia="zh-CN"/>
                    </w:rPr>
                    <w:t>实验室配备灭菌器</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符合</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4450" w:type="dxa"/>
                  <w:vAlign w:val="center"/>
                </w:tcPr>
                <w:p>
                  <w:pPr>
                    <w:jc w:val="center"/>
                    <w:rPr>
                      <w:rFonts w:hint="eastAsia" w:ascii="宋体" w:hAnsi="宋体" w:cs="宋体" w:eastAsiaTheme="minorEastAsia"/>
                      <w:color w:val="FF0000"/>
                      <w:spacing w:val="-1"/>
                      <w:szCs w:val="21"/>
                      <w:lang w:eastAsia="zh-CN"/>
                    </w:rPr>
                  </w:pPr>
                  <w:r>
                    <w:rPr>
                      <w:rFonts w:hint="eastAsia" w:ascii="宋体" w:hAnsi="宋体" w:cs="宋体" w:eastAsiaTheme="minorEastAsia"/>
                      <w:color w:val="FF0000"/>
                      <w:spacing w:val="-1"/>
                      <w:szCs w:val="21"/>
                      <w:lang w:eastAsia="zh-CN"/>
                    </w:rPr>
                    <w:t>生物培养室由前室、准备间、生物培养间、器械消毒及清洗间组成。前室使用面积不应小于8m</w:t>
                  </w:r>
                  <w:r>
                    <w:rPr>
                      <w:rFonts w:hint="eastAsia" w:ascii="宋体" w:hAnsi="宋体" w:cs="宋体" w:eastAsiaTheme="minorEastAsia"/>
                      <w:color w:val="FF0000"/>
                      <w:spacing w:val="-1"/>
                      <w:szCs w:val="21"/>
                      <w:vertAlign w:val="superscript"/>
                      <w:lang w:eastAsia="zh-CN"/>
                    </w:rPr>
                    <w:t>2</w:t>
                  </w:r>
                  <w:r>
                    <w:rPr>
                      <w:rFonts w:hint="eastAsia" w:ascii="宋体" w:hAnsi="宋体" w:cs="宋体" w:eastAsiaTheme="minorEastAsia"/>
                      <w:color w:val="FF0000"/>
                      <w:spacing w:val="-1"/>
                      <w:szCs w:val="21"/>
                      <w:lang w:eastAsia="zh-CN"/>
                    </w:rPr>
                    <w:t>，前室内应设家庭服和工作服分开的更衣柜和换鞋柜。</w:t>
                  </w:r>
                </w:p>
              </w:tc>
              <w:tc>
                <w:tcPr>
                  <w:tcW w:w="3529" w:type="dxa"/>
                  <w:vAlign w:val="center"/>
                </w:tcPr>
                <w:p>
                  <w:pPr>
                    <w:jc w:val="center"/>
                    <w:rPr>
                      <w:rFonts w:hint="default" w:ascii="宋体" w:hAnsi="宋体" w:cs="宋体" w:eastAsiaTheme="minorEastAsia"/>
                      <w:color w:val="FF0000"/>
                      <w:spacing w:val="-2"/>
                      <w:szCs w:val="21"/>
                      <w:lang w:val="en-US" w:eastAsia="zh-CN"/>
                    </w:rPr>
                  </w:pPr>
                  <w:r>
                    <w:rPr>
                      <w:rFonts w:hint="eastAsia" w:ascii="宋体" w:hAnsi="宋体" w:cs="宋体"/>
                      <w:color w:val="FF0000"/>
                      <w:spacing w:val="-2"/>
                      <w:szCs w:val="21"/>
                      <w:lang w:val="en-US" w:eastAsia="zh-CN"/>
                    </w:rPr>
                    <w:t>本项目实验室配备前室、准备间、生物培养间、器械消毒及清洗间等，前室使用面积为10m</w:t>
                  </w:r>
                  <w:r>
                    <w:rPr>
                      <w:rFonts w:hint="eastAsia" w:ascii="宋体" w:hAnsi="宋体" w:cs="宋体"/>
                      <w:color w:val="FF0000"/>
                      <w:spacing w:val="-2"/>
                      <w:szCs w:val="21"/>
                      <w:vertAlign w:val="superscript"/>
                      <w:lang w:val="en-US" w:eastAsia="zh-CN"/>
                    </w:rPr>
                    <w:t>2</w:t>
                  </w:r>
                  <w:r>
                    <w:rPr>
                      <w:rFonts w:hint="eastAsia" w:ascii="宋体" w:hAnsi="宋体" w:cs="宋体"/>
                      <w:color w:val="FF0000"/>
                      <w:spacing w:val="-2"/>
                      <w:szCs w:val="21"/>
                      <w:vertAlign w:val="baseline"/>
                      <w:lang w:val="en-US" w:eastAsia="zh-CN"/>
                    </w:rPr>
                    <w:t>，</w:t>
                  </w:r>
                  <w:r>
                    <w:rPr>
                      <w:rFonts w:hint="eastAsia" w:ascii="宋体" w:hAnsi="宋体" w:cs="宋体"/>
                      <w:color w:val="FF0000"/>
                      <w:spacing w:val="-2"/>
                      <w:szCs w:val="21"/>
                      <w:lang w:val="en-US" w:eastAsia="zh-CN"/>
                    </w:rPr>
                    <w:t>实验室配备更衣室</w:t>
                  </w:r>
                </w:p>
              </w:tc>
              <w:tc>
                <w:tcPr>
                  <w:tcW w:w="919" w:type="dxa"/>
                  <w:vAlign w:val="center"/>
                </w:tcPr>
                <w:p>
                  <w:pPr>
                    <w:jc w:val="center"/>
                    <w:rPr>
                      <w:rFonts w:hint="eastAsia" w:ascii="宋体" w:hAnsi="宋体" w:cs="宋体" w:eastAsiaTheme="minorEastAsia"/>
                      <w:color w:val="FF0000"/>
                      <w:spacing w:val="-3"/>
                      <w:szCs w:val="21"/>
                      <w:lang w:val="en-US" w:eastAsia="zh-CN"/>
                    </w:rPr>
                  </w:pPr>
                  <w:r>
                    <w:rPr>
                      <w:rFonts w:hint="eastAsia" w:ascii="宋体" w:hAnsi="宋体" w:cs="宋体"/>
                      <w:color w:val="FF0000"/>
                      <w:spacing w:val="-3"/>
                      <w:szCs w:val="21"/>
                      <w:lang w:val="en-US" w:eastAsia="zh-CN"/>
                    </w:rPr>
                    <w:t>符合</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hint="default"/>
                <w:sz w:val="24"/>
                <w:szCs w:val="24"/>
                <w:lang w:val="en-US" w:eastAsia="zh-CN"/>
              </w:rPr>
            </w:pPr>
            <w:r>
              <w:rPr>
                <w:rFonts w:hint="eastAsia"/>
                <w:color w:val="FF0000"/>
                <w:sz w:val="24"/>
                <w:szCs w:val="24"/>
                <w:lang w:val="en-US" w:eastAsia="zh-CN"/>
              </w:rPr>
              <w:t>根据分析，本项目实验室设计符合《科学实验室建筑设计规范标准》相关标准。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lang w:val="en-US" w:eastAsia="zh-CN" w:bidi="ar-SA"/>
                <w14:textFill>
                  <w14:solidFill>
                    <w14:schemeClr w14:val="tx1"/>
                  </w14:solidFill>
                </w14:textFill>
              </w:rPr>
            </w:pPr>
            <w:r>
              <w:rPr>
                <w:rFonts w:hint="eastAsia" w:cstheme="minorBidi"/>
                <w:b/>
                <w:bCs/>
                <w:color w:val="000000" w:themeColor="text1"/>
                <w:sz w:val="24"/>
                <w:szCs w:val="22"/>
                <w:lang w:val="en-US" w:eastAsia="zh-CN" w:bidi="ar-SA"/>
                <w14:textFill>
                  <w14:solidFill>
                    <w14:schemeClr w14:val="tx1"/>
                  </w14:solidFill>
                </w14:textFill>
              </w:rPr>
              <w:t>表1-6     项目与《</w:t>
            </w:r>
            <w:r>
              <w:rPr>
                <w:rFonts w:hint="eastAsia" w:asciiTheme="minorHAnsi" w:hAnsiTheme="minorHAnsi" w:eastAsiaTheme="minorEastAsia" w:cstheme="minorBidi"/>
                <w:b/>
                <w:bCs/>
                <w:color w:val="000000" w:themeColor="text1"/>
                <w:sz w:val="24"/>
                <w:szCs w:val="22"/>
                <w:lang w:val="en-US" w:eastAsia="zh-CN" w:bidi="ar-SA"/>
                <w14:textFill>
                  <w14:solidFill>
                    <w14:schemeClr w14:val="tx1"/>
                  </w14:solidFill>
                </w14:textFill>
              </w:rPr>
              <w:t>实验室生物安全通用要求</w:t>
            </w:r>
            <w:r>
              <w:rPr>
                <w:rFonts w:hint="eastAsia" w:cstheme="minorBidi"/>
                <w:b/>
                <w:bCs/>
                <w:color w:val="000000" w:themeColor="text1"/>
                <w:sz w:val="24"/>
                <w:szCs w:val="22"/>
                <w:lang w:val="en-US" w:eastAsia="zh-CN" w:bidi="ar-SA"/>
                <w14:textFill>
                  <w14:solidFill>
                    <w14:schemeClr w14:val="tx1"/>
                  </w14:solidFill>
                </w14:textFill>
              </w:rPr>
              <w:t>》（GB19489）的符合性分析</w:t>
            </w:r>
          </w:p>
          <w:tbl>
            <w:tblPr>
              <w:tblStyle w:val="28"/>
              <w:tblW w:w="8898" w:type="dxa"/>
              <w:jc w:val="center"/>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3529"/>
              <w:gridCol w:w="919"/>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jc w:val="center"/>
              </w:trPr>
              <w:tc>
                <w:tcPr>
                  <w:tcW w:w="4450"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Theme="minorHAnsi" w:hAnsiTheme="minorHAnsi" w:eastAsiaTheme="minorEastAsia" w:cstheme="minorBidi"/>
                      <w:color w:val="000000" w:themeColor="text1"/>
                      <w:sz w:val="21"/>
                      <w:szCs w:val="21"/>
                      <w:lang w:val="en-US" w:eastAsia="zh-CN" w:bidi="ar-SA"/>
                      <w14:textFill>
                        <w14:solidFill>
                          <w14:schemeClr w14:val="tx1"/>
                        </w14:solidFill>
                      </w14:textFill>
                    </w:rPr>
                    <w:t>实验室生物安全通用要求</w:t>
                  </w:r>
                </w:p>
              </w:tc>
              <w:tc>
                <w:tcPr>
                  <w:tcW w:w="3529" w:type="dxa"/>
                  <w:vAlign w:val="center"/>
                </w:tcPr>
                <w:p>
                  <w:pPr>
                    <w:jc w:val="center"/>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pacing w:val="-2"/>
                      <w:sz w:val="21"/>
                      <w:szCs w:val="21"/>
                      <w14:textFill>
                        <w14:solidFill>
                          <w14:schemeClr w14:val="tx1"/>
                        </w14:solidFill>
                      </w14:textFill>
                    </w:rPr>
                    <w:t>项目情况分析</w:t>
                  </w:r>
                </w:p>
              </w:tc>
              <w:tc>
                <w:tcPr>
                  <w:tcW w:w="919" w:type="dxa"/>
                  <w:vAlign w:val="center"/>
                </w:tcPr>
                <w:p>
                  <w:pPr>
                    <w:jc w:val="center"/>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pacing w:val="-3"/>
                      <w:sz w:val="21"/>
                      <w:szCs w:val="21"/>
                      <w14:textFill>
                        <w14:solidFill>
                          <w14:schemeClr w14:val="tx1"/>
                        </w14:solidFill>
                      </w14:textFill>
                    </w:rPr>
                    <w:t>符合性</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574"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实验室选址、设计和建造应符合国家和地方环境保护和建设主管部门等的规定和要求</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项目选址不在环境敏感区和保护区内</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859" w:hRule="atLeast"/>
                <w:jc w:val="center"/>
              </w:trPr>
              <w:tc>
                <w:tcPr>
                  <w:tcW w:w="4450" w:type="dxa"/>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实验室的防火和安全通道设置应符合国家的消防规定和要求</w:t>
                  </w:r>
                </w:p>
              </w:tc>
              <w:tc>
                <w:tcPr>
                  <w:tcW w:w="3529" w:type="dxa"/>
                  <w:vAlign w:val="center"/>
                </w:tcPr>
                <w:p>
                  <w:pPr>
                    <w:jc w:val="center"/>
                    <w:rPr>
                      <w:rFonts w:hint="eastAsia" w:ascii="宋体" w:hAnsi="宋体" w:cs="宋体"/>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项目根据《中华人民共和国防火条例》、《建筑设计防火规范》等法规进行设计建设</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1144"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不得循环使用动物实验室排出的空气</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本项目实验主要为抗原性实验，且实验室废气在生物安全柜内得到有效控制，排气由风管经净化排风机组处理后，</w:t>
                  </w:r>
                  <w:r>
                    <w:rPr>
                      <w:rFonts w:hint="eastAsia" w:ascii="宋体" w:hAnsi="宋体" w:cs="宋体"/>
                      <w:color w:val="FF0000"/>
                      <w:spacing w:val="-2"/>
                      <w:szCs w:val="21"/>
                      <w:lang w:eastAsia="zh-CN"/>
                    </w:rPr>
                    <w:t>通过专用排气筒送至楼顶</w:t>
                  </w:r>
                  <w:r>
                    <w:rPr>
                      <w:rFonts w:hint="eastAsia" w:ascii="宋体" w:hAnsi="宋体" w:cs="宋体"/>
                      <w:color w:val="FF0000"/>
                      <w:spacing w:val="-2"/>
                      <w:szCs w:val="21"/>
                      <w:lang w:val="en-US" w:eastAsia="zh-CN"/>
                    </w:rPr>
                    <w:t>4m高排气筒</w:t>
                  </w:r>
                  <w:r>
                    <w:rPr>
                      <w:rFonts w:hint="eastAsia" w:ascii="宋体" w:hAnsi="宋体" w:cs="宋体"/>
                      <w:color w:val="FF0000"/>
                      <w:spacing w:val="-2"/>
                      <w:szCs w:val="21"/>
                      <w:lang w:eastAsia="zh-CN"/>
                    </w:rPr>
                    <w:t>排放</w:t>
                  </w:r>
                  <w:r>
                    <w:rPr>
                      <w:rFonts w:hint="eastAsia"/>
                      <w:color w:val="FF0000"/>
                      <w:lang w:eastAsia="zh-CN"/>
                    </w:rPr>
                    <w:t>（</w:t>
                  </w:r>
                  <w:r>
                    <w:rPr>
                      <w:rFonts w:hint="eastAsia"/>
                      <w:color w:val="FF0000"/>
                      <w:lang w:val="en-US" w:eastAsia="zh-CN"/>
                    </w:rPr>
                    <w:t>排气筒高度距离地面15m</w:t>
                  </w:r>
                  <w:r>
                    <w:rPr>
                      <w:rFonts w:hint="eastAsia"/>
                      <w:color w:val="FF0000"/>
                      <w:lang w:eastAsia="zh-CN"/>
                    </w:rPr>
                    <w:t>）</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350"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应设置洗手池，宜设置在实验室出口处</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项目在实验室出口处设置有洗手池</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574"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应在操作病原微生物样本的实验间内配备生物安全柜</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项目在生物实验室内配备有生物安全柜</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574"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应按产品的设计要求安装和使用生物安全柜</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项目在安全柜旁张贴有安全柜使用说明</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PrEx>
              <w:trPr>
                <w:trHeight w:val="574" w:hRule="atLeast"/>
                <w:jc w:val="center"/>
              </w:trPr>
              <w:tc>
                <w:tcPr>
                  <w:tcW w:w="4450" w:type="dxa"/>
                  <w:vAlign w:val="center"/>
                </w:tcPr>
                <w:p>
                  <w:pPr>
                    <w:jc w:val="center"/>
                    <w:rPr>
                      <w:rFonts w:hint="eastAsia" w:ascii="宋体" w:hAnsi="宋体" w:cs="宋体" w:eastAsiaTheme="minorEastAsia"/>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应在实验室防护区内设置生物安全型高压蒸汽灭菌器</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实验室内配备有</w:t>
                  </w:r>
                  <w:r>
                    <w:rPr>
                      <w:rFonts w:hint="eastAsia" w:ascii="宋体" w:hAnsi="宋体" w:cs="宋体"/>
                      <w:color w:val="000000" w:themeColor="text1"/>
                      <w:spacing w:val="-1"/>
                      <w:szCs w:val="21"/>
                      <w:lang w:eastAsia="zh-CN"/>
                      <w14:textFill>
                        <w14:solidFill>
                          <w14:schemeClr w14:val="tx1"/>
                        </w14:solidFill>
                      </w14:textFill>
                    </w:rPr>
                    <w:t>生物安全型高压蒸汽灭菌器</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Ex>
              <w:trPr>
                <w:trHeight w:val="1197" w:hRule="atLeast"/>
                <w:jc w:val="center"/>
              </w:trPr>
              <w:tc>
                <w:tcPr>
                  <w:tcW w:w="4450" w:type="dxa"/>
                  <w:vAlign w:val="center"/>
                </w:tcPr>
                <w:p>
                  <w:pPr>
                    <w:jc w:val="center"/>
                    <w:rPr>
                      <w:rFonts w:hint="eastAsia" w:ascii="宋体" w:hAnsi="宋体" w:cs="宋体"/>
                      <w:color w:val="000000" w:themeColor="text1"/>
                      <w:spacing w:val="-1"/>
                      <w:szCs w:val="21"/>
                      <w:lang w:eastAsia="zh-CN"/>
                      <w14:textFill>
                        <w14:solidFill>
                          <w14:schemeClr w14:val="tx1"/>
                        </w14:solidFill>
                      </w14:textFill>
                    </w:rPr>
                  </w:pPr>
                  <w:r>
                    <w:rPr>
                      <w:rFonts w:hint="eastAsia" w:ascii="宋体" w:hAnsi="宋体" w:cs="宋体"/>
                      <w:color w:val="000000" w:themeColor="text1"/>
                      <w:spacing w:val="-1"/>
                      <w:szCs w:val="21"/>
                      <w:lang w:eastAsia="zh-CN"/>
                      <w14:textFill>
                        <w14:solidFill>
                          <w14:schemeClr w14:val="tx1"/>
                        </w14:solidFill>
                      </w14:textFill>
                    </w:rPr>
                    <w:t>污水应消毒灭菌处理</w:t>
                  </w:r>
                </w:p>
              </w:tc>
              <w:tc>
                <w:tcPr>
                  <w:tcW w:w="3529" w:type="dxa"/>
                  <w:vAlign w:val="center"/>
                </w:tcPr>
                <w:p>
                  <w:pPr>
                    <w:jc w:val="center"/>
                    <w:rPr>
                      <w:rFonts w:hint="eastAsia" w:ascii="宋体" w:hAnsi="宋体" w:cs="宋体" w:eastAsiaTheme="minorEastAsia"/>
                      <w:color w:val="000000" w:themeColor="text1"/>
                      <w:spacing w:val="-2"/>
                      <w:szCs w:val="21"/>
                      <w:lang w:eastAsia="zh-CN"/>
                      <w14:textFill>
                        <w14:solidFill>
                          <w14:schemeClr w14:val="tx1"/>
                        </w14:solidFill>
                      </w14:textFill>
                    </w:rPr>
                  </w:pPr>
                  <w:r>
                    <w:rPr>
                      <w:rFonts w:hint="eastAsia" w:ascii="宋体" w:hAnsi="宋体" w:cs="宋体"/>
                      <w:color w:val="000000" w:themeColor="text1"/>
                      <w:spacing w:val="-2"/>
                      <w:szCs w:val="21"/>
                      <w:lang w:eastAsia="zh-CN"/>
                      <w14:textFill>
                        <w14:solidFill>
                          <w14:schemeClr w14:val="tx1"/>
                        </w14:solidFill>
                      </w14:textFill>
                    </w:rPr>
                    <w:t>项目生物实验室废水先经消毒、高温高压灭菌预处理后排入院内化粪池预处理后排入</w:t>
                  </w:r>
                  <w:r>
                    <w:rPr>
                      <w:rFonts w:hint="eastAsia" w:ascii="宋体" w:hAnsi="宋体" w:cs="宋体"/>
                      <w:color w:val="000000" w:themeColor="text1"/>
                      <w:spacing w:val="-2"/>
                      <w:szCs w:val="21"/>
                      <w:lang w:val="en-US" w:eastAsia="zh-CN"/>
                      <w14:textFill>
                        <w14:solidFill>
                          <w14:schemeClr w14:val="tx1"/>
                        </w14:solidFill>
                      </w14:textFill>
                    </w:rPr>
                    <w:t>市政管网</w:t>
                  </w:r>
                </w:p>
              </w:tc>
              <w:tc>
                <w:tcPr>
                  <w:tcW w:w="919" w:type="dxa"/>
                  <w:vAlign w:val="center"/>
                </w:tcPr>
                <w:p>
                  <w:pPr>
                    <w:jc w:val="center"/>
                    <w:rPr>
                      <w:rFonts w:ascii="宋体" w:hAnsi="宋体" w:cs="宋体"/>
                      <w:color w:val="000000" w:themeColor="text1"/>
                      <w:spacing w:val="-3"/>
                      <w:szCs w:val="21"/>
                      <w14:textFill>
                        <w14:solidFill>
                          <w14:schemeClr w14:val="tx1"/>
                        </w14:solidFill>
                      </w14:textFill>
                    </w:rPr>
                  </w:pPr>
                </w:p>
              </w:tc>
            </w:tr>
          </w:tbl>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根据《生物安全实验室建筑技术规范》（GB50346-2011）有关规定，根据实验室所处理的生物危害程度和采取的防护措施，生物安全实验室分为四级。生物实验室可以采用BSL-1、BSL-2、BSL-3、BSL-4 表示相应级别的实验室。生物安全实验室应按表1-7进行分级。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lang w:val="en-US" w:eastAsia="zh-CN" w:bidi="ar-SA"/>
                <w14:textFill>
                  <w14:solidFill>
                    <w14:schemeClr w14:val="tx1"/>
                  </w14:solidFill>
                </w14:textFill>
              </w:rPr>
            </w:pPr>
            <w:r>
              <w:rPr>
                <w:rFonts w:hint="eastAsia" w:cstheme="minorBidi"/>
                <w:b/>
                <w:bCs/>
                <w:color w:val="000000" w:themeColor="text1"/>
                <w:sz w:val="24"/>
                <w:szCs w:val="22"/>
                <w:lang w:val="en-US" w:eastAsia="zh-CN" w:bidi="ar-SA"/>
                <w14:textFill>
                  <w14:solidFill>
                    <w14:schemeClr w14:val="tx1"/>
                  </w14:solidFill>
                </w14:textFill>
              </w:rPr>
              <w:t>表1-7     生物安全实验室的分级</w:t>
            </w:r>
          </w:p>
          <w:tbl>
            <w:tblPr>
              <w:tblStyle w:val="29"/>
              <w:tblW w:w="893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214"/>
              <w:gridCol w:w="3566"/>
              <w:gridCol w:w="22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923"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分级</w:t>
                  </w:r>
                </w:p>
              </w:tc>
              <w:tc>
                <w:tcPr>
                  <w:tcW w:w="2214"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生物危害程度</w:t>
                  </w:r>
                </w:p>
              </w:tc>
              <w:tc>
                <w:tcPr>
                  <w:tcW w:w="3566"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操作对象</w:t>
                  </w:r>
                </w:p>
              </w:tc>
              <w:tc>
                <w:tcPr>
                  <w:tcW w:w="2235" w:type="dxa"/>
                  <w:tcBorders>
                    <w:tl2br w:val="nil"/>
                    <w:tr2bl w:val="nil"/>
                  </w:tcBorders>
                </w:tcPr>
                <w:p>
                  <w:pPr>
                    <w:pStyle w:val="30"/>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本项目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23"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一级</w:t>
                  </w:r>
                </w:p>
              </w:tc>
              <w:tc>
                <w:tcPr>
                  <w:tcW w:w="2214"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default" w:ascii="宋体" w:hAnsi="宋体" w:cs="宋体"/>
                      <w:color w:val="000000" w:themeColor="text1"/>
                      <w:spacing w:val="-1"/>
                      <w:szCs w:val="21"/>
                      <w:lang w:val="en-US" w:eastAsia="zh-CN"/>
                      <w14:textFill>
                        <w14:solidFill>
                          <w14:schemeClr w14:val="tx1"/>
                        </w14:solidFill>
                      </w14:textFill>
                    </w:rPr>
                    <w:t>低个体危害，低群体危害</w:t>
                  </w:r>
                </w:p>
              </w:tc>
              <w:tc>
                <w:tcPr>
                  <w:tcW w:w="3566"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对个体、动植物或环境危害较低，不具有对健康成人、动植物致病的致病因子</w:t>
                  </w:r>
                </w:p>
              </w:tc>
              <w:tc>
                <w:tcPr>
                  <w:tcW w:w="2235" w:type="dxa"/>
                  <w:vMerge w:val="restart"/>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本项目为二级生物安全实验室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923"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二级</w:t>
                  </w:r>
                </w:p>
              </w:tc>
              <w:tc>
                <w:tcPr>
                  <w:tcW w:w="2214"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中等个体危害，有限群体危害</w:t>
                  </w:r>
                </w:p>
              </w:tc>
              <w:tc>
                <w:tcPr>
                  <w:tcW w:w="3566"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对个体、动植物或环境具有中等危害或具有潜在危险的致病因子，对健康成人、动物和环境不好造成严重危害，有有效的预防和治疗措施</w:t>
                  </w:r>
                </w:p>
              </w:tc>
              <w:tc>
                <w:tcPr>
                  <w:tcW w:w="2235" w:type="dxa"/>
                  <w:vMerge w:val="continue"/>
                  <w:tcBorders>
                    <w:tl2br w:val="nil"/>
                    <w:tr2bl w:val="nil"/>
                  </w:tcBorders>
                </w:tcPr>
                <w:p>
                  <w:pPr>
                    <w:pStyle w:val="30"/>
                    <w:rPr>
                      <w:rFonts w:hint="default"/>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923" w:type="dxa"/>
                  <w:tcBorders>
                    <w:tl2br w:val="nil"/>
                    <w:tr2bl w:val="nil"/>
                  </w:tcBorders>
                  <w:vAlign w:val="center"/>
                </w:tcPr>
                <w:p>
                  <w:pPr>
                    <w:jc w:val="center"/>
                    <w:rPr>
                      <w:rFonts w:hint="default"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三级</w:t>
                  </w:r>
                </w:p>
              </w:tc>
              <w:tc>
                <w:tcPr>
                  <w:tcW w:w="2214" w:type="dxa"/>
                  <w:tcBorders>
                    <w:tl2br w:val="nil"/>
                    <w:tr2bl w:val="nil"/>
                  </w:tcBorders>
                  <w:vAlign w:val="center"/>
                </w:tcPr>
                <w:p>
                  <w:pPr>
                    <w:jc w:val="center"/>
                    <w:rPr>
                      <w:rFonts w:hint="default"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高个体危害，低群体危害</w:t>
                  </w:r>
                </w:p>
              </w:tc>
              <w:tc>
                <w:tcPr>
                  <w:tcW w:w="3566" w:type="dxa"/>
                  <w:tcBorders>
                    <w:tl2br w:val="nil"/>
                    <w:tr2bl w:val="nil"/>
                  </w:tcBorders>
                  <w:vAlign w:val="center"/>
                </w:tcPr>
                <w:p>
                  <w:pPr>
                    <w:jc w:val="center"/>
                    <w:rPr>
                      <w:rFonts w:hint="default"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对个体、动植物或环境具有高度危险性，主要通过气溶胶使人传染上严重的甚至是致病疾病，或对动植物和环境具有高度危害的致病因子。通常有预防治疗措施</w:t>
                  </w:r>
                </w:p>
              </w:tc>
              <w:tc>
                <w:tcPr>
                  <w:tcW w:w="2235" w:type="dxa"/>
                  <w:vMerge w:val="continue"/>
                  <w:tcBorders>
                    <w:tl2br w:val="nil"/>
                    <w:tr2bl w:val="nil"/>
                  </w:tcBorders>
                </w:tcPr>
                <w:p>
                  <w:pPr>
                    <w:pStyle w:val="30"/>
                    <w:rPr>
                      <w:rFonts w:hint="default"/>
                      <w:color w:val="000000" w:themeColor="text1"/>
                      <w:vertAlign w:val="baseline"/>
                      <w:lang w:val="en-US"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23"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四级</w:t>
                  </w:r>
                </w:p>
              </w:tc>
              <w:tc>
                <w:tcPr>
                  <w:tcW w:w="2214"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高个体危害，高群体危害</w:t>
                  </w:r>
                </w:p>
              </w:tc>
              <w:tc>
                <w:tcPr>
                  <w:tcW w:w="3566" w:type="dxa"/>
                  <w:tcBorders>
                    <w:tl2br w:val="nil"/>
                    <w:tr2bl w:val="nil"/>
                  </w:tcBorders>
                  <w:vAlign w:val="center"/>
                </w:tcPr>
                <w:p>
                  <w:pPr>
                    <w:jc w:val="center"/>
                    <w:rPr>
                      <w:rFonts w:hint="default" w:ascii="宋体" w:hAnsi="宋体" w:cs="宋体"/>
                      <w:color w:val="000000" w:themeColor="text1"/>
                      <w:spacing w:val="-1"/>
                      <w:szCs w:val="21"/>
                      <w:lang w:val="en-US" w:eastAsia="zh-CN"/>
                      <w14:textFill>
                        <w14:solidFill>
                          <w14:schemeClr w14:val="tx1"/>
                        </w14:solidFill>
                      </w14:textFill>
                    </w:rPr>
                  </w:pPr>
                  <w:r>
                    <w:rPr>
                      <w:rFonts w:hint="eastAsia" w:ascii="宋体" w:hAnsi="宋体" w:cs="宋体"/>
                      <w:color w:val="000000" w:themeColor="text1"/>
                      <w:spacing w:val="-1"/>
                      <w:szCs w:val="21"/>
                      <w:lang w:val="en-US" w:eastAsia="zh-CN"/>
                      <w14:textFill>
                        <w14:solidFill>
                          <w14:schemeClr w14:val="tx1"/>
                        </w14:solidFill>
                      </w14:textFill>
                    </w:rPr>
                    <w:t>对人体、动植物或环境具有高度危险性，通过气溶胶途径传播途径不明，或未知的、危险的致病因子，没有预防治疗措施</w:t>
                  </w:r>
                </w:p>
              </w:tc>
              <w:tc>
                <w:tcPr>
                  <w:tcW w:w="2235" w:type="dxa"/>
                  <w:vMerge w:val="continue"/>
                  <w:tcBorders>
                    <w:tl2br w:val="nil"/>
                    <w:tr2bl w:val="nil"/>
                  </w:tcBorders>
                </w:tcPr>
                <w:p>
                  <w:pPr>
                    <w:pStyle w:val="30"/>
                    <w:rPr>
                      <w:rFonts w:hint="default"/>
                      <w:color w:val="000000" w:themeColor="text1"/>
                      <w:vertAlign w:val="baseline"/>
                      <w:lang w:val="en-US" w:eastAsia="zh-CN"/>
                      <w14:textFill>
                        <w14:solidFill>
                          <w14:schemeClr w14:val="tx1"/>
                        </w14:solidFill>
                      </w14:textFill>
                    </w:rPr>
                  </w:pPr>
                </w:p>
              </w:tc>
            </w:tr>
          </w:tbl>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生物安全实验室建筑技术规范》（GB50346-2011）有关规定，二级实验室的设立单位须按《实验室生物安全通用要求》（GB19489-2008)、《疾病预防控制中心建筑技术规范》（GB50881-2013）和卫生部《微生物和生物医学实验室安全通用准则》（WS233-2002）要求，进行实验室的设计和建造，配置必要的生物安全防护设备。本项目与生物安全相关规范的符合性分析见表</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。本项目需参照《实验室生物安全通用要求》、《生物安全实验室建筑技术规范》和卫生部《微生物和生物医学实验室安全通用准则》要求，进行实验室的设 计和建造，配备必要的生物安全防护设备。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vertAlign w:val="baseline"/>
                <w:lang w:val="en-US" w:eastAsia="zh-CN" w:bidi="ar-SA"/>
                <w14:textFill>
                  <w14:solidFill>
                    <w14:schemeClr w14:val="tx1"/>
                  </w14:solidFill>
                </w14:textFill>
              </w:rPr>
            </w:pPr>
            <w:r>
              <w:rPr>
                <w:rFonts w:hint="eastAsia" w:cstheme="minorBidi"/>
                <w:b/>
                <w:bCs/>
                <w:color w:val="000000" w:themeColor="text1"/>
                <w:sz w:val="24"/>
                <w:szCs w:val="22"/>
                <w:lang w:val="en-US" w:eastAsia="zh-CN" w:bidi="ar-SA"/>
                <w14:textFill>
                  <w14:solidFill>
                    <w14:schemeClr w14:val="tx1"/>
                  </w14:solidFill>
                </w14:textFill>
              </w:rPr>
              <w:t>表1-8     本项目与生物安全性相关规范符合性分析</w:t>
            </w:r>
          </w:p>
          <w:tbl>
            <w:tblPr>
              <w:tblStyle w:val="2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3533"/>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vertAlign w:val="baseline"/>
                      <w:lang w:val="en-US" w:eastAsia="zh-CN" w:bidi="ar-SA"/>
                      <w14:textFill>
                        <w14:solidFill>
                          <w14:schemeClr w14:val="tx1"/>
                        </w14:solidFill>
                      </w14:textFill>
                    </w:rPr>
                  </w:pPr>
                  <w:r>
                    <w:rPr>
                      <w:rFonts w:hint="eastAsia" w:cstheme="minorBidi"/>
                      <w:b/>
                      <w:bCs/>
                      <w:color w:val="000000" w:themeColor="text1"/>
                      <w:sz w:val="24"/>
                      <w:szCs w:val="22"/>
                      <w:vertAlign w:val="baseline"/>
                      <w:lang w:val="en-US" w:eastAsia="zh-CN" w:bidi="ar-SA"/>
                      <w14:textFill>
                        <w14:solidFill>
                          <w14:schemeClr w14:val="tx1"/>
                        </w14:solidFill>
                      </w14:textFill>
                    </w:rPr>
                    <w:t>标准</w:t>
                  </w:r>
                </w:p>
              </w:tc>
              <w:tc>
                <w:tcPr>
                  <w:tcW w:w="35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vertAlign w:val="baseline"/>
                      <w:lang w:val="en-US" w:eastAsia="zh-CN" w:bidi="ar-SA"/>
                      <w14:textFill>
                        <w14:solidFill>
                          <w14:schemeClr w14:val="tx1"/>
                        </w14:solidFill>
                      </w14:textFill>
                    </w:rPr>
                  </w:pPr>
                  <w:r>
                    <w:rPr>
                      <w:rFonts w:hint="eastAsia" w:cstheme="minorBidi"/>
                      <w:b/>
                      <w:bCs/>
                      <w:color w:val="000000" w:themeColor="text1"/>
                      <w:sz w:val="24"/>
                      <w:szCs w:val="22"/>
                      <w:vertAlign w:val="baseline"/>
                      <w:lang w:val="en-US" w:eastAsia="zh-CN" w:bidi="ar-SA"/>
                      <w14:textFill>
                        <w14:solidFill>
                          <w14:schemeClr w14:val="tx1"/>
                        </w14:solidFill>
                      </w14:textFill>
                    </w:rPr>
                    <w:t>指标要求</w:t>
                  </w:r>
                </w:p>
              </w:tc>
              <w:tc>
                <w:tcPr>
                  <w:tcW w:w="32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bCs/>
                      <w:color w:val="000000" w:themeColor="text1"/>
                      <w:sz w:val="24"/>
                      <w:szCs w:val="22"/>
                      <w:vertAlign w:val="baseline"/>
                      <w:lang w:val="en-US" w:eastAsia="zh-CN" w:bidi="ar-SA"/>
                      <w14:textFill>
                        <w14:solidFill>
                          <w14:schemeClr w14:val="tx1"/>
                        </w14:solidFill>
                      </w14:textFill>
                    </w:rPr>
                  </w:pPr>
                  <w:r>
                    <w:rPr>
                      <w:rFonts w:hint="eastAsia" w:cstheme="minorBidi"/>
                      <w:b/>
                      <w:bCs/>
                      <w:color w:val="000000" w:themeColor="text1"/>
                      <w:sz w:val="24"/>
                      <w:szCs w:val="22"/>
                      <w:vertAlign w:val="baseline"/>
                      <w:lang w:val="en-US" w:eastAsia="zh-CN" w:bidi="ar-SA"/>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《生物安全实验室建筑技术规范》（</w:t>
                  </w:r>
                  <w:r>
                    <w:rPr>
                      <w:rFonts w:hint="default" w:ascii="宋体" w:hAnsi="宋体" w:cs="宋体"/>
                      <w:b w:val="0"/>
                      <w:bCs w:val="0"/>
                      <w:color w:val="000000" w:themeColor="text1"/>
                      <w:spacing w:val="-1"/>
                      <w:szCs w:val="21"/>
                      <w:lang w:val="en-US" w:eastAsia="zh-CN"/>
                      <w14:textFill>
                        <w14:solidFill>
                          <w14:schemeClr w14:val="tx1"/>
                        </w14:solidFill>
                      </w14:textFill>
                    </w:rPr>
                    <w:t>GB50346-2011</w:t>
                  </w:r>
                  <w:r>
                    <w:rPr>
                      <w:rFonts w:hint="eastAsia" w:ascii="宋体" w:hAnsi="宋体" w:cs="宋体"/>
                      <w:b w:val="0"/>
                      <w:bCs w:val="0"/>
                      <w:color w:val="000000" w:themeColor="text1"/>
                      <w:spacing w:val="-1"/>
                      <w:szCs w:val="21"/>
                      <w:lang w:val="en-US" w:eastAsia="zh-CN"/>
                      <w14:textFill>
                        <w14:solidFill>
                          <w14:schemeClr w14:val="tx1"/>
                        </w14:solidFill>
                      </w14:textFill>
                    </w:rPr>
                    <w:t>）对二级实验室建筑、装修和结构的要求</w:t>
                  </w: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技术指标：应实施一级屏障或二级屏障</w:t>
                  </w:r>
                </w:p>
              </w:tc>
              <w:tc>
                <w:tcPr>
                  <w:tcW w:w="3283" w:type="dxa"/>
                  <w:vAlign w:val="center"/>
                </w:tcPr>
                <w:p>
                  <w:pPr>
                    <w:jc w:val="center"/>
                    <w:rPr>
                      <w:rFonts w:hint="default"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FF0000"/>
                      <w:spacing w:val="-1"/>
                      <w:szCs w:val="21"/>
                      <w:lang w:val="en-US" w:eastAsia="zh-CN"/>
                    </w:rPr>
                    <w:t>符合，在生物实验室区入口处设置更衣室，实验区出口处设置两层隔断，隔断门采用推拉式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平面位置：可共用建筑物，与建筑物其他部分可相同，但应设可自动关闭的带锁的门</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符合，实验楼、实验用房均设有办公区域，各共用建筑物设置自动关闭的带锁的门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二级生物安全实验室应在入口处设置更衣室或更衣柜</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符合，进入试验区域需经过更衣室，进入</w:t>
                  </w:r>
                  <w:r>
                    <w:rPr>
                      <w:rFonts w:hint="default" w:ascii="宋体" w:hAnsi="宋体" w:cs="宋体"/>
                      <w:b w:val="0"/>
                      <w:bCs w:val="0"/>
                      <w:color w:val="000000" w:themeColor="text1"/>
                      <w:spacing w:val="-1"/>
                      <w:szCs w:val="21"/>
                      <w:lang w:val="en-US" w:eastAsia="zh-CN"/>
                      <w14:textFill>
                        <w14:solidFill>
                          <w14:schemeClr w14:val="tx1"/>
                        </w14:solidFill>
                      </w14:textFill>
                    </w:rPr>
                    <w:t>P2</w:t>
                  </w:r>
                  <w:r>
                    <w:rPr>
                      <w:rFonts w:hint="eastAsia" w:ascii="宋体" w:hAnsi="宋体" w:cs="宋体"/>
                      <w:b w:val="0"/>
                      <w:bCs w:val="0"/>
                      <w:color w:val="000000" w:themeColor="text1"/>
                      <w:spacing w:val="-1"/>
                      <w:szCs w:val="21"/>
                      <w:lang w:val="en-US" w:eastAsia="zh-CN"/>
                      <w14:textFill>
                        <w14:solidFill>
                          <w14:schemeClr w14:val="tx1"/>
                        </w14:solidFill>
                      </w14:textFill>
                    </w:rPr>
                    <w:t>实验室还需</w:t>
                  </w:r>
                </w:p>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经过更衣室及缓冲间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二级生物安全实验室应在实验室或实验室所在建筑内配备高压灭菌器或其他消毒灭菌设备</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符合，实验室内配备高压灭菌器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二级、三级、四级生物安全实验室的入口，应明确标示出生物防护级别、操作的致病性生物因子、紧急联络方式等，并应标示出国际通用生物危险符号每个实验室应设洗手池，宜设置在靠近实验室的出口处</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按要求建设，符合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《实验室生物安全通用要求》（</w:t>
                  </w:r>
                  <w:r>
                    <w:rPr>
                      <w:rFonts w:hint="default" w:ascii="宋体" w:hAnsi="宋体" w:cs="宋体"/>
                      <w:b w:val="0"/>
                      <w:bCs w:val="0"/>
                      <w:color w:val="000000" w:themeColor="text1"/>
                      <w:spacing w:val="-1"/>
                      <w:szCs w:val="21"/>
                      <w:lang w:val="en-US" w:eastAsia="zh-CN"/>
                      <w14:textFill>
                        <w14:solidFill>
                          <w14:schemeClr w14:val="tx1"/>
                        </w14:solidFill>
                      </w14:textFill>
                    </w:rPr>
                    <w:t>GB19489-2008</w:t>
                  </w:r>
                  <w:r>
                    <w:rPr>
                      <w:rFonts w:hint="eastAsia" w:ascii="宋体" w:hAnsi="宋体" w:cs="宋体"/>
                      <w:b w:val="0"/>
                      <w:bCs w:val="0"/>
                      <w:color w:val="000000" w:themeColor="text1"/>
                      <w:spacing w:val="-1"/>
                      <w:szCs w:val="21"/>
                      <w:lang w:val="en-US" w:eastAsia="zh-CN"/>
                      <w14:textFill>
                        <w14:solidFill>
                          <w14:schemeClr w14:val="tx1"/>
                        </w14:solidFill>
                      </w14:textFill>
                    </w:rPr>
                    <w:t>）对二级实验室设施和设备要求</w:t>
                  </w: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每个实验室应设洗手池，宜设置在靠近实验室的出口处</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符合，每个实验室均设有洗手池，尽量设置在靠出口位置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实验室的墙壁、天花板和地面应易清洁、不渗水、耐化学品和消毒灭菌剂的腐蚀。地面应平整、防滑，不应铺设地毯</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符合，实验室的墙壁、天花板和地面耐腐蚀、耐弱酸、耐弱碱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实验室中的家具应牢固，为易于清洁，各种家具和设备之间应保持生物废弃物容器的台（架）</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符合，实验室中的家具基础牢固，使用材料为易于清洁，各种家具和设备之间保持生物废弃物容器的台（架）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实验室如有可开启的窗户，应设置纱窗</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符合，可开启窗户设立纱窗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restart"/>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《微生物和生物医学实验室生物安全通用准则》对二级实验室设置的基本要求</w:t>
                  </w: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可能产生致病微生物气溶胶或出现溅出的操作均应在生物安全柜（二级生物柜为宜）或其他物理抑制设备中进行，并使用个体防护设备</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符合，项目生物实验室为负压，实验室内配备二级生物安全柜，并使用个体防护设备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在实验室中应穿着工作服或罩衫等防护服。离开实验室时，防护服必须脱下并留在实验室内。不得穿着外出，更不能携带回家。用过的防护服应先在实验室中消毒，然后统一洗涤或丢弃。</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工作人员在进入在实验室中穿着工作服或罩衫等防护服。离开实验室时，将防护服脱下并留在实验室内。用过的防护服应先在实验室中消毒，然后统一处置。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应设置各种消毒方法的设施，如高压灭菌锅、化学消毒装置等对废弃物进行处理</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设有高温灭菌锅对实验仪器和废弃物进行处理，符合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实验室门宜带锁、可自动关闭</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是，符合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实验室出口应有发光指示标志</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是，符合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10" w:type="dxa"/>
                  <w:vMerge w:val="continue"/>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p>
              </w:tc>
              <w:tc>
                <w:tcPr>
                  <w:tcW w:w="353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实验室宜有不少于每小时</w:t>
                  </w:r>
                  <w:r>
                    <w:rPr>
                      <w:rFonts w:hint="default" w:ascii="宋体" w:hAnsi="宋体" w:cs="宋体"/>
                      <w:b w:val="0"/>
                      <w:bCs w:val="0"/>
                      <w:color w:val="000000" w:themeColor="text1"/>
                      <w:spacing w:val="-1"/>
                      <w:szCs w:val="21"/>
                      <w:lang w:val="en-US" w:eastAsia="zh-CN"/>
                      <w14:textFill>
                        <w14:solidFill>
                          <w14:schemeClr w14:val="tx1"/>
                        </w14:solidFill>
                      </w14:textFill>
                    </w:rPr>
                    <w:t>3~4</w:t>
                  </w:r>
                  <w:r>
                    <w:rPr>
                      <w:rFonts w:hint="eastAsia" w:ascii="宋体" w:hAnsi="宋体" w:cs="宋体"/>
                      <w:b w:val="0"/>
                      <w:bCs w:val="0"/>
                      <w:color w:val="000000" w:themeColor="text1"/>
                      <w:spacing w:val="-1"/>
                      <w:szCs w:val="21"/>
                      <w:lang w:val="en-US" w:eastAsia="zh-CN"/>
                      <w14:textFill>
                        <w14:solidFill>
                          <w14:schemeClr w14:val="tx1"/>
                        </w14:solidFill>
                      </w14:textFill>
                    </w:rPr>
                    <w:t>次的通风换气次数</w:t>
                  </w:r>
                </w:p>
              </w:tc>
              <w:tc>
                <w:tcPr>
                  <w:tcW w:w="3283" w:type="dxa"/>
                  <w:vAlign w:val="center"/>
                </w:tcPr>
                <w:p>
                  <w:pPr>
                    <w:jc w:val="center"/>
                    <w:rPr>
                      <w:rFonts w:hint="eastAsia" w:ascii="宋体" w:hAnsi="宋体" w:cs="宋体"/>
                      <w:b w:val="0"/>
                      <w:bCs w:val="0"/>
                      <w:color w:val="000000" w:themeColor="text1"/>
                      <w:spacing w:val="-1"/>
                      <w:szCs w:val="21"/>
                      <w:lang w:val="en-US" w:eastAsia="zh-CN"/>
                      <w14:textFill>
                        <w14:solidFill>
                          <w14:schemeClr w14:val="tx1"/>
                        </w14:solidFill>
                      </w14:textFill>
                    </w:rPr>
                  </w:pPr>
                  <w:r>
                    <w:rPr>
                      <w:rFonts w:hint="eastAsia" w:ascii="宋体" w:hAnsi="宋体" w:cs="宋体"/>
                      <w:b w:val="0"/>
                      <w:bCs w:val="0"/>
                      <w:color w:val="000000" w:themeColor="text1"/>
                      <w:spacing w:val="-1"/>
                      <w:szCs w:val="21"/>
                      <w:lang w:val="en-US" w:eastAsia="zh-CN"/>
                      <w14:textFill>
                        <w14:solidFill>
                          <w14:schemeClr w14:val="tx1"/>
                        </w14:solidFill>
                      </w14:textFill>
                    </w:rPr>
                    <w:t>是，符合</w:t>
                  </w:r>
                </w:p>
              </w:tc>
            </w:tr>
          </w:tbl>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生物实验室为负压实验室，本实验过程中，实验室内配备二级生物安全柜，实验过程中菌种开启、溶剂加入等可能产生致病微生物气溶胶或出现溅经过二级生物安全柜处理，并使用个体防护设备，设施、设备等各方面均符合满足上述生物安全各标准规范要求。</w:t>
            </w:r>
          </w:p>
          <w:p>
            <w:pPr>
              <w:numPr>
                <w:ilvl w:val="0"/>
                <w:numId w:val="0"/>
              </w:numPr>
              <w:spacing w:line="360" w:lineRule="auto"/>
              <w:rPr>
                <w:rFonts w:hint="eastAsia"/>
                <w:color w:val="000000" w:themeColor="text1"/>
                <w:lang w:val="en-US" w:eastAsia="zh-CN"/>
                <w14:textFill>
                  <w14:solidFill>
                    <w14:schemeClr w14:val="tx1"/>
                  </w14:solidFill>
                </w14:textFill>
              </w:rPr>
            </w:pPr>
          </w:p>
          <w:p>
            <w:pPr>
              <w:numPr>
                <w:ilvl w:val="0"/>
                <w:numId w:val="0"/>
              </w:numPr>
              <w:spacing w:line="360" w:lineRule="auto"/>
              <w:rPr>
                <w:rFonts w:hint="eastAsia"/>
                <w:color w:val="000000" w:themeColor="text1"/>
                <w:lang w:val="en-US" w:eastAsia="zh-CN"/>
                <w14:textFill>
                  <w14:solidFill>
                    <w14:schemeClr w14:val="tx1"/>
                  </w14:solidFill>
                </w14:textFill>
              </w:rPr>
            </w:pPr>
          </w:p>
          <w:p>
            <w:pPr>
              <w:numPr>
                <w:ilvl w:val="0"/>
                <w:numId w:val="0"/>
              </w:numPr>
              <w:spacing w:line="360" w:lineRule="auto"/>
              <w:rPr>
                <w:rFonts w:hint="eastAsia"/>
                <w:color w:val="000000" w:themeColor="text1"/>
                <w:lang w:val="en-US" w:eastAsia="zh-CN"/>
                <w14:textFill>
                  <w14:solidFill>
                    <w14:schemeClr w14:val="tx1"/>
                  </w14:solidFill>
                </w14:textFill>
              </w:rPr>
            </w:pPr>
          </w:p>
          <w:p>
            <w:pPr>
              <w:numPr>
                <w:ilvl w:val="0"/>
                <w:numId w:val="0"/>
              </w:numPr>
              <w:spacing w:line="360" w:lineRule="auto"/>
              <w:rPr>
                <w:rFonts w:hint="eastAsia"/>
                <w:color w:val="000000" w:themeColor="text1"/>
                <w:lang w:val="en-US" w:eastAsia="zh-CN"/>
                <w14:textFill>
                  <w14:solidFill>
                    <w14:schemeClr w14:val="tx1"/>
                  </w14:solidFill>
                </w14:textFill>
              </w:rPr>
            </w:pPr>
          </w:p>
          <w:p>
            <w:pPr>
              <w:numPr>
                <w:ilvl w:val="0"/>
                <w:numId w:val="0"/>
              </w:numPr>
              <w:spacing w:line="360" w:lineRule="auto"/>
              <w:rPr>
                <w:rFonts w:hint="eastAsia"/>
                <w:color w:val="000000" w:themeColor="text1"/>
                <w:lang w:val="en-US" w:eastAsia="zh-CN"/>
                <w14:textFill>
                  <w14:solidFill>
                    <w14:schemeClr w14:val="tx1"/>
                  </w14:solidFill>
                </w14:textFill>
              </w:rPr>
            </w:pPr>
          </w:p>
          <w:p>
            <w:pPr>
              <w:numPr>
                <w:ilvl w:val="0"/>
                <w:numId w:val="0"/>
              </w:numPr>
              <w:spacing w:line="360" w:lineRule="auto"/>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31"/>
              <w:rPr>
                <w:rFonts w:hint="eastAsia"/>
                <w:color w:val="000000" w:themeColor="text1"/>
                <w:lang w:val="en-US" w:eastAsia="zh-CN"/>
                <w14:textFill>
                  <w14:solidFill>
                    <w14:schemeClr w14:val="tx1"/>
                  </w14:solidFill>
                </w14:textFill>
              </w:rPr>
            </w:pPr>
          </w:p>
          <w:p>
            <w:pPr>
              <w:pStyle w:val="31"/>
              <w:rPr>
                <w:rFonts w:hint="eastAsia"/>
                <w:color w:val="000000" w:themeColor="text1"/>
                <w:lang w:val="en-US" w:eastAsia="zh-CN"/>
                <w14:textFill>
                  <w14:solidFill>
                    <w14:schemeClr w14:val="tx1"/>
                  </w14:solidFill>
                </w14:textFill>
              </w:rPr>
            </w:pPr>
          </w:p>
          <w:p>
            <w:pPr>
              <w:pStyle w:val="31"/>
              <w:rPr>
                <w:rFonts w:hint="eastAsia"/>
                <w:color w:val="000000" w:themeColor="text1"/>
                <w:lang w:val="en-US" w:eastAsia="zh-CN"/>
                <w14:textFill>
                  <w14:solidFill>
                    <w14:schemeClr w14:val="tx1"/>
                  </w14:solidFill>
                </w14:textFill>
              </w:rPr>
            </w:pPr>
          </w:p>
          <w:p>
            <w:pPr>
              <w:numPr>
                <w:ilvl w:val="0"/>
                <w:numId w:val="0"/>
              </w:numPr>
              <w:spacing w:line="360" w:lineRule="auto"/>
              <w:rPr>
                <w:rFonts w:hint="default"/>
                <w:color w:val="000000" w:themeColor="text1"/>
                <w:lang w:val="en-US" w:eastAsia="zh-CN"/>
                <w14:textFill>
                  <w14:solidFill>
                    <w14:schemeClr w14:val="tx1"/>
                  </w14:solidFill>
                </w14:textFill>
              </w:rPr>
            </w:pPr>
          </w:p>
        </w:tc>
      </w:tr>
    </w:tbl>
    <w:p>
      <w:pPr>
        <w:pStyle w:val="36"/>
        <w:spacing w:line="360" w:lineRule="auto"/>
        <w:ind w:right="18"/>
        <w:jc w:val="center"/>
        <w:outlineLvl w:val="0"/>
        <w:rPr>
          <w:rFonts w:ascii="Times New Roman" w:hAnsi="Times New Roman" w:eastAsia="宋体"/>
          <w:b/>
          <w:color w:val="000000" w:themeColor="text1"/>
          <w:lang w:eastAsia="zh-CN"/>
          <w14:textFill>
            <w14:solidFill>
              <w14:schemeClr w14:val="tx1"/>
            </w14:solidFill>
          </w14:textFill>
        </w:rPr>
      </w:pPr>
      <w:bookmarkStart w:id="1" w:name="_Toc20905"/>
      <w:r>
        <w:rPr>
          <w:rFonts w:ascii="Times New Roman" w:hAnsi="Times New Roman" w:eastAsia="宋体"/>
          <w:b/>
          <w:color w:val="000000" w:themeColor="text1"/>
          <w:lang w:eastAsia="zh-CN"/>
          <w14:textFill>
            <w14:solidFill>
              <w14:schemeClr w14:val="tx1"/>
            </w14:solidFill>
          </w14:textFill>
        </w:rPr>
        <w:t>二、建设项目工程分析</w:t>
      </w:r>
      <w:bookmarkEnd w:id="1"/>
    </w:p>
    <w:tbl>
      <w:tblPr>
        <w:tblStyle w:val="29"/>
        <w:tblW w:w="99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348"/>
        <w:gridCol w:w="8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c>
          <w:tcPr>
            <w:tcW w:w="1348" w:type="dxa"/>
            <w:vAlign w:val="center"/>
          </w:tcPr>
          <w:p>
            <w:pPr>
              <w:pStyle w:val="36"/>
              <w:ind w:right="18"/>
              <w:jc w:val="center"/>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建</w:t>
            </w:r>
          </w:p>
          <w:p>
            <w:pPr>
              <w:pStyle w:val="36"/>
              <w:ind w:right="18"/>
              <w:jc w:val="center"/>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设</w:t>
            </w:r>
          </w:p>
          <w:p>
            <w:pPr>
              <w:pStyle w:val="36"/>
              <w:ind w:right="18"/>
              <w:jc w:val="center"/>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内</w:t>
            </w:r>
          </w:p>
          <w:p>
            <w:pPr>
              <w:pStyle w:val="36"/>
              <w:ind w:right="18"/>
              <w:jc w:val="center"/>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容</w:t>
            </w:r>
          </w:p>
        </w:tc>
        <w:tc>
          <w:tcPr>
            <w:tcW w:w="8560" w:type="dxa"/>
          </w:tcPr>
          <w:p>
            <w:pPr>
              <w:pStyle w:val="39"/>
              <w:spacing w:before="87" w:line="360" w:lineRule="auto"/>
              <w:ind w:left="565" w:right="136" w:hanging="420"/>
              <w:jc w:val="both"/>
              <w:rPr>
                <w:rFonts w:ascii="Times New Roman" w:hAnsi="Times New Roman" w:eastAsia="宋体" w:cs="Times New Roman"/>
                <w:b/>
                <w:bCs/>
                <w:color w:val="000000" w:themeColor="text1"/>
                <w:spacing w:val="-1"/>
                <w:sz w:val="24"/>
                <w:szCs w:val="24"/>
                <w:lang w:eastAsia="zh-CN"/>
                <w14:textFill>
                  <w14:solidFill>
                    <w14:schemeClr w14:val="tx1"/>
                  </w14:solidFill>
                </w14:textFill>
              </w:rPr>
            </w:pPr>
            <w:r>
              <w:rPr>
                <w:rFonts w:ascii="Times New Roman" w:hAnsi="Times New Roman" w:eastAsia="宋体" w:cs="Times New Roman"/>
                <w:b/>
                <w:bCs/>
                <w:color w:val="000000" w:themeColor="text1"/>
                <w:spacing w:val="-1"/>
                <w:sz w:val="24"/>
                <w:szCs w:val="24"/>
                <w:lang w:eastAsia="zh-CN"/>
                <w14:textFill>
                  <w14:solidFill>
                    <w14:schemeClr w14:val="tx1"/>
                  </w14:solidFill>
                </w14:textFill>
              </w:rPr>
              <w:t>1.</w:t>
            </w:r>
            <w:r>
              <w:rPr>
                <w:rFonts w:hint="eastAsia" w:ascii="Times New Roman" w:hAnsi="Times New Roman" w:eastAsia="宋体" w:cs="Times New Roman"/>
                <w:b/>
                <w:bCs/>
                <w:color w:val="000000" w:themeColor="text1"/>
                <w:spacing w:val="-1"/>
                <w:sz w:val="24"/>
                <w:szCs w:val="24"/>
                <w:lang w:eastAsia="zh-CN"/>
                <w14:textFill>
                  <w14:solidFill>
                    <w14:schemeClr w14:val="tx1"/>
                  </w14:solidFill>
                </w14:textFill>
              </w:rPr>
              <w:t>项目概况</w:t>
            </w:r>
          </w:p>
          <w:p>
            <w:pPr>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①</w:t>
            </w:r>
            <w:r>
              <w:rPr>
                <w:rFonts w:ascii="Times New Roman" w:hAnsi="Times New Roman" w:eastAsia="宋体"/>
                <w:color w:val="000000" w:themeColor="text1"/>
                <w:sz w:val="24"/>
                <w:lang w:eastAsia="zh-CN"/>
                <w14:textFill>
                  <w14:solidFill>
                    <w14:schemeClr w14:val="tx1"/>
                  </w14:solidFill>
                </w14:textFill>
              </w:rPr>
              <w:t>项目名称：</w:t>
            </w:r>
            <w:r>
              <w:rPr>
                <w:rFonts w:hint="eastAsia" w:ascii="Times New Roman" w:hAnsi="Times New Roman" w:eastAsia="宋体"/>
                <w:color w:val="000000" w:themeColor="text1"/>
                <w:sz w:val="24"/>
                <w:lang w:eastAsia="zh-CN"/>
                <w14:textFill>
                  <w14:solidFill>
                    <w14:schemeClr w14:val="tx1"/>
                  </w14:solidFill>
                </w14:textFill>
              </w:rPr>
              <w:t>宁县兽医实验室能力提升和考核续展修缮工程</w:t>
            </w:r>
          </w:p>
          <w:p>
            <w:pPr>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②建设性质：新建</w:t>
            </w:r>
          </w:p>
          <w:p>
            <w:pPr>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③</w:t>
            </w:r>
            <w:r>
              <w:rPr>
                <w:rFonts w:ascii="Times New Roman" w:hAnsi="Times New Roman" w:eastAsia="宋体"/>
                <w:color w:val="000000" w:themeColor="text1"/>
                <w:sz w:val="24"/>
                <w:lang w:eastAsia="zh-CN"/>
                <w14:textFill>
                  <w14:solidFill>
                    <w14:schemeClr w14:val="tx1"/>
                  </w14:solidFill>
                </w14:textFill>
              </w:rPr>
              <w:t>建设单位：</w:t>
            </w:r>
            <w:r>
              <w:rPr>
                <w:rFonts w:hint="eastAsia" w:ascii="Times New Roman" w:hAnsi="Times New Roman" w:eastAsia="宋体"/>
                <w:color w:val="000000" w:themeColor="text1"/>
                <w:sz w:val="24"/>
                <w:lang w:val="en-US" w:eastAsia="zh-CN"/>
                <w14:textFill>
                  <w14:solidFill>
                    <w14:schemeClr w14:val="tx1"/>
                  </w14:solidFill>
                </w14:textFill>
              </w:rPr>
              <w:t>宁县</w:t>
            </w:r>
            <w:r>
              <w:rPr>
                <w:rFonts w:hint="eastAsia" w:ascii="Times New Roman" w:hAnsi="Times New Roman" w:eastAsia="宋体"/>
                <w:color w:val="000000" w:themeColor="text1"/>
                <w:sz w:val="24"/>
                <w:lang w:eastAsia="zh-CN"/>
                <w14:textFill>
                  <w14:solidFill>
                    <w14:schemeClr w14:val="tx1"/>
                  </w14:solidFill>
                </w14:textFill>
              </w:rPr>
              <w:t>县畜牧兽医站</w:t>
            </w:r>
          </w:p>
          <w:p>
            <w:pPr>
              <w:spacing w:line="360" w:lineRule="auto"/>
              <w:ind w:firstLine="480" w:firstLineChars="200"/>
              <w:jc w:val="both"/>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④</w:t>
            </w:r>
            <w:r>
              <w:rPr>
                <w:rFonts w:ascii="Times New Roman" w:hAnsi="Times New Roman" w:eastAsia="宋体"/>
                <w:color w:val="000000" w:themeColor="text1"/>
                <w:sz w:val="24"/>
                <w:lang w:eastAsia="zh-CN"/>
                <w14:textFill>
                  <w14:solidFill>
                    <w14:schemeClr w14:val="tx1"/>
                  </w14:solidFill>
                </w14:textFill>
              </w:rPr>
              <w:t>项目地点：</w:t>
            </w:r>
            <w:r>
              <w:rPr>
                <w:rFonts w:hint="eastAsia" w:ascii="Times New Roman" w:hAnsi="Times New Roman" w:eastAsia="宋体"/>
                <w:color w:val="000000" w:themeColor="text1"/>
                <w:sz w:val="24"/>
                <w:lang w:eastAsia="zh-CN"/>
                <w14:textFill>
                  <w14:solidFill>
                    <w14:schemeClr w14:val="tx1"/>
                  </w14:solidFill>
                </w14:textFill>
              </w:rPr>
              <w:t>本项目位于</w:t>
            </w:r>
            <w:r>
              <w:rPr>
                <w:rFonts w:hint="eastAsia" w:ascii="Times New Roman" w:hAnsi="Times New Roman" w:eastAsia="宋体"/>
                <w:color w:val="000000" w:themeColor="text1"/>
                <w:sz w:val="24"/>
                <w:lang w:val="en-US" w:eastAsia="zh-CN"/>
                <w14:textFill>
                  <w14:solidFill>
                    <w14:schemeClr w14:val="tx1"/>
                  </w14:solidFill>
                </w14:textFill>
              </w:rPr>
              <w:t>宁县新宁镇城关社区马莲路15号</w:t>
            </w:r>
            <w:r>
              <w:rPr>
                <w:rFonts w:hint="eastAsia" w:ascii="Times New Roman" w:hAnsi="Times New Roman" w:eastAsia="宋体"/>
                <w:color w:val="000000" w:themeColor="text1"/>
                <w:sz w:val="24"/>
                <w:lang w:eastAsia="zh-CN"/>
                <w14:textFill>
                  <w14:solidFill>
                    <w14:schemeClr w14:val="tx1"/>
                  </w14:solidFill>
                </w14:textFill>
              </w:rPr>
              <w:t>。其地理位置坐标为</w:t>
            </w:r>
            <w:r>
              <w:rPr>
                <w:rFonts w:hint="eastAsia" w:ascii="Times New Roman" w:hAnsi="Times New Roman" w:eastAsia="宋体" w:cs="宋体"/>
                <w:color w:val="000000" w:themeColor="text1"/>
                <w:sz w:val="24"/>
                <w:szCs w:val="24"/>
                <w:lang w:eastAsia="zh-CN"/>
                <w14:textFill>
                  <w14:solidFill>
                    <w14:schemeClr w14:val="tx1"/>
                  </w14:solidFill>
                </w14:textFill>
              </w:rPr>
              <w:t>东经</w:t>
            </w:r>
            <w:r>
              <w:rPr>
                <w:rFonts w:hint="eastAsia" w:ascii="Times New Roman" w:hAnsi="Times New Roman" w:eastAsia="宋体" w:cs="Times New Roman"/>
                <w:color w:val="000000" w:themeColor="text1"/>
                <w:sz w:val="24"/>
                <w:szCs w:val="24"/>
                <w:lang w:eastAsia="zh-CN"/>
                <w14:textFill>
                  <w14:solidFill>
                    <w14:schemeClr w14:val="tx1"/>
                  </w14:solidFill>
                </w14:textFill>
              </w:rPr>
              <w:t>107度14分26.589秒，北纬35度39分02.744秒</w:t>
            </w:r>
            <w:r>
              <w:rPr>
                <w:rFonts w:hint="eastAsia" w:ascii="Times New Roman" w:hAnsi="Times New Roman" w:eastAsia="宋体"/>
                <w:color w:val="000000" w:themeColor="text1"/>
                <w:sz w:val="24"/>
                <w:lang w:eastAsia="zh-CN"/>
                <w14:textFill>
                  <w14:solidFill>
                    <w14:schemeClr w14:val="tx1"/>
                  </w14:solidFill>
                </w14:textFill>
              </w:rPr>
              <w:t>，地理位置图见附图1。</w:t>
            </w:r>
          </w:p>
          <w:p>
            <w:pPr>
              <w:spacing w:line="360" w:lineRule="auto"/>
              <w:ind w:firstLine="480" w:firstLineChars="20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⑤实验室功能：主要进行动物疫病抗原检测，实验所用试剂购</w:t>
            </w:r>
            <w:r>
              <w:rPr>
                <w:rFonts w:hint="eastAsia" w:ascii="Times New Roman" w:hAnsi="Times New Roman" w:eastAsia="宋体" w:cs="Times New Roman"/>
                <w:color w:val="000000" w:themeColor="text1"/>
                <w:spacing w:val="-9"/>
                <w:sz w:val="24"/>
                <w:szCs w:val="22"/>
                <w:lang w:eastAsia="zh-CN"/>
                <w14:textFill>
                  <w14:solidFill>
                    <w14:schemeClr w14:val="tx1"/>
                  </w14:solidFill>
                </w14:textFill>
              </w:rPr>
              <w:t>买成品试剂盒，醇、酯类化学药品都不用，不在实验室配置溶液，实验结束后器具清洗主要通过高压锅灭菌消毒处理后用纯水冲洗，项目实验室中不使用无机酸等试剂，无特殊废水产生。</w:t>
            </w:r>
          </w:p>
          <w:p>
            <w:pPr>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lang w:eastAsia="zh-CN"/>
                <w14:textFill>
                  <w14:solidFill>
                    <w14:schemeClr w14:val="tx1"/>
                  </w14:solidFill>
                </w14:textFill>
              </w:rPr>
              <w:fldChar w:fldCharType="begin"/>
            </w:r>
            <w:r>
              <w:rPr>
                <w:rFonts w:ascii="Times New Roman" w:hAnsi="Times New Roman" w:eastAsia="宋体"/>
                <w:color w:val="000000" w:themeColor="text1"/>
                <w:sz w:val="24"/>
                <w:lang w:eastAsia="zh-CN"/>
                <w14:textFill>
                  <w14:solidFill>
                    <w14:schemeClr w14:val="tx1"/>
                  </w14:solidFill>
                </w14:textFill>
              </w:rPr>
              <w:instrText xml:space="preserve"> = 6 \* GB3 \* MERGEFORMAT </w:instrText>
            </w:r>
            <w:r>
              <w:rPr>
                <w:rFonts w:ascii="Times New Roman" w:hAnsi="Times New Roman" w:eastAsia="宋体"/>
                <w:color w:val="000000" w:themeColor="text1"/>
                <w:sz w:val="24"/>
                <w:lang w:eastAsia="zh-CN"/>
                <w14:textFill>
                  <w14:solidFill>
                    <w14:schemeClr w14:val="tx1"/>
                  </w14:solidFill>
                </w14:textFill>
              </w:rPr>
              <w:fldChar w:fldCharType="separate"/>
            </w:r>
            <w:r>
              <w:rPr>
                <w:color w:val="000000" w:themeColor="text1"/>
                <w14:textFill>
                  <w14:solidFill>
                    <w14:schemeClr w14:val="tx1"/>
                  </w14:solidFill>
                </w14:textFill>
              </w:rPr>
              <w:t>⑥</w:t>
            </w:r>
            <w:r>
              <w:rPr>
                <w:rFonts w:ascii="Times New Roman" w:hAnsi="Times New Roman" w:eastAsia="宋体"/>
                <w:color w:val="000000" w:themeColor="text1"/>
                <w:sz w:val="24"/>
                <w:lang w:eastAsia="zh-CN"/>
                <w14:textFill>
                  <w14:solidFill>
                    <w14:schemeClr w14:val="tx1"/>
                  </w14:solidFill>
                </w14:textFill>
              </w:rPr>
              <w:fldChar w:fldCharType="end"/>
            </w:r>
            <w:r>
              <w:rPr>
                <w:rFonts w:ascii="Times New Roman" w:hAnsi="Times New Roman" w:eastAsia="宋体"/>
                <w:color w:val="000000" w:themeColor="text1"/>
                <w:sz w:val="24"/>
                <w:lang w:eastAsia="zh-CN"/>
                <w14:textFill>
                  <w14:solidFill>
                    <w14:schemeClr w14:val="tx1"/>
                  </w14:solidFill>
                </w14:textFill>
              </w:rPr>
              <w:t>项目总投资：本项目总投资为</w:t>
            </w:r>
            <w:r>
              <w:rPr>
                <w:rFonts w:hint="eastAsia" w:ascii="Times New Roman" w:hAnsi="Times New Roman" w:eastAsia="宋体"/>
                <w:color w:val="000000" w:themeColor="text1"/>
                <w:sz w:val="24"/>
                <w:lang w:val="en-US" w:eastAsia="zh-CN"/>
                <w14:textFill>
                  <w14:solidFill>
                    <w14:schemeClr w14:val="tx1"/>
                  </w14:solidFill>
                </w14:textFill>
              </w:rPr>
              <w:t>49.07</w:t>
            </w:r>
            <w:r>
              <w:rPr>
                <w:rFonts w:hint="eastAsia" w:ascii="Times New Roman" w:hAnsi="Times New Roman" w:eastAsia="宋体"/>
                <w:color w:val="000000" w:themeColor="text1"/>
                <w:sz w:val="24"/>
                <w:lang w:eastAsia="zh-CN"/>
                <w14:textFill>
                  <w14:solidFill>
                    <w14:schemeClr w14:val="tx1"/>
                  </w14:solidFill>
                </w14:textFill>
              </w:rPr>
              <w:t>万元，其中环保投资26万，占总投资的5.2%</w:t>
            </w:r>
            <w:r>
              <w:rPr>
                <w:rFonts w:ascii="Times New Roman" w:hAnsi="Times New Roman" w:eastAsia="宋体"/>
                <w:color w:val="000000" w:themeColor="text1"/>
                <w:sz w:val="24"/>
                <w:lang w:eastAsia="zh-CN"/>
                <w14:textFill>
                  <w14:solidFill>
                    <w14:schemeClr w14:val="tx1"/>
                  </w14:solidFill>
                </w14:textFill>
              </w:rPr>
              <w:t>。</w:t>
            </w:r>
          </w:p>
          <w:p>
            <w:pPr>
              <w:pStyle w:val="39"/>
              <w:spacing w:before="87" w:line="360" w:lineRule="auto"/>
              <w:ind w:left="565" w:right="136" w:hanging="420"/>
              <w:jc w:val="both"/>
              <w:rPr>
                <w:rFonts w:ascii="Times New Roman" w:hAnsi="Times New Roman" w:eastAsia="宋体" w:cs="Times New Roman"/>
                <w:b/>
                <w:bCs/>
                <w:color w:val="000000" w:themeColor="text1"/>
                <w:spacing w:val="-1"/>
                <w:sz w:val="24"/>
                <w:szCs w:val="21"/>
                <w:lang w:eastAsia="zh-CN"/>
                <w14:textFill>
                  <w14:solidFill>
                    <w14:schemeClr w14:val="tx1"/>
                  </w14:solidFill>
                </w14:textFill>
              </w:rPr>
            </w:pPr>
            <w:r>
              <w:rPr>
                <w:rFonts w:hint="eastAsia" w:ascii="Times New Roman" w:hAnsi="Times New Roman" w:eastAsia="宋体" w:cs="Times New Roman"/>
                <w:b/>
                <w:bCs/>
                <w:color w:val="000000" w:themeColor="text1"/>
                <w:spacing w:val="-1"/>
                <w:sz w:val="24"/>
                <w:szCs w:val="21"/>
                <w:lang w:eastAsia="zh-CN"/>
                <w14:textFill>
                  <w14:solidFill>
                    <w14:schemeClr w14:val="tx1"/>
                  </w14:solidFill>
                </w14:textFill>
              </w:rPr>
              <w:t>2.项目建设内容及规模</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本项目利用宁县畜牧兽医站办公楼进行装修建成实验室</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办公楼三层，本次实验室设置在3楼，实验室总面积300m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eastAsia="zh-CN"/>
                <w14:textFill>
                  <w14:solidFill>
                    <w14:schemeClr w14:val="tx1"/>
                  </w14:solidFill>
                </w14:textFill>
              </w:rPr>
              <w:t>，配套建设附属设施</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adjustRightInd w:val="0"/>
              <w:snapToGrid w:val="0"/>
              <w:spacing w:line="360" w:lineRule="auto"/>
              <w:ind w:firstLine="480" w:firstLineChars="200"/>
              <w:jc w:val="both"/>
              <w:rPr>
                <w:rFonts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lang w:eastAsia="zh-CN"/>
                <w14:textFill>
                  <w14:solidFill>
                    <w14:schemeClr w14:val="tx1"/>
                  </w14:solidFill>
                </w14:textFill>
              </w:rPr>
              <w:t>项目具体组成表见表</w:t>
            </w:r>
            <w:r>
              <w:rPr>
                <w:rFonts w:hint="eastAsia" w:ascii="Times New Roman" w:hAnsi="Times New Roman" w:eastAsia="宋体"/>
                <w:color w:val="000000" w:themeColor="text1"/>
                <w:sz w:val="24"/>
                <w:lang w:eastAsia="zh-CN"/>
                <w14:textFill>
                  <w14:solidFill>
                    <w14:schemeClr w14:val="tx1"/>
                  </w14:solidFill>
                </w14:textFill>
              </w:rPr>
              <w:t>2-1</w:t>
            </w:r>
            <w:r>
              <w:rPr>
                <w:rFonts w:ascii="Times New Roman" w:hAnsi="Times New Roman" w:eastAsia="宋体"/>
                <w:color w:val="000000" w:themeColor="text1"/>
                <w:sz w:val="24"/>
                <w:lang w:eastAsia="zh-CN"/>
                <w14:textFill>
                  <w14:solidFill>
                    <w14:schemeClr w14:val="tx1"/>
                  </w14:solidFill>
                </w14:textFill>
              </w:rPr>
              <w:t>。</w:t>
            </w:r>
          </w:p>
          <w:p>
            <w:pPr>
              <w:pStyle w:val="38"/>
              <w:adjustRightInd w:val="0"/>
              <w:snapToGrid w:val="0"/>
              <w:jc w:val="center"/>
              <w:rPr>
                <w:rFonts w:ascii="Times New Roman" w:hAnsi="Times New Roman" w:eastAsia="宋体"/>
                <w:b/>
                <w:color w:val="000000" w:themeColor="text1"/>
                <w:sz w:val="21"/>
                <w:szCs w:val="20"/>
                <w:lang w:eastAsia="zh-CN"/>
                <w14:textFill>
                  <w14:solidFill>
                    <w14:schemeClr w14:val="tx1"/>
                  </w14:solidFill>
                </w14:textFill>
              </w:rPr>
            </w:pPr>
            <w:r>
              <w:rPr>
                <w:rFonts w:ascii="Times New Roman" w:hAnsi="Times New Roman" w:eastAsia="宋体"/>
                <w:b/>
                <w:color w:val="000000" w:themeColor="text1"/>
                <w:sz w:val="21"/>
                <w:szCs w:val="20"/>
                <w:lang w:eastAsia="zh-CN"/>
                <w14:textFill>
                  <w14:solidFill>
                    <w14:schemeClr w14:val="tx1"/>
                  </w14:solidFill>
                </w14:textFill>
              </w:rPr>
              <w:t>表</w:t>
            </w:r>
            <w:r>
              <w:rPr>
                <w:rFonts w:hint="eastAsia" w:ascii="Times New Roman" w:hAnsi="Times New Roman" w:eastAsia="宋体"/>
                <w:b/>
                <w:color w:val="000000" w:themeColor="text1"/>
                <w:sz w:val="21"/>
                <w:szCs w:val="20"/>
                <w:lang w:eastAsia="zh-CN"/>
                <w14:textFill>
                  <w14:solidFill>
                    <w14:schemeClr w14:val="tx1"/>
                  </w14:solidFill>
                </w14:textFill>
              </w:rPr>
              <w:t xml:space="preserve">2-1  </w:t>
            </w:r>
            <w:r>
              <w:rPr>
                <w:rFonts w:ascii="Times New Roman" w:hAnsi="Times New Roman" w:eastAsia="宋体"/>
                <w:b/>
                <w:color w:val="000000" w:themeColor="text1"/>
                <w:sz w:val="21"/>
                <w:szCs w:val="20"/>
                <w:lang w:eastAsia="zh-CN"/>
                <w14:textFill>
                  <w14:solidFill>
                    <w14:schemeClr w14:val="tx1"/>
                  </w14:solidFill>
                </w14:textFill>
              </w:rPr>
              <w:t xml:space="preserve">  工程建设内容一览表</w:t>
            </w:r>
          </w:p>
          <w:tbl>
            <w:tblPr>
              <w:tblStyle w:val="28"/>
              <w:tblW w:w="8580" w:type="dxa"/>
              <w:jc w:val="center"/>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23"/>
              <w:gridCol w:w="1314"/>
              <w:gridCol w:w="5524"/>
              <w:gridCol w:w="619"/>
            </w:tblGrid>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68" w:hRule="atLeast"/>
                <w:tblHeader/>
                <w:jc w:val="center"/>
              </w:trPr>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工程类别</w:t>
                  </w:r>
                </w:p>
              </w:tc>
              <w:tc>
                <w:tcPr>
                  <w:tcW w:w="13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工程名称</w:t>
                  </w:r>
                </w:p>
              </w:tc>
              <w:tc>
                <w:tcPr>
                  <w:tcW w:w="55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工程内容及规模</w:t>
                  </w:r>
                </w:p>
              </w:tc>
              <w:tc>
                <w:tcPr>
                  <w:tcW w:w="6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备注</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41"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13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55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6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71" w:hRule="atLeast"/>
                <w:tblHeader/>
                <w:jc w:val="center"/>
              </w:trPr>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主体工程</w:t>
                  </w: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t>实验楼</w:t>
                  </w:r>
                </w:p>
              </w:tc>
              <w:tc>
                <w:tcPr>
                  <w:tcW w:w="552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eastAsia" w:ascii="Times New Roman" w:hAnsi="Times New Roman" w:eastAsia="宋体" w:cs="Times New Roman"/>
                      <w:color w:val="FF0000"/>
                      <w:w w:val="100"/>
                      <w:sz w:val="21"/>
                      <w:szCs w:val="21"/>
                      <w:lang w:val="en-US" w:eastAsia="zh-CN"/>
                    </w:rPr>
                    <w:t>三楼，设置防疫物资储备室、冷藏室、冷冻室、检验室、接样室、分析室、试剂室、样品储存室、实验室、档案室以及办公室；</w:t>
                  </w:r>
                </w:p>
              </w:tc>
              <w:tc>
                <w:tcPr>
                  <w:tcW w:w="619"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2" w:hRule="atLeast"/>
                <w:tblHeader/>
                <w:jc w:val="center"/>
              </w:trPr>
              <w:tc>
                <w:tcPr>
                  <w:tcW w:w="11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辅助工程</w:t>
                  </w: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办公区</w:t>
                  </w:r>
                </w:p>
              </w:tc>
              <w:tc>
                <w:tcPr>
                  <w:tcW w:w="552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1"/>
                      <w:szCs w:val="21"/>
                      <w:lang w:val="en-US" w:eastAsia="zh-CN"/>
                      <w14:textFill>
                        <w14:solidFill>
                          <w14:schemeClr w14:val="tx1"/>
                        </w14:solidFill>
                      </w14:textFill>
                    </w:rPr>
                    <w:t>设置</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在一二层，其中一层设置综合办公室，二层设置检疫办公室</w:t>
                  </w:r>
                </w:p>
              </w:tc>
              <w:tc>
                <w:tcPr>
                  <w:tcW w:w="619"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w w:val="100"/>
                      <w:kern w:val="2"/>
                      <w:sz w:val="21"/>
                      <w:szCs w:val="21"/>
                      <w:lang w:val="en-US" w:eastAsia="zh-CN" w:bidi="zh-CN"/>
                      <w14:textFill>
                        <w14:solidFill>
                          <w14:schemeClr w14:val="tx1"/>
                        </w14:solidFill>
                      </w14:textFill>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18" w:hRule="atLeast"/>
                <w:tblHeader/>
                <w:jc w:val="center"/>
              </w:trPr>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公用工程</w:t>
                  </w: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Times New Roman" w:hAnsi="Times New Roman" w:eastAsia="宋体" w:cs="Times New Roman"/>
                      <w:bCs/>
                      <w:color w:val="000000" w:themeColor="text1"/>
                      <w:w w:val="100"/>
                      <w:sz w:val="21"/>
                      <w:szCs w:val="21"/>
                      <w:lang w:val="en-US" w:eastAsia="zh-CN"/>
                      <w14:textFill>
                        <w14:solidFill>
                          <w14:schemeClr w14:val="tx1"/>
                        </w14:solidFill>
                      </w14:textFill>
                    </w:rPr>
                  </w:pPr>
                  <w:r>
                    <w:rPr>
                      <w:rFonts w:hint="eastAsia" w:eastAsia="宋体" w:cs="Times New Roman"/>
                      <w:bCs/>
                      <w:color w:val="000000" w:themeColor="text1"/>
                      <w:w w:val="100"/>
                      <w:sz w:val="21"/>
                      <w:szCs w:val="21"/>
                      <w:lang w:val="en-US" w:eastAsia="zh-CN"/>
                      <w14:textFill>
                        <w14:solidFill>
                          <w14:schemeClr w14:val="tx1"/>
                        </w14:solidFill>
                      </w14:textFill>
                    </w:rPr>
                    <w:t>消毒</w:t>
                  </w:r>
                </w:p>
              </w:tc>
              <w:tc>
                <w:tcPr>
                  <w:tcW w:w="6143" w:type="dxa"/>
                  <w:gridSpan w:val="2"/>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生物实验室</w:t>
                  </w:r>
                  <w:r>
                    <w:rPr>
                      <w:rFonts w:hint="default" w:ascii="Times New Roman" w:hAnsi="Times New Roman" w:eastAsia="宋体" w:cs="Times New Roman"/>
                      <w:color w:val="000000" w:themeColor="text1"/>
                      <w:w w:val="100"/>
                      <w:sz w:val="21"/>
                      <w:szCs w:val="21"/>
                      <w14:textFill>
                        <w14:solidFill>
                          <w14:schemeClr w14:val="tx1"/>
                        </w14:solidFill>
                      </w14:textFill>
                    </w:rPr>
                    <w:t>内置</w:t>
                  </w:r>
                  <w:r>
                    <w:rPr>
                      <w:rFonts w:hint="eastAsia" w:eastAsia="宋体" w:cs="Times New Roman"/>
                      <w:color w:val="000000" w:themeColor="text1"/>
                      <w:w w:val="100"/>
                      <w:sz w:val="21"/>
                      <w:szCs w:val="21"/>
                      <w:lang w:val="en-US" w:eastAsia="zh-CN"/>
                      <w14:textFill>
                        <w14:solidFill>
                          <w14:schemeClr w14:val="tx1"/>
                        </w14:solidFill>
                      </w14:textFill>
                    </w:rPr>
                    <w:t>紫外消毒以及高压灭菌锅进行实验室和实验器皿消毒。</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5"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w w:val="10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给水工程</w:t>
                  </w:r>
                </w:p>
              </w:tc>
              <w:tc>
                <w:tcPr>
                  <w:tcW w:w="6143" w:type="dxa"/>
                  <w:gridSpan w:val="2"/>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w w:val="100"/>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自</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宁</w:t>
                  </w:r>
                  <w:r>
                    <w:rPr>
                      <w:rFonts w:hint="default" w:ascii="Times New Roman" w:hAnsi="Times New Roman" w:eastAsia="宋体" w:cs="Times New Roman"/>
                      <w:color w:val="000000" w:themeColor="text1"/>
                      <w:w w:val="100"/>
                      <w:sz w:val="21"/>
                      <w:szCs w:val="21"/>
                      <w14:textFill>
                        <w14:solidFill>
                          <w14:schemeClr w14:val="tx1"/>
                        </w14:solidFill>
                      </w14:textFill>
                    </w:rPr>
                    <w:t>县县城市政供水管网</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5"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w w:val="100"/>
                      <w:kern w:val="2"/>
                      <w:sz w:val="21"/>
                      <w:szCs w:val="21"/>
                      <w:lang w:val="en-US" w:eastAsia="zh-CN" w:bidi="ar-SA"/>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供电</w:t>
                  </w:r>
                </w:p>
              </w:tc>
              <w:tc>
                <w:tcPr>
                  <w:tcW w:w="61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w w:val="100"/>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本工程二级负荷主供电源由就近市政低压公网一路380/220V电源至双切配电箱，备用电源由就近不同变压器的低压馈线端提供。</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59"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排水工程</w:t>
                  </w:r>
                </w:p>
              </w:tc>
              <w:tc>
                <w:tcPr>
                  <w:tcW w:w="61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生活污水：化粪池处理后排入管网进入宁县生活污水处理站进行处理；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生物实验室废水：经先经消毒、高温高压灭菌预处理后</w:t>
                  </w:r>
                  <w:r>
                    <w:rPr>
                      <w:rFonts w:hint="eastAsia" w:ascii="Times New Roman" w:hAnsi="Times New Roman" w:eastAsia="宋体" w:cs="Times New Roman"/>
                      <w:color w:val="0000FF"/>
                      <w:w w:val="100"/>
                      <w:sz w:val="21"/>
                      <w:szCs w:val="21"/>
                      <w:lang w:val="en-US" w:eastAsia="zh-CN"/>
                    </w:rPr>
                    <w:t>满足《医疗机构水污染排放标准》（GB18466-2005）预处理</w:t>
                  </w:r>
                  <w:r>
                    <w:rPr>
                      <w:color w:val="0000FF"/>
                      <w:sz w:val="21"/>
                      <w:szCs w:val="21"/>
                    </w:rPr>
                    <w:commentReference w:id="1"/>
                  </w:r>
                  <w:r>
                    <w:rPr>
                      <w:rFonts w:hint="eastAsia" w:ascii="Times New Roman" w:hAnsi="Times New Roman" w:eastAsia="宋体" w:cs="Times New Roman"/>
                      <w:color w:val="0000FF"/>
                      <w:w w:val="100"/>
                      <w:sz w:val="21"/>
                      <w:szCs w:val="21"/>
                      <w:lang w:val="en-US" w:eastAsia="zh-CN"/>
                    </w:rPr>
                    <w:t>标准后</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排入院内化粪池与处理后排入宁县生活污水处理厂进行处理。</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56" w:hRule="atLeast"/>
                <w:tblHeader/>
                <w:jc w:val="center"/>
              </w:trPr>
              <w:tc>
                <w:tcPr>
                  <w:tcW w:w="11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环保工程</w:t>
                  </w: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废气处理</w:t>
                  </w:r>
                </w:p>
              </w:tc>
              <w:tc>
                <w:tcPr>
                  <w:tcW w:w="6143" w:type="dxa"/>
                  <w:gridSpan w:val="2"/>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bCs/>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eastAsia="zh-CN"/>
                      <w14:textFill>
                        <w14:solidFill>
                          <w14:schemeClr w14:val="tx1"/>
                        </w14:solidFill>
                      </w14:textFill>
                    </w:rPr>
                    <w:t>项目病原学实验和血清实验室</w:t>
                  </w:r>
                  <w:r>
                    <w:rPr>
                      <w:rFonts w:hint="default" w:ascii="Times New Roman" w:hAnsi="Times New Roman" w:eastAsia="宋体" w:cs="Times New Roman"/>
                      <w:color w:val="000000" w:themeColor="text1"/>
                      <w:w w:val="100"/>
                      <w:sz w:val="21"/>
                      <w:szCs w:val="21"/>
                      <w14:textFill>
                        <w14:solidFill>
                          <w14:schemeClr w14:val="tx1"/>
                        </w14:solidFill>
                      </w14:textFill>
                    </w:rPr>
                    <w:t>各设1套生物安全柜，并要求所有设计病原微生物的操作均在生物安全柜中进行，生物安全柜设计采用II级A2生物安全柜，柜里的实验平台相对实验室内环境处于负压状态，气流在生物安全柜内得到有效控制，排气由风管经净化排风机组处理后，</w:t>
                  </w:r>
                  <w:r>
                    <w:rPr>
                      <w:rFonts w:hint="eastAsia" w:ascii="Times New Roman" w:hAnsi="Times New Roman" w:eastAsia="宋体" w:cs="Times New Roman"/>
                      <w:color w:val="000000" w:themeColor="text1"/>
                      <w:w w:val="100"/>
                      <w:sz w:val="21"/>
                      <w:szCs w:val="21"/>
                      <w:lang w:eastAsia="zh-CN"/>
                      <w14:textFill>
                        <w14:solidFill>
                          <w14:schemeClr w14:val="tx1"/>
                        </w14:solidFill>
                      </w14:textFill>
                    </w:rPr>
                    <w:t>利用</w:t>
                  </w:r>
                  <w:r>
                    <w:rPr>
                      <w:rFonts w:hint="default" w:ascii="Times New Roman" w:hAnsi="Times New Roman" w:eastAsia="宋体" w:cs="Times New Roman"/>
                      <w:color w:val="000000" w:themeColor="text1"/>
                      <w:w w:val="100"/>
                      <w:sz w:val="21"/>
                      <w:szCs w:val="21"/>
                      <w14:textFill>
                        <w14:solidFill>
                          <w14:schemeClr w14:val="tx1"/>
                        </w14:solidFill>
                      </w14:textFill>
                    </w:rPr>
                    <w:t>专用排气筒送至楼顶排放</w:t>
                  </w:r>
                  <w:r>
                    <w:rPr>
                      <w:rFonts w:hint="eastAsia" w:ascii="Times New Roman" w:hAnsi="Times New Roman" w:eastAsia="宋体" w:cs="Times New Roman"/>
                      <w:color w:val="000000" w:themeColor="text1"/>
                      <w:w w:val="100"/>
                      <w:sz w:val="21"/>
                      <w:szCs w:val="21"/>
                      <w:lang w:eastAsia="zh-CN"/>
                      <w14:textFill>
                        <w14:solidFill>
                          <w14:schemeClr w14:val="tx1"/>
                        </w14:solidFill>
                      </w14:textFill>
                    </w:rPr>
                    <w:t>，</w:t>
                  </w:r>
                  <w:r>
                    <w:rPr>
                      <w:rFonts w:hint="eastAsia" w:ascii="Times New Roman" w:hAnsi="Times New Roman" w:eastAsia="宋体" w:cs="Times New Roman"/>
                      <w:color w:val="FF0000"/>
                      <w:w w:val="100"/>
                      <w:sz w:val="21"/>
                      <w:szCs w:val="21"/>
                      <w:lang w:eastAsia="zh-CN"/>
                    </w:rPr>
                    <w:t>楼顶设置一个</w:t>
                  </w:r>
                  <w:r>
                    <w:rPr>
                      <w:rFonts w:hint="eastAsia" w:ascii="Times New Roman" w:hAnsi="Times New Roman" w:eastAsia="宋体" w:cs="Times New Roman"/>
                      <w:color w:val="FF0000"/>
                      <w:w w:val="100"/>
                      <w:sz w:val="21"/>
                      <w:szCs w:val="21"/>
                      <w:lang w:val="en-US" w:eastAsia="zh-CN"/>
                    </w:rPr>
                    <w:t>4m高</w:t>
                  </w:r>
                  <w:r>
                    <w:rPr>
                      <w:rFonts w:hint="eastAsia" w:ascii="Times New Roman" w:hAnsi="Times New Roman" w:eastAsia="宋体" w:cs="Times New Roman"/>
                      <w:color w:val="FF0000"/>
                      <w:w w:val="100"/>
                      <w:sz w:val="21"/>
                      <w:szCs w:val="21"/>
                      <w:lang w:eastAsia="zh-CN"/>
                    </w:rPr>
                    <w:t>排气口</w:t>
                  </w:r>
                  <w:r>
                    <w:rPr>
                      <w:rFonts w:hint="eastAsia" w:ascii="Times New Roman" w:hAnsi="Times New Roman" w:eastAsia="宋体" w:cs="Times New Roman"/>
                      <w:color w:val="FF0000"/>
                      <w:w w:val="100"/>
                      <w:sz w:val="21"/>
                      <w:szCs w:val="21"/>
                      <w:lang w:val="en-US" w:eastAsia="zh-CN"/>
                    </w:rPr>
                    <w:t>排放</w:t>
                  </w:r>
                  <w:r>
                    <w:rPr>
                      <w:rFonts w:hint="eastAsia"/>
                      <w:color w:val="FF0000"/>
                      <w:lang w:eastAsia="zh-CN"/>
                    </w:rPr>
                    <w:t>（</w:t>
                  </w:r>
                  <w:r>
                    <w:rPr>
                      <w:rFonts w:hint="eastAsia"/>
                      <w:color w:val="FF0000"/>
                      <w:lang w:val="en-US" w:eastAsia="zh-CN"/>
                    </w:rPr>
                    <w:t>排气筒距离地面15m</w:t>
                  </w:r>
                  <w:r>
                    <w:rPr>
                      <w:rFonts w:hint="eastAsia"/>
                      <w:color w:val="FF0000"/>
                      <w:lang w:eastAsia="zh-CN"/>
                    </w:rPr>
                    <w:t>）</w:t>
                  </w:r>
                  <w:r>
                    <w:rPr>
                      <w:rFonts w:hint="eastAsia" w:ascii="Times New Roman" w:hAnsi="Times New Roman" w:eastAsia="宋体" w:cs="Times New Roman"/>
                      <w:color w:val="FF0000"/>
                      <w:w w:val="100"/>
                      <w:sz w:val="21"/>
                      <w:szCs w:val="21"/>
                      <w:lang w:val="en-US" w:eastAsia="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56"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污水处理</w:t>
                  </w:r>
                </w:p>
              </w:tc>
              <w:tc>
                <w:tcPr>
                  <w:tcW w:w="61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院内现有一座30m</w:t>
                  </w:r>
                  <w:r>
                    <w:rPr>
                      <w:rFonts w:hint="eastAsia" w:ascii="Times New Roman" w:hAnsi="Times New Roman" w:eastAsia="宋体" w:cs="Times New Roman"/>
                      <w:color w:val="000000" w:themeColor="text1"/>
                      <w:w w:val="100"/>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化粪池，处理生活污水和经处理后的实验室废水。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生活污水：化粪池处理后排入管网进入宁县生活污水处理厂进行处理；</w:t>
                  </w:r>
                </w:p>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left"/>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eastAsia" w:ascii="Times New Roman" w:hAnsi="Times New Roman" w:eastAsia="宋体" w:cs="Times New Roman"/>
                      <w:color w:val="FF0000"/>
                      <w:w w:val="100"/>
                      <w:sz w:val="21"/>
                      <w:szCs w:val="21"/>
                      <w:lang w:val="en-US" w:eastAsia="zh-CN"/>
                    </w:rPr>
                    <w:t>生物实验室废水：实验室产生的废水先经过酸碱中和后再进行消毒、高温高压灭菌预处理后排入院内化粪池与处理后排入宁县生活污水处理厂进行处理，化粪池前设置1具1.5m</w:t>
                  </w:r>
                  <w:r>
                    <w:rPr>
                      <w:rFonts w:hint="eastAsia" w:ascii="Times New Roman" w:hAnsi="Times New Roman" w:eastAsia="宋体" w:cs="Times New Roman"/>
                      <w:color w:val="FF0000"/>
                      <w:w w:val="100"/>
                      <w:sz w:val="21"/>
                      <w:szCs w:val="21"/>
                      <w:vertAlign w:val="superscript"/>
                      <w:lang w:val="en-US" w:eastAsia="zh-CN"/>
                    </w:rPr>
                    <w:t>3</w:t>
                  </w:r>
                  <w:r>
                    <w:rPr>
                      <w:rFonts w:hint="eastAsia" w:ascii="Times New Roman" w:hAnsi="Times New Roman" w:eastAsia="宋体" w:cs="Times New Roman"/>
                      <w:color w:val="FF0000"/>
                      <w:w w:val="100"/>
                      <w:sz w:val="21"/>
                      <w:szCs w:val="21"/>
                      <w:vertAlign w:val="baseline"/>
                      <w:lang w:val="en-US" w:eastAsia="zh-CN"/>
                    </w:rPr>
                    <w:t>消毒罐</w:t>
                  </w:r>
                  <w:r>
                    <w:rPr>
                      <w:rFonts w:hint="eastAsia" w:ascii="Times New Roman" w:hAnsi="Times New Roman" w:eastAsia="宋体" w:cs="Times New Roman"/>
                      <w:color w:val="FF0000"/>
                      <w:w w:val="100"/>
                      <w:sz w:val="21"/>
                      <w:szCs w:val="21"/>
                      <w:lang w:val="en-US" w:eastAsia="zh-CN"/>
                    </w:rPr>
                    <w:t>，对实验废水取样检测，不满足要求时进行二次消毒处理，满足要求时排入化粪池。</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11"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highlight w:val="red"/>
                      <w14:textFill>
                        <w14:solidFill>
                          <w14:schemeClr w14:val="tx1"/>
                        </w14:solidFill>
                      </w14:textFill>
                    </w:rPr>
                  </w:pPr>
                </w:p>
              </w:tc>
              <w:tc>
                <w:tcPr>
                  <w:tcW w:w="131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bCs/>
                      <w:color w:val="000000" w:themeColor="text1"/>
                      <w:w w:val="100"/>
                      <w:sz w:val="21"/>
                      <w:szCs w:val="21"/>
                      <w14:textFill>
                        <w14:solidFill>
                          <w14:schemeClr w14:val="tx1"/>
                        </w14:solidFill>
                      </w14:textFill>
                    </w:rPr>
                    <w:t>噪声治理</w:t>
                  </w:r>
                </w:p>
              </w:tc>
              <w:tc>
                <w:tcPr>
                  <w:tcW w:w="614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优先选用低噪声设备、设置减振基础，隔声降噪</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11" w:hRule="atLeast"/>
                <w:tblHeader/>
                <w:jc w:val="center"/>
              </w:trPr>
              <w:tc>
                <w:tcPr>
                  <w:tcW w:w="11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000000" w:themeColor="text1"/>
                      <w:w w:val="100"/>
                      <w:sz w:val="21"/>
                      <w:szCs w:val="21"/>
                      <w:highlight w:val="red"/>
                      <w14:textFill>
                        <w14:solidFill>
                          <w14:schemeClr w14:val="tx1"/>
                        </w14:solidFill>
                      </w14:textFill>
                    </w:rPr>
                  </w:pP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000000" w:themeColor="text1"/>
                      <w:w w:val="100"/>
                      <w:sz w:val="21"/>
                      <w:szCs w:val="21"/>
                      <w14:textFill>
                        <w14:solidFill>
                          <w14:schemeClr w14:val="tx1"/>
                        </w14:solidFill>
                      </w14:textFill>
                    </w:rPr>
                  </w:pPr>
                  <w:r>
                    <w:rPr>
                      <w:rFonts w:hint="default" w:ascii="Times New Roman" w:hAnsi="Times New Roman" w:eastAsia="宋体" w:cs="Times New Roman"/>
                      <w:color w:val="000000" w:themeColor="text1"/>
                      <w:w w:val="100"/>
                      <w:sz w:val="21"/>
                      <w:szCs w:val="21"/>
                      <w14:textFill>
                        <w14:solidFill>
                          <w14:schemeClr w14:val="tx1"/>
                        </w14:solidFill>
                      </w14:textFill>
                    </w:rPr>
                    <w:t>固废处理</w:t>
                  </w:r>
                </w:p>
              </w:tc>
              <w:tc>
                <w:tcPr>
                  <w:tcW w:w="6143" w:type="dxa"/>
                  <w:gridSpan w:val="2"/>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left"/>
                    <w:textAlignment w:val="auto"/>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本项目固体废物包括一般工业固体废物、危险废物和生活垃圾；微生物实验室所有可能有病原微生物的实验固废</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，包括废培养基、废一次性用品、废标本、多余样品，其中废一次性用品通过</w:t>
                  </w:r>
                  <w:r>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高温高压灭菌灭活后</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作为一般固废处置；废培养基、废标本、多余样品</w:t>
                  </w:r>
                  <w:r>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均需要先经过高温高压灭菌灭活后作为</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危废暂存</w:t>
                  </w:r>
                  <w:r>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，分类收集后暂存于</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危废</w:t>
                  </w:r>
                  <w:r>
                    <w:rPr>
                      <w:rFonts w:hint="default"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暂存间</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w:t>
                  </w:r>
                  <w:r>
                    <w:rPr>
                      <w:rFonts w:hint="eastAsia" w:ascii="Times New Roman" w:hAnsi="Times New Roman" w:eastAsia="宋体" w:cs="Times New Roman"/>
                      <w:color w:val="FF0000"/>
                      <w:w w:val="100"/>
                      <w:kern w:val="2"/>
                      <w:sz w:val="21"/>
                      <w:szCs w:val="21"/>
                      <w:lang w:val="en-US" w:eastAsia="zh-CN" w:bidi="zh-CN"/>
                    </w:rPr>
                    <w:t>纯水制备产生的废离子交换树脂更换后由厂家回收；</w:t>
                  </w:r>
                  <w:r>
                    <w:rPr>
                      <w:rFonts w:hint="eastAsia" w:ascii="Times New Roman" w:hAnsi="Times New Roman" w:eastAsia="宋体" w:cs="Times New Roman"/>
                      <w:color w:val="000000" w:themeColor="text1"/>
                      <w:w w:val="100"/>
                      <w:kern w:val="2"/>
                      <w:sz w:val="21"/>
                      <w:szCs w:val="21"/>
                      <w:lang w:val="zh-CN" w:eastAsia="zh-CN" w:bidi="zh-CN"/>
                      <w14:textFill>
                        <w14:solidFill>
                          <w14:schemeClr w14:val="tx1"/>
                        </w14:solidFill>
                      </w14:textFill>
                    </w:rPr>
                    <w:t>生活垃圾集中收集后交由环卫部统一处理；</w:t>
                  </w:r>
                  <w:r>
                    <w:rPr>
                      <w:rFonts w:hint="eastAsia" w:ascii="Times New Roman" w:hAnsi="Times New Roman" w:eastAsia="宋体" w:cs="Times New Roman"/>
                      <w:color w:val="0000FF"/>
                      <w:w w:val="100"/>
                      <w:kern w:val="2"/>
                      <w:sz w:val="21"/>
                      <w:szCs w:val="21"/>
                      <w:lang w:val="zh-CN" w:eastAsia="zh-CN" w:bidi="zh-CN"/>
                    </w:rPr>
                    <w:t>化粪池污泥</w:t>
                  </w:r>
                  <w:r>
                    <w:rPr>
                      <w:rFonts w:hint="eastAsia" w:ascii="Times New Roman" w:hAnsi="Times New Roman" w:eastAsia="宋体" w:cs="Times New Roman"/>
                      <w:color w:val="0000FF"/>
                      <w:w w:val="100"/>
                      <w:kern w:val="2"/>
                      <w:sz w:val="21"/>
                      <w:szCs w:val="21"/>
                      <w:lang w:val="en-US" w:eastAsia="zh-CN" w:bidi="zh-CN"/>
                    </w:rPr>
                    <w:t>消毒后满足《污水综合排放标准》（GB8978-1996）三级标准</w:t>
                  </w:r>
                  <w:r>
                    <w:rPr>
                      <w:color w:val="0000FF"/>
                    </w:rPr>
                    <w:commentReference w:id="2"/>
                  </w:r>
                  <w:r>
                    <w:rPr>
                      <w:rFonts w:hint="eastAsia" w:ascii="Times New Roman" w:hAnsi="Times New Roman" w:eastAsia="宋体" w:cs="Times New Roman"/>
                      <w:color w:val="0000FF"/>
                      <w:w w:val="100"/>
                      <w:kern w:val="2"/>
                      <w:sz w:val="21"/>
                      <w:szCs w:val="21"/>
                      <w:lang w:val="en-US" w:eastAsia="zh-CN" w:bidi="zh-CN"/>
                    </w:rPr>
                    <w:t>排入市政管网，最终进入</w:t>
                  </w:r>
                  <w:r>
                    <w:rPr>
                      <w:rFonts w:hint="eastAsia" w:ascii="Times New Roman" w:hAnsi="Times New Roman" w:eastAsia="宋体" w:cs="Times New Roman"/>
                      <w:color w:val="0000FF"/>
                      <w:w w:val="100"/>
                      <w:sz w:val="21"/>
                      <w:szCs w:val="21"/>
                      <w:lang w:val="en-US" w:eastAsia="zh-CN"/>
                    </w:rPr>
                    <w:t>宁县生活污水处理厂</w:t>
                  </w:r>
                  <w:r>
                    <w:rPr>
                      <w:rFonts w:hint="eastAsia" w:ascii="Times New Roman" w:hAnsi="Times New Roman" w:eastAsia="宋体" w:cs="Times New Roman"/>
                      <w:color w:val="0000FF"/>
                      <w:w w:val="100"/>
                      <w:kern w:val="2"/>
                      <w:sz w:val="21"/>
                      <w:szCs w:val="21"/>
                      <w:lang w:val="zh-CN" w:eastAsia="zh-CN" w:bidi="zh-CN"/>
                    </w:rPr>
                    <w:t>进行处理</w:t>
                  </w:r>
                  <w:r>
                    <w:rPr>
                      <w:rFonts w:hint="default" w:ascii="Times New Roman" w:hAnsi="Times New Roman" w:eastAsia="宋体" w:cs="Times New Roman"/>
                      <w:color w:val="0000FF"/>
                      <w:w w:val="100"/>
                      <w:kern w:val="2"/>
                      <w:sz w:val="21"/>
                      <w:szCs w:val="21"/>
                      <w:lang w:val="zh-CN" w:eastAsia="zh-CN" w:bidi="zh-CN"/>
                    </w:rPr>
                    <w:t>。</w:t>
                  </w:r>
                </w:p>
              </w:tc>
            </w:tr>
            <w:tr>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11" w:hRule="atLeast"/>
                <w:tblHeader/>
                <w:jc w:val="center"/>
              </w:trPr>
              <w:tc>
                <w:tcPr>
                  <w:tcW w:w="1123"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000000" w:themeColor="text1"/>
                      <w:w w:val="100"/>
                      <w:sz w:val="21"/>
                      <w:szCs w:val="21"/>
                      <w:lang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val="en-US" w:eastAsia="zh-CN"/>
                      <w14:textFill>
                        <w14:solidFill>
                          <w14:schemeClr w14:val="tx1"/>
                        </w14:solidFill>
                      </w14:textFill>
                    </w:rPr>
                    <w:t>其他</w:t>
                  </w:r>
                </w:p>
              </w:tc>
              <w:tc>
                <w:tcPr>
                  <w:tcW w:w="1314" w:type="dxa"/>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宋体" w:cs="Times New Roman"/>
                      <w:color w:val="000000" w:themeColor="text1"/>
                      <w:w w:val="100"/>
                      <w:sz w:val="21"/>
                      <w:szCs w:val="21"/>
                      <w:lang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eastAsia="zh-CN"/>
                      <w14:textFill>
                        <w14:solidFill>
                          <w14:schemeClr w14:val="tx1"/>
                        </w14:solidFill>
                      </w14:textFill>
                    </w:rPr>
                    <w:t>风险</w:t>
                  </w:r>
                </w:p>
              </w:tc>
              <w:tc>
                <w:tcPr>
                  <w:tcW w:w="6143" w:type="dxa"/>
                  <w:gridSpan w:val="2"/>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000000" w:themeColor="text1"/>
                      <w:w w:val="100"/>
                      <w:sz w:val="21"/>
                      <w:szCs w:val="21"/>
                      <w:lang w:val="zh-CN" w:eastAsia="zh-CN"/>
                      <w14:textFill>
                        <w14:solidFill>
                          <w14:schemeClr w14:val="tx1"/>
                        </w14:solidFill>
                      </w14:textFill>
                    </w:rPr>
                  </w:pPr>
                  <w:r>
                    <w:rPr>
                      <w:rFonts w:hint="eastAsia" w:ascii="Times New Roman" w:hAnsi="Times New Roman" w:eastAsia="宋体" w:cs="Times New Roman"/>
                      <w:color w:val="000000" w:themeColor="text1"/>
                      <w:w w:val="100"/>
                      <w:sz w:val="21"/>
                      <w:szCs w:val="21"/>
                      <w:lang w:eastAsia="zh-CN"/>
                      <w14:textFill>
                        <w14:solidFill>
                          <w14:schemeClr w14:val="tx1"/>
                        </w14:solidFill>
                      </w14:textFill>
                    </w:rPr>
                    <w:t>应急演练、编制应急预案</w:t>
                  </w:r>
                </w:p>
              </w:tc>
            </w:tr>
          </w:tbl>
          <w:p>
            <w:pPr>
              <w:spacing w:line="360" w:lineRule="auto"/>
              <w:rPr>
                <w:rFonts w:hint="default"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b/>
                <w:color w:val="000000" w:themeColor="text1"/>
                <w:sz w:val="24"/>
                <w:lang w:eastAsia="zh-CN"/>
                <w14:textFill>
                  <w14:solidFill>
                    <w14:schemeClr w14:val="tx1"/>
                  </w14:solidFill>
                </w14:textFill>
              </w:rPr>
              <w:t>3</w:t>
            </w:r>
            <w:r>
              <w:rPr>
                <w:rFonts w:ascii="Times New Roman" w:hAnsi="Times New Roman" w:eastAsia="宋体"/>
                <w:b/>
                <w:color w:val="000000" w:themeColor="text1"/>
                <w:sz w:val="24"/>
                <w:lang w:eastAsia="zh-CN"/>
                <w14:textFill>
                  <w14:solidFill>
                    <w14:schemeClr w14:val="tx1"/>
                  </w14:solidFill>
                </w14:textFill>
              </w:rPr>
              <w:t>、</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检测能力</w:t>
            </w:r>
          </w:p>
          <w:p>
            <w:pPr>
              <w:pStyle w:val="47"/>
              <w:spacing w:line="360" w:lineRule="auto"/>
              <w:ind w:left="24" w:leftChars="11" w:right="121" w:rightChars="55" w:firstLine="448" w:firstLineChars="187"/>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本项目为</w:t>
            </w:r>
            <w:r>
              <w:rPr>
                <w:rFonts w:hint="eastAsia" w:ascii="Times New Roman" w:hAnsi="Times New Roman" w:eastAsia="宋体" w:cs="Times New Roman"/>
                <w:color w:val="000000" w:themeColor="text1"/>
                <w14:textFill>
                  <w14:solidFill>
                    <w14:schemeClr w14:val="tx1"/>
                  </w14:solidFill>
                </w14:textFill>
              </w:rPr>
              <w:t>生物安全二级实验室</w:t>
            </w:r>
            <w:r>
              <w:rPr>
                <w:rFonts w:hint="eastAsia" w:ascii="Times New Roman" w:hAnsi="Times New Roman" w:eastAsia="宋体" w:cs="Times New Roman"/>
                <w:color w:val="000000" w:themeColor="text1"/>
                <w:lang w:eastAsia="zh-CN"/>
                <w14:textFill>
                  <w14:solidFill>
                    <w14:schemeClr w14:val="tx1"/>
                  </w14:solidFill>
                </w14:textFill>
              </w:rPr>
              <w:t>，主要以</w:t>
            </w:r>
            <w:r>
              <w:rPr>
                <w:rFonts w:hint="eastAsia" w:ascii="Times New Roman" w:hAnsi="Times New Roman" w:eastAsia="宋体" w:cs="Times New Roman"/>
                <w:color w:val="000000" w:themeColor="text1"/>
                <w:lang w:val="en-US" w:eastAsia="zh-CN"/>
                <w14:textFill>
                  <w14:solidFill>
                    <w14:schemeClr w14:val="tx1"/>
                  </w14:solidFill>
                </w14:textFill>
              </w:rPr>
              <w:t>动物疫病</w:t>
            </w:r>
            <w:r>
              <w:rPr>
                <w:rFonts w:hint="eastAsia" w:eastAsia="宋体" w:cs="Times New Roman"/>
                <w:color w:val="000000" w:themeColor="text1"/>
                <w:lang w:val="en-US" w:eastAsia="zh-CN"/>
                <w14:textFill>
                  <w14:solidFill>
                    <w14:schemeClr w14:val="tx1"/>
                  </w14:solidFill>
                </w14:textFill>
              </w:rPr>
              <w:t>抗原</w:t>
            </w:r>
            <w:r>
              <w:rPr>
                <w:rFonts w:hint="eastAsia" w:ascii="Times New Roman" w:hAnsi="Times New Roman" w:eastAsia="宋体" w:cs="Times New Roman"/>
                <w:color w:val="000000" w:themeColor="text1"/>
                <w:lang w:val="en-US" w:eastAsia="zh-CN"/>
                <w14:textFill>
                  <w14:solidFill>
                    <w14:schemeClr w14:val="tx1"/>
                  </w14:solidFill>
                </w14:textFill>
              </w:rPr>
              <w:t>检测为主，具体见表2-2。</w:t>
            </w:r>
          </w:p>
          <w:p>
            <w:pPr>
              <w:spacing w:line="360" w:lineRule="auto"/>
              <w:jc w:val="center"/>
              <w:rPr>
                <w:rFonts w:hint="eastAsia" w:ascii="Times New Roman" w:hAnsi="Times New Roman" w:eastAsia="宋体"/>
                <w:b/>
                <w:color w:val="000000" w:themeColor="text1"/>
                <w:sz w:val="24"/>
                <w:lang w:val="en-US" w:eastAsia="zh-CN"/>
                <w14:textFill>
                  <w14:solidFill>
                    <w14:schemeClr w14:val="tx1"/>
                  </w14:solidFill>
                </w14:textFill>
              </w:rPr>
            </w:pPr>
            <w:r>
              <w:rPr>
                <w:rFonts w:hint="eastAsia" w:ascii="Times New Roman" w:hAnsi="Times New Roman" w:eastAsia="宋体"/>
                <w:b/>
                <w:color w:val="000000" w:themeColor="text1"/>
                <w:sz w:val="24"/>
                <w:lang w:eastAsia="zh-CN"/>
                <w14:textFill>
                  <w14:solidFill>
                    <w14:schemeClr w14:val="tx1"/>
                  </w14:solidFill>
                </w14:textFill>
              </w:rPr>
              <w:t>表</w:t>
            </w:r>
            <w:r>
              <w:rPr>
                <w:rFonts w:hint="eastAsia" w:ascii="Times New Roman" w:hAnsi="Times New Roman" w:eastAsia="宋体"/>
                <w:b/>
                <w:color w:val="000000" w:themeColor="text1"/>
                <w:sz w:val="24"/>
                <w:lang w:val="en-US" w:eastAsia="zh-CN"/>
                <w14:textFill>
                  <w14:solidFill>
                    <w14:schemeClr w14:val="tx1"/>
                  </w14:solidFill>
                </w14:textFill>
              </w:rPr>
              <w:t>2-2     本项目实验室检测能力范围一览表</w:t>
            </w:r>
          </w:p>
          <w:tbl>
            <w:tblPr>
              <w:tblStyle w:val="28"/>
              <w:tblW w:w="85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710"/>
              <w:gridCol w:w="3244"/>
              <w:gridCol w:w="2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疫病种类</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项目/参数</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检测标准（方法）名称及编号（含年号）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0型口蹄疫正向间接血凝试验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口蹄疫诊断技术NY/SY150-2000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动物布鲁氏菌病试管凝集试验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动物布鲁氏菌病诊断技术GB/T18646-2002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动物布鲁氏菌病虎红平板凝集试验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动物布鲁氏菌病诊断技术GB/T18646-2002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高致病性禽流感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高致病性禽流感血凝、血凝抑制试验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高致病性禽流感诊断技术GB/T18936-2003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动物结核杆菌病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结核分支杆菌PPD皮内变态反应试验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动物结核病诊断技术GB/T18645-2002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亚洲1型口蹄疫抗体液相阻断ELISA试验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亚洲1型口蹄疫抗体液相阻断ELISA试剂盒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猪瘟ELISA抗体检测试剂盒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4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包虫病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包虫病血清学抗体检测试验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口蹄疫病毒3ABC—ELISA抗体检测试验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口蹄疫病毒3ABC—ELISA抗体检测试剂盒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1"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小反刍兽疫病</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小反刍兽疫阻断ELISA抗体检测试验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小反刍兽疫阻断ELISA抗体检测试剂盒GB/T27982-2011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44"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鸡新城疫</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鸡新城疫微量血凝、血凝抑制试验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新城疫诊断技术GB/T16550-2008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3"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  瘟</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猪瘟正向间接血凝试验</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猪瘟诊断技术规程NY/SY156-2000</w:t>
                  </w:r>
                </w:p>
              </w:tc>
            </w:tr>
          </w:tbl>
          <w:p>
            <w:pPr>
              <w:spacing w:line="360" w:lineRule="auto"/>
              <w:jc w:val="both"/>
              <w:rPr>
                <w:rFonts w:ascii="Times New Roman" w:hAnsi="Times New Roman" w:eastAsia="宋体"/>
                <w:b/>
                <w:color w:val="000000" w:themeColor="text1"/>
                <w:sz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项目原辅材料及主要能源消耗</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2"/>
              <w:textAlignment w:val="auto"/>
              <w:rPr>
                <w:rFonts w:hint="eastAsia" w:ascii="Times New Roman" w:hAnsi="Times New Roman" w:eastAsia="宋体" w:cs="Times New Roman"/>
                <w:color w:val="000000" w:themeColor="text1"/>
                <w:spacing w:val="-9"/>
                <w:sz w:val="24"/>
                <w:szCs w:val="22"/>
                <w:lang w:val="en-US" w:eastAsia="zh-CN"/>
                <w14:textFill>
                  <w14:solidFill>
                    <w14:schemeClr w14:val="tx1"/>
                  </w14:solidFill>
                </w14:textFill>
              </w:rPr>
            </w:pPr>
            <w:r>
              <w:rPr>
                <w:rFonts w:hint="default" w:ascii="Times New Roman" w:hAnsi="Times New Roman" w:eastAsia="宋体" w:cs="Times New Roman"/>
                <w:color w:val="000000" w:themeColor="text1"/>
                <w:spacing w:val="-9"/>
                <w:sz w:val="24"/>
                <w:szCs w:val="22"/>
                <w14:textFill>
                  <w14:solidFill>
                    <w14:schemeClr w14:val="tx1"/>
                  </w14:solidFill>
                </w14:textFill>
              </w:rPr>
              <w:t>本项目建成后，</w:t>
            </w:r>
            <w:r>
              <w:rPr>
                <w:rFonts w:hint="eastAsia" w:ascii="Times New Roman" w:hAnsi="Times New Roman" w:eastAsia="宋体" w:cs="Times New Roman"/>
                <w:color w:val="000000" w:themeColor="text1"/>
                <w:spacing w:val="-9"/>
                <w:sz w:val="24"/>
                <w:szCs w:val="22"/>
                <w:lang w:eastAsia="zh-CN"/>
                <w14:textFill>
                  <w14:solidFill>
                    <w14:schemeClr w14:val="tx1"/>
                  </w14:solidFill>
                </w14:textFill>
              </w:rPr>
              <w:t>购买成品试剂盒，醇、酯类化学药品都不用，不在实验室配置溶液，</w:t>
            </w:r>
            <w:r>
              <w:rPr>
                <w:rFonts w:hint="default" w:ascii="Times New Roman" w:hAnsi="Times New Roman" w:eastAsia="宋体" w:cs="Times New Roman"/>
                <w:color w:val="000000" w:themeColor="text1"/>
                <w:spacing w:val="-9"/>
                <w:sz w:val="24"/>
                <w:szCs w:val="22"/>
                <w14:textFill>
                  <w14:solidFill>
                    <w14:schemeClr w14:val="tx1"/>
                  </w14:solidFill>
                </w14:textFill>
              </w:rPr>
              <w:t>主要原辅材料</w:t>
            </w:r>
            <w:r>
              <w:rPr>
                <w:rFonts w:hint="eastAsia" w:ascii="Times New Roman" w:hAnsi="Times New Roman" w:eastAsia="宋体" w:cs="Times New Roman"/>
                <w:color w:val="000000" w:themeColor="text1"/>
                <w:spacing w:val="-9"/>
                <w:sz w:val="24"/>
                <w:szCs w:val="22"/>
                <w:lang w:eastAsia="zh-CN"/>
                <w14:textFill>
                  <w14:solidFill>
                    <w14:schemeClr w14:val="tx1"/>
                  </w14:solidFill>
                </w14:textFill>
              </w:rPr>
              <w:t>及耗材</w:t>
            </w:r>
            <w:r>
              <w:rPr>
                <w:rFonts w:hint="default" w:ascii="Times New Roman" w:hAnsi="Times New Roman" w:eastAsia="宋体" w:cs="Times New Roman"/>
                <w:color w:val="000000" w:themeColor="text1"/>
                <w:spacing w:val="-9"/>
                <w:sz w:val="24"/>
                <w:szCs w:val="22"/>
                <w14:textFill>
                  <w14:solidFill>
                    <w14:schemeClr w14:val="tx1"/>
                  </w14:solidFill>
                </w14:textFill>
              </w:rPr>
              <w:t>见表</w:t>
            </w:r>
            <w:r>
              <w:rPr>
                <w:rFonts w:hint="eastAsia" w:ascii="Times New Roman" w:hAnsi="Times New Roman" w:eastAsia="宋体" w:cs="Times New Roman"/>
                <w:color w:val="000000" w:themeColor="text1"/>
                <w:spacing w:val="-9"/>
                <w:sz w:val="24"/>
                <w:szCs w:val="22"/>
                <w:lang w:val="en-US" w:eastAsia="zh-CN"/>
                <w14:textFill>
                  <w14:solidFill>
                    <w14:schemeClr w14:val="tx1"/>
                  </w14:solidFill>
                </w14:textFill>
              </w:rPr>
              <w:t>2-3。</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2"/>
              <w:jc w:val="center"/>
              <w:textAlignment w:val="auto"/>
              <w:rPr>
                <w:rFonts w:hint="default" w:ascii="Times New Roman" w:hAnsi="Times New Roman" w:eastAsia="宋体" w:cs="Times New Roman"/>
                <w:b/>
                <w:bCs/>
                <w:color w:val="000000" w:themeColor="text1"/>
                <w:spacing w:val="-9"/>
                <w:sz w:val="24"/>
                <w:szCs w:val="22"/>
                <w:lang w:val="en-US" w:eastAsia="zh-CN"/>
                <w14:textFill>
                  <w14:solidFill>
                    <w14:schemeClr w14:val="tx1"/>
                  </w14:solidFill>
                </w14:textFill>
              </w:rPr>
            </w:pPr>
            <w:r>
              <w:rPr>
                <w:rFonts w:hint="eastAsia" w:ascii="Times New Roman" w:hAnsi="Times New Roman" w:eastAsia="宋体" w:cs="Times New Roman"/>
                <w:b/>
                <w:bCs/>
                <w:color w:val="000000" w:themeColor="text1"/>
                <w:spacing w:val="-9"/>
                <w:sz w:val="24"/>
                <w:szCs w:val="22"/>
                <w:lang w:val="en-US" w:eastAsia="zh-CN"/>
                <w14:textFill>
                  <w14:solidFill>
                    <w14:schemeClr w14:val="tx1"/>
                  </w14:solidFill>
                </w14:textFill>
              </w:rPr>
              <w:t>表2-3     项目运营期试剂、耗材一览表</w:t>
            </w:r>
          </w:p>
          <w:tbl>
            <w:tblPr>
              <w:tblStyle w:val="28"/>
              <w:tblW w:w="85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2680"/>
              <w:gridCol w:w="1213"/>
              <w:gridCol w:w="1080"/>
              <w:gridCol w:w="927"/>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编号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试剂（耗材）名称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用量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储存方式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680" w:type="dxa"/>
                  <w:tcBorders>
                    <w:top w:val="nil"/>
                    <w:left w:val="nil"/>
                    <w:bottom w:val="nil"/>
                    <w:right w:val="nil"/>
                  </w:tcBorders>
                  <w:shd w:val="clear" w:color="auto" w:fill="auto"/>
                  <w:vAlign w:val="center"/>
                </w:tcPr>
                <w:p>
                  <w:pPr>
                    <w:keepNext w:val="0"/>
                    <w:keepLines w:val="0"/>
                    <w:widowControl/>
                    <w:suppressLineNumbers w:val="0"/>
                    <w:ind w:firstLineChars="20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口蹄疫病毒O型竞争ELISA抗体检测试剂盒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96孔×5板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小反刍兽疫病毒阻断ELISA抗体检测试剂盒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96T×5板/盒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猪瘟病毒间接ELISA抗体检测试剂盒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96T×2板/盒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禽流感病毒H5亚型（Re-12株）血凝抑制实验抗原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禽流感病毒H5亚型（Re-12株）血凝抑制实验阳性血清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禽流感病毒H7亚型（Re-3株）血凝抑制试验抗原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1"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禽流感病毒H7亚型（Re-3株）血凝抑制试验阳性血清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哈尔滨国生生物科技股份有限公司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鸡新城疫血凝抑制实验抗原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北京中海生物科技有限公司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鸡新城疫血凝抑制实验抗原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布鲁氏菌病虎红平板凝集实验抗原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布鲁氏菌病试管凝集实验抗原</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30瓶/a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冷藏</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布病阳性对照血清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布病阴性对照血清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1ml/瓶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冷冻</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青岛立见诊断技术发展中心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生理盐水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250ml*0.9%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常温</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辰欣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一次性移液枪头</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200ul、300ul、1000ul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一次性PVC垫板</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80-100头份/版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96孔V型反应板</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15盒/a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N95口罩</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50盒/a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医用外科口罩</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50盒/a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一次性医用橡胶手套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80盒/a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一次性脚套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100盒/a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一次性无菌帽</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100盒/a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护目镜</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t>10副</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75%医用酒精</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新洁尔灭</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84消毒液</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27</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消毒灵</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1"/>
                      <w:szCs w:val="21"/>
                      <w:u w:val="none"/>
                      <w:lang w:val="en-US" w:eastAsia="zh-CN"/>
                      <w14:textFill>
                        <w14:solidFill>
                          <w14:schemeClr w14:val="tx1"/>
                        </w14:solidFill>
                      </w14:textFill>
                    </w:rPr>
                    <w:t>5箱/a</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themeColor="text1"/>
                      <w:sz w:val="21"/>
                      <w:szCs w:val="21"/>
                      <w:u w:val="none"/>
                      <w14:textFill>
                        <w14:solidFill>
                          <w14:schemeClr w14:val="tx1"/>
                        </w14:solidFill>
                      </w14:textFill>
                    </w:rPr>
                  </w:pPr>
                </w:p>
              </w:tc>
            </w:tr>
          </w:tbl>
          <w:p>
            <w:pPr>
              <w:spacing w:line="360" w:lineRule="auto"/>
              <w:jc w:val="both"/>
              <w:rPr>
                <w:rFonts w:ascii="Times New Roman" w:hAnsi="Times New Roman" w:eastAsia="宋体"/>
                <w:b/>
                <w:color w:val="000000" w:themeColor="text1"/>
                <w:sz w:val="24"/>
                <w:lang w:eastAsia="zh-CN"/>
                <w14:textFill>
                  <w14:solidFill>
                    <w14:schemeClr w14:val="tx1"/>
                  </w14:solidFill>
                </w14:textFill>
              </w:rPr>
            </w:pPr>
            <w:r>
              <w:rPr>
                <w:rFonts w:hint="eastAsia" w:ascii="Times New Roman" w:hAnsi="Times New Roman" w:eastAsia="宋体"/>
                <w:b/>
                <w:color w:val="000000" w:themeColor="text1"/>
                <w:sz w:val="24"/>
                <w:lang w:val="en-US" w:eastAsia="zh-CN"/>
                <w14:textFill>
                  <w14:solidFill>
                    <w14:schemeClr w14:val="tx1"/>
                  </w14:solidFill>
                </w14:textFill>
              </w:rPr>
              <w:t>5、主要</w:t>
            </w:r>
            <w:r>
              <w:rPr>
                <w:rFonts w:ascii="Times New Roman" w:hAnsi="Times New Roman" w:eastAsia="宋体"/>
                <w:b/>
                <w:color w:val="000000" w:themeColor="text1"/>
                <w:sz w:val="24"/>
                <w:lang w:eastAsia="zh-CN"/>
                <w14:textFill>
                  <w14:solidFill>
                    <w14:schemeClr w14:val="tx1"/>
                  </w14:solidFill>
                </w14:textFill>
              </w:rPr>
              <w:t>设备</w:t>
            </w:r>
          </w:p>
          <w:p>
            <w:pPr>
              <w:pStyle w:val="47"/>
              <w:spacing w:line="360" w:lineRule="auto"/>
              <w:ind w:left="24" w:leftChars="11" w:right="121" w:rightChars="55" w:firstLine="448" w:firstLineChars="187"/>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本项目主要设备如表</w:t>
            </w:r>
            <w:r>
              <w:rPr>
                <w:rFonts w:hint="eastAsia" w:eastAsia="宋体"/>
                <w:color w:val="000000" w:themeColor="text1"/>
                <w14:textFill>
                  <w14:solidFill>
                    <w14:schemeClr w14:val="tx1"/>
                  </w14:solidFill>
                </w14:textFill>
              </w:rPr>
              <w:t>2-</w:t>
            </w:r>
            <w:r>
              <w:rPr>
                <w:rFonts w:hint="eastAsia" w:eastAsia="宋体"/>
                <w:color w:val="000000" w:themeColor="text1"/>
                <w:lang w:val="en-US" w:eastAsia="zh-CN"/>
                <w14:textFill>
                  <w14:solidFill>
                    <w14:schemeClr w14:val="tx1"/>
                  </w14:solidFill>
                </w14:textFill>
              </w:rPr>
              <w:t>4</w:t>
            </w:r>
            <w:r>
              <w:rPr>
                <w:rFonts w:eastAsia="宋体"/>
                <w:color w:val="000000" w:themeColor="text1"/>
                <w14:textFill>
                  <w14:solidFill>
                    <w14:schemeClr w14:val="tx1"/>
                  </w14:solidFill>
                </w14:textFill>
              </w:rPr>
              <w:t>所示。</w:t>
            </w:r>
          </w:p>
          <w:p>
            <w:pPr>
              <w:pStyle w:val="38"/>
              <w:adjustRightInd w:val="0"/>
              <w:snapToGrid w:val="0"/>
              <w:jc w:val="center"/>
              <w:rPr>
                <w:rFonts w:ascii="Times New Roman" w:hAnsi="Times New Roman" w:eastAsia="宋体"/>
                <w:b/>
                <w:color w:val="000000" w:themeColor="text1"/>
                <w:sz w:val="21"/>
                <w:szCs w:val="20"/>
                <w:lang w:eastAsia="zh-CN"/>
                <w14:textFill>
                  <w14:solidFill>
                    <w14:schemeClr w14:val="tx1"/>
                  </w14:solidFill>
                </w14:textFill>
              </w:rPr>
            </w:pPr>
            <w:r>
              <w:rPr>
                <w:rFonts w:ascii="Times New Roman" w:hAnsi="Times New Roman" w:eastAsia="宋体"/>
                <w:b/>
                <w:color w:val="000000" w:themeColor="text1"/>
                <w:sz w:val="21"/>
                <w:szCs w:val="20"/>
                <w:lang w:eastAsia="zh-CN"/>
                <w14:textFill>
                  <w14:solidFill>
                    <w14:schemeClr w14:val="tx1"/>
                  </w14:solidFill>
                </w14:textFill>
              </w:rPr>
              <w:t>表</w:t>
            </w:r>
            <w:r>
              <w:rPr>
                <w:rFonts w:hint="eastAsia" w:ascii="Times New Roman" w:hAnsi="Times New Roman" w:eastAsia="宋体"/>
                <w:b/>
                <w:color w:val="000000" w:themeColor="text1"/>
                <w:sz w:val="21"/>
                <w:szCs w:val="20"/>
                <w:lang w:eastAsia="zh-CN"/>
                <w14:textFill>
                  <w14:solidFill>
                    <w14:schemeClr w14:val="tx1"/>
                  </w14:solidFill>
                </w14:textFill>
              </w:rPr>
              <w:t>2-</w:t>
            </w:r>
            <w:r>
              <w:rPr>
                <w:rFonts w:hint="eastAsia" w:ascii="Times New Roman" w:hAnsi="Times New Roman" w:eastAsia="宋体"/>
                <w:b/>
                <w:color w:val="000000" w:themeColor="text1"/>
                <w:sz w:val="21"/>
                <w:szCs w:val="20"/>
                <w:lang w:val="en-US" w:eastAsia="zh-CN"/>
                <w14:textFill>
                  <w14:solidFill>
                    <w14:schemeClr w14:val="tx1"/>
                  </w14:solidFill>
                </w14:textFill>
              </w:rPr>
              <w:t>4</w:t>
            </w:r>
            <w:r>
              <w:rPr>
                <w:rFonts w:hint="eastAsia" w:ascii="Times New Roman" w:hAnsi="Times New Roman" w:eastAsia="宋体"/>
                <w:b/>
                <w:color w:val="000000" w:themeColor="text1"/>
                <w:sz w:val="21"/>
                <w:szCs w:val="20"/>
                <w:lang w:eastAsia="zh-CN"/>
                <w14:textFill>
                  <w14:solidFill>
                    <w14:schemeClr w14:val="tx1"/>
                  </w14:solidFill>
                </w14:textFill>
              </w:rPr>
              <w:t xml:space="preserve">  </w:t>
            </w:r>
            <w:r>
              <w:rPr>
                <w:rFonts w:ascii="Times New Roman" w:hAnsi="Times New Roman" w:eastAsia="宋体"/>
                <w:b/>
                <w:color w:val="000000" w:themeColor="text1"/>
                <w:sz w:val="21"/>
                <w:szCs w:val="20"/>
                <w:lang w:eastAsia="zh-CN"/>
                <w14:textFill>
                  <w14:solidFill>
                    <w14:schemeClr w14:val="tx1"/>
                  </w14:solidFill>
                </w14:textFill>
              </w:rPr>
              <w:t xml:space="preserve">  项目生产设备一览表</w:t>
            </w:r>
          </w:p>
          <w:tbl>
            <w:tblPr>
              <w:tblStyle w:val="28"/>
              <w:tblW w:w="856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2239"/>
              <w:gridCol w:w="1603"/>
              <w:gridCol w:w="33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序号</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名称</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数量</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eastAsia="zh-CN"/>
                      <w14:textFill>
                        <w14:solidFill>
                          <w14:schemeClr w14:val="tx1"/>
                        </w14:solidFill>
                      </w14:textFill>
                    </w:rPr>
                    <w:t>实验台</w:t>
                  </w:r>
                </w:p>
              </w:tc>
              <w:tc>
                <w:tcPr>
                  <w:tcW w:w="1603" w:type="dxa"/>
                  <w:tcBorders>
                    <w:tl2br w:val="nil"/>
                    <w:tr2bl w:val="nil"/>
                  </w:tcBorders>
                  <w:vAlign w:val="center"/>
                </w:tcPr>
                <w:p>
                  <w:pPr>
                    <w:jc w:val="center"/>
                    <w:rPr>
                      <w:rFonts w:hint="default" w:ascii="Times New Roman" w:hAnsi="Times New Roman" w:eastAsia="新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70m</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eastAsia="zh-CN"/>
                      <w14:textFill>
                        <w14:solidFill>
                          <w14:schemeClr w14:val="tx1"/>
                        </w14:solidFill>
                      </w14:textFill>
                    </w:rPr>
                    <w:t>高830，宽750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2</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eastAsia="zh-CN"/>
                      <w14:textFill>
                        <w14:solidFill>
                          <w14:schemeClr w14:val="tx1"/>
                        </w14:solidFill>
                      </w14:textFill>
                    </w:rPr>
                    <w:t>洁净工作台</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w:t>
                  </w:r>
                  <w:r>
                    <w:rPr>
                      <w:rFonts w:hint="eastAsia" w:ascii="Times New Roman" w:hAnsi="Times New Roman" w:eastAsia="新宋体" w:cs="Times New Roman"/>
                      <w:color w:val="000000" w:themeColor="text1"/>
                      <w:sz w:val="21"/>
                      <w:szCs w:val="21"/>
                      <w:lang w:eastAsia="zh-CN"/>
                      <w14:textFill>
                        <w14:solidFill>
                          <w14:schemeClr w14:val="tx1"/>
                        </w14:solidFill>
                      </w14:textFill>
                    </w:rPr>
                    <w:t>组</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3</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eastAsia="zh-CN"/>
                      <w14:textFill>
                        <w14:solidFill>
                          <w14:schemeClr w14:val="tx1"/>
                        </w14:solidFill>
                      </w14:textFill>
                    </w:rPr>
                    <w:t>生物安全柜</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w:t>
                  </w:r>
                  <w:r>
                    <w:rPr>
                      <w:rFonts w:hint="eastAsia" w:ascii="Times New Roman" w:hAnsi="Times New Roman" w:eastAsia="新宋体" w:cs="Times New Roman"/>
                      <w:color w:val="000000" w:themeColor="text1"/>
                      <w:sz w:val="21"/>
                      <w:szCs w:val="21"/>
                      <w:lang w:eastAsia="zh-CN"/>
                      <w14:textFill>
                        <w14:solidFill>
                          <w14:schemeClr w14:val="tx1"/>
                        </w14:solidFill>
                      </w14:textFill>
                    </w:rPr>
                    <w:t>套</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4</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宋体" w:hAnsi="宋体"/>
                      <w:color w:val="000000" w:themeColor="text1"/>
                      <w:szCs w:val="28"/>
                      <w14:textFill>
                        <w14:solidFill>
                          <w14:schemeClr w14:val="tx1"/>
                        </w14:solidFill>
                      </w14:textFill>
                    </w:rPr>
                    <w:t>核酸提取仪</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5</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宋体" w:hAnsi="宋体"/>
                      <w:color w:val="000000" w:themeColor="text1"/>
                      <w:szCs w:val="28"/>
                      <w14:textFill>
                        <w14:solidFill>
                          <w14:schemeClr w14:val="tx1"/>
                        </w14:solidFill>
                      </w14:textFill>
                    </w:rPr>
                    <w:t>高速冷冻离心机</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val="pt-BR" w:eastAsia="zh-CN"/>
                      <w14:textFill>
                        <w14:solidFill>
                          <w14:schemeClr w14:val="tx1"/>
                        </w14:solidFill>
                      </w14:textFill>
                    </w:rPr>
                    <w:t>提升式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6</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宋体" w:hAnsi="宋体"/>
                      <w:color w:val="000000" w:themeColor="text1"/>
                      <w:szCs w:val="28"/>
                      <w14:textFill>
                        <w14:solidFill>
                          <w14:schemeClr w14:val="tx1"/>
                        </w14:solidFill>
                      </w14:textFill>
                    </w:rPr>
                    <w:t>零下86度低温冰箱</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刮板式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7</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宋体" w:hAnsi="宋体"/>
                      <w:color w:val="000000" w:themeColor="text1"/>
                      <w:szCs w:val="28"/>
                      <w14:textFill>
                        <w14:solidFill>
                          <w14:schemeClr w14:val="tx1"/>
                        </w14:solidFill>
                      </w14:textFill>
                    </w:rPr>
                    <w:t>2-8</w:t>
                  </w:r>
                  <w:r>
                    <w:rPr>
                      <w:rFonts w:hint="eastAsia" w:ascii="宋体" w:hAnsi="宋体"/>
                      <w:color w:val="000000" w:themeColor="text1"/>
                      <w:szCs w:val="28"/>
                      <w14:textFill>
                        <w14:solidFill>
                          <w14:schemeClr w14:val="tx1"/>
                        </w14:solidFill>
                      </w14:textFill>
                    </w:rPr>
                    <w:t>度试剂冷藏箱</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8</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宋体" w:hAnsi="宋体"/>
                      <w:color w:val="000000" w:themeColor="text1"/>
                      <w:szCs w:val="28"/>
                      <w14:textFill>
                        <w14:solidFill>
                          <w14:schemeClr w14:val="tx1"/>
                        </w14:solidFill>
                      </w14:textFill>
                    </w:rPr>
                    <w:t>高压蒸汽灭菌器</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1台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9</w:t>
                  </w:r>
                </w:p>
              </w:tc>
              <w:tc>
                <w:tcPr>
                  <w:tcW w:w="2239"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宋体" w:hAnsi="宋体"/>
                      <w:color w:val="000000" w:themeColor="text1"/>
                      <w:szCs w:val="28"/>
                      <w14:textFill>
                        <w14:solidFill>
                          <w14:schemeClr w14:val="tx1"/>
                        </w14:solidFill>
                      </w14:textFill>
                    </w:rPr>
                    <w:t>荧光定量</w:t>
                  </w:r>
                  <w:r>
                    <w:rPr>
                      <w:rFonts w:ascii="宋体" w:hAnsi="宋体"/>
                      <w:color w:val="000000" w:themeColor="text1"/>
                      <w:szCs w:val="28"/>
                      <w14:textFill>
                        <w14:solidFill>
                          <w14:schemeClr w14:val="tx1"/>
                        </w14:solidFill>
                      </w14:textFill>
                    </w:rPr>
                    <w:t>PCR</w:t>
                  </w:r>
                  <w:r>
                    <w:rPr>
                      <w:rFonts w:hint="eastAsia" w:ascii="宋体" w:hAnsi="宋体"/>
                      <w:color w:val="000000" w:themeColor="text1"/>
                      <w:szCs w:val="28"/>
                      <w14:textFill>
                        <w14:solidFill>
                          <w14:schemeClr w14:val="tx1"/>
                        </w14:solidFill>
                      </w14:textFill>
                    </w:rPr>
                    <w:t>仪</w:t>
                  </w:r>
                </w:p>
              </w:tc>
              <w:tc>
                <w:tcPr>
                  <w:tcW w:w="1603"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hint="eastAsia" w:ascii="Times New Roman" w:hAnsi="Times New Roman" w:eastAsia="新宋体" w:cs="Times New Roman"/>
                      <w:color w:val="000000" w:themeColor="text1"/>
                      <w:sz w:val="21"/>
                      <w:szCs w:val="21"/>
                      <w:lang w:val="en-US" w:eastAsia="zh-CN"/>
                      <w14:textFill>
                        <w14:solidFill>
                          <w14:schemeClr w14:val="tx1"/>
                        </w14:solidFill>
                      </w14:textFill>
                    </w:rPr>
                    <w:t>1</w:t>
                  </w:r>
                  <w:r>
                    <w:rPr>
                      <w:rFonts w:ascii="Times New Roman" w:hAnsi="Times New Roman" w:eastAsia="新宋体" w:cs="Times New Roman"/>
                      <w:color w:val="000000" w:themeColor="text1"/>
                      <w:sz w:val="21"/>
                      <w:szCs w:val="21"/>
                      <w:lang w:eastAsia="zh-CN"/>
                      <w14:textFill>
                        <w14:solidFill>
                          <w14:schemeClr w14:val="tx1"/>
                        </w14:solidFill>
                      </w14:textFill>
                    </w:rPr>
                    <w:t>台</w:t>
                  </w:r>
                </w:p>
              </w:tc>
              <w:tc>
                <w:tcPr>
                  <w:tcW w:w="3335" w:type="dxa"/>
                  <w:tcBorders>
                    <w:tl2br w:val="nil"/>
                    <w:tr2bl w:val="nil"/>
                  </w:tcBorders>
                  <w:vAlign w:val="center"/>
                </w:tcPr>
                <w:p>
                  <w:pPr>
                    <w:jc w:val="center"/>
                    <w:rPr>
                      <w:rFonts w:ascii="Times New Roman" w:hAnsi="Times New Roman" w:eastAsia="新宋体" w:cs="Times New Roman"/>
                      <w:color w:val="000000" w:themeColor="text1"/>
                      <w:sz w:val="21"/>
                      <w:szCs w:val="21"/>
                      <w:lang w:eastAsia="zh-CN"/>
                      <w14:textFill>
                        <w14:solidFill>
                          <w14:schemeClr w14:val="tx1"/>
                        </w14:solidFill>
                      </w14:textFill>
                    </w:rPr>
                  </w:pPr>
                  <w:r>
                    <w:rPr>
                      <w:rFonts w:ascii="Times New Roman" w:hAnsi="Times New Roman" w:eastAsia="新宋体" w:cs="Times New Roman"/>
                      <w:color w:val="000000" w:themeColor="text1"/>
                      <w:sz w:val="21"/>
                      <w:szCs w:val="21"/>
                      <w:lang w:eastAsia="zh-CN"/>
                      <w14:textFill>
                        <w14:solidFill>
                          <w14:schemeClr w14:val="tx1"/>
                        </w14:solidFill>
                      </w14:textFill>
                    </w:rPr>
                    <w:t>55kw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10</w:t>
                  </w:r>
                </w:p>
              </w:tc>
              <w:tc>
                <w:tcPr>
                  <w:tcW w:w="2239" w:type="dxa"/>
                  <w:tcBorders>
                    <w:tl2br w:val="nil"/>
                    <w:tr2bl w:val="nil"/>
                  </w:tcBorders>
                  <w:vAlign w:val="center"/>
                </w:tcPr>
                <w:p>
                  <w:pPr>
                    <w:jc w:val="center"/>
                    <w:rPr>
                      <w:rFonts w:hint="eastAsia" w:ascii="宋体" w:hAnsi="宋体" w:eastAsiaTheme="minorEastAsia"/>
                      <w:color w:val="FF0000"/>
                      <w:szCs w:val="28"/>
                      <w:lang w:val="en-US" w:eastAsia="zh-CN"/>
                    </w:rPr>
                  </w:pPr>
                  <w:r>
                    <w:rPr>
                      <w:rFonts w:hint="eastAsia" w:ascii="宋体" w:hAnsi="宋体"/>
                      <w:color w:val="FF0000"/>
                      <w:szCs w:val="28"/>
                      <w:lang w:val="en-US" w:eastAsia="zh-CN"/>
                    </w:rPr>
                    <w:t>纯水机</w:t>
                  </w:r>
                </w:p>
              </w:tc>
              <w:tc>
                <w:tcPr>
                  <w:tcW w:w="1603"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1套</w:t>
                  </w:r>
                </w:p>
              </w:tc>
              <w:tc>
                <w:tcPr>
                  <w:tcW w:w="3335"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392"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11</w:t>
                  </w:r>
                </w:p>
              </w:tc>
              <w:tc>
                <w:tcPr>
                  <w:tcW w:w="2239" w:type="dxa"/>
                  <w:tcBorders>
                    <w:tl2br w:val="nil"/>
                    <w:tr2bl w:val="nil"/>
                  </w:tcBorders>
                  <w:vAlign w:val="center"/>
                </w:tcPr>
                <w:p>
                  <w:pPr>
                    <w:jc w:val="center"/>
                    <w:rPr>
                      <w:rFonts w:hint="default" w:ascii="宋体" w:hAnsi="宋体"/>
                      <w:color w:val="FF0000"/>
                      <w:szCs w:val="28"/>
                      <w:lang w:val="en-US" w:eastAsia="zh-CN"/>
                    </w:rPr>
                  </w:pPr>
                  <w:r>
                    <w:rPr>
                      <w:rFonts w:hint="eastAsia" w:ascii="宋体" w:hAnsi="宋体"/>
                      <w:color w:val="FF0000"/>
                      <w:szCs w:val="28"/>
                      <w:lang w:val="en-US" w:eastAsia="zh-CN"/>
                    </w:rPr>
                    <w:t>UPS电源</w:t>
                  </w:r>
                </w:p>
              </w:tc>
              <w:tc>
                <w:tcPr>
                  <w:tcW w:w="1603"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2套</w:t>
                  </w:r>
                </w:p>
              </w:tc>
              <w:tc>
                <w:tcPr>
                  <w:tcW w:w="3335" w:type="dxa"/>
                  <w:tcBorders>
                    <w:tl2br w:val="nil"/>
                    <w:tr2bl w:val="nil"/>
                  </w:tcBorders>
                  <w:vAlign w:val="center"/>
                </w:tcPr>
                <w:p>
                  <w:pPr>
                    <w:jc w:val="center"/>
                    <w:rPr>
                      <w:rFonts w:hint="default" w:ascii="Times New Roman" w:hAnsi="Times New Roman" w:eastAsia="新宋体" w:cs="Times New Roman"/>
                      <w:color w:val="FF0000"/>
                      <w:sz w:val="21"/>
                      <w:szCs w:val="21"/>
                      <w:lang w:val="en-US" w:eastAsia="zh-CN"/>
                    </w:rPr>
                  </w:pPr>
                  <w:r>
                    <w:rPr>
                      <w:rFonts w:hint="eastAsia" w:ascii="Times New Roman" w:hAnsi="Times New Roman" w:eastAsia="新宋体" w:cs="Times New Roman"/>
                      <w:color w:val="FF0000"/>
                      <w:sz w:val="21"/>
                      <w:szCs w:val="21"/>
                      <w:lang w:val="en-US" w:eastAsia="zh-CN"/>
                    </w:rPr>
                    <w:t>/</w:t>
                  </w:r>
                </w:p>
              </w:tc>
            </w:tr>
          </w:tbl>
          <w:p>
            <w:pPr>
              <w:numPr>
                <w:ilvl w:val="0"/>
                <w:numId w:val="3"/>
              </w:numPr>
              <w:spacing w:line="360" w:lineRule="auto"/>
              <w:rPr>
                <w:rFonts w:hint="default" w:ascii="Times New Roman" w:hAnsi="Times New Roman" w:eastAsia="宋体" w:cs="Times New Roman"/>
                <w:b/>
                <w:bCs/>
                <w:color w:val="000000" w:themeColor="text1"/>
                <w:sz w:val="24"/>
                <w:szCs w:val="28"/>
                <w14:textFill>
                  <w14:solidFill>
                    <w14:schemeClr w14:val="tx1"/>
                  </w14:solidFill>
                </w14:textFill>
              </w:rPr>
            </w:pPr>
            <w:r>
              <w:rPr>
                <w:rFonts w:hint="default" w:ascii="Times New Roman" w:hAnsi="Times New Roman" w:eastAsia="宋体" w:cs="Times New Roman"/>
                <w:b/>
                <w:bCs/>
                <w:color w:val="000000" w:themeColor="text1"/>
                <w:sz w:val="24"/>
                <w:szCs w:val="28"/>
                <w14:textFill>
                  <w14:solidFill>
                    <w14:schemeClr w14:val="tx1"/>
                  </w14:solidFill>
                </w14:textFill>
              </w:rPr>
              <w:t>平面布置</w:t>
            </w:r>
          </w:p>
          <w:p>
            <w:pPr>
              <w:adjustRightInd w:val="0"/>
              <w:snapToGrid w:val="0"/>
              <w:spacing w:line="360" w:lineRule="auto"/>
              <w:ind w:firstLine="480" w:firstLineChars="200"/>
              <w:jc w:val="both"/>
              <w:rPr>
                <w:rFonts w:hint="default" w:ascii="Times New Roman" w:hAnsi="Times New Roman" w:eastAsia="宋体"/>
                <w:color w:val="FF0000"/>
                <w:sz w:val="24"/>
                <w:szCs w:val="24"/>
                <w:lang w:val="en-US" w:eastAsia="zh-CN"/>
              </w:rPr>
            </w:pPr>
            <w:r>
              <w:rPr>
                <w:rFonts w:hint="eastAsia" w:ascii="Times New Roman" w:hAnsi="Times New Roman" w:eastAsia="宋体"/>
                <w:color w:val="FF0000"/>
                <w:sz w:val="24"/>
                <w:szCs w:val="24"/>
                <w:lang w:val="en-US" w:eastAsia="zh-CN"/>
              </w:rPr>
              <w:t>本项目实验室位于宁县新宁镇马莲路15号，布设在宁县畜牧兽医站办公楼三楼，项目区东侧为马莲河，西侧、南侧为道路，北侧为优山美地住宅区，出入口位于场地北侧，与主要道路相接。整个场地呈不规则“梯”形，场地内整个建筑相互协调，与周围环境相符合，使此建筑既适合周围环境，又不显得落后。实验区设置在三楼，危废间设置在三楼楼梯间，方便产生危废收集暂存，实验室废水产生后直接手工酸碱中和、消毒、高温处理后通过专用污水管道排出，进入院内化粪池。</w:t>
            </w:r>
          </w:p>
          <w:p>
            <w:pPr>
              <w:adjustRightInd w:val="0"/>
              <w:snapToGrid w:val="0"/>
              <w:spacing w:line="360" w:lineRule="auto"/>
              <w:ind w:firstLine="480" w:firstLineChars="200"/>
              <w:jc w:val="both"/>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①本项目选址不在文物保护区、自然水系、湿地、基本农田、森林和其他保护区范围内，周边无饮用水源保护区。</w:t>
            </w:r>
          </w:p>
          <w:p>
            <w:pPr>
              <w:adjustRightInd w:val="0"/>
              <w:snapToGrid w:val="0"/>
              <w:spacing w:line="360" w:lineRule="auto"/>
              <w:ind w:firstLine="480" w:firstLineChars="200"/>
              <w:jc w:val="both"/>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②建筑场地选址无洪灾、泥石流及含氡土壤的威胁，建筑场地安全范围内无电磁辐射危害和火、爆、有毒物质等危险源。</w:t>
            </w:r>
          </w:p>
          <w:p>
            <w:pPr>
              <w:adjustRightInd w:val="0"/>
              <w:snapToGrid w:val="0"/>
              <w:spacing w:line="360" w:lineRule="auto"/>
              <w:ind w:firstLine="480" w:firstLineChars="200"/>
              <w:jc w:val="both"/>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综合分析，项目平面布置合理。</w:t>
            </w:r>
          </w:p>
          <w:p>
            <w:pPr>
              <w:spacing w:line="360" w:lineRule="auto"/>
              <w:rPr>
                <w:rFonts w:ascii="Times New Roman" w:hAnsi="Times New Roman" w:eastAsia="宋体"/>
                <w:b/>
                <w:color w:val="000000" w:themeColor="text1"/>
                <w:sz w:val="24"/>
                <w:lang w:eastAsia="zh-CN"/>
                <w14:textFill>
                  <w14:solidFill>
                    <w14:schemeClr w14:val="tx1"/>
                  </w14:solidFill>
                </w14:textFill>
              </w:rPr>
            </w:pPr>
            <w:r>
              <w:rPr>
                <w:rFonts w:hint="eastAsia" w:ascii="Times New Roman" w:hAnsi="Times New Roman" w:eastAsia="宋体"/>
                <w:b/>
                <w:color w:val="000000" w:themeColor="text1"/>
                <w:sz w:val="24"/>
                <w:lang w:val="en-US" w:eastAsia="zh-CN"/>
                <w14:textFill>
                  <w14:solidFill>
                    <w14:schemeClr w14:val="tx1"/>
                  </w14:solidFill>
                </w14:textFill>
              </w:rPr>
              <w:t>7</w:t>
            </w:r>
            <w:r>
              <w:rPr>
                <w:rFonts w:hint="eastAsia" w:ascii="Times New Roman" w:hAnsi="Times New Roman" w:eastAsia="宋体"/>
                <w:b/>
                <w:color w:val="000000" w:themeColor="text1"/>
                <w:sz w:val="24"/>
                <w:lang w:eastAsia="zh-CN"/>
                <w14:textFill>
                  <w14:solidFill>
                    <w14:schemeClr w14:val="tx1"/>
                  </w14:solidFill>
                </w14:textFill>
              </w:rPr>
              <w:t>、</w:t>
            </w:r>
            <w:r>
              <w:rPr>
                <w:rFonts w:ascii="Times New Roman" w:hAnsi="Times New Roman" w:eastAsia="宋体"/>
                <w:b/>
                <w:color w:val="000000" w:themeColor="text1"/>
                <w:sz w:val="24"/>
                <w:lang w:eastAsia="zh-CN"/>
                <w14:textFill>
                  <w14:solidFill>
                    <w14:schemeClr w14:val="tx1"/>
                  </w14:solidFill>
                </w14:textFill>
              </w:rPr>
              <w:t>公用工程</w:t>
            </w:r>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bookmarkStart w:id="2" w:name="_Toc12488_WPSOffice_Level3"/>
            <w:bookmarkStart w:id="3" w:name="_Toc27962_WPSOffice_Level3"/>
            <w:bookmarkStart w:id="4" w:name="_Toc31295_WPSOffice_Level3"/>
            <w:bookmarkStart w:id="5" w:name="_Toc12899_WPSOffice_Level3"/>
            <w:bookmarkStart w:id="6" w:name="_Toc26159_WPSOffice_Level3"/>
            <w:bookmarkStart w:id="7" w:name="_Toc4578_WPSOffice_Level3"/>
            <w:bookmarkStart w:id="8" w:name="_Toc4276_WPSOffice_Level3"/>
            <w:bookmarkStart w:id="9" w:name="_Toc1348_WPSOffice_Level3"/>
            <w:bookmarkStart w:id="10" w:name="_Toc14382329"/>
            <w:bookmarkStart w:id="11" w:name="_Toc394191196"/>
            <w:r>
              <w:rPr>
                <w:rFonts w:hint="default" w:ascii="Times New Roman" w:hAnsi="Times New Roman" w:eastAsia="宋体" w:cs="Times New Roman"/>
                <w:color w:val="000000" w:themeColor="text1"/>
                <w:sz w:val="24"/>
                <w:lang w:val="en-US" w:eastAsia="zh-CN"/>
                <w14:textFill>
                  <w14:solidFill>
                    <w14:schemeClr w14:val="tx1"/>
                  </w14:solidFill>
                </w14:textFill>
              </w:rPr>
              <w:t>（1）劳动定员与工作制度</w:t>
            </w:r>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本项目劳动定员</w:t>
            </w:r>
            <w:r>
              <w:rPr>
                <w:rFonts w:hint="eastAsia" w:ascii="Times New Roman" w:hAnsi="Times New Roman" w:cs="Times New Roman"/>
                <w:color w:val="FF0000"/>
                <w:sz w:val="24"/>
                <w:lang w:val="en-US" w:eastAsia="zh-CN"/>
              </w:rPr>
              <w:t>5</w:t>
            </w:r>
            <w:r>
              <w:rPr>
                <w:rFonts w:hint="default" w:ascii="Times New Roman" w:hAnsi="Times New Roman" w:eastAsia="宋体" w:cs="Times New Roman"/>
                <w:color w:val="FF0000"/>
                <w:sz w:val="24"/>
                <w:lang w:val="en-US" w:eastAsia="zh-CN"/>
              </w:rPr>
              <w:t>人，年工作天数</w:t>
            </w:r>
            <w:r>
              <w:rPr>
                <w:rFonts w:hint="eastAsia" w:ascii="Times New Roman" w:hAnsi="Times New Roman" w:cs="Times New Roman"/>
                <w:color w:val="FF0000"/>
                <w:sz w:val="24"/>
                <w:lang w:val="en-US" w:eastAsia="zh-CN"/>
              </w:rPr>
              <w:t>300</w:t>
            </w:r>
            <w:r>
              <w:rPr>
                <w:rFonts w:hint="default" w:ascii="Times New Roman" w:hAnsi="Times New Roman" w:eastAsia="宋体" w:cs="Times New Roman"/>
                <w:color w:val="FF0000"/>
                <w:sz w:val="24"/>
                <w:lang w:val="en-US" w:eastAsia="zh-CN"/>
              </w:rPr>
              <w:t>天，采用一天一班制，每班八小时工作制。</w:t>
            </w:r>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（2）给水</w:t>
            </w:r>
          </w:p>
          <w:bookmarkEnd w:id="2"/>
          <w:bookmarkEnd w:id="3"/>
          <w:bookmarkEnd w:id="4"/>
          <w:bookmarkEnd w:id="5"/>
          <w:bookmarkEnd w:id="6"/>
          <w:bookmarkEnd w:id="7"/>
          <w:bookmarkEnd w:id="8"/>
          <w:bookmarkEnd w:id="9"/>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bookmarkStart w:id="12" w:name="_Toc2871_WPSOffice_Level3"/>
            <w:bookmarkStart w:id="13" w:name="_Toc31796_WPSOffice_Level3"/>
            <w:bookmarkStart w:id="14" w:name="_Toc20526_WPSOffice_Level3"/>
            <w:bookmarkStart w:id="15" w:name="_Toc320_WPSOffice_Level3"/>
            <w:bookmarkStart w:id="16" w:name="_Toc21276_WPSOffice_Level3"/>
            <w:bookmarkStart w:id="17" w:name="_Toc2936_WPSOffice_Level3"/>
            <w:bookmarkStart w:id="18" w:name="_Toc31397_WPSOffice_Level3"/>
            <w:bookmarkStart w:id="19" w:name="_Toc1228_WPSOffice_Level3"/>
            <w:r>
              <w:rPr>
                <w:rFonts w:hint="default" w:ascii="Times New Roman" w:hAnsi="Times New Roman" w:eastAsia="宋体" w:cs="Times New Roman"/>
                <w:color w:val="000000" w:themeColor="text1"/>
                <w:sz w:val="24"/>
                <w:lang w:val="en-US" w:eastAsia="zh-CN"/>
                <w14:textFill>
                  <w14:solidFill>
                    <w14:schemeClr w14:val="tx1"/>
                  </w14:solidFill>
                </w14:textFill>
              </w:rPr>
              <w:t>接自</w:t>
            </w:r>
            <w:r>
              <w:rPr>
                <w:rFonts w:hint="eastAsia" w:ascii="Times New Roman" w:hAnsi="Times New Roman" w:cs="Times New Roman"/>
                <w:color w:val="000000" w:themeColor="text1"/>
                <w:sz w:val="24"/>
                <w:lang w:val="en-US" w:eastAsia="zh-CN"/>
                <w14:textFill>
                  <w14:solidFill>
                    <w14:schemeClr w14:val="tx1"/>
                  </w14:solidFill>
                </w14:textFill>
              </w:rPr>
              <w:t>宁县</w:t>
            </w:r>
            <w:r>
              <w:rPr>
                <w:rFonts w:hint="default" w:ascii="Times New Roman" w:hAnsi="Times New Roman" w:eastAsia="宋体" w:cs="Times New Roman"/>
                <w:color w:val="000000" w:themeColor="text1"/>
                <w:sz w:val="24"/>
                <w:lang w:val="en-US" w:eastAsia="zh-CN"/>
                <w14:textFill>
                  <w14:solidFill>
                    <w14:schemeClr w14:val="tx1"/>
                  </w14:solidFill>
                </w14:textFill>
              </w:rPr>
              <w:t>县城市政供水管网，供水压力0.30Mpa，水量及水压满足要求，水源水质满足《生活饮用水卫生标准》GB5749-2006的要求。</w:t>
            </w:r>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（3）排水</w:t>
            </w:r>
            <w:bookmarkEnd w:id="12"/>
            <w:bookmarkEnd w:id="13"/>
            <w:bookmarkEnd w:id="14"/>
            <w:bookmarkEnd w:id="15"/>
            <w:bookmarkEnd w:id="16"/>
            <w:bookmarkEnd w:id="17"/>
            <w:bookmarkEnd w:id="18"/>
            <w:bookmarkEnd w:id="19"/>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本项目废水主要为实验废水和工作人员产生的少量生活污水。</w:t>
            </w:r>
          </w:p>
          <w:p>
            <w:pPr>
              <w:pStyle w:val="2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生活污水：排入化粪池处理后进入</w:t>
            </w:r>
            <w:r>
              <w:rPr>
                <w:rFonts w:hint="eastAsia" w:ascii="Times New Roman" w:hAnsi="Times New Roman" w:cs="Times New Roman"/>
                <w:color w:val="000000" w:themeColor="text1"/>
                <w:sz w:val="24"/>
                <w:lang w:val="en-US" w:eastAsia="zh-CN"/>
                <w14:textFill>
                  <w14:solidFill>
                    <w14:schemeClr w14:val="tx1"/>
                  </w14:solidFill>
                </w14:textFill>
              </w:rPr>
              <w:t>市政管网</w:t>
            </w:r>
            <w:r>
              <w:rPr>
                <w:rFonts w:hint="default" w:ascii="Times New Roman" w:hAnsi="Times New Roman" w:eastAsia="宋体" w:cs="Times New Roman"/>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lang w:eastAsia="zh-CN"/>
              </w:rPr>
            </w:pPr>
            <w:r>
              <w:rPr>
                <w:rFonts w:hint="eastAsia" w:ascii="Times New Roman" w:hAnsi="Times New Roman" w:eastAsia="宋体" w:cs="Times New Roman"/>
                <w:color w:val="FF0000"/>
                <w:sz w:val="24"/>
                <w:lang w:val="en-US" w:eastAsia="zh-CN"/>
              </w:rPr>
              <w:t>生物</w:t>
            </w:r>
            <w:r>
              <w:rPr>
                <w:rFonts w:hint="default" w:ascii="Times New Roman" w:hAnsi="Times New Roman" w:eastAsia="宋体" w:cs="Times New Roman"/>
                <w:color w:val="FF0000"/>
                <w:sz w:val="24"/>
                <w:lang w:val="en-US" w:eastAsia="zh-CN"/>
              </w:rPr>
              <w:t>实验室废水：</w:t>
            </w:r>
            <w:r>
              <w:rPr>
                <w:rFonts w:hint="eastAsia" w:ascii="Times New Roman" w:hAnsi="Times New Roman" w:eastAsia="宋体" w:cs="Times New Roman"/>
                <w:color w:val="FF0000"/>
                <w:sz w:val="24"/>
                <w:lang w:val="en-US" w:eastAsia="zh-CN"/>
              </w:rPr>
              <w:t>生物实验室产生的废水经过</w:t>
            </w:r>
            <w:r>
              <w:rPr>
                <w:rFonts w:hint="default" w:ascii="Times New Roman" w:hAnsi="Times New Roman" w:eastAsia="宋体" w:cs="Times New Roman"/>
                <w:color w:val="FF0000"/>
                <w:sz w:val="24"/>
                <w:lang w:val="en-US" w:eastAsia="zh-CN"/>
              </w:rPr>
              <w:t>消毒、高温高压灭菌预处理后</w:t>
            </w:r>
            <w:r>
              <w:rPr>
                <w:rFonts w:hint="eastAsia" w:ascii="Times New Roman" w:hAnsi="Times New Roman" w:eastAsia="宋体" w:cs="Times New Roman"/>
                <w:color w:val="FF0000"/>
                <w:sz w:val="24"/>
                <w:lang w:val="en-US" w:eastAsia="zh-CN"/>
              </w:rPr>
              <w:t>通过管道</w:t>
            </w:r>
            <w:r>
              <w:rPr>
                <w:rFonts w:hint="default" w:ascii="Times New Roman" w:hAnsi="Times New Roman" w:eastAsia="宋体" w:cs="Times New Roman"/>
                <w:color w:val="FF0000"/>
                <w:sz w:val="24"/>
                <w:lang w:val="en-US" w:eastAsia="zh-CN"/>
              </w:rPr>
              <w:t>排入院内化粪池</w:t>
            </w:r>
            <w:r>
              <w:rPr>
                <w:rFonts w:hint="eastAsia" w:ascii="Times New Roman" w:hAnsi="Times New Roman" w:eastAsia="宋体" w:cs="Times New Roman"/>
                <w:color w:val="FF0000"/>
                <w:sz w:val="24"/>
                <w:lang w:val="en-US" w:eastAsia="zh-CN"/>
              </w:rPr>
              <w:t>预</w:t>
            </w:r>
            <w:r>
              <w:rPr>
                <w:rFonts w:hint="default" w:ascii="Times New Roman" w:hAnsi="Times New Roman" w:eastAsia="宋体" w:cs="Times New Roman"/>
                <w:color w:val="FF0000"/>
                <w:sz w:val="24"/>
                <w:lang w:val="en-US" w:eastAsia="zh-CN"/>
              </w:rPr>
              <w:t>处理</w:t>
            </w:r>
            <w:r>
              <w:rPr>
                <w:rFonts w:hint="eastAsia" w:ascii="Times New Roman" w:hAnsi="Times New Roman" w:eastAsia="宋体" w:cs="Times New Roman"/>
                <w:color w:val="FF0000"/>
                <w:sz w:val="24"/>
                <w:lang w:val="en-US" w:eastAsia="zh-CN"/>
              </w:rPr>
              <w:t>，满足《污水综合排放标准》（GB8978-1996）中三级标准后最终通过市政管网进入宁县生活污水处理厂处理，化粪池前设置1具消毒罐，用于生物实验室废水检测。</w:t>
            </w:r>
          </w:p>
          <w:p>
            <w:pPr>
              <w:adjustRightInd w:val="0"/>
              <w:snapToGrid w:val="0"/>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（2）供热</w:t>
            </w:r>
            <w:bookmarkEnd w:id="10"/>
            <w:bookmarkEnd w:id="11"/>
          </w:p>
          <w:p>
            <w:pPr>
              <w:adjustRightInd w:val="0"/>
              <w:snapToGrid w:val="0"/>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bookmarkStart w:id="20" w:name="_Toc394191197"/>
            <w:bookmarkStart w:id="21" w:name="_Toc14382330"/>
            <w:r>
              <w:rPr>
                <w:rFonts w:hint="eastAsia" w:ascii="Times New Roman" w:hAnsi="Times New Roman" w:eastAsia="宋体" w:cs="Times New Roman"/>
                <w:color w:val="000000" w:themeColor="text1"/>
                <w:sz w:val="24"/>
                <w:lang w:eastAsia="zh-CN"/>
                <w14:textFill>
                  <w14:solidFill>
                    <w14:schemeClr w14:val="tx1"/>
                  </w14:solidFill>
                </w14:textFill>
              </w:rPr>
              <w:t>采暖方式为城区集中供热站通过供热管网供给。</w:t>
            </w:r>
          </w:p>
          <w:p>
            <w:pPr>
              <w:adjustRightInd w:val="0"/>
              <w:snapToGrid w:val="0"/>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（3）供电</w:t>
            </w:r>
            <w:bookmarkEnd w:id="20"/>
            <w:bookmarkEnd w:id="21"/>
            <w:r>
              <w:rPr>
                <w:rFonts w:hint="eastAsia" w:ascii="Times New Roman" w:hAnsi="Times New Roman" w:eastAsia="宋体" w:cs="Times New Roman"/>
                <w:color w:val="000000" w:themeColor="text1"/>
                <w:sz w:val="24"/>
                <w:lang w:eastAsia="zh-CN"/>
                <w14:textFill>
                  <w14:solidFill>
                    <w14:schemeClr w14:val="tx1"/>
                  </w14:solidFill>
                </w14:textFill>
              </w:rPr>
              <w:t>：本工程二级负荷主供电源由就近市政低压公网一路380/220V电源</w:t>
            </w:r>
            <w:r>
              <w:rPr>
                <w:rFonts w:ascii="Times New Roman" w:hAnsi="Times New Roman" w:eastAsia="宋体" w:cs="Times New Roman"/>
                <w:color w:val="000000" w:themeColor="text1"/>
                <w:sz w:val="24"/>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c>
          <w:tcPr>
            <w:tcW w:w="1348" w:type="dxa"/>
            <w:vAlign w:val="center"/>
          </w:tcPr>
          <w:p>
            <w:pPr>
              <w:pStyle w:val="36"/>
              <w:ind w:right="18"/>
              <w:jc w:val="center"/>
              <w:rPr>
                <w:rFonts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lang w:eastAsia="zh-CN"/>
                <w14:textFill>
                  <w14:solidFill>
                    <w14:schemeClr w14:val="tx1"/>
                  </w14:solidFill>
                </w14:textFill>
              </w:rPr>
              <w:t>工艺流程和产排污环节</w:t>
            </w:r>
          </w:p>
        </w:tc>
        <w:tc>
          <w:tcPr>
            <w:tcW w:w="8560" w:type="dxa"/>
          </w:tcPr>
          <w:p>
            <w:pPr>
              <w:spacing w:line="480" w:lineRule="exact"/>
              <w:rPr>
                <w:rFonts w:ascii="Times New Roman" w:hAnsi="Times New Roman" w:cs="Times New Roman"/>
                <w:b/>
                <w:color w:val="000000" w:themeColor="text1"/>
                <w:sz w:val="24"/>
                <w:szCs w:val="24"/>
                <w:lang w:eastAsia="zh-CN"/>
                <w14:textFill>
                  <w14:solidFill>
                    <w14:schemeClr w14:val="tx1"/>
                  </w14:solidFill>
                </w14:textFill>
              </w:rPr>
            </w:pPr>
            <w:r>
              <w:rPr>
                <w:rFonts w:hint="eastAsia" w:ascii="Times New Roman" w:hAnsi="Times New Roman" w:cs="Times New Roman"/>
                <w:b/>
                <w:color w:val="000000" w:themeColor="text1"/>
                <w:sz w:val="24"/>
                <w:szCs w:val="24"/>
                <w:lang w:val="en-US" w:eastAsia="zh-CN"/>
                <w14:textFill>
                  <w14:solidFill>
                    <w14:schemeClr w14:val="tx1"/>
                  </w14:solidFill>
                </w14:textFill>
              </w:rPr>
              <w:t>1</w:t>
            </w:r>
            <w:r>
              <w:rPr>
                <w:rFonts w:ascii="Times New Roman" w:hAnsi="Times New Roman" w:cs="Times New Roman"/>
                <w:b/>
                <w:color w:val="000000" w:themeColor="text1"/>
                <w:sz w:val="24"/>
                <w:szCs w:val="24"/>
                <w:lang w:eastAsia="zh-CN"/>
                <w14:textFill>
                  <w14:solidFill>
                    <w14:schemeClr w14:val="tx1"/>
                  </w14:solidFill>
                </w14:textFill>
              </w:rPr>
              <w:t>、运营期工艺流程</w:t>
            </w:r>
          </w:p>
          <w:p>
            <w:pPr>
              <w:spacing w:line="480" w:lineRule="exact"/>
              <w:ind w:firstLine="465"/>
              <w:rPr>
                <w:rFonts w:hint="eastAsia" w:ascii="Times New Roman" w:hAnsi="Times New Roman" w:cs="Times New Roman"/>
                <w:b w:val="0"/>
                <w:bCs/>
                <w:color w:val="000000" w:themeColor="text1"/>
                <w:sz w:val="24"/>
                <w:szCs w:val="24"/>
                <w:lang w:eastAsia="zh-CN"/>
                <w14:textFill>
                  <w14:solidFill>
                    <w14:schemeClr w14:val="tx1"/>
                  </w14:solidFill>
                </w14:textFill>
              </w:rPr>
            </w:pPr>
            <w:r>
              <w:rPr>
                <w:rFonts w:hint="eastAsia" w:ascii="Times New Roman" w:hAnsi="Times New Roman" w:cs="Times New Roman"/>
                <w:b w:val="0"/>
                <w:bCs/>
                <w:color w:val="000000" w:themeColor="text1"/>
                <w:sz w:val="24"/>
                <w:szCs w:val="24"/>
                <w:lang w:eastAsia="zh-CN"/>
                <w14:textFill>
                  <w14:solidFill>
                    <w14:schemeClr w14:val="tx1"/>
                  </w14:solidFill>
                </w14:textFill>
              </w:rPr>
              <w:t>本工程的建设单位为甘肃省庆阳市</w:t>
            </w:r>
            <w:r>
              <w:rPr>
                <w:rFonts w:hint="eastAsia" w:ascii="Times New Roman" w:hAnsi="Times New Roman" w:cs="Times New Roman"/>
                <w:b w:val="0"/>
                <w:bCs/>
                <w:color w:val="000000" w:themeColor="text1"/>
                <w:sz w:val="24"/>
                <w:szCs w:val="24"/>
                <w:lang w:val="en-US" w:eastAsia="zh-CN"/>
                <w14:textFill>
                  <w14:solidFill>
                    <w14:schemeClr w14:val="tx1"/>
                  </w14:solidFill>
                </w14:textFill>
              </w:rPr>
              <w:t>宁县</w:t>
            </w:r>
            <w:r>
              <w:rPr>
                <w:rFonts w:hint="eastAsia" w:ascii="Times New Roman" w:hAnsi="Times New Roman" w:cs="Times New Roman"/>
                <w:b w:val="0"/>
                <w:bCs/>
                <w:color w:val="000000" w:themeColor="text1"/>
                <w:sz w:val="24"/>
                <w:szCs w:val="24"/>
                <w:lang w:eastAsia="zh-CN"/>
                <w14:textFill>
                  <w14:solidFill>
                    <w14:schemeClr w14:val="tx1"/>
                  </w14:solidFill>
                </w14:textFill>
              </w:rPr>
              <w:t>畜牧兽医站，该单位是国家在基层专门设立的县一级畜牧兽医站管理机构的全民所有制事业单位，接受市畜牧主管部门和县政府双重领导。其主要业务如下：</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1、协助政府制定发展畜牧业的计划、规划，进行生产统计，制定技术推广计划；</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2、畜禽检疫、化验诊断、监督、检查等；</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3、畜禽品种生产、供应、配种、改良等；</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4、草原和草地建设、管理、监护等；</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5、饲草饲料的生产、加工、销售；</w:t>
            </w:r>
          </w:p>
          <w:p>
            <w:pPr>
              <w:pStyle w:val="11"/>
              <w:spacing w:line="520" w:lineRule="exact"/>
              <w:ind w:firstLine="480" w:firstLineChars="200"/>
              <w:rPr>
                <w:rFonts w:hint="default" w:ascii="Times New Roman" w:hAnsi="Times New Roman" w:cs="Times New Roman"/>
                <w:color w:val="000000" w:themeColor="text1"/>
                <w:sz w:val="24"/>
                <w:szCs w:val="36"/>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6、畜产品收购、加工、贮运、销售；</w:t>
            </w:r>
          </w:p>
          <w:p>
            <w:pPr>
              <w:pStyle w:val="11"/>
              <w:spacing w:line="520" w:lineRule="exact"/>
              <w:ind w:firstLine="480" w:firstLineChars="200"/>
              <w:rPr>
                <w:rFonts w:hint="eastAsia" w:ascii="Times New Roman" w:hAnsi="Times New Roman" w:cs="Times New Roman"/>
                <w:color w:val="000000" w:themeColor="text1"/>
                <w:sz w:val="24"/>
                <w:szCs w:val="36"/>
                <w:lang w:eastAsia="zh-CN"/>
                <w14:textFill>
                  <w14:solidFill>
                    <w14:schemeClr w14:val="tx1"/>
                  </w14:solidFill>
                </w14:textFill>
              </w:rPr>
            </w:pPr>
            <w:r>
              <w:rPr>
                <w:rFonts w:hint="default" w:ascii="Times New Roman" w:hAnsi="Times New Roman" w:cs="Times New Roman"/>
                <w:color w:val="000000" w:themeColor="text1"/>
                <w:sz w:val="24"/>
                <w:szCs w:val="36"/>
                <w14:textFill>
                  <w14:solidFill>
                    <w14:schemeClr w14:val="tx1"/>
                  </w14:solidFill>
                </w14:textFill>
              </w:rPr>
              <w:t>7、开展技术培训、讲座、咨询、信息等服务，开展技术示范与指导</w:t>
            </w:r>
            <w:r>
              <w:rPr>
                <w:rFonts w:hint="eastAsia" w:ascii="Times New Roman" w:hAnsi="Times New Roman" w:cs="Times New Roman"/>
                <w:color w:val="000000" w:themeColor="text1"/>
                <w:sz w:val="24"/>
                <w:szCs w:val="36"/>
                <w:lang w:eastAsia="zh-CN"/>
                <w14:textFill>
                  <w14:solidFill>
                    <w14:schemeClr w14:val="tx1"/>
                  </w14:solidFill>
                </w14:textFill>
              </w:rPr>
              <w:t>。，</w:t>
            </w:r>
          </w:p>
          <w:p>
            <w:pPr>
              <w:pStyle w:val="11"/>
              <w:spacing w:line="520" w:lineRule="exact"/>
              <w:ind w:firstLine="480" w:firstLineChars="200"/>
              <w:rPr>
                <w:rFonts w:hint="eastAsia" w:ascii="Times New Roman" w:hAnsi="Times New Roman" w:eastAsia="宋体" w:cs="Times New Roman"/>
                <w:color w:val="000000" w:themeColor="text1"/>
                <w:sz w:val="24"/>
                <w:szCs w:val="36"/>
                <w:lang w:eastAsia="zh-CN"/>
                <w14:textFill>
                  <w14:solidFill>
                    <w14:schemeClr w14:val="tx1"/>
                  </w14:solidFill>
                </w14:textFill>
              </w:rPr>
            </w:pPr>
            <w:r>
              <w:rPr>
                <w:rFonts w:hint="eastAsia" w:ascii="Times New Roman" w:hAnsi="Times New Roman" w:eastAsia="宋体" w:cs="Times New Roman"/>
                <w:color w:val="000000" w:themeColor="text1"/>
                <w:sz w:val="24"/>
                <w:szCs w:val="36"/>
                <w:lang w:eastAsia="zh-CN"/>
                <w14:textFill>
                  <w14:solidFill>
                    <w14:schemeClr w14:val="tx1"/>
                  </w14:solidFill>
                </w14:textFill>
              </w:rPr>
              <w:t>本项目建成后，主要进行检疫能力范围内的动物病疫检验活动。</w:t>
            </w:r>
          </w:p>
          <w:p>
            <w:pPr>
              <w:pStyle w:val="11"/>
              <w:spacing w:line="520" w:lineRule="exact"/>
              <w:ind w:firstLine="480" w:firstLineChars="200"/>
              <w:rPr>
                <w:rFonts w:hint="eastAsia" w:ascii="Times New Roman" w:hAnsi="Times New Roman" w:eastAsia="宋体" w:cs="Times New Roman"/>
                <w:color w:val="000000" w:themeColor="text1"/>
                <w:sz w:val="24"/>
                <w:szCs w:val="36"/>
                <w:lang w:eastAsia="zh-CN"/>
                <w14:textFill>
                  <w14:solidFill>
                    <w14:schemeClr w14:val="tx1"/>
                  </w14:solidFill>
                </w14:textFill>
              </w:rPr>
            </w:pPr>
            <w:r>
              <w:rPr>
                <w:rFonts w:hint="eastAsia" w:ascii="Times New Roman" w:hAnsi="Times New Roman" w:eastAsia="宋体" w:cs="Times New Roman"/>
                <w:color w:val="000000" w:themeColor="text1"/>
                <w:sz w:val="24"/>
                <w:szCs w:val="36"/>
                <w:lang w:eastAsia="zh-CN"/>
                <w14:textFill>
                  <w14:solidFill>
                    <w14:schemeClr w14:val="tx1"/>
                  </w14:solidFill>
                </w14:textFill>
              </w:rPr>
              <w:t>微生物实验流程见图2-5。</w:t>
            </w:r>
          </w:p>
          <w:p>
            <w:pPr>
              <w:pStyle w:val="83"/>
              <w:rPr>
                <w:rFonts w:hint="eastAsia"/>
                <w:color w:val="000000" w:themeColor="text1"/>
                <w:lang w:eastAsia="zh-CN"/>
                <w14:textFill>
                  <w14:solidFill>
                    <w14:schemeClr w14:val="tx1"/>
                  </w14:solidFill>
                </w14:textFill>
              </w:rPr>
            </w:pPr>
          </w:p>
          <w:p>
            <w:pPr>
              <w:widowControl/>
              <w:spacing w:line="360" w:lineRule="auto"/>
              <w:rPr>
                <w:rFonts w:ascii="Times New Roman" w:hAnsi="Times New Roman" w:cs="Times New Roman"/>
                <w:b/>
                <w:bCs/>
                <w:color w:val="000000" w:themeColor="text1"/>
                <w:sz w:val="24"/>
                <w:szCs w:val="24"/>
                <w:lang w:eastAsia="zh-CN"/>
                <w14:textFill>
                  <w14:solidFill>
                    <w14:schemeClr w14:val="tx1"/>
                  </w14:solidFill>
                </w14:textFill>
              </w:rPr>
            </w:pPr>
            <w:r>
              <w:rPr>
                <w:sz w:val="22"/>
              </w:rPr>
              <mc:AlternateContent>
                <mc:Choice Requires="wps">
                  <w:drawing>
                    <wp:anchor distT="0" distB="0" distL="114300" distR="114300" simplePos="0" relativeHeight="251660288" behindDoc="0" locked="0" layoutInCell="1" allowOverlap="1">
                      <wp:simplePos x="0" y="0"/>
                      <wp:positionH relativeFrom="column">
                        <wp:posOffset>1292225</wp:posOffset>
                      </wp:positionH>
                      <wp:positionV relativeFrom="paragraph">
                        <wp:posOffset>22860</wp:posOffset>
                      </wp:positionV>
                      <wp:extent cx="855980" cy="227330"/>
                      <wp:effectExtent l="0" t="0" r="12700" b="1270"/>
                      <wp:wrapNone/>
                      <wp:docPr id="1" name="文本框 1"/>
                      <wp:cNvGraphicFramePr/>
                      <a:graphic xmlns:a="http://schemas.openxmlformats.org/drawingml/2006/main">
                        <a:graphicData uri="http://schemas.microsoft.com/office/word/2010/wordprocessingShape">
                          <wps:wsp>
                            <wps:cNvSpPr txBox="1"/>
                            <wps:spPr>
                              <a:xfrm>
                                <a:off x="3008630" y="6141085"/>
                                <a:ext cx="855980" cy="227330"/>
                              </a:xfrm>
                              <a:prstGeom prst="rect">
                                <a:avLst/>
                              </a:prstGeom>
                              <a:solidFill>
                                <a:srgbClr val="FFFFFF"/>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sz w:val="18"/>
                                      <w:szCs w:val="18"/>
                                      <w:lang w:val="en-US" w:eastAsia="zh-CN"/>
                                    </w:rPr>
                                  </w:pPr>
                                  <w:r>
                                    <w:rPr>
                                      <w:rFonts w:hint="eastAsia"/>
                                      <w:sz w:val="18"/>
                                      <w:szCs w:val="18"/>
                                      <w:lang w:val="en-US" w:eastAsia="zh-CN"/>
                                    </w:rPr>
                                    <w:t>废气、固废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75pt;margin-top:1.8pt;height:17.9pt;width:67.4pt;z-index:251660288;mso-width-relative:page;mso-height-relative:page;" fillcolor="#FFFFFF" filled="t" stroked="f" coordsize="21600,21600" o:gfxdata="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l5br1AAAAAgBAAAPAAAAAAAAAAEAIAAAACIAAABkcnMvZG93&#10;bnJldi54bWxQSwECFAAUAAAACACHTuJAx+QQEz0CAABMBAAADgAAAAAAAAABACAAAAAj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val="0"/>
                              <w:snapToGrid w:val="0"/>
                              <w:jc w:val="center"/>
                              <w:textAlignment w:val="auto"/>
                              <w:rPr>
                                <w:rFonts w:hint="default" w:eastAsiaTheme="minorEastAsia"/>
                                <w:sz w:val="18"/>
                                <w:szCs w:val="18"/>
                                <w:lang w:val="en-US" w:eastAsia="zh-CN"/>
                              </w:rPr>
                            </w:pPr>
                            <w:r>
                              <w:rPr>
                                <w:rFonts w:hint="eastAsia"/>
                                <w:sz w:val="18"/>
                                <w:szCs w:val="18"/>
                                <w:lang w:val="en-US" w:eastAsia="zh-CN"/>
                              </w:rPr>
                              <w:t>废气、固废</w:t>
                            </w:r>
                          </w:p>
                        </w:txbxContent>
                      </v:textbox>
                    </v:shape>
                  </w:pict>
                </mc:Fallback>
              </mc:AlternateContent>
            </w:r>
            <w:r>
              <w:rPr>
                <w:color w:val="000000" w:themeColor="text1"/>
                <w14:textFill>
                  <w14:solidFill>
                    <w14:schemeClr w14:val="tx1"/>
                  </w14:solidFill>
                </w14:textFill>
              </w:rPr>
              <w:drawing>
                <wp:inline distT="0" distB="0" distL="114300" distR="114300">
                  <wp:extent cx="5124450" cy="10477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1"/>
                          <a:stretch>
                            <a:fillRect/>
                          </a:stretch>
                        </pic:blipFill>
                        <pic:spPr>
                          <a:xfrm>
                            <a:off x="0" y="0"/>
                            <a:ext cx="5124450" cy="1047750"/>
                          </a:xfrm>
                          <a:prstGeom prst="rect">
                            <a:avLst/>
                          </a:prstGeom>
                          <a:noFill/>
                          <a:ln>
                            <a:noFill/>
                          </a:ln>
                        </pic:spPr>
                      </pic:pic>
                    </a:graphicData>
                  </a:graphic>
                </wp:inline>
              </w:drawing>
            </w:r>
          </w:p>
          <w:p>
            <w:pPr>
              <w:widowControl/>
              <w:spacing w:line="360" w:lineRule="auto"/>
              <w:jc w:val="center"/>
              <w:rPr>
                <w:rFonts w:ascii="Times New Roman" w:hAnsi="Times New Roman" w:cs="Times New Roman"/>
                <w:b/>
                <w:bCs/>
                <w:color w:val="FF0000"/>
                <w:sz w:val="21"/>
                <w:szCs w:val="21"/>
                <w:lang w:eastAsia="zh-CN"/>
              </w:rPr>
            </w:pPr>
            <w:r>
              <w:rPr>
                <w:rFonts w:ascii="Times New Roman" w:hAnsi="Times New Roman" w:cs="Times New Roman"/>
                <w:b/>
                <w:bCs/>
                <w:color w:val="FF0000"/>
                <w:sz w:val="21"/>
                <w:szCs w:val="21"/>
                <w:lang w:eastAsia="zh-CN"/>
              </w:rPr>
              <w:t>图</w:t>
            </w:r>
            <w:r>
              <w:rPr>
                <w:rFonts w:ascii="Times New Roman" w:hAnsi="Times New Roman" w:eastAsia="宋体" w:cs="Times New Roman"/>
                <w:b/>
                <w:bCs/>
                <w:color w:val="FF0000"/>
                <w:sz w:val="21"/>
                <w:szCs w:val="21"/>
                <w:lang w:eastAsia="zh-CN"/>
              </w:rPr>
              <w:t>2-</w:t>
            </w:r>
            <w:r>
              <w:rPr>
                <w:rFonts w:ascii="Times New Roman" w:hAnsi="Times New Roman" w:cs="Times New Roman"/>
                <w:b/>
                <w:bCs/>
                <w:color w:val="FF0000"/>
                <w:sz w:val="21"/>
                <w:szCs w:val="21"/>
                <w:lang w:eastAsia="zh-CN"/>
              </w:rPr>
              <w:t xml:space="preserve"> </w:t>
            </w:r>
            <w:r>
              <w:rPr>
                <w:rFonts w:hint="eastAsia" w:ascii="Times New Roman" w:hAnsi="Times New Roman" w:cs="Times New Roman"/>
                <w:b/>
                <w:bCs/>
                <w:color w:val="FF0000"/>
                <w:sz w:val="21"/>
                <w:szCs w:val="21"/>
                <w:lang w:eastAsia="zh-CN"/>
              </w:rPr>
              <w:t>5</w:t>
            </w:r>
            <w:r>
              <w:rPr>
                <w:rFonts w:ascii="Times New Roman" w:hAnsi="Times New Roman" w:cs="Times New Roman"/>
                <w:b/>
                <w:bCs/>
                <w:color w:val="FF0000"/>
                <w:sz w:val="21"/>
                <w:szCs w:val="21"/>
                <w:lang w:eastAsia="zh-CN"/>
              </w:rPr>
              <w:t xml:space="preserve">  </w:t>
            </w:r>
            <w:r>
              <w:rPr>
                <w:rFonts w:hint="eastAsia" w:ascii="Times New Roman" w:hAnsi="Times New Roman" w:eastAsia="宋体" w:cs="Times New Roman"/>
                <w:b/>
                <w:bCs/>
                <w:color w:val="FF0000"/>
                <w:sz w:val="21"/>
                <w:szCs w:val="28"/>
                <w:lang w:eastAsia="zh-CN"/>
              </w:rPr>
              <w:t>微生物实验流程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各送检单位将样品送至实验室，由工作人员接样，待任务下达实验室后，相关工作人员开始进行生物实验检验。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进行细菌检验时，取样然后接种，接种后再进行细菌分离培养，最后在仪器室对细节进行鉴定，出具结果后将实验过程的试验器皿、试验台进行清洗、消毒，并将多余样品、废培养基等废弃物放置在特定容器内，在灭菌室灭菌后运送至医疗废物暂存间，不留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进行病菌检验时，先取样然后根据病菌检验项目领取成品培养基，再进行样品处理，对样品进行扩增后，对产物进行分析，出具结果后将实验过程的试验器皿、试验台进行清洗、消毒，并将多余样品、废产物等废弃物放置在特定容器内，在灭菌室灭菌后运送至危废暂存间暂存，检出结果呈阳性时，样品保留至少一年，结果为阴性时样品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废气：生物实验室主要废气为带病原微生物气溶胶；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废水：纯水制备过程中产生的废水，实验结束仪器清洗环节产生的废水，以及工作人员生活污水；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噪声：设备噪声；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color w:val="000000" w:themeColor="text1"/>
                <w:sz w:val="24"/>
                <w:szCs w:val="24"/>
                <w:lang w:eastAsia="zh-CN"/>
                <w14:textFill>
                  <w14:solidFill>
                    <w14:schemeClr w14:val="tx1"/>
                  </w14:solidFill>
                </w14:textFill>
              </w:rPr>
              <w:t>固废：实验室废培养基、废标本、废一次性用品、多余样品等、纯水制备设备更换的废离子交换树脂、化粪池污泥和职工生活垃圾。</w:t>
            </w:r>
          </w:p>
          <w:p>
            <w:pPr>
              <w:spacing w:line="360" w:lineRule="auto"/>
              <w:rPr>
                <w:rFonts w:ascii="Times New Roman" w:hAnsi="Times New Roman" w:cs="Times New Roman"/>
                <w:b/>
                <w:bCs/>
                <w:color w:val="000000" w:themeColor="text1"/>
                <w:sz w:val="24"/>
                <w:szCs w:val="24"/>
                <w:lang w:eastAsia="zh-CN"/>
                <w14:textFill>
                  <w14:solidFill>
                    <w14:schemeClr w14:val="tx1"/>
                  </w14:solidFill>
                </w14:textFill>
              </w:rPr>
            </w:pPr>
            <w:r>
              <w:rPr>
                <w:rFonts w:hint="eastAsia" w:ascii="Times New Roman" w:hAnsi="Times New Roman" w:cs="Times New Roman"/>
                <w:b/>
                <w:bCs/>
                <w:color w:val="000000" w:themeColor="text1"/>
                <w:sz w:val="24"/>
                <w:szCs w:val="24"/>
                <w:lang w:eastAsia="zh-CN"/>
                <w14:textFill>
                  <w14:solidFill>
                    <w14:schemeClr w14:val="tx1"/>
                  </w14:solidFill>
                </w14:textFill>
              </w:rPr>
              <w:t>2.3、</w:t>
            </w:r>
            <w:r>
              <w:rPr>
                <w:rFonts w:ascii="Times New Roman" w:hAnsi="Times New Roman" w:cs="Times New Roman"/>
                <w:b/>
                <w:bCs/>
                <w:color w:val="000000" w:themeColor="text1"/>
                <w:sz w:val="24"/>
                <w:szCs w:val="24"/>
                <w:lang w:eastAsia="zh-CN"/>
                <w14:textFill>
                  <w14:solidFill>
                    <w14:schemeClr w14:val="tx1"/>
                  </w14:solidFill>
                </w14:textFill>
              </w:rPr>
              <w:t>产污环节分析</w:t>
            </w:r>
          </w:p>
          <w:p>
            <w:pPr>
              <w:spacing w:after="20" w:line="366" w:lineRule="auto"/>
              <w:ind w:firstLine="480"/>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lang w:eastAsia="zh-CN"/>
                <w14:textFill>
                  <w14:solidFill>
                    <w14:schemeClr w14:val="tx1"/>
                  </w14:solidFill>
                </w14:textFill>
              </w:rPr>
              <w:t>本项目运营期主要污染物为</w:t>
            </w:r>
            <w:r>
              <w:rPr>
                <w:rFonts w:hint="eastAsia" w:ascii="Times New Roman" w:hAnsi="Times New Roman" w:cs="Times New Roman"/>
                <w:color w:val="000000" w:themeColor="text1"/>
                <w:sz w:val="24"/>
                <w:szCs w:val="24"/>
                <w:lang w:val="en-US" w:eastAsia="zh-CN"/>
                <w14:textFill>
                  <w14:solidFill>
                    <w14:schemeClr w14:val="tx1"/>
                  </w14:solidFill>
                </w14:textFill>
              </w:rPr>
              <w:t>实验室</w:t>
            </w:r>
            <w:r>
              <w:rPr>
                <w:rFonts w:ascii="Times New Roman" w:hAnsi="Times New Roman" w:cs="Times New Roman"/>
                <w:color w:val="000000" w:themeColor="text1"/>
                <w:sz w:val="24"/>
                <w:szCs w:val="24"/>
                <w:lang w:eastAsia="zh-CN"/>
                <w14:textFill>
                  <w14:solidFill>
                    <w14:schemeClr w14:val="tx1"/>
                  </w14:solidFill>
                </w14:textFill>
              </w:rPr>
              <w:t>产生的废气、废水、噪声及固废，产污环节汇总见表2-</w:t>
            </w:r>
            <w:r>
              <w:rPr>
                <w:rFonts w:hint="eastAsia" w:ascii="Times New Roman" w:hAnsi="Times New Roman" w:cs="Times New Roman"/>
                <w:color w:val="000000" w:themeColor="text1"/>
                <w:sz w:val="24"/>
                <w:szCs w:val="24"/>
                <w:lang w:eastAsia="zh-CN"/>
                <w14:textFill>
                  <w14:solidFill>
                    <w14:schemeClr w14:val="tx1"/>
                  </w14:solidFill>
                </w14:textFill>
              </w:rPr>
              <w:t>7</w:t>
            </w:r>
            <w:r>
              <w:rPr>
                <w:rFonts w:ascii="Times New Roman" w:hAnsi="Times New Roman" w:cs="Times New Roman"/>
                <w:color w:val="000000" w:themeColor="text1"/>
                <w:sz w:val="24"/>
                <w:szCs w:val="24"/>
                <w:lang w:eastAsia="zh-CN"/>
                <w14:textFill>
                  <w14:solidFill>
                    <w14:schemeClr w14:val="tx1"/>
                  </w14:solidFill>
                </w14:textFill>
              </w:rPr>
              <w:t>。</w:t>
            </w:r>
          </w:p>
          <w:p>
            <w:pPr>
              <w:pStyle w:val="38"/>
              <w:adjustRightInd w:val="0"/>
              <w:snapToGrid w:val="0"/>
              <w:jc w:val="center"/>
              <w:rPr>
                <w:rFonts w:ascii="Times New Roman" w:hAnsi="Times New Roman" w:eastAsia="宋体"/>
                <w:b/>
                <w:color w:val="000000" w:themeColor="text1"/>
                <w:sz w:val="21"/>
                <w:szCs w:val="20"/>
                <w:lang w:eastAsia="zh-CN"/>
                <w14:textFill>
                  <w14:solidFill>
                    <w14:schemeClr w14:val="tx1"/>
                  </w14:solidFill>
                </w14:textFill>
              </w:rPr>
            </w:pPr>
            <w:r>
              <w:rPr>
                <w:rFonts w:ascii="Times New Roman" w:hAnsi="Times New Roman" w:eastAsia="宋体"/>
                <w:b/>
                <w:color w:val="000000" w:themeColor="text1"/>
                <w:sz w:val="21"/>
                <w:szCs w:val="20"/>
                <w:lang w:eastAsia="zh-CN"/>
                <w14:textFill>
                  <w14:solidFill>
                    <w14:schemeClr w14:val="tx1"/>
                  </w14:solidFill>
                </w14:textFill>
              </w:rPr>
              <w:t>表2-</w:t>
            </w:r>
            <w:r>
              <w:rPr>
                <w:rFonts w:hint="eastAsia" w:ascii="Times New Roman" w:hAnsi="Times New Roman" w:eastAsia="宋体"/>
                <w:b/>
                <w:color w:val="000000" w:themeColor="text1"/>
                <w:sz w:val="21"/>
                <w:szCs w:val="20"/>
                <w:lang w:eastAsia="zh-CN"/>
                <w14:textFill>
                  <w14:solidFill>
                    <w14:schemeClr w14:val="tx1"/>
                  </w14:solidFill>
                </w14:textFill>
              </w:rPr>
              <w:t>7</w:t>
            </w:r>
            <w:r>
              <w:rPr>
                <w:rFonts w:ascii="Times New Roman" w:hAnsi="Times New Roman" w:eastAsia="宋体"/>
                <w:b/>
                <w:color w:val="000000" w:themeColor="text1"/>
                <w:sz w:val="21"/>
                <w:szCs w:val="20"/>
                <w:lang w:eastAsia="zh-CN"/>
                <w14:textFill>
                  <w14:solidFill>
                    <w14:schemeClr w14:val="tx1"/>
                  </w14:solidFill>
                </w14:textFill>
              </w:rPr>
              <w:t xml:space="preserve">   运营期产污环节一览表</w:t>
            </w:r>
          </w:p>
          <w:tbl>
            <w:tblPr>
              <w:tblStyle w:val="29"/>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504"/>
              <w:gridCol w:w="938"/>
              <w:gridCol w:w="248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269"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项目</w:t>
                  </w: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污染源名称</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污染物</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69"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废气</w:t>
                  </w:r>
                </w:p>
              </w:tc>
              <w:tc>
                <w:tcPr>
                  <w:tcW w:w="150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微生物实验室</w:t>
                  </w:r>
                  <w:r>
                    <w:rPr>
                      <w:rFonts w:hint="eastAsia" w:ascii="Times New Roman" w:hAnsi="Times New Roman" w:cs="Times New Roman"/>
                      <w:color w:val="000000" w:themeColor="text1"/>
                      <w:szCs w:val="21"/>
                      <w:lang w:eastAsia="zh-CN"/>
                      <w14:textFill>
                        <w14:solidFill>
                          <w14:schemeClr w14:val="tx1"/>
                        </w14:solidFill>
                      </w14:textFill>
                    </w:rPr>
                    <w:t>、血清实验室</w:t>
                  </w:r>
                </w:p>
              </w:tc>
              <w:tc>
                <w:tcPr>
                  <w:tcW w:w="938"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生物废气</w:t>
                  </w:r>
                </w:p>
              </w:tc>
              <w:tc>
                <w:tcPr>
                  <w:tcW w:w="2484" w:type="dxa"/>
                  <w:vAlign w:val="center"/>
                </w:tcPr>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FF0000"/>
                      <w:szCs w:val="21"/>
                      <w:lang w:eastAsia="zh-CN"/>
                    </w:rPr>
                    <w:t>含有病原微生物的气溶胶</w:t>
                  </w:r>
                </w:p>
              </w:tc>
              <w:tc>
                <w:tcPr>
                  <w:tcW w:w="2346" w:type="dxa"/>
                  <w:vAlign w:val="center"/>
                </w:tcPr>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FF0000"/>
                      <w:szCs w:val="21"/>
                      <w:lang w:val="en-US" w:eastAsia="zh-CN"/>
                    </w:rPr>
                    <w:t>带有高效过滤器的二级生物安全柜</w:t>
                  </w:r>
                  <w:r>
                    <w:rPr>
                      <w:rFonts w:hint="eastAsia" w:ascii="Times New Roman" w:hAnsi="Times New Roman" w:cs="Times New Roman"/>
                      <w:color w:val="FF0000"/>
                      <w:szCs w:val="21"/>
                      <w:lang w:val="en-US" w:eastAsia="zh-CN"/>
                    </w:rPr>
                    <w:t>处理后共用一个排气口排放，排气筒高出楼顶4m（排气筒距离地面15m）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269" w:type="dxa"/>
                  <w:vMerge w:val="restart"/>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废水</w:t>
                  </w: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实验废水</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BOD</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Cs w:val="21"/>
                      <w:lang w:val="en-US" w:eastAsia="zh-CN"/>
                      <w14:textFill>
                        <w14:solidFill>
                          <w14:schemeClr w14:val="tx1"/>
                        </w14:solidFill>
                      </w14:textFill>
                    </w:rPr>
                    <w:t>、CODcr、SS、NH</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-N、粪大肠菌群</w:t>
                  </w:r>
                </w:p>
              </w:tc>
              <w:tc>
                <w:tcPr>
                  <w:tcW w:w="2346" w:type="dxa"/>
                  <w:vMerge w:val="restart"/>
                  <w:vAlign w:val="center"/>
                </w:tcPr>
                <w:p>
                  <w:pPr>
                    <w:pStyle w:val="13"/>
                    <w:jc w:val="center"/>
                    <w:rPr>
                      <w:rFonts w:hint="default" w:ascii="Times New Roman" w:hAnsi="Times New Roman" w:eastAsia="宋体" w:cs="Times New Roman"/>
                      <w:color w:val="000000" w:themeColor="text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项目场地现有1座30m</w:t>
                  </w:r>
                  <w:r>
                    <w:rPr>
                      <w:rFonts w:hint="eastAsia" w:ascii="Times New Roman" w:hAnsi="Times New Roman" w:cs="Times New Roman"/>
                      <w:color w:val="000000" w:themeColor="text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zCs w:val="21"/>
                      <w:vertAlign w:val="baseline"/>
                      <w:lang w:val="en-US" w:eastAsia="zh-CN"/>
                      <w14:textFill>
                        <w14:solidFill>
                          <w14:schemeClr w14:val="tx1"/>
                        </w14:solidFill>
                      </w14:textFill>
                    </w:rPr>
                    <w:t>化粪池，</w:t>
                  </w:r>
                </w:p>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微生物实验室废水先经</w:t>
                  </w:r>
                  <w:r>
                    <w:rPr>
                      <w:rFonts w:hint="eastAsia" w:ascii="Times New Roman" w:hAnsi="Times New Roman" w:cs="Times New Roman"/>
                      <w:color w:val="000000" w:themeColor="text1"/>
                      <w:szCs w:val="21"/>
                      <w:lang w:val="en-US" w:eastAsia="zh-CN"/>
                      <w14:textFill>
                        <w14:solidFill>
                          <w14:schemeClr w14:val="tx1"/>
                        </w14:solidFill>
                      </w14:textFill>
                    </w:rPr>
                    <w:t>酸碱中和、</w:t>
                  </w:r>
                  <w:r>
                    <w:rPr>
                      <w:rFonts w:hint="default" w:ascii="Times New Roman" w:hAnsi="Times New Roman" w:eastAsia="宋体" w:cs="Times New Roman"/>
                      <w:color w:val="000000" w:themeColor="text1"/>
                      <w:szCs w:val="21"/>
                      <w:lang w:val="en-US" w:eastAsia="zh-CN"/>
                      <w14:textFill>
                        <w14:solidFill>
                          <w14:schemeClr w14:val="tx1"/>
                        </w14:solidFill>
                      </w14:textFill>
                    </w:rPr>
                    <w:t>消毒、高温高压灭菌预处理</w:t>
                  </w:r>
                  <w:r>
                    <w:rPr>
                      <w:rFonts w:hint="eastAsia" w:ascii="Times New Roman" w:hAnsi="Times New Roman" w:cs="Times New Roman"/>
                      <w:color w:val="000000" w:themeColor="text1"/>
                      <w:szCs w:val="21"/>
                      <w:lang w:val="en-US" w:eastAsia="zh-CN"/>
                      <w14:textFill>
                        <w14:solidFill>
                          <w14:schemeClr w14:val="tx1"/>
                        </w14:solidFill>
                      </w14:textFill>
                    </w:rPr>
                    <w:t>后</w:t>
                  </w:r>
                  <w:r>
                    <w:rPr>
                      <w:rFonts w:hint="default" w:ascii="Times New Roman" w:hAnsi="Times New Roman" w:eastAsia="宋体" w:cs="Times New Roman"/>
                      <w:color w:val="000000" w:themeColor="text1"/>
                      <w:szCs w:val="21"/>
                      <w:lang w:val="en-US" w:eastAsia="zh-CN"/>
                      <w14:textFill>
                        <w14:solidFill>
                          <w14:schemeClr w14:val="tx1"/>
                        </w14:solidFill>
                      </w14:textFill>
                    </w:rPr>
                    <w:t>，排入</w:t>
                  </w:r>
                  <w:r>
                    <w:rPr>
                      <w:rFonts w:hint="eastAsia" w:ascii="Times New Roman" w:hAnsi="Times New Roman" w:cs="Times New Roman"/>
                      <w:color w:val="000000" w:themeColor="text1"/>
                      <w:szCs w:val="21"/>
                      <w:lang w:val="en-US" w:eastAsia="zh-CN"/>
                      <w14:textFill>
                        <w14:solidFill>
                          <w14:schemeClr w14:val="tx1"/>
                        </w14:solidFill>
                      </w14:textFill>
                    </w:rPr>
                    <w:t>院内</w:t>
                  </w:r>
                  <w:r>
                    <w:rPr>
                      <w:rFonts w:hint="default" w:ascii="Times New Roman" w:hAnsi="Times New Roman" w:eastAsia="宋体" w:cs="Times New Roman"/>
                      <w:color w:val="000000" w:themeColor="text1"/>
                      <w:szCs w:val="21"/>
                      <w:lang w:val="en-US" w:eastAsia="zh-CN"/>
                      <w14:textFill>
                        <w14:solidFill>
                          <w14:schemeClr w14:val="tx1"/>
                        </w14:solidFill>
                      </w14:textFill>
                    </w:rPr>
                    <w:t>化粪池，最终进入</w:t>
                  </w:r>
                  <w:r>
                    <w:rPr>
                      <w:rFonts w:hint="eastAsia" w:ascii="Times New Roman" w:hAnsi="Times New Roman" w:cs="Times New Roman"/>
                      <w:color w:val="000000" w:themeColor="text1"/>
                      <w:szCs w:val="21"/>
                      <w:lang w:val="en-US" w:eastAsia="zh-CN"/>
                      <w14:textFill>
                        <w14:solidFill>
                          <w14:schemeClr w14:val="tx1"/>
                        </w14:solidFill>
                      </w14:textFill>
                    </w:rPr>
                    <w:t>宁县生活</w:t>
                  </w:r>
                  <w:r>
                    <w:rPr>
                      <w:rFonts w:hint="default" w:ascii="Times New Roman" w:hAnsi="Times New Roman" w:eastAsia="宋体" w:cs="Times New Roman"/>
                      <w:color w:val="000000" w:themeColor="text1"/>
                      <w:szCs w:val="21"/>
                      <w:lang w:val="en-US" w:eastAsia="zh-CN"/>
                      <w14:textFill>
                        <w14:solidFill>
                          <w14:schemeClr w14:val="tx1"/>
                        </w14:solidFill>
                      </w14:textFill>
                    </w:rPr>
                    <w:t>污水处理厂进行处理</w:t>
                  </w:r>
                  <w:r>
                    <w:rPr>
                      <w:rFonts w:hint="eastAsia" w:ascii="Times New Roman" w:hAnsi="Times New Roman" w:cs="Times New Roman"/>
                      <w:color w:val="000000" w:themeColor="text1"/>
                      <w:szCs w:val="21"/>
                      <w:lang w:val="en-US" w:eastAsia="zh-CN"/>
                      <w14:textFill>
                        <w14:solidFill>
                          <w14:schemeClr w14:val="tx1"/>
                        </w14:solidFill>
                      </w14:textFill>
                    </w:rPr>
                    <w:t>；生活污水经</w:t>
                  </w:r>
                  <w:r>
                    <w:rPr>
                      <w:rFonts w:hint="default" w:ascii="Times New Roman" w:hAnsi="Times New Roman" w:eastAsia="宋体" w:cs="Times New Roman"/>
                      <w:color w:val="000000" w:themeColor="text1"/>
                      <w:szCs w:val="21"/>
                      <w:lang w:val="en-US" w:eastAsia="zh-CN"/>
                      <w14:textFill>
                        <w14:solidFill>
                          <w14:schemeClr w14:val="tx1"/>
                        </w14:solidFill>
                      </w14:textFill>
                    </w:rPr>
                    <w:t>化粪池处理后排入</w:t>
                  </w:r>
                  <w:r>
                    <w:rPr>
                      <w:rFonts w:hint="eastAsia" w:ascii="Times New Roman" w:hAnsi="Times New Roman" w:cs="Times New Roman"/>
                      <w:color w:val="000000" w:themeColor="text1"/>
                      <w:szCs w:val="21"/>
                      <w:lang w:val="en-US" w:eastAsia="zh-CN"/>
                      <w14:textFill>
                        <w14:solidFill>
                          <w14:schemeClr w14:val="tx1"/>
                        </w14:solidFill>
                      </w14:textFill>
                    </w:rPr>
                    <w:t>宁县生活</w:t>
                  </w:r>
                  <w:r>
                    <w:rPr>
                      <w:rFonts w:hint="default" w:ascii="Times New Roman" w:hAnsi="Times New Roman" w:eastAsia="宋体" w:cs="Times New Roman"/>
                      <w:color w:val="000000" w:themeColor="text1"/>
                      <w:szCs w:val="21"/>
                      <w:lang w:val="en-US" w:eastAsia="zh-CN"/>
                      <w14:textFill>
                        <w14:solidFill>
                          <w14:schemeClr w14:val="tx1"/>
                        </w14:solidFill>
                      </w14:textFill>
                    </w:rPr>
                    <w:t>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vMerge w:val="continue"/>
                  <w:vAlign w:val="center"/>
                </w:tcPr>
                <w:p>
                  <w:pPr>
                    <w:pStyle w:val="13"/>
                    <w:jc w:val="center"/>
                    <w:rPr>
                      <w:rFonts w:hint="default" w:ascii="Times New Roman" w:hAnsi="Times New Roman" w:eastAsia="宋体" w:cs="Times New Roman"/>
                      <w:color w:val="000000" w:themeColor="text1"/>
                      <w:szCs w:val="21"/>
                      <w14:textFill>
                        <w14:solidFill>
                          <w14:schemeClr w14:val="tx1"/>
                        </w14:solidFill>
                      </w14:textFill>
                    </w:rPr>
                  </w:pP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工作人员生活污水</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BOD</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Cs w:val="21"/>
                      <w:lang w:val="en-US" w:eastAsia="zh-CN"/>
                      <w14:textFill>
                        <w14:solidFill>
                          <w14:schemeClr w14:val="tx1"/>
                        </w14:solidFill>
                      </w14:textFill>
                    </w:rPr>
                    <w:t>、CODcr、SS、NH</w:t>
                  </w:r>
                  <w:r>
                    <w:rPr>
                      <w:rFonts w:hint="default" w:ascii="Times New Roman" w:hAnsi="Times New Roman" w:eastAsia="宋体" w:cs="Times New Roman"/>
                      <w:color w:val="000000" w:themeColor="text1"/>
                      <w:szCs w:val="21"/>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Cs w:val="21"/>
                      <w:lang w:val="en-US" w:eastAsia="zh-CN"/>
                      <w14:textFill>
                        <w14:solidFill>
                          <w14:schemeClr w14:val="tx1"/>
                        </w14:solidFill>
                      </w14:textFill>
                    </w:rPr>
                    <w:t>-N</w:t>
                  </w:r>
                </w:p>
              </w:tc>
              <w:tc>
                <w:tcPr>
                  <w:tcW w:w="2346" w:type="dxa"/>
                  <w:vMerge w:val="continue"/>
                  <w:vAlign w:val="center"/>
                </w:tcPr>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9"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噪声</w:t>
                  </w: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水泵、实验设备、通风设备噪声</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设备噪声</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建筑物隔声、减震、消声措施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2" w:hRule="atLeast"/>
                <w:jc w:val="center"/>
              </w:trPr>
              <w:tc>
                <w:tcPr>
                  <w:tcW w:w="1269" w:type="dxa"/>
                  <w:vMerge w:val="restart"/>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固废</w:t>
                  </w:r>
                </w:p>
              </w:tc>
              <w:tc>
                <w:tcPr>
                  <w:tcW w:w="2442" w:type="dxa"/>
                  <w:gridSpan w:val="2"/>
                  <w:vMerge w:val="restart"/>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微生物实验室</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废培养基</w:t>
                  </w:r>
                  <w:r>
                    <w:rPr>
                      <w:rFonts w:hint="eastAsia"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eastAsia="宋体" w:cs="Times New Roman"/>
                      <w:color w:val="000000" w:themeColor="text1"/>
                      <w:szCs w:val="21"/>
                      <w:lang w:val="en-US" w:eastAsia="zh-CN"/>
                      <w14:textFill>
                        <w14:solidFill>
                          <w14:schemeClr w14:val="tx1"/>
                        </w14:solidFill>
                      </w14:textFill>
                    </w:rPr>
                    <w:t>废标本、多余样品</w:t>
                  </w:r>
                  <w:r>
                    <w:rPr>
                      <w:rFonts w:hint="eastAsia" w:ascii="Times New Roman" w:hAnsi="Times New Roman" w:cs="Times New Roman"/>
                      <w:color w:val="000000" w:themeColor="text1"/>
                      <w:szCs w:val="21"/>
                      <w:lang w:val="en-US" w:eastAsia="zh-CN"/>
                      <w14:textFill>
                        <w14:solidFill>
                          <w14:schemeClr w14:val="tx1"/>
                        </w14:solidFill>
                      </w14:textFill>
                    </w:rPr>
                    <w:t>、</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分类收集，</w:t>
                  </w:r>
                  <w:r>
                    <w:rPr>
                      <w:rFonts w:hint="eastAsia" w:ascii="Times New Roman" w:hAnsi="Times New Roman" w:cs="Times New Roman"/>
                      <w:color w:val="000000" w:themeColor="text1"/>
                      <w:szCs w:val="21"/>
                      <w:lang w:val="en-US" w:eastAsia="zh-CN"/>
                      <w14:textFill>
                        <w14:solidFill>
                          <w14:schemeClr w14:val="tx1"/>
                        </w14:solidFill>
                      </w14:textFill>
                    </w:rPr>
                    <w:t>高温高压灭菌灭活处理后</w:t>
                  </w:r>
                  <w:r>
                    <w:rPr>
                      <w:rFonts w:hint="default" w:ascii="Times New Roman" w:hAnsi="Times New Roman" w:eastAsia="宋体" w:cs="Times New Roman"/>
                      <w:color w:val="000000" w:themeColor="text1"/>
                      <w:szCs w:val="21"/>
                      <w:lang w:val="en-US" w:eastAsia="zh-CN"/>
                      <w14:textFill>
                        <w14:solidFill>
                          <w14:schemeClr w14:val="tx1"/>
                        </w14:solidFill>
                      </w14:textFill>
                    </w:rPr>
                    <w:t>危废暂存间暂存后，定期委托有资质单位处理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269" w:type="dxa"/>
                  <w:vMerge w:val="continue"/>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2442" w:type="dxa"/>
                  <w:gridSpan w:val="2"/>
                  <w:vMerge w:val="continue"/>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2484" w:type="dxa"/>
                  <w:vAlign w:val="center"/>
                </w:tcPr>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废一次性用品</w:t>
                  </w:r>
                </w:p>
              </w:tc>
              <w:tc>
                <w:tcPr>
                  <w:tcW w:w="2346" w:type="dxa"/>
                  <w:vAlign w:val="center"/>
                </w:tcPr>
                <w:p>
                  <w:pPr>
                    <w:pStyle w:val="13"/>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lang w:val="en-US" w:eastAsia="zh-CN"/>
                      <w14:textFill>
                        <w14:solidFill>
                          <w14:schemeClr w14:val="tx1"/>
                        </w14:solidFill>
                      </w14:textFill>
                    </w:rPr>
                    <w:t>高温高压灭菌灭活处理后作为一般垃圾处理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1269" w:type="dxa"/>
                  <w:vMerge w:val="continue"/>
                  <w:vAlign w:val="center"/>
                </w:tcPr>
                <w:p>
                  <w:pPr>
                    <w:pStyle w:val="13"/>
                    <w:jc w:val="center"/>
                    <w:rPr>
                      <w:rFonts w:hint="default" w:ascii="Times New Roman" w:hAnsi="Times New Roman" w:eastAsia="宋体" w:cs="Times New Roman"/>
                      <w:color w:val="000000" w:themeColor="text1"/>
                      <w14:textFill>
                        <w14:solidFill>
                          <w14:schemeClr w14:val="tx1"/>
                        </w14:solidFill>
                      </w14:textFill>
                    </w:rPr>
                  </w:pPr>
                </w:p>
              </w:tc>
              <w:tc>
                <w:tcPr>
                  <w:tcW w:w="2442" w:type="dxa"/>
                  <w:gridSpan w:val="2"/>
                  <w:vMerge w:val="continue"/>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废</w:t>
                  </w:r>
                  <w:r>
                    <w:rPr>
                      <w:rFonts w:hint="eastAsia" w:ascii="Times New Roman" w:hAnsi="Times New Roman" w:cs="Times New Roman"/>
                      <w:color w:val="000000" w:themeColor="text1"/>
                      <w:szCs w:val="21"/>
                      <w:lang w:val="en-US" w:eastAsia="zh-CN"/>
                      <w14:textFill>
                        <w14:solidFill>
                          <w14:schemeClr w14:val="tx1"/>
                        </w14:solidFill>
                      </w14:textFill>
                    </w:rPr>
                    <w:t>离子交换树脂</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9" w:type="dxa"/>
                  <w:vMerge w:val="continue"/>
                  <w:vAlign w:val="center"/>
                </w:tcPr>
                <w:p>
                  <w:pPr>
                    <w:pStyle w:val="13"/>
                    <w:jc w:val="center"/>
                    <w:rPr>
                      <w:rFonts w:hint="default" w:ascii="Times New Roman" w:hAnsi="Times New Roman" w:eastAsia="宋体" w:cs="Times New Roman"/>
                      <w:color w:val="000000" w:themeColor="text1"/>
                      <w14:textFill>
                        <w14:solidFill>
                          <w14:schemeClr w14:val="tx1"/>
                        </w14:solidFill>
                      </w14:textFill>
                    </w:rPr>
                  </w:pP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工作人员</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生活垃圾</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color w:val="000000" w:themeColor="text1"/>
                      <w:szCs w:val="21"/>
                      <w:lang w:eastAsia="zh-CN"/>
                      <w14:textFill>
                        <w14:solidFill>
                          <w14:schemeClr w14:val="tx1"/>
                        </w14:solidFill>
                      </w14:textFill>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269" w:type="dxa"/>
                  <w:vMerge w:val="continue"/>
                  <w:vAlign w:val="center"/>
                </w:tcPr>
                <w:p>
                  <w:pPr>
                    <w:pStyle w:val="13"/>
                    <w:jc w:val="center"/>
                    <w:rPr>
                      <w:rFonts w:hint="default" w:ascii="Times New Roman" w:hAnsi="Times New Roman" w:eastAsia="宋体" w:cs="Times New Roman"/>
                      <w:color w:val="000000" w:themeColor="text1"/>
                      <w14:textFill>
                        <w14:solidFill>
                          <w14:schemeClr w14:val="tx1"/>
                        </w14:solidFill>
                      </w14:textFill>
                    </w:rPr>
                  </w:pPr>
                </w:p>
              </w:tc>
              <w:tc>
                <w:tcPr>
                  <w:tcW w:w="2442" w:type="dxa"/>
                  <w:gridSpan w:val="2"/>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化粪池</w:t>
                  </w:r>
                </w:p>
              </w:tc>
              <w:tc>
                <w:tcPr>
                  <w:tcW w:w="2484"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污泥</w:t>
                  </w:r>
                </w:p>
              </w:tc>
              <w:tc>
                <w:tcPr>
                  <w:tcW w:w="2346" w:type="dxa"/>
                  <w:vAlign w:val="center"/>
                </w:tcPr>
                <w:p>
                  <w:pPr>
                    <w:pStyle w:val="13"/>
                    <w:jc w:val="center"/>
                    <w:rPr>
                      <w:rFonts w:hint="default"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cs="Times New Roman"/>
                      <w:color w:val="000000" w:themeColor="text1"/>
                      <w:szCs w:val="21"/>
                      <w:lang w:eastAsia="zh-CN"/>
                      <w14:textFill>
                        <w14:solidFill>
                          <w14:schemeClr w14:val="tx1"/>
                        </w14:solidFill>
                      </w14:textFill>
                    </w:rPr>
                    <w:t>拉运至</w:t>
                  </w:r>
                  <w:r>
                    <w:rPr>
                      <w:rFonts w:hint="eastAsia" w:ascii="Times New Roman" w:hAnsi="Times New Roman" w:cs="Times New Roman"/>
                      <w:color w:val="000000" w:themeColor="text1"/>
                      <w:szCs w:val="21"/>
                      <w:lang w:val="en-US" w:eastAsia="zh-CN"/>
                      <w14:textFill>
                        <w14:solidFill>
                          <w14:schemeClr w14:val="tx1"/>
                        </w14:solidFill>
                      </w14:textFill>
                    </w:rPr>
                    <w:t>宁县生活</w:t>
                  </w:r>
                  <w:r>
                    <w:rPr>
                      <w:rFonts w:hint="eastAsia" w:ascii="Times New Roman" w:hAnsi="Times New Roman" w:cs="Times New Roman"/>
                      <w:color w:val="000000" w:themeColor="text1"/>
                      <w:szCs w:val="21"/>
                      <w:lang w:eastAsia="zh-CN"/>
                      <w14:textFill>
                        <w14:solidFill>
                          <w14:schemeClr w14:val="tx1"/>
                        </w14:solidFill>
                      </w14:textFill>
                    </w:rPr>
                    <w:t>污水处理厂处理</w:t>
                  </w:r>
                </w:p>
              </w:tc>
            </w:tr>
          </w:tbl>
          <w:p>
            <w:pPr>
              <w:overflowPunct w:val="0"/>
              <w:spacing w:line="360" w:lineRule="auto"/>
              <w:rPr>
                <w:rFonts w:ascii="Times New Roman" w:hAnsi="Times New Roman" w:eastAsia="宋体"/>
                <w:snapToGrid w:val="0"/>
                <w:color w:val="000000" w:themeColor="text1"/>
                <w:sz w:val="24"/>
                <w:lang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c>
          <w:tcPr>
            <w:tcW w:w="1348" w:type="dxa"/>
            <w:vAlign w:val="center"/>
          </w:tcPr>
          <w:p>
            <w:pPr>
              <w:adjustRightInd w:val="0"/>
              <w:snapToGrid w:val="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与项目有关的原有污染问题</w:t>
            </w:r>
          </w:p>
        </w:tc>
        <w:tc>
          <w:tcPr>
            <w:tcW w:w="8560" w:type="dxa"/>
          </w:tcPr>
          <w:p>
            <w:pPr>
              <w:adjustRightInd w:val="0"/>
              <w:snapToGrid w:val="0"/>
              <w:spacing w:line="360" w:lineRule="auto"/>
              <w:rPr>
                <w:rFonts w:ascii="Times New Roman" w:hAnsi="Times New Roman" w:eastAsia="宋体" w:cs="Times New Roman"/>
                <w:b/>
                <w:color w:val="000000" w:themeColor="text1"/>
                <w:sz w:val="24"/>
                <w:lang w:eastAsia="zh-CN"/>
                <w14:textFill>
                  <w14:solidFill>
                    <w14:schemeClr w14:val="tx1"/>
                  </w14:solidFill>
                </w14:textFill>
              </w:rPr>
            </w:pPr>
            <w:r>
              <w:rPr>
                <w:rFonts w:hint="eastAsia" w:ascii="Times New Roman" w:hAnsi="Times New Roman" w:eastAsia="宋体" w:cs="Times New Roman"/>
                <w:b/>
                <w:color w:val="000000" w:themeColor="text1"/>
                <w:sz w:val="24"/>
                <w:lang w:eastAsia="zh-CN"/>
                <w14:textFill>
                  <w14:solidFill>
                    <w14:schemeClr w14:val="tx1"/>
                  </w14:solidFill>
                </w14:textFill>
              </w:rPr>
              <w:t>1、</w:t>
            </w:r>
            <w:r>
              <w:rPr>
                <w:rFonts w:ascii="Times New Roman" w:hAnsi="Times New Roman" w:eastAsia="宋体" w:cs="Times New Roman"/>
                <w:b/>
                <w:color w:val="000000" w:themeColor="text1"/>
                <w:sz w:val="24"/>
                <w:lang w:eastAsia="zh-CN"/>
                <w14:textFill>
                  <w14:solidFill>
                    <w14:schemeClr w14:val="tx1"/>
                  </w14:solidFill>
                </w14:textFill>
              </w:rPr>
              <w:t>与本项目有关的原有污染情况及主要环境问题：</w:t>
            </w:r>
          </w:p>
          <w:p>
            <w:pPr>
              <w:widowControl/>
              <w:spacing w:line="360" w:lineRule="auto"/>
              <w:ind w:firstLine="480" w:firstLineChars="200"/>
              <w:rPr>
                <w:rFonts w:hint="eastAsia" w:ascii="Times New Roman" w:hAnsi="Times New Roman" w:cs="Times New Roman"/>
                <w:color w:val="FF0000"/>
                <w:sz w:val="24"/>
                <w:szCs w:val="24"/>
                <w:lang w:val="en-US" w:eastAsia="zh-CN"/>
              </w:rPr>
            </w:pPr>
            <w:r>
              <w:rPr>
                <w:rFonts w:hint="default" w:ascii="Times New Roman" w:hAnsi="Times New Roman" w:cs="Times New Roman" w:eastAsiaTheme="minorEastAsia"/>
                <w:color w:val="FF0000"/>
                <w:sz w:val="24"/>
                <w:szCs w:val="24"/>
                <w:lang w:eastAsia="zh-CN"/>
              </w:rPr>
              <w:t>经现场踏勘，</w:t>
            </w:r>
            <w:r>
              <w:rPr>
                <w:rFonts w:hint="default" w:ascii="Times New Roman" w:hAnsi="Times New Roman" w:cs="Times New Roman" w:eastAsiaTheme="minorEastAsia"/>
                <w:color w:val="FF0000"/>
                <w:sz w:val="24"/>
                <w:szCs w:val="24"/>
              </w:rPr>
              <w:t>本工程场址位于</w:t>
            </w:r>
            <w:r>
              <w:rPr>
                <w:rFonts w:hint="eastAsia" w:ascii="Times New Roman" w:hAnsi="Times New Roman" w:cs="Times New Roman"/>
                <w:color w:val="FF0000"/>
                <w:sz w:val="24"/>
                <w:szCs w:val="24"/>
                <w:lang w:val="en-US" w:eastAsia="zh-CN"/>
              </w:rPr>
              <w:t>宁县新宁镇，实验室布设在现有办公楼改造，本次项目主要为实验室装修及设备安装，根据现场踏勘，现有场地存在以下问题：</w:t>
            </w:r>
          </w:p>
          <w:p>
            <w:pPr>
              <w:widowControl/>
              <w:numPr>
                <w:ilvl w:val="0"/>
                <w:numId w:val="4"/>
              </w:numPr>
              <w:spacing w:line="360" w:lineRule="auto"/>
              <w:ind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本项目实验区设置在现有办公楼三楼，根据现场踏勘，实验区现有构筑物窗户为单层窗户；</w:t>
            </w:r>
          </w:p>
          <w:p>
            <w:pPr>
              <w:widowControl/>
              <w:numPr>
                <w:ilvl w:val="0"/>
                <w:numId w:val="4"/>
              </w:numPr>
              <w:spacing w:line="360" w:lineRule="auto"/>
              <w:ind w:firstLine="480" w:firstLineChars="200"/>
              <w:rPr>
                <w:rFonts w:hint="eastAsia"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本项目实验室由1个标准单元和1/2个标准单元组成，门洞宽度均为0.9m，高度均为2.0m，</w:t>
            </w:r>
            <w:r>
              <w:rPr>
                <w:color w:val="0000FF"/>
              </w:rPr>
              <w:commentReference w:id="3"/>
            </w:r>
            <w:r>
              <w:rPr>
                <w:rFonts w:hint="eastAsia" w:ascii="Times New Roman" w:hAnsi="Times New Roman" w:cs="Times New Roman"/>
                <w:color w:val="0000FF"/>
                <w:sz w:val="24"/>
                <w:szCs w:val="24"/>
                <w:lang w:val="en-US" w:eastAsia="zh-CN"/>
              </w:rPr>
              <w:t>不满足《科学实验室建筑设计规范标准》设计要求；</w:t>
            </w:r>
          </w:p>
          <w:p>
            <w:pPr>
              <w:widowControl/>
              <w:numPr>
                <w:ilvl w:val="0"/>
                <w:numId w:val="4"/>
              </w:numPr>
              <w:spacing w:line="360" w:lineRule="auto"/>
              <w:ind w:firstLine="472" w:firstLineChars="200"/>
              <w:rPr>
                <w:rFonts w:hint="eastAsia" w:ascii="Times New Roman" w:hAnsi="Times New Roman" w:cs="Times New Roman"/>
                <w:color w:val="FF0000"/>
                <w:sz w:val="24"/>
                <w:szCs w:val="24"/>
                <w:lang w:val="en-US" w:eastAsia="zh-CN"/>
              </w:rPr>
            </w:pPr>
            <w:r>
              <w:rPr>
                <w:rFonts w:hint="eastAsia" w:ascii="宋体" w:hAnsi="宋体" w:cs="宋体"/>
                <w:color w:val="FF0000"/>
                <w:spacing w:val="-2"/>
                <w:sz w:val="24"/>
                <w:szCs w:val="24"/>
                <w:lang w:val="en-US" w:eastAsia="zh-CN"/>
              </w:rPr>
              <w:t>现有建筑物窗户均为单层玻璃，可开启窗户面积占窗面积1/2；密闭性和隔热性较差，</w:t>
            </w:r>
            <w:r>
              <w:rPr>
                <w:rFonts w:hint="eastAsia" w:ascii="Times New Roman" w:hAnsi="Times New Roman" w:cs="Times New Roman"/>
                <w:color w:val="FF0000"/>
                <w:sz w:val="24"/>
                <w:szCs w:val="24"/>
                <w:lang w:val="en-US" w:eastAsia="zh-CN"/>
              </w:rPr>
              <w:t>不满足《科学实验室建筑设计规范标准》设计要求；</w:t>
            </w:r>
          </w:p>
          <w:p>
            <w:pPr>
              <w:widowControl/>
              <w:numPr>
                <w:ilvl w:val="0"/>
                <w:numId w:val="4"/>
              </w:numPr>
              <w:spacing w:line="360" w:lineRule="auto"/>
              <w:ind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经现场核查，实验室废气现有排气筒高度12m，不满足要求；</w:t>
            </w:r>
          </w:p>
          <w:p>
            <w:pPr>
              <w:widowControl/>
              <w:numPr>
                <w:ilvl w:val="0"/>
                <w:numId w:val="4"/>
              </w:numPr>
              <w:spacing w:line="360" w:lineRule="auto"/>
              <w:ind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实验区与办公区隔断安全门未建成；</w:t>
            </w:r>
          </w:p>
          <w:p>
            <w:pPr>
              <w:widowControl/>
              <w:numPr>
                <w:ilvl w:val="0"/>
                <w:numId w:val="4"/>
              </w:numPr>
              <w:spacing w:line="360" w:lineRule="auto"/>
              <w:ind w:firstLine="480" w:firstLineChars="200"/>
              <w:rPr>
                <w:rFonts w:hint="eastAsia" w:ascii="Times New Roman" w:hAnsi="Times New Roman" w:cs="Times New Roman"/>
                <w:color w:val="0000FF"/>
                <w:sz w:val="24"/>
                <w:szCs w:val="24"/>
                <w:lang w:val="en-US" w:eastAsia="zh-CN"/>
              </w:rPr>
            </w:pPr>
            <w:r>
              <w:rPr>
                <w:rFonts w:hint="eastAsia" w:ascii="Times New Roman" w:hAnsi="Times New Roman" w:cs="Times New Roman"/>
                <w:color w:val="0000FF"/>
                <w:sz w:val="24"/>
                <w:szCs w:val="24"/>
                <w:lang w:val="en-US" w:eastAsia="zh-CN"/>
              </w:rPr>
              <w:t>实验室废水出口未设置监测井；</w:t>
            </w:r>
          </w:p>
          <w:p>
            <w:pPr>
              <w:widowControl/>
              <w:numPr>
                <w:ilvl w:val="0"/>
                <w:numId w:val="4"/>
              </w:numPr>
              <w:spacing w:line="360" w:lineRule="auto"/>
              <w:ind w:firstLine="480" w:firstLineChars="200"/>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实验区未设置更衣间。</w:t>
            </w:r>
          </w:p>
          <w:p>
            <w:pPr>
              <w:widowControl/>
              <w:spacing w:line="360" w:lineRule="auto"/>
              <w:rPr>
                <w:rFonts w:hint="eastAsia" w:ascii="Times New Roman" w:hAnsi="Times New Roman" w:cs="Times New Roman"/>
                <w:color w:val="FF0000"/>
                <w:sz w:val="24"/>
                <w:szCs w:val="24"/>
                <w:lang w:val="en-US" w:eastAsia="zh-CN"/>
              </w:rPr>
            </w:pPr>
            <w:r>
              <w:rPr>
                <w:rFonts w:hint="eastAsia" w:ascii="Times New Roman" w:hAnsi="Times New Roman" w:cs="Times New Roman"/>
                <w:color w:val="FF0000"/>
                <w:sz w:val="24"/>
                <w:szCs w:val="24"/>
                <w:lang w:val="en-US" w:eastAsia="zh-CN"/>
              </w:rPr>
              <w:t>整改要求：</w:t>
            </w:r>
          </w:p>
          <w:p>
            <w:pPr>
              <w:widowControl/>
              <w:numPr>
                <w:ilvl w:val="0"/>
                <w:numId w:val="5"/>
              </w:numPr>
              <w:spacing w:line="360" w:lineRule="auto"/>
              <w:ind w:firstLine="480" w:firstLineChars="200"/>
              <w:rPr>
                <w:rFonts w:hint="eastAsia"/>
                <w:color w:val="FF0000"/>
                <w:sz w:val="24"/>
                <w:szCs w:val="24"/>
                <w:lang w:val="en-US" w:eastAsia="zh-CN"/>
              </w:rPr>
            </w:pPr>
            <w:r>
              <w:rPr>
                <w:rFonts w:hint="eastAsia"/>
                <w:color w:val="FF0000"/>
                <w:sz w:val="24"/>
                <w:szCs w:val="24"/>
                <w:lang w:val="en-US" w:eastAsia="zh-CN"/>
              </w:rPr>
              <w:t>本项目改造过程中对实验区窗户进行改造，设置为双层玻璃窗，同时设置遮光百叶；</w:t>
            </w:r>
          </w:p>
          <w:p>
            <w:pPr>
              <w:widowControl/>
              <w:numPr>
                <w:ilvl w:val="0"/>
                <w:numId w:val="5"/>
              </w:numPr>
              <w:spacing w:line="360" w:lineRule="auto"/>
              <w:ind w:left="0" w:leftChars="0" w:firstLine="480" w:firstLineChars="200"/>
              <w:rPr>
                <w:rFonts w:hint="eastAsia"/>
                <w:color w:val="FF0000"/>
                <w:sz w:val="24"/>
                <w:szCs w:val="24"/>
                <w:lang w:val="en-US" w:eastAsia="zh-CN"/>
              </w:rPr>
            </w:pPr>
            <w:r>
              <w:rPr>
                <w:rFonts w:hint="eastAsia"/>
                <w:color w:val="FF0000"/>
                <w:sz w:val="24"/>
                <w:szCs w:val="24"/>
                <w:lang w:val="en-US" w:eastAsia="zh-CN"/>
              </w:rPr>
              <w:t>本次环评要求对实验区门进行整改，根据</w:t>
            </w:r>
            <w:r>
              <w:rPr>
                <w:rFonts w:hint="eastAsia" w:ascii="Times New Roman" w:hAnsi="Times New Roman" w:cs="Times New Roman"/>
                <w:color w:val="FF0000"/>
                <w:sz w:val="24"/>
                <w:szCs w:val="24"/>
                <w:lang w:val="en-US" w:eastAsia="zh-CN"/>
              </w:rPr>
              <w:t>《科学实验室建筑设计规范标准》中对实验室门的设计要求，</w:t>
            </w:r>
            <w:r>
              <w:rPr>
                <w:rFonts w:hint="eastAsia"/>
                <w:color w:val="0000FF"/>
                <w:sz w:val="24"/>
                <w:szCs w:val="24"/>
                <w:lang w:val="en-US" w:eastAsia="zh-CN"/>
              </w:rPr>
              <w:t>一个标准单元整改后门洞宽度1.30m，高度2.10m；1/2个标准单元整改后门洞宽1.0m，高度2.0m；</w:t>
            </w:r>
          </w:p>
          <w:p>
            <w:pPr>
              <w:widowControl/>
              <w:numPr>
                <w:ilvl w:val="0"/>
                <w:numId w:val="5"/>
              </w:numPr>
              <w:spacing w:line="360" w:lineRule="auto"/>
              <w:ind w:left="0" w:leftChars="0" w:firstLine="480" w:firstLineChars="200"/>
              <w:rPr>
                <w:rFonts w:hint="eastAsia"/>
                <w:color w:val="FF0000"/>
                <w:sz w:val="24"/>
                <w:szCs w:val="24"/>
                <w:lang w:val="en-US" w:eastAsia="zh-CN"/>
              </w:rPr>
            </w:pPr>
            <w:r>
              <w:rPr>
                <w:rFonts w:hint="eastAsia"/>
                <w:color w:val="FF0000"/>
                <w:sz w:val="24"/>
                <w:szCs w:val="24"/>
                <w:lang w:val="en-US" w:eastAsia="zh-CN"/>
              </w:rPr>
              <w:t>本次环评要求将实验室窗户改造为双层玻璃，同时设置遮光百叶，提高实验室密闭性和隔热性；</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color w:val="0000FF"/>
                <w:sz w:val="24"/>
                <w:szCs w:val="24"/>
                <w:lang w:val="en-US" w:eastAsia="zh-CN"/>
              </w:rPr>
            </w:pPr>
            <w:r>
              <w:rPr>
                <w:rFonts w:hint="eastAsia"/>
                <w:color w:val="0000FF"/>
                <w:sz w:val="24"/>
                <w:szCs w:val="24"/>
                <w:lang w:val="en-US" w:eastAsia="zh-CN"/>
              </w:rPr>
              <w:t>本次环评要求排气筒高度增加到15m；</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lang w:val="en-US" w:eastAsia="zh-CN"/>
              </w:rPr>
            </w:pPr>
            <w:r>
              <w:rPr>
                <w:rFonts w:hint="eastAsia"/>
                <w:color w:val="FF0000"/>
                <w:sz w:val="24"/>
                <w:szCs w:val="24"/>
                <w:lang w:val="en-US" w:eastAsia="zh-CN"/>
              </w:rPr>
              <w:t>实验区出入口设置安全门，禁止无关人员出入；</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color w:val="0000FF"/>
                <w:sz w:val="24"/>
                <w:szCs w:val="24"/>
                <w:lang w:val="en-US" w:eastAsia="zh-CN"/>
              </w:rPr>
            </w:pPr>
            <w:r>
              <w:rPr>
                <w:rFonts w:hint="eastAsia"/>
                <w:color w:val="0000FF"/>
                <w:sz w:val="24"/>
                <w:szCs w:val="24"/>
                <w:lang w:val="en-US" w:eastAsia="zh-CN"/>
              </w:rPr>
              <w:t>本次环评要求在化粪池前端实验室废水出口设置一座1.5m</w:t>
            </w:r>
            <w:r>
              <w:rPr>
                <w:rFonts w:hint="eastAsia"/>
                <w:color w:val="0000FF"/>
                <w:sz w:val="24"/>
                <w:szCs w:val="24"/>
                <w:vertAlign w:val="superscript"/>
                <w:lang w:val="en-US" w:eastAsia="zh-CN"/>
              </w:rPr>
              <w:t>3</w:t>
            </w:r>
            <w:r>
              <w:rPr>
                <w:rFonts w:hint="eastAsia"/>
                <w:color w:val="0000FF"/>
                <w:sz w:val="24"/>
                <w:szCs w:val="24"/>
                <w:lang w:val="en-US" w:eastAsia="zh-CN"/>
              </w:rPr>
              <w:t>消毒罐，用于实验室废水取样检测，出水超标时对其进行消毒处理；</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default"/>
                <w:color w:val="FF0000"/>
                <w:sz w:val="24"/>
                <w:szCs w:val="24"/>
                <w:lang w:val="en-US" w:eastAsia="zh-CN"/>
              </w:rPr>
            </w:pPr>
            <w:r>
              <w:rPr>
                <w:rFonts w:hint="eastAsia"/>
                <w:color w:val="FF0000"/>
                <w:sz w:val="24"/>
                <w:szCs w:val="24"/>
                <w:lang w:val="en-US" w:eastAsia="zh-CN"/>
              </w:rPr>
              <w:t>实验区出入口设置一间更衣室。</w:t>
            </w:r>
            <w:r>
              <w:rPr>
                <w:sz w:val="24"/>
                <w:szCs w:val="24"/>
              </w:rPr>
              <w:commentReference w:id="4"/>
            </w: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ascii="Times New Roman" w:hAnsi="Times New Roman" w:cs="Times New Roman"/>
                <w:color w:val="000000" w:themeColor="text1"/>
                <w:sz w:val="24"/>
                <w:szCs w:val="24"/>
                <w:lang w:val="en-US" w:eastAsia="zh-CN"/>
                <w14:textFill>
                  <w14:solidFill>
                    <w14:schemeClr w14:val="tx1"/>
                  </w14:solidFill>
                </w14:textFill>
              </w:rPr>
            </w:pPr>
          </w:p>
          <w:p>
            <w:pPr>
              <w:pStyle w:val="2"/>
              <w:rPr>
                <w:rFonts w:hint="eastAsia" w:ascii="Times New Roman" w:hAnsi="Times New Roman" w:cs="Times New Roman"/>
                <w:color w:val="000000" w:themeColor="text1"/>
                <w:sz w:val="24"/>
                <w:szCs w:val="24"/>
                <w:lang w:val="en-US" w:eastAsia="zh-CN"/>
                <w14:textFill>
                  <w14:solidFill>
                    <w14:schemeClr w14:val="tx1"/>
                  </w14:solidFill>
                </w14:textFill>
              </w:rPr>
            </w:pPr>
          </w:p>
          <w:p>
            <w:pPr>
              <w:rPr>
                <w:rFonts w:hint="eastAsia"/>
                <w:lang w:val="en-US" w:eastAsia="zh-CN"/>
              </w:rPr>
            </w:pPr>
          </w:p>
          <w:p>
            <w:pPr>
              <w:widowControl/>
              <w:spacing w:line="360" w:lineRule="auto"/>
              <w:ind w:firstLine="480" w:firstLineChars="200"/>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p>
          <w:p>
            <w:pPr>
              <w:pStyle w:val="25"/>
              <w:jc w:val="both"/>
              <w:rPr>
                <w:color w:val="000000" w:themeColor="text1"/>
                <w:lang w:eastAsia="zh-CN"/>
                <w14:textFill>
                  <w14:solidFill>
                    <w14:schemeClr w14:val="tx1"/>
                  </w14:solidFill>
                </w14:textFill>
              </w:rPr>
            </w:pPr>
          </w:p>
        </w:tc>
      </w:tr>
    </w:tbl>
    <w:p>
      <w:pPr>
        <w:pStyle w:val="36"/>
        <w:spacing w:before="123" w:line="360" w:lineRule="auto"/>
        <w:ind w:left="1332"/>
        <w:outlineLvl w:val="0"/>
        <w:rPr>
          <w:rFonts w:ascii="Times New Roman" w:hAnsi="Times New Roman" w:eastAsia="宋体"/>
          <w:b/>
          <w:color w:val="000000" w:themeColor="text1"/>
          <w:lang w:eastAsia="zh-CN"/>
          <w14:textFill>
            <w14:solidFill>
              <w14:schemeClr w14:val="tx1"/>
            </w14:solidFill>
          </w14:textFill>
        </w:rPr>
      </w:pPr>
      <w:bookmarkStart w:id="22" w:name="_Toc28623"/>
      <w:r>
        <w:rPr>
          <w:rFonts w:ascii="Times New Roman" w:hAnsi="Times New Roman" w:eastAsia="宋体"/>
          <w:b/>
          <w:color w:val="000000" w:themeColor="text1"/>
          <w:lang w:eastAsia="zh-CN"/>
          <w14:textFill>
            <w14:solidFill>
              <w14:schemeClr w14:val="tx1"/>
            </w14:solidFill>
          </w14:textFill>
        </w:rPr>
        <w:t>三、区域环境质量现状、环境保护目标及评价标准</w:t>
      </w:r>
      <w:bookmarkEnd w:id="22"/>
    </w:p>
    <w:tbl>
      <w:tblPr>
        <w:tblStyle w:val="28"/>
        <w:tblW w:w="960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419" w:type="dxa"/>
            <w:vAlign w:val="center"/>
          </w:tcPr>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区域</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环境</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质量</w:t>
            </w:r>
          </w:p>
          <w:p>
            <w:pPr>
              <w:pStyle w:val="24"/>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现状</w:t>
            </w:r>
          </w:p>
        </w:tc>
        <w:tc>
          <w:tcPr>
            <w:tcW w:w="8190" w:type="dxa"/>
            <w:vAlign w:val="center"/>
          </w:tcPr>
          <w:p>
            <w:pPr>
              <w:spacing w:line="360" w:lineRule="auto"/>
              <w:ind w:firstLine="482" w:firstLineChars="200"/>
              <w:rPr>
                <w:rFonts w:ascii="Times New Roman" w:hAnsi="Times New Roman" w:eastAsia="宋体" w:cs="Times New Roman"/>
                <w:b/>
                <w:color w:val="000000" w:themeColor="text1"/>
                <w:sz w:val="24"/>
                <w:szCs w:val="24"/>
                <w:lang w:val="zh-CN" w:eastAsia="zh-CN"/>
                <w14:textFill>
                  <w14:solidFill>
                    <w14:schemeClr w14:val="tx1"/>
                  </w14:solidFill>
                </w14:textFill>
              </w:rPr>
            </w:pPr>
            <w:r>
              <w:rPr>
                <w:rFonts w:ascii="Times New Roman" w:hAnsi="Times New Roman" w:eastAsia="宋体" w:cs="Times New Roman"/>
                <w:b/>
                <w:color w:val="000000" w:themeColor="text1"/>
                <w:sz w:val="24"/>
                <w:szCs w:val="24"/>
                <w:lang w:val="zh-CN" w:eastAsia="zh-CN"/>
                <w14:textFill>
                  <w14:solidFill>
                    <w14:schemeClr w14:val="tx1"/>
                  </w14:solidFill>
                </w14:textFill>
              </w:rPr>
              <w:t>1、环境空气质量现状监测与评价</w:t>
            </w:r>
          </w:p>
          <w:p>
            <w:pPr>
              <w:spacing w:line="360" w:lineRule="auto"/>
              <w:ind w:firstLine="482" w:firstLineChars="200"/>
              <w:rPr>
                <w:b/>
                <w:bCs/>
                <w:color w:val="000000" w:themeColor="text1"/>
                <w:kern w:val="11"/>
                <w:sz w:val="24"/>
                <w:lang w:eastAsia="zh-CN"/>
                <w14:textFill>
                  <w14:solidFill>
                    <w14:schemeClr w14:val="tx1"/>
                  </w14:solidFill>
                </w14:textFill>
              </w:rPr>
            </w:pPr>
            <w:r>
              <w:rPr>
                <w:rFonts w:hint="eastAsia"/>
                <w:b/>
                <w:bCs/>
                <w:color w:val="000000" w:themeColor="text1"/>
                <w:kern w:val="11"/>
                <w:sz w:val="24"/>
                <w:lang w:eastAsia="zh-CN"/>
                <w14:textFill>
                  <w14:solidFill>
                    <w14:schemeClr w14:val="tx1"/>
                  </w14:solidFill>
                </w14:textFill>
              </w:rPr>
              <w:t>1、环境空气</w:t>
            </w:r>
          </w:p>
          <w:p>
            <w:pPr>
              <w:adjustRightInd w:val="0"/>
              <w:snapToGrid w:val="0"/>
              <w:spacing w:line="360" w:lineRule="auto"/>
              <w:ind w:firstLine="480" w:firstLineChars="200"/>
              <w:jc w:val="left"/>
              <w:rPr>
                <w:color w:val="000000" w:themeColor="text1"/>
                <w:kern w:val="0"/>
                <w:sz w:val="24"/>
                <w:szCs w:val="32"/>
                <w14:textFill>
                  <w14:solidFill>
                    <w14:schemeClr w14:val="tx1"/>
                  </w14:solidFill>
                </w14:textFill>
              </w:rPr>
            </w:pPr>
            <w:r>
              <w:rPr>
                <w:color w:val="000000" w:themeColor="text1"/>
                <w:kern w:val="0"/>
                <w:sz w:val="24"/>
                <w:szCs w:val="32"/>
                <w14:textFill>
                  <w14:solidFill>
                    <w14:schemeClr w14:val="tx1"/>
                  </w14:solidFill>
                </w14:textFill>
              </w:rPr>
              <w:t>根据《环境影响评价技术导则 大气环境》（HJ2.2-2018）中6.4.1.1中的内容“城市环境空气质量达标评价指标为SO</w:t>
            </w:r>
            <w:r>
              <w:rPr>
                <w:color w:val="000000" w:themeColor="text1"/>
                <w:kern w:val="0"/>
                <w:sz w:val="24"/>
                <w:szCs w:val="32"/>
                <w:vertAlign w:val="subscript"/>
                <w14:textFill>
                  <w14:solidFill>
                    <w14:schemeClr w14:val="tx1"/>
                  </w14:solidFill>
                </w14:textFill>
              </w:rPr>
              <w:t>2</w:t>
            </w:r>
            <w:r>
              <w:rPr>
                <w:color w:val="000000" w:themeColor="text1"/>
                <w:kern w:val="0"/>
                <w:sz w:val="24"/>
                <w:szCs w:val="32"/>
                <w14:textFill>
                  <w14:solidFill>
                    <w14:schemeClr w14:val="tx1"/>
                  </w14:solidFill>
                </w14:textFill>
              </w:rPr>
              <w:t>、NO</w:t>
            </w:r>
            <w:r>
              <w:rPr>
                <w:color w:val="000000" w:themeColor="text1"/>
                <w:kern w:val="0"/>
                <w:sz w:val="24"/>
                <w:szCs w:val="32"/>
                <w:vertAlign w:val="subscript"/>
                <w14:textFill>
                  <w14:solidFill>
                    <w14:schemeClr w14:val="tx1"/>
                  </w14:solidFill>
                </w14:textFill>
              </w:rPr>
              <w:t>2</w:t>
            </w:r>
            <w:r>
              <w:rPr>
                <w:color w:val="000000" w:themeColor="text1"/>
                <w:kern w:val="0"/>
                <w:sz w:val="24"/>
                <w:szCs w:val="32"/>
                <w14:textFill>
                  <w14:solidFill>
                    <w14:schemeClr w14:val="tx1"/>
                  </w14:solidFill>
                </w14:textFill>
              </w:rPr>
              <w:t>、PM</w:t>
            </w:r>
            <w:r>
              <w:rPr>
                <w:color w:val="000000" w:themeColor="text1"/>
                <w:kern w:val="0"/>
                <w:sz w:val="24"/>
                <w:szCs w:val="32"/>
                <w:vertAlign w:val="subscript"/>
                <w14:textFill>
                  <w14:solidFill>
                    <w14:schemeClr w14:val="tx1"/>
                  </w14:solidFill>
                </w14:textFill>
              </w:rPr>
              <w:t>10</w:t>
            </w:r>
            <w:r>
              <w:rPr>
                <w:color w:val="000000" w:themeColor="text1"/>
                <w:kern w:val="0"/>
                <w:sz w:val="24"/>
                <w:szCs w:val="32"/>
                <w14:textFill>
                  <w14:solidFill>
                    <w14:schemeClr w14:val="tx1"/>
                  </w14:solidFill>
                </w14:textFill>
              </w:rPr>
              <w:t>、PM</w:t>
            </w:r>
            <w:r>
              <w:rPr>
                <w:color w:val="000000" w:themeColor="text1"/>
                <w:kern w:val="0"/>
                <w:sz w:val="24"/>
                <w:szCs w:val="32"/>
                <w:vertAlign w:val="subscript"/>
                <w14:textFill>
                  <w14:solidFill>
                    <w14:schemeClr w14:val="tx1"/>
                  </w14:solidFill>
                </w14:textFill>
              </w:rPr>
              <w:t>2.5</w:t>
            </w:r>
            <w:r>
              <w:rPr>
                <w:color w:val="000000" w:themeColor="text1"/>
                <w:kern w:val="0"/>
                <w:sz w:val="24"/>
                <w:szCs w:val="32"/>
                <w14:textFill>
                  <w14:solidFill>
                    <w14:schemeClr w14:val="tx1"/>
                  </w14:solidFill>
                </w14:textFill>
              </w:rPr>
              <w:t>、CO和O</w:t>
            </w:r>
            <w:r>
              <w:rPr>
                <w:color w:val="000000" w:themeColor="text1"/>
                <w:kern w:val="0"/>
                <w:sz w:val="24"/>
                <w:szCs w:val="32"/>
                <w:vertAlign w:val="subscript"/>
                <w14:textFill>
                  <w14:solidFill>
                    <w14:schemeClr w14:val="tx1"/>
                  </w14:solidFill>
                </w14:textFill>
              </w:rPr>
              <w:t>3</w:t>
            </w:r>
            <w:r>
              <w:rPr>
                <w:color w:val="000000" w:themeColor="text1"/>
                <w:kern w:val="0"/>
                <w:sz w:val="24"/>
                <w:szCs w:val="32"/>
                <w14:textFill>
                  <w14:solidFill>
                    <w14:schemeClr w14:val="tx1"/>
                  </w14:solidFill>
                </w14:textFill>
              </w:rPr>
              <w:t>，六项污染物全部达标即为城市环境空气质量达标”。</w:t>
            </w:r>
          </w:p>
          <w:p>
            <w:pPr>
              <w:adjustRightInd w:val="0"/>
              <w:snapToGrid w:val="0"/>
              <w:spacing w:line="360" w:lineRule="auto"/>
              <w:ind w:firstLine="480" w:firstLineChars="200"/>
              <w:jc w:val="left"/>
              <w:rPr>
                <w:color w:val="000000" w:themeColor="text1"/>
                <w:kern w:val="0"/>
                <w:sz w:val="24"/>
                <w:szCs w:val="32"/>
                <w14:textFill>
                  <w14:solidFill>
                    <w14:schemeClr w14:val="tx1"/>
                  </w14:solidFill>
                </w14:textFill>
              </w:rPr>
            </w:pPr>
            <w:r>
              <w:rPr>
                <w:color w:val="000000" w:themeColor="text1"/>
                <w:kern w:val="0"/>
                <w:sz w:val="24"/>
                <w:szCs w:val="32"/>
                <w14:textFill>
                  <w14:solidFill>
                    <w14:schemeClr w14:val="tx1"/>
                  </w14:solidFill>
                </w14:textFill>
              </w:rPr>
              <w:t>根据《环境影响评价技术导则 大气环境》（HJ2.2-2018），项目所在区域达标判定，优先采用国家或地方生态环境主管部门公开发布的评价基准年环境质量公告或环境质量报告中的数据或结论。其中评价基准年为近3年中数据相对完整的1个日历年作为评价基准年。</w:t>
            </w:r>
          </w:p>
          <w:p>
            <w:pPr>
              <w:adjustRightInd w:val="0"/>
              <w:snapToGrid w:val="0"/>
              <w:spacing w:line="360" w:lineRule="auto"/>
              <w:ind w:firstLine="480" w:firstLineChars="200"/>
              <w:jc w:val="left"/>
              <w:rPr>
                <w:bCs/>
                <w:color w:val="000000" w:themeColor="text1"/>
                <w:kern w:val="0"/>
                <w:sz w:val="24"/>
                <w:szCs w:val="32"/>
                <w14:textFill>
                  <w14:solidFill>
                    <w14:schemeClr w14:val="tx1"/>
                  </w14:solidFill>
                </w14:textFill>
              </w:rPr>
            </w:pPr>
            <w:r>
              <w:rPr>
                <w:color w:val="000000" w:themeColor="text1"/>
                <w:kern w:val="0"/>
                <w:sz w:val="24"/>
                <w14:textFill>
                  <w14:solidFill>
                    <w14:schemeClr w14:val="tx1"/>
                  </w14:solidFill>
                </w14:textFill>
              </w:rPr>
              <w:t>本项目位于庆阳市</w:t>
            </w:r>
            <w:r>
              <w:rPr>
                <w:rFonts w:hint="eastAsia"/>
                <w:color w:val="000000" w:themeColor="text1"/>
                <w:kern w:val="0"/>
                <w:sz w:val="24"/>
                <w:lang w:val="en-US" w:eastAsia="zh-CN"/>
                <w14:textFill>
                  <w14:solidFill>
                    <w14:schemeClr w14:val="tx1"/>
                  </w14:solidFill>
                </w14:textFill>
              </w:rPr>
              <w:t>宁县</w:t>
            </w:r>
            <w:r>
              <w:rPr>
                <w:color w:val="000000" w:themeColor="text1"/>
                <w:kern w:val="0"/>
                <w:sz w:val="24"/>
                <w14:textFill>
                  <w14:solidFill>
                    <w14:schemeClr w14:val="tx1"/>
                  </w14:solidFill>
                </w14:textFill>
              </w:rPr>
              <w:t>，本次环境质量现状数据引用数据来源为</w:t>
            </w:r>
            <w:r>
              <w:rPr>
                <w:rFonts w:hint="eastAsia"/>
                <w:color w:val="000000" w:themeColor="text1"/>
                <w:kern w:val="0"/>
                <w:sz w:val="24"/>
                <w:lang w:val="en-US" w:eastAsia="zh-CN"/>
                <w14:textFill>
                  <w14:solidFill>
                    <w14:schemeClr w14:val="tx1"/>
                  </w14:solidFill>
                </w14:textFill>
              </w:rPr>
              <w:t>宁县</w:t>
            </w:r>
            <w:r>
              <w:rPr>
                <w:color w:val="000000" w:themeColor="text1"/>
                <w:kern w:val="0"/>
                <w:sz w:val="24"/>
                <w14:textFill>
                  <w14:solidFill>
                    <w14:schemeClr w14:val="tx1"/>
                  </w14:solidFill>
                </w14:textFill>
              </w:rPr>
              <w:t>环境质量月报（202</w:t>
            </w:r>
            <w:r>
              <w:rPr>
                <w:rFonts w:hint="eastAsia"/>
                <w:color w:val="000000" w:themeColor="text1"/>
                <w:kern w:val="0"/>
                <w:sz w:val="24"/>
                <w:lang w:val="en-US" w:eastAsia="zh-CN"/>
                <w14:textFill>
                  <w14:solidFill>
                    <w14:schemeClr w14:val="tx1"/>
                  </w14:solidFill>
                </w14:textFill>
              </w:rPr>
              <w:t>2</w:t>
            </w:r>
            <w:r>
              <w:rPr>
                <w:color w:val="000000" w:themeColor="text1"/>
                <w:kern w:val="0"/>
                <w:sz w:val="24"/>
                <w14:textFill>
                  <w14:solidFill>
                    <w14:schemeClr w14:val="tx1"/>
                  </w14:solidFill>
                </w14:textFill>
              </w:rPr>
              <w:t>年</w:t>
            </w:r>
            <w:r>
              <w:rPr>
                <w:color w:val="000000" w:themeColor="text1"/>
                <w:sz w:val="24"/>
                <w14:textFill>
                  <w14:solidFill>
                    <w14:schemeClr w14:val="tx1"/>
                  </w14:solidFill>
                </w14:textFill>
              </w:rPr>
              <w:t>1-12月）</w:t>
            </w:r>
            <w:r>
              <w:rPr>
                <w:bCs/>
                <w:color w:val="000000" w:themeColor="text1"/>
                <w:kern w:val="0"/>
                <w:sz w:val="24"/>
                <w:szCs w:val="32"/>
                <w14:textFill>
                  <w14:solidFill>
                    <w14:schemeClr w14:val="tx1"/>
                  </w14:solidFill>
                </w14:textFill>
              </w:rPr>
              <w:t>，具体情况见下表3-1。</w:t>
            </w:r>
          </w:p>
          <w:p>
            <w:pPr>
              <w:pStyle w:val="3"/>
              <w:spacing w:before="0" w:after="0" w:line="240" w:lineRule="auto"/>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表3-1   202</w:t>
            </w:r>
            <w:r>
              <w:rPr>
                <w:rFonts w:hint="eastAsia" w:ascii="Times New Roman" w:hAnsi="Times New Roman" w:eastAsia="宋体"/>
                <w:color w:val="000000" w:themeColor="text1"/>
                <w:sz w:val="21"/>
                <w:szCs w:val="21"/>
                <w:lang w:val="en-US" w:eastAsia="zh-CN"/>
                <w14:textFill>
                  <w14:solidFill>
                    <w14:schemeClr w14:val="tx1"/>
                  </w14:solidFill>
                </w14:textFill>
              </w:rPr>
              <w:t>2</w:t>
            </w:r>
            <w:r>
              <w:rPr>
                <w:rFonts w:ascii="Times New Roman" w:hAnsi="Times New Roman" w:eastAsia="宋体"/>
                <w:color w:val="000000" w:themeColor="text1"/>
                <w:sz w:val="21"/>
                <w:szCs w:val="21"/>
                <w14:textFill>
                  <w14:solidFill>
                    <w14:schemeClr w14:val="tx1"/>
                  </w14:solidFill>
                </w14:textFill>
              </w:rPr>
              <w:t>年</w:t>
            </w:r>
            <w:r>
              <w:rPr>
                <w:rFonts w:hint="eastAsia" w:ascii="Times New Roman" w:hAnsi="Times New Roman" w:eastAsia="宋体"/>
                <w:color w:val="000000" w:themeColor="text1"/>
                <w:sz w:val="21"/>
                <w:szCs w:val="21"/>
                <w:lang w:val="en-US" w:eastAsia="zh-CN"/>
                <w14:textFill>
                  <w14:solidFill>
                    <w14:schemeClr w14:val="tx1"/>
                  </w14:solidFill>
                </w14:textFill>
              </w:rPr>
              <w:t>宁</w:t>
            </w:r>
            <w:r>
              <w:rPr>
                <w:rFonts w:ascii="Times New Roman" w:hAnsi="Times New Roman"/>
                <w:color w:val="000000" w:themeColor="text1"/>
                <w:sz w:val="21"/>
                <w:szCs w:val="21"/>
                <w14:textFill>
                  <w14:solidFill>
                    <w14:schemeClr w14:val="tx1"/>
                  </w14:solidFill>
                </w14:textFill>
              </w:rPr>
              <w:t>县</w:t>
            </w:r>
            <w:r>
              <w:rPr>
                <w:rFonts w:ascii="Times New Roman" w:hAnsi="Times New Roman" w:eastAsia="宋体"/>
                <w:color w:val="000000" w:themeColor="text1"/>
                <w:sz w:val="21"/>
                <w:szCs w:val="21"/>
                <w14:textFill>
                  <w14:solidFill>
                    <w14:schemeClr w14:val="tx1"/>
                  </w14:solidFill>
                </w14:textFill>
              </w:rPr>
              <w:t>环境空气年均值情况表</w:t>
            </w:r>
          </w:p>
          <w:tbl>
            <w:tblPr>
              <w:tblStyle w:val="28"/>
              <w:tblW w:w="8236"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34"/>
              <w:gridCol w:w="896"/>
              <w:gridCol w:w="1138"/>
              <w:gridCol w:w="1141"/>
              <w:gridCol w:w="984"/>
              <w:gridCol w:w="1177"/>
              <w:gridCol w:w="126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1634"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日期</w:t>
                  </w:r>
                </w:p>
              </w:tc>
              <w:tc>
                <w:tcPr>
                  <w:tcW w:w="896"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SO</w:t>
                  </w:r>
                  <w:r>
                    <w:rPr>
                      <w:rFonts w:hint="default" w:ascii="Times New Roman" w:hAnsi="Times New Roman" w:cs="Times New Roman" w:eastAsiaTheme="minorEastAsia"/>
                      <w:color w:val="000000" w:themeColor="text1"/>
                      <w:szCs w:val="21"/>
                      <w:vertAlign w:val="subscript"/>
                      <w14:textFill>
                        <w14:solidFill>
                          <w14:schemeClr w14:val="tx1"/>
                        </w14:solidFill>
                      </w14:textFill>
                    </w:rPr>
                    <w:t>2</w:t>
                  </w:r>
                </w:p>
              </w:tc>
              <w:tc>
                <w:tcPr>
                  <w:tcW w:w="1138"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NO</w:t>
                  </w:r>
                  <w:r>
                    <w:rPr>
                      <w:rFonts w:hint="default" w:ascii="Times New Roman" w:hAnsi="Times New Roman" w:cs="Times New Roman" w:eastAsiaTheme="minorEastAsia"/>
                      <w:color w:val="000000" w:themeColor="text1"/>
                      <w:szCs w:val="21"/>
                      <w:vertAlign w:val="subscript"/>
                      <w14:textFill>
                        <w14:solidFill>
                          <w14:schemeClr w14:val="tx1"/>
                        </w14:solidFill>
                      </w14:textFill>
                    </w:rPr>
                    <w:t>2</w:t>
                  </w:r>
                </w:p>
              </w:tc>
              <w:tc>
                <w:tcPr>
                  <w:tcW w:w="1141"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PM</w:t>
                  </w:r>
                  <w:r>
                    <w:rPr>
                      <w:rFonts w:hint="default" w:ascii="Times New Roman" w:hAnsi="Times New Roman" w:cs="Times New Roman" w:eastAsiaTheme="minorEastAsia"/>
                      <w:color w:val="000000" w:themeColor="text1"/>
                      <w:szCs w:val="21"/>
                      <w:vertAlign w:val="subscript"/>
                      <w14:textFill>
                        <w14:solidFill>
                          <w14:schemeClr w14:val="tx1"/>
                        </w14:solidFill>
                      </w14:textFill>
                    </w:rPr>
                    <w:t>10</w:t>
                  </w:r>
                </w:p>
              </w:tc>
              <w:tc>
                <w:tcPr>
                  <w:tcW w:w="984"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PM</w:t>
                  </w:r>
                  <w:r>
                    <w:rPr>
                      <w:rFonts w:hint="default" w:ascii="Times New Roman" w:hAnsi="Times New Roman" w:cs="Times New Roman" w:eastAsiaTheme="minorEastAsia"/>
                      <w:color w:val="000000" w:themeColor="text1"/>
                      <w:szCs w:val="21"/>
                      <w:vertAlign w:val="subscript"/>
                      <w14:textFill>
                        <w14:solidFill>
                          <w14:schemeClr w14:val="tx1"/>
                        </w14:solidFill>
                      </w14:textFill>
                    </w:rPr>
                    <w:t>2.5</w:t>
                  </w:r>
                </w:p>
              </w:tc>
              <w:tc>
                <w:tcPr>
                  <w:tcW w:w="1177"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CO</w:t>
                  </w:r>
                </w:p>
              </w:tc>
              <w:tc>
                <w:tcPr>
                  <w:tcW w:w="1266"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O</w:t>
                  </w:r>
                  <w:r>
                    <w:rPr>
                      <w:rFonts w:hint="default" w:ascii="Times New Roman" w:hAnsi="Times New Roman" w:cs="Times New Roman" w:eastAsiaTheme="minorEastAsia"/>
                      <w:color w:val="000000" w:themeColor="text1"/>
                      <w:szCs w:val="21"/>
                      <w:vertAlign w:val="subscript"/>
                      <w14:textFill>
                        <w14:solidFill>
                          <w14:schemeClr w14:val="tx1"/>
                        </w14:solidFill>
                      </w14:textFill>
                    </w:rPr>
                    <w:t>3</w:t>
                  </w:r>
                  <w:r>
                    <w:rPr>
                      <w:rFonts w:hint="default" w:ascii="Times New Roman" w:hAnsi="Times New Roman" w:cs="Times New Roman" w:eastAsiaTheme="minorEastAsia"/>
                      <w:color w:val="000000" w:themeColor="text1"/>
                      <w:szCs w:val="21"/>
                      <w14:textFill>
                        <w14:solidFill>
                          <w14:schemeClr w14:val="tx1"/>
                        </w14:solidFill>
                      </w14:textFill>
                    </w:rPr>
                    <w:t>_8h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年1月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14</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24</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112</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62</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1.0</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年2月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70</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49</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0.9</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年3月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13</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13</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112</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38</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0.5</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年4月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9</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14</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86</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27</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0.8</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年5月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18</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112</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60</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0.5</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年6月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14</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33</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11</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0.6</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年7月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3</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11</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23</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16</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0.7</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年8月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4</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10</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52</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25</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0.5</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年9月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5</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57</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23</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0.7</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年10月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4</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15</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59</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18</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0.6</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年11月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6</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22</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84</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27</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0.7</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202</w:t>
                  </w:r>
                  <w:r>
                    <w:rPr>
                      <w:rFonts w:hint="default" w:ascii="Times New Roman" w:hAnsi="Times New Roman" w:cs="Times New Roman" w:eastAsiaTheme="minorEastAsia"/>
                      <w:color w:val="000000" w:themeColor="text1"/>
                      <w:kern w:val="0"/>
                      <w:szCs w:val="21"/>
                      <w:lang w:val="en-US" w:eastAsia="zh-CN" w:bidi="ar"/>
                      <w14:textFill>
                        <w14:solidFill>
                          <w14:schemeClr w14:val="tx1"/>
                        </w14:solidFill>
                      </w14:textFill>
                    </w:rPr>
                    <w:t>2</w:t>
                  </w:r>
                  <w:r>
                    <w:rPr>
                      <w:rFonts w:hint="default" w:ascii="Times New Roman" w:hAnsi="Times New Roman" w:cs="Times New Roman" w:eastAsiaTheme="minorEastAsia"/>
                      <w:color w:val="000000" w:themeColor="text1"/>
                      <w:kern w:val="0"/>
                      <w:szCs w:val="21"/>
                      <w:lang w:bidi="ar"/>
                      <w14:textFill>
                        <w14:solidFill>
                          <w14:schemeClr w14:val="tx1"/>
                        </w14:solidFill>
                      </w14:textFill>
                    </w:rPr>
                    <w:t>年12月</w:t>
                  </w:r>
                </w:p>
              </w:tc>
              <w:tc>
                <w:tcPr>
                  <w:tcW w:w="89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9</w:t>
                  </w:r>
                </w:p>
              </w:tc>
              <w:tc>
                <w:tcPr>
                  <w:tcW w:w="1138"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12</w:t>
                  </w:r>
                </w:p>
              </w:tc>
              <w:tc>
                <w:tcPr>
                  <w:tcW w:w="1141"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76</w:t>
                  </w:r>
                </w:p>
              </w:tc>
              <w:tc>
                <w:tcPr>
                  <w:tcW w:w="984"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48</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0.8</w:t>
                  </w:r>
                </w:p>
              </w:tc>
              <w:tc>
                <w:tcPr>
                  <w:tcW w:w="1266"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kern w:val="0"/>
                      <w:szCs w:val="21"/>
                      <w:lang w:bidi="ar"/>
                      <w14:textFill>
                        <w14:solidFill>
                          <w14:schemeClr w14:val="tx1"/>
                        </w14:solidFill>
                      </w14:textFill>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56" w:hRule="atLeast"/>
                <w:jc w:val="center"/>
              </w:trPr>
              <w:tc>
                <w:tcPr>
                  <w:tcW w:w="1634"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标准限值</w:t>
                  </w:r>
                </w:p>
              </w:tc>
              <w:tc>
                <w:tcPr>
                  <w:tcW w:w="896" w:type="dxa"/>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rPr>
                    <w:t>60</w:t>
                  </w:r>
                </w:p>
              </w:tc>
              <w:tc>
                <w:tcPr>
                  <w:tcW w:w="1138" w:type="dxa"/>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rPr>
                    <w:t>40</w:t>
                  </w:r>
                </w:p>
              </w:tc>
              <w:tc>
                <w:tcPr>
                  <w:tcW w:w="1141" w:type="dxa"/>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rPr>
                    <w:t>70</w:t>
                  </w:r>
                </w:p>
              </w:tc>
              <w:tc>
                <w:tcPr>
                  <w:tcW w:w="984" w:type="dxa"/>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lang w:val="en-US" w:eastAsia="zh-CN"/>
                    </w:rPr>
                    <w:t>35</w:t>
                  </w:r>
                </w:p>
              </w:tc>
              <w:tc>
                <w:tcPr>
                  <w:tcW w:w="1177" w:type="dxa"/>
                  <w:tcBorders>
                    <w:tl2br w:val="nil"/>
                    <w:tr2bl w:val="nil"/>
                  </w:tcBorders>
                  <w:vAlign w:val="center"/>
                </w:tcPr>
                <w:p>
                  <w:pPr>
                    <w:widowControl/>
                    <w:adjustRightInd/>
                    <w:snapToGrid/>
                    <w:spacing w:line="240" w:lineRule="auto"/>
                    <w:ind w:firstLine="0" w:firstLineChars="0"/>
                    <w:jc w:val="center"/>
                    <w:textAlignment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rPr>
                    <w:t>4</w:t>
                  </w:r>
                </w:p>
              </w:tc>
              <w:tc>
                <w:tcPr>
                  <w:tcW w:w="1266" w:type="dxa"/>
                  <w:tcBorders>
                    <w:tl2br w:val="nil"/>
                    <w:tr2bl w:val="nil"/>
                  </w:tcBorders>
                  <w:vAlign w:val="center"/>
                </w:tcPr>
                <w:p>
                  <w:pPr>
                    <w:widowControl/>
                    <w:adjustRightInd/>
                    <w:snapToGrid/>
                    <w:spacing w:line="240" w:lineRule="auto"/>
                    <w:ind w:firstLine="0" w:firstLineChars="0"/>
                    <w:jc w:val="center"/>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eastAsiaTheme="minorEastAsia"/>
                      <w:color w:val="000000"/>
                      <w:kern w:val="0"/>
                      <w:sz w:val="21"/>
                      <w:szCs w:val="21"/>
                      <w:highlight w:val="none"/>
                    </w:rPr>
                    <w:t>160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1634" w:type="dxa"/>
                  <w:tcBorders>
                    <w:tl2br w:val="nil"/>
                    <w:tr2bl w:val="nil"/>
                  </w:tcBorders>
                  <w:vAlign w:val="center"/>
                </w:tcPr>
                <w:p>
                  <w:pPr>
                    <w:tabs>
                      <w:tab w:val="left" w:pos="220"/>
                      <w:tab w:val="left" w:pos="430"/>
                    </w:tabs>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超标倍数</w:t>
                  </w:r>
                </w:p>
              </w:tc>
              <w:tc>
                <w:tcPr>
                  <w:tcW w:w="896" w:type="dxa"/>
                  <w:tcBorders>
                    <w:tl2br w:val="nil"/>
                    <w:tr2bl w:val="nil"/>
                  </w:tcBorders>
                  <w:vAlign w:val="center"/>
                </w:tcPr>
                <w:p>
                  <w:pPr>
                    <w:widowControl/>
                    <w:jc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c>
                <w:tcPr>
                  <w:tcW w:w="1138" w:type="dxa"/>
                  <w:tcBorders>
                    <w:tl2br w:val="nil"/>
                    <w:tr2bl w:val="nil"/>
                  </w:tcBorders>
                  <w:vAlign w:val="center"/>
                </w:tcPr>
                <w:p>
                  <w:pPr>
                    <w:widowControl/>
                    <w:jc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c>
                <w:tcPr>
                  <w:tcW w:w="1141" w:type="dxa"/>
                  <w:tcBorders>
                    <w:tl2br w:val="nil"/>
                    <w:tr2bl w:val="nil"/>
                  </w:tcBorders>
                  <w:vAlign w:val="center"/>
                </w:tcPr>
                <w:p>
                  <w:pPr>
                    <w:widowControl/>
                    <w:jc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c>
                <w:tcPr>
                  <w:tcW w:w="984" w:type="dxa"/>
                  <w:tcBorders>
                    <w:tl2br w:val="nil"/>
                    <w:tr2bl w:val="nil"/>
                  </w:tcBorders>
                  <w:vAlign w:val="center"/>
                </w:tcPr>
                <w:p>
                  <w:pPr>
                    <w:widowControl/>
                    <w:jc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c>
                <w:tcPr>
                  <w:tcW w:w="1177" w:type="dxa"/>
                  <w:tcBorders>
                    <w:tl2br w:val="nil"/>
                    <w:tr2bl w:val="nil"/>
                  </w:tcBorders>
                  <w:vAlign w:val="center"/>
                </w:tcPr>
                <w:p>
                  <w:pPr>
                    <w:widowControl/>
                    <w:jc w:val="center"/>
                    <w:textAlignment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c>
                <w:tcPr>
                  <w:tcW w:w="1266" w:type="dxa"/>
                  <w:tcBorders>
                    <w:tl2br w:val="nil"/>
                    <w:tr2bl w:val="nil"/>
                  </w:tcBorders>
                  <w:vAlign w:val="center"/>
                </w:tcPr>
                <w:p>
                  <w:pPr>
                    <w:widowControl/>
                    <w:jc w:val="center"/>
                    <w:rPr>
                      <w:rFonts w:hint="default" w:ascii="Times New Roman" w:hAnsi="Times New Roman" w:cs="Times New Roman" w:eastAsiaTheme="minorEastAsia"/>
                      <w:color w:val="000000" w:themeColor="text1"/>
                      <w:kern w:val="0"/>
                      <w:szCs w:val="21"/>
                      <w14:textFill>
                        <w14:solidFill>
                          <w14:schemeClr w14:val="tx1"/>
                        </w14:solidFill>
                      </w14:textFill>
                    </w:rPr>
                  </w:pPr>
                  <w:r>
                    <w:rPr>
                      <w:rFonts w:hint="default" w:ascii="Times New Roman" w:hAnsi="Times New Roman" w:cs="Times New Roman" w:eastAsiaTheme="minorEastAsia"/>
                      <w:color w:val="000000" w:themeColor="text1"/>
                      <w:kern w:val="0"/>
                      <w:szCs w:val="21"/>
                      <w14:textFill>
                        <w14:solidFill>
                          <w14:schemeClr w14:val="tx1"/>
                        </w14:solidFill>
                      </w14:textFill>
                    </w:rPr>
                    <w:t>0</w:t>
                  </w:r>
                </w:p>
              </w:tc>
            </w:tr>
          </w:tbl>
          <w:p>
            <w:pPr>
              <w:spacing w:line="360" w:lineRule="auto"/>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根据上述数据，庆阳市</w:t>
            </w:r>
            <w:r>
              <w:rPr>
                <w:rFonts w:hint="eastAsia"/>
                <w:color w:val="000000" w:themeColor="text1"/>
                <w:sz w:val="24"/>
                <w:lang w:val="en-US" w:eastAsia="zh-CN"/>
                <w14:textFill>
                  <w14:solidFill>
                    <w14:schemeClr w14:val="tx1"/>
                  </w14:solidFill>
                </w14:textFill>
              </w:rPr>
              <w:t>宁县</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年环境空气监测数据中二氧化硫、二氧化氮、可吸入颗粒物（PM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）、细颗粒物（PM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）、臭氧、一氧化碳均达到《环境空气质量标准》（GB3095-2012）二级标准，项目所在地属于达标区</w:t>
            </w:r>
            <w:r>
              <w:rPr>
                <w:color w:val="000000" w:themeColor="text1"/>
                <w14:textFill>
                  <w14:solidFill>
                    <w14:schemeClr w14:val="tx1"/>
                  </w14:solidFill>
                </w14:textFill>
              </w:rPr>
              <w:t>。</w:t>
            </w:r>
          </w:p>
          <w:p>
            <w:pPr>
              <w:spacing w:line="360" w:lineRule="auto"/>
              <w:ind w:firstLine="482" w:firstLineChars="200"/>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lang w:eastAsia="zh-CN"/>
                <w14:textFill>
                  <w14:solidFill>
                    <w14:schemeClr w14:val="tx1"/>
                  </w14:solidFill>
                </w14:textFill>
              </w:rPr>
              <w:t>2、地表水质量现状监测与评价</w:t>
            </w:r>
          </w:p>
          <w:p>
            <w:pPr>
              <w:adjustRightInd w:val="0"/>
              <w:snapToGrid w:val="0"/>
              <w:spacing w:line="360" w:lineRule="auto"/>
              <w:ind w:firstLine="480" w:firstLineChars="200"/>
              <w:rPr>
                <w:rFonts w:ascii="Times New Roman" w:hAnsi="Times New Roman" w:eastAsia="宋体"/>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根据《甘肃省地表水功能区划（2012-2030）》，本项目所涉及地表水为马莲河，为</w:t>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lang w:eastAsia="zh-CN"/>
                <w14:textFill>
                  <w14:solidFill>
                    <w14:schemeClr w14:val="tx1"/>
                  </w14:solidFill>
                </w14:textFill>
              </w:rPr>
              <w:instrText xml:space="preserve"> = 4 \* ROMAN \* MERGEFORMAT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lang w:eastAsia="zh-CN"/>
                <w14:textFill>
                  <w14:solidFill>
                    <w14:schemeClr w14:val="tx1"/>
                  </w14:solidFill>
                </w14:textFill>
              </w:rPr>
              <w:t>IV</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lang w:val="zh-CN" w:eastAsia="zh-CN"/>
                <w14:textFill>
                  <w14:solidFill>
                    <w14:schemeClr w14:val="tx1"/>
                  </w14:solidFill>
                </w14:textFill>
              </w:rPr>
              <w:t>类水域功能区</w:t>
            </w:r>
            <w:r>
              <w:rPr>
                <w:rFonts w:ascii="Times New Roman" w:hAnsi="Times New Roman" w:eastAsia="宋体"/>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eastAsia="宋体"/>
                <w:color w:val="000000" w:themeColor="text1"/>
                <w:sz w:val="24"/>
                <w:lang w:eastAsia="zh-CN"/>
                <w14:textFill>
                  <w14:solidFill>
                    <w14:schemeClr w14:val="tx1"/>
                  </w14:solidFill>
                </w14:textFill>
              </w:rPr>
            </w:pPr>
            <w:r>
              <w:rPr>
                <w:rFonts w:ascii="Times New Roman" w:hAnsi="Times New Roman" w:eastAsia="宋体"/>
                <w:color w:val="000000" w:themeColor="text1"/>
                <w:sz w:val="24"/>
                <w:lang w:eastAsia="zh-CN" w:bidi="ar"/>
                <w14:textFill>
                  <w14:solidFill>
                    <w14:schemeClr w14:val="tx1"/>
                  </w14:solidFill>
                </w14:textFill>
              </w:rPr>
              <w:t>本项目所在区地表水为马莲河，根据庆阳市生态环境局公布的</w:t>
            </w:r>
            <w:r>
              <w:rPr>
                <w:rFonts w:ascii="Times New Roman" w:hAnsi="Times New Roman"/>
                <w:color w:val="000000" w:themeColor="text1"/>
                <w:sz w:val="24"/>
                <w:lang w:eastAsia="zh-CN" w:bidi="ar"/>
                <w14:textFill>
                  <w14:solidFill>
                    <w14:schemeClr w14:val="tx1"/>
                  </w14:solidFill>
                </w14:textFill>
              </w:rPr>
              <w:t>2022</w:t>
            </w:r>
            <w:r>
              <w:rPr>
                <w:rFonts w:ascii="Times New Roman" w:hAnsi="Times New Roman" w:eastAsia="宋体"/>
                <w:color w:val="000000" w:themeColor="text1"/>
                <w:sz w:val="24"/>
                <w:lang w:eastAsia="zh-CN" w:bidi="ar"/>
                <w14:textFill>
                  <w14:solidFill>
                    <w14:schemeClr w14:val="tx1"/>
                  </w14:solidFill>
                </w14:textFill>
              </w:rPr>
              <w:t>年</w:t>
            </w:r>
            <w:r>
              <w:rPr>
                <w:rFonts w:ascii="Times New Roman" w:hAnsi="Times New Roman"/>
                <w:color w:val="000000" w:themeColor="text1"/>
                <w:sz w:val="24"/>
                <w:lang w:eastAsia="zh-CN" w:bidi="ar"/>
                <w14:textFill>
                  <w14:solidFill>
                    <w14:schemeClr w14:val="tx1"/>
                  </w14:solidFill>
                </w14:textFill>
              </w:rPr>
              <w:t>5</w:t>
            </w:r>
            <w:r>
              <w:rPr>
                <w:rFonts w:ascii="Times New Roman" w:hAnsi="Times New Roman" w:eastAsia="宋体"/>
                <w:color w:val="000000" w:themeColor="text1"/>
                <w:sz w:val="24"/>
                <w:lang w:eastAsia="zh-CN" w:bidi="ar"/>
                <w14:textFill>
                  <w14:solidFill>
                    <w14:schemeClr w14:val="tx1"/>
                  </w14:solidFill>
                </w14:textFill>
              </w:rPr>
              <w:t>月份庆阳市河流地表水环境质量可知</w:t>
            </w:r>
            <w:r>
              <w:rPr>
                <w:rFonts w:ascii="Times New Roman" w:hAnsi="Times New Roman" w:eastAsia="宋体"/>
                <w:color w:val="000000" w:themeColor="text1"/>
                <w:sz w:val="24"/>
                <w:szCs w:val="24"/>
                <w:lang w:eastAsia="zh-CN"/>
                <w14:textFill>
                  <w14:solidFill>
                    <w14:schemeClr w14:val="tx1"/>
                  </w14:solidFill>
                </w14:textFill>
              </w:rPr>
              <w:t>。</w:t>
            </w:r>
            <w:r>
              <w:rPr>
                <w:rFonts w:ascii="Times New Roman" w:hAnsi="Times New Roman" w:eastAsia="宋体"/>
                <w:color w:val="000000" w:themeColor="text1"/>
                <w:sz w:val="24"/>
                <w:lang w:eastAsia="zh-CN"/>
                <w14:textFill>
                  <w14:solidFill>
                    <w14:schemeClr w14:val="tx1"/>
                  </w14:solidFill>
                </w14:textFill>
              </w:rPr>
              <w:t>监测结果见表3-</w:t>
            </w:r>
            <w:r>
              <w:rPr>
                <w:rFonts w:hint="eastAsia" w:ascii="Times New Roman" w:hAnsi="Times New Roman" w:eastAsia="宋体"/>
                <w:color w:val="000000" w:themeColor="text1"/>
                <w:sz w:val="24"/>
                <w:lang w:val="en-US" w:eastAsia="zh-CN"/>
                <w14:textFill>
                  <w14:solidFill>
                    <w14:schemeClr w14:val="tx1"/>
                  </w14:solidFill>
                </w14:textFill>
              </w:rPr>
              <w:t>4</w:t>
            </w:r>
            <w:r>
              <w:rPr>
                <w:rFonts w:ascii="Times New Roman" w:hAnsi="Times New Roman" w:eastAsia="宋体"/>
                <w:color w:val="000000" w:themeColor="text1"/>
                <w:sz w:val="24"/>
                <w:lang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表3-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ascii="Times New Roman" w:hAnsi="Times New Roman" w:eastAsia="宋体" w:cs="Times New Roman"/>
                <w:color w:val="000000" w:themeColor="text1"/>
                <w:sz w:val="21"/>
                <w:szCs w:val="21"/>
                <w:lang w:eastAsia="zh-CN"/>
                <w14:textFill>
                  <w14:solidFill>
                    <w14:schemeClr w14:val="tx1"/>
                  </w14:solidFill>
                </w14:textFill>
              </w:rPr>
              <w:t xml:space="preserve">      地表水监测结果一览表      单位：mg/L</w:t>
            </w:r>
          </w:p>
          <w:tbl>
            <w:tblPr>
              <w:tblStyle w:val="28"/>
              <w:tblW w:w="8216" w:type="dxa"/>
              <w:jc w:val="center"/>
              <w:tblInd w:w="0" w:type="dxa"/>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570"/>
              <w:gridCol w:w="1662"/>
              <w:gridCol w:w="1303"/>
              <w:gridCol w:w="1157"/>
              <w:gridCol w:w="1157"/>
              <w:gridCol w:w="1154"/>
              <w:gridCol w:w="1213"/>
            </w:tblGrid>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trHeight w:val="530" w:hRule="atLeast"/>
                <w:jc w:val="center"/>
              </w:trPr>
              <w:tc>
                <w:tcPr>
                  <w:tcW w:w="570"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序号</w:t>
                  </w:r>
                </w:p>
              </w:tc>
              <w:tc>
                <w:tcPr>
                  <w:tcW w:w="1662"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断面名称</w:t>
                  </w:r>
                </w:p>
              </w:tc>
              <w:tc>
                <w:tcPr>
                  <w:tcW w:w="1303"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所属流域</w:t>
                  </w:r>
                </w:p>
              </w:tc>
              <w:tc>
                <w:tcPr>
                  <w:tcW w:w="1157"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所属水体</w:t>
                  </w:r>
                </w:p>
              </w:tc>
              <w:tc>
                <w:tcPr>
                  <w:tcW w:w="1157"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断面类型</w:t>
                  </w:r>
                </w:p>
              </w:tc>
              <w:tc>
                <w:tcPr>
                  <w:tcW w:w="1154" w:type="dxa"/>
                  <w:tcBorders>
                    <w:tl2br w:val="nil"/>
                    <w:tr2bl w:val="nil"/>
                  </w:tcBorders>
                  <w:vAlign w:val="center"/>
                </w:tcPr>
                <w:p>
                  <w:pPr>
                    <w:pStyle w:val="39"/>
                    <w:autoSpaceDE w:val="0"/>
                    <w:jc w:val="center"/>
                    <w:rPr>
                      <w:rFonts w:ascii="Times New Roman" w:hAnsi="Times New Roman" w:eastAsia="宋体"/>
                      <w:b/>
                      <w:bCs/>
                      <w:color w:val="000000" w:themeColor="text1"/>
                      <w:sz w:val="21"/>
                      <w:szCs w:val="21"/>
                      <w:lang w:eastAsia="zh-CN"/>
                      <w14:textFill>
                        <w14:solidFill>
                          <w14:schemeClr w14:val="tx1"/>
                        </w14:solidFill>
                      </w14:textFill>
                    </w:rPr>
                  </w:pPr>
                  <w:r>
                    <w:rPr>
                      <w:rFonts w:ascii="Times New Roman" w:hAnsi="Times New Roman" w:eastAsia="宋体"/>
                      <w:b/>
                      <w:bCs/>
                      <w:color w:val="000000" w:themeColor="text1"/>
                      <w:sz w:val="21"/>
                      <w:szCs w:val="21"/>
                      <w:lang w:eastAsia="zh-CN"/>
                      <w14:textFill>
                        <w14:solidFill>
                          <w14:schemeClr w14:val="tx1"/>
                        </w14:solidFill>
                      </w14:textFill>
                    </w:rPr>
                    <w:t>水质目标</w:t>
                  </w:r>
                </w:p>
              </w:tc>
              <w:tc>
                <w:tcPr>
                  <w:tcW w:w="1213" w:type="dxa"/>
                  <w:tcBorders>
                    <w:tl2br w:val="nil"/>
                    <w:tr2bl w:val="nil"/>
                  </w:tcBorders>
                  <w:vAlign w:val="center"/>
                </w:tcPr>
                <w:p>
                  <w:pPr>
                    <w:pStyle w:val="24"/>
                    <w:widowControl w:val="0"/>
                    <w:autoSpaceDE w:val="0"/>
                    <w:snapToGrid w:val="0"/>
                    <w:spacing w:before="0" w:beforeAutospacing="0" w:after="0" w:afterAutospacing="0"/>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bidi="ar"/>
                      <w14:textFill>
                        <w14:solidFill>
                          <w14:schemeClr w14:val="tx1"/>
                        </w14:solidFill>
                      </w14:textFill>
                    </w:rPr>
                    <w:t>水质类型</w:t>
                  </w:r>
                </w:p>
              </w:tc>
            </w:tr>
            <w:tr>
              <w:tblPrEx>
                <w:tblBorders>
                  <w:top w:val="single" w:color="000000" w:sz="8"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Ex>
              <w:trPr>
                <w:trHeight w:val="475" w:hRule="atLeast"/>
                <w:jc w:val="center"/>
              </w:trPr>
              <w:tc>
                <w:tcPr>
                  <w:tcW w:w="570"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1</w:t>
                  </w:r>
                </w:p>
              </w:tc>
              <w:tc>
                <w:tcPr>
                  <w:tcW w:w="1662"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周家村</w:t>
                  </w:r>
                </w:p>
              </w:tc>
              <w:tc>
                <w:tcPr>
                  <w:tcW w:w="1303"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马莲河</w:t>
                  </w:r>
                </w:p>
              </w:tc>
              <w:tc>
                <w:tcPr>
                  <w:tcW w:w="1157"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马莲河</w:t>
                  </w:r>
                </w:p>
              </w:tc>
              <w:tc>
                <w:tcPr>
                  <w:tcW w:w="1157"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国考</w:t>
                  </w:r>
                </w:p>
              </w:tc>
              <w:tc>
                <w:tcPr>
                  <w:tcW w:w="1154" w:type="dxa"/>
                  <w:tcBorders>
                    <w:tl2br w:val="nil"/>
                    <w:tr2bl w:val="nil"/>
                  </w:tcBorders>
                  <w:vAlign w:val="center"/>
                </w:tcPr>
                <w:p>
                  <w:pPr>
                    <w:pStyle w:val="39"/>
                    <w:autoSpaceDE w:val="0"/>
                    <w:jc w:val="center"/>
                    <w:rPr>
                      <w:rFonts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eastAsia="宋体"/>
                      <w:color w:val="000000" w:themeColor="text1"/>
                      <w:sz w:val="21"/>
                      <w:szCs w:val="21"/>
                      <w:lang w:eastAsia="zh-CN"/>
                      <w14:textFill>
                        <w14:solidFill>
                          <w14:schemeClr w14:val="tx1"/>
                        </w14:solidFill>
                      </w14:textFill>
                    </w:rPr>
                    <w:t>Ⅳ类</w:t>
                  </w:r>
                </w:p>
              </w:tc>
              <w:tc>
                <w:tcPr>
                  <w:tcW w:w="1213" w:type="dxa"/>
                  <w:tcBorders>
                    <w:tl2br w:val="nil"/>
                    <w:tr2bl w:val="nil"/>
                  </w:tcBorders>
                  <w:vAlign w:val="center"/>
                </w:tcPr>
                <w:p>
                  <w:pPr>
                    <w:pStyle w:val="24"/>
                    <w:widowControl w:val="0"/>
                    <w:autoSpaceDE w:val="0"/>
                    <w:snapToGrid w:val="0"/>
                    <w:spacing w:before="0" w:beforeAutospacing="0" w:after="0" w:afterAutospacing="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bidi="ar"/>
                      <w14:textFill>
                        <w14:solidFill>
                          <w14:schemeClr w14:val="tx1"/>
                        </w14:solidFill>
                      </w14:textFill>
                    </w:rPr>
                    <w:t>Ⅲ类</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olor w:val="000000" w:themeColor="text1"/>
                <w:sz w:val="24"/>
                <w:szCs w:val="24"/>
                <w:lang w:eastAsia="zh-CN"/>
                <w14:textFill>
                  <w14:solidFill>
                    <w14:schemeClr w14:val="tx1"/>
                  </w14:solidFill>
                </w14:textFill>
              </w:rPr>
              <w:t>由监测数据可知，监测点位水质均达到《地表水环境质量标准》(GB3838—2002)中Ⅳ类标准要求，区域地表水环境质量良好</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tabs>
                <w:tab w:val="left" w:pos="3680"/>
              </w:tabs>
              <w:kinsoku/>
              <w:wordWrap/>
              <w:overflowPunct/>
              <w:topLinePunct w:val="0"/>
              <w:autoSpaceDE/>
              <w:autoSpaceDN/>
              <w:bidi w:val="0"/>
              <w:adjustRightInd/>
              <w:snapToGrid/>
              <w:spacing w:line="360" w:lineRule="auto"/>
              <w:ind w:right="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3、声环境质量现状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本次环评声环境现状委托</w:t>
            </w:r>
            <w:r>
              <w:rPr>
                <w:rFonts w:hint="eastAsia"/>
                <w:color w:val="000000" w:themeColor="text1"/>
                <w:sz w:val="24"/>
                <w14:textFill>
                  <w14:solidFill>
                    <w14:schemeClr w14:val="tx1"/>
                  </w14:solidFill>
                </w14:textFill>
              </w:rPr>
              <w:t>甘肃清绿源环境检测有限公司</w:t>
            </w:r>
            <w:r>
              <w:rPr>
                <w:bCs/>
                <w:color w:val="000000" w:themeColor="text1"/>
                <w:sz w:val="24"/>
                <w14:textFill>
                  <w14:solidFill>
                    <w14:schemeClr w14:val="tx1"/>
                  </w14:solidFill>
                </w14:textFill>
              </w:rPr>
              <w:t>进行监测。</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（1）监测点的布设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本次声环境质量现状监测在厂区四周共设</w:t>
            </w:r>
            <w:r>
              <w:rPr>
                <w:rFonts w:hint="eastAsia"/>
                <w:bCs/>
                <w:color w:val="000000" w:themeColor="text1"/>
                <w:sz w:val="24"/>
                <w:lang w:val="en-US" w:eastAsia="zh-CN"/>
                <w14:textFill>
                  <w14:solidFill>
                    <w14:schemeClr w14:val="tx1"/>
                  </w14:solidFill>
                </w14:textFill>
              </w:rPr>
              <w:t>4</w:t>
            </w:r>
            <w:r>
              <w:rPr>
                <w:bCs/>
                <w:color w:val="000000" w:themeColor="text1"/>
                <w:sz w:val="24"/>
                <w14:textFill>
                  <w14:solidFill>
                    <w14:schemeClr w14:val="tx1"/>
                  </w14:solidFill>
                </w14:textFill>
              </w:rPr>
              <w:t>个噪声监测点位。监测点位具体位置图见附图</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（2）监测时间</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w:t>
            </w: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年</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20</w:t>
            </w:r>
            <w:r>
              <w:rPr>
                <w:bCs/>
                <w:color w:val="000000" w:themeColor="text1"/>
                <w:sz w:val="24"/>
                <w14:textFill>
                  <w14:solidFill>
                    <w14:schemeClr w14:val="tx1"/>
                  </w14:solidFill>
                </w14:textFill>
              </w:rPr>
              <w:t>日~</w:t>
            </w:r>
            <w:r>
              <w:rPr>
                <w:rFonts w:hint="eastAsia"/>
                <w:bCs/>
                <w:color w:val="000000" w:themeColor="text1"/>
                <w:sz w:val="24"/>
                <w:lang w:val="en-US" w:eastAsia="zh-CN"/>
                <w14:textFill>
                  <w14:solidFill>
                    <w14:schemeClr w14:val="tx1"/>
                  </w14:solidFill>
                </w14:textFill>
              </w:rPr>
              <w:t>6</w:t>
            </w:r>
            <w:r>
              <w:rPr>
                <w:bCs/>
                <w:color w:val="000000" w:themeColor="text1"/>
                <w:sz w:val="24"/>
                <w14:textFill>
                  <w14:solidFill>
                    <w14:schemeClr w14:val="tx1"/>
                  </w14:solidFill>
                </w14:textFill>
              </w:rPr>
              <w:t>月</w:t>
            </w:r>
            <w:r>
              <w:rPr>
                <w:rFonts w:hint="eastAsia"/>
                <w:bCs/>
                <w:color w:val="000000" w:themeColor="text1"/>
                <w:sz w:val="24"/>
                <w14:textFill>
                  <w14:solidFill>
                    <w14:schemeClr w14:val="tx1"/>
                  </w14:solidFill>
                </w14:textFill>
              </w:rPr>
              <w:t>2</w:t>
            </w:r>
            <w:r>
              <w:rPr>
                <w:rFonts w:hint="eastAsia"/>
                <w:bCs/>
                <w:color w:val="000000" w:themeColor="text1"/>
                <w:sz w:val="24"/>
                <w:lang w:val="en-US" w:eastAsia="zh-CN"/>
                <w14:textFill>
                  <w14:solidFill>
                    <w14:schemeClr w14:val="tx1"/>
                  </w14:solidFill>
                </w14:textFill>
              </w:rPr>
              <w:t>1</w:t>
            </w:r>
            <w:r>
              <w:rPr>
                <w:bCs/>
                <w:color w:val="000000" w:themeColor="text1"/>
                <w:sz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（3）监测项目</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等效连续A声级。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（4）监测方法与频次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执行《声环境质量标准》（GB/T3096-2008）。本次噪声监测仪器使用AWA6228型噪声频谱分析仪，检出限28~120dB(A)，各噪声点位连续监测2天，昼、夜各监测一次。</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（5）监测结果及现状评价</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监测结果及分析与评价统计情况见表3-</w:t>
            </w:r>
            <w:r>
              <w:rPr>
                <w:rFonts w:hint="eastAsia"/>
                <w:bCs/>
                <w:color w:val="000000" w:themeColor="text1"/>
                <w:sz w:val="24"/>
                <w:highlight w:val="none"/>
                <w14:textFill>
                  <w14:solidFill>
                    <w14:schemeClr w14:val="tx1"/>
                  </w14:solidFill>
                </w14:textFill>
              </w:rPr>
              <w:t>3</w:t>
            </w:r>
            <w:r>
              <w:rPr>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表3-</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 xml:space="preserve">  环境噪声监测结果一览表  单位：dB(A)</w:t>
            </w:r>
          </w:p>
          <w:tbl>
            <w:tblPr>
              <w:tblStyle w:val="28"/>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974"/>
              <w:gridCol w:w="1290"/>
              <w:gridCol w:w="119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23"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检测点位</w:t>
                  </w:r>
                </w:p>
              </w:tc>
              <w:tc>
                <w:tcPr>
                  <w:tcW w:w="197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检测时间</w:t>
                  </w:r>
                </w:p>
              </w:tc>
              <w:tc>
                <w:tcPr>
                  <w:tcW w:w="2484" w:type="dxa"/>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Leq[dB(A)]检测值</w:t>
                  </w:r>
                </w:p>
              </w:tc>
              <w:tc>
                <w:tcPr>
                  <w:tcW w:w="1318"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23" w:type="dxa"/>
                  <w:vMerge w:val="continue"/>
                  <w:vAlign w:val="center"/>
                </w:tcPr>
                <w:p>
                  <w:pPr>
                    <w:jc w:val="center"/>
                    <w:rPr>
                      <w:color w:val="000000" w:themeColor="text1"/>
                      <w:szCs w:val="21"/>
                      <w:highlight w:val="none"/>
                      <w14:textFill>
                        <w14:solidFill>
                          <w14:schemeClr w14:val="tx1"/>
                        </w14:solidFill>
                      </w14:textFill>
                    </w:rPr>
                  </w:pP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20</w:t>
                  </w:r>
                </w:p>
              </w:tc>
              <w:tc>
                <w:tcPr>
                  <w:tcW w:w="1194" w:type="dxa"/>
                  <w:vAlign w:val="center"/>
                </w:tcPr>
                <w:p>
                  <w:pPr>
                    <w:jc w:val="center"/>
                    <w:rPr>
                      <w:rFonts w:hint="eastAsia" w:eastAsiaTheme="minorEastAsia"/>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.2</w:t>
                  </w:r>
                  <w:r>
                    <w:rPr>
                      <w:rFonts w:hint="eastAsia"/>
                      <w:color w:val="000000" w:themeColor="text1"/>
                      <w:szCs w:val="21"/>
                      <w:highlight w:val="none"/>
                      <w:lang w:val="en-US" w:eastAsia="zh-CN"/>
                      <w14:textFill>
                        <w14:solidFill>
                          <w14:schemeClr w14:val="tx1"/>
                        </w14:solidFill>
                      </w14:textFill>
                    </w:rPr>
                    <w:t>1</w:t>
                  </w:r>
                </w:p>
              </w:tc>
              <w:tc>
                <w:tcPr>
                  <w:tcW w:w="1318" w:type="dxa"/>
                  <w:vMerge w:val="continue"/>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1#项目地东侧</w:t>
                  </w:r>
                </w:p>
              </w:tc>
              <w:tc>
                <w:tcPr>
                  <w:tcW w:w="197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昼间</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（6:00-22:00）</w:t>
                  </w: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51.4</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50.1</w:t>
                  </w:r>
                </w:p>
              </w:tc>
              <w:tc>
                <w:tcPr>
                  <w:tcW w:w="1318" w:type="dxa"/>
                  <w:vMerge w:val="restart"/>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2#项目地南侧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49.8</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49.3</w:t>
                  </w:r>
                </w:p>
              </w:tc>
              <w:tc>
                <w:tcPr>
                  <w:tcW w:w="1318" w:type="dxa"/>
                  <w:vMerge w:val="continue"/>
                  <w:vAlign w:val="center"/>
                </w:tcPr>
                <w:p>
                  <w:pPr>
                    <w:jc w:val="center"/>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3#项目地西侧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49.1</w:t>
                  </w:r>
                </w:p>
              </w:tc>
              <w:tc>
                <w:tcPr>
                  <w:tcW w:w="1194" w:type="dxa"/>
                  <w:vAlign w:val="center"/>
                </w:tcPr>
                <w:p>
                  <w:pPr>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50.3</w:t>
                  </w:r>
                </w:p>
              </w:tc>
              <w:tc>
                <w:tcPr>
                  <w:tcW w:w="1318" w:type="dxa"/>
                  <w:vMerge w:val="continue"/>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4#项目地北侧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48.6</w:t>
                  </w:r>
                </w:p>
              </w:tc>
              <w:tc>
                <w:tcPr>
                  <w:tcW w:w="1194" w:type="dxa"/>
                  <w:vAlign w:val="center"/>
                </w:tcPr>
                <w:p>
                  <w:pPr>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50.3</w:t>
                  </w:r>
                </w:p>
              </w:tc>
              <w:tc>
                <w:tcPr>
                  <w:tcW w:w="1318" w:type="dxa"/>
                  <w:vMerge w:val="continue"/>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1#项目地东侧</w:t>
                  </w:r>
                </w:p>
              </w:tc>
              <w:tc>
                <w:tcPr>
                  <w:tcW w:w="1974" w:type="dxa"/>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夜间</w:t>
                  </w:r>
                </w:p>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（22:00-次日6:00）</w:t>
                  </w: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38.3</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39.9</w:t>
                  </w:r>
                </w:p>
              </w:tc>
              <w:tc>
                <w:tcPr>
                  <w:tcW w:w="1318" w:type="dxa"/>
                  <w:vMerge w:val="restart"/>
                  <w:vAlign w:val="center"/>
                </w:tcPr>
                <w:p>
                  <w:pPr>
                    <w:jc w:val="center"/>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2#项目地南侧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38.0</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39.7</w:t>
                  </w:r>
                </w:p>
              </w:tc>
              <w:tc>
                <w:tcPr>
                  <w:tcW w:w="1318" w:type="dxa"/>
                  <w:vMerge w:val="continue"/>
                  <w:vAlign w:val="center"/>
                </w:tcPr>
                <w:p>
                  <w:pPr>
                    <w:jc w:val="center"/>
                    <w:rPr>
                      <w:rFonts w:hint="default" w:eastAsia="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3#项目地西侧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39.1</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39.2</w:t>
                  </w:r>
                </w:p>
              </w:tc>
              <w:tc>
                <w:tcPr>
                  <w:tcW w:w="1318" w:type="dxa"/>
                  <w:vMerge w:val="continue"/>
                  <w:vAlign w:val="center"/>
                </w:tcPr>
                <w:p>
                  <w:pPr>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2423" w:type="dxa"/>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4#项目地北侧</w:t>
                  </w:r>
                </w:p>
              </w:tc>
              <w:tc>
                <w:tcPr>
                  <w:tcW w:w="1974" w:type="dxa"/>
                  <w:vMerge w:val="continue"/>
                  <w:vAlign w:val="center"/>
                </w:tcPr>
                <w:p>
                  <w:pPr>
                    <w:jc w:val="center"/>
                    <w:rPr>
                      <w:color w:val="000000" w:themeColor="text1"/>
                      <w:szCs w:val="21"/>
                      <w:highlight w:val="none"/>
                      <w14:textFill>
                        <w14:solidFill>
                          <w14:schemeClr w14:val="tx1"/>
                        </w14:solidFill>
                      </w14:textFill>
                    </w:rPr>
                  </w:pPr>
                </w:p>
              </w:tc>
              <w:tc>
                <w:tcPr>
                  <w:tcW w:w="1290" w:type="dxa"/>
                  <w:vAlign w:val="center"/>
                </w:tcPr>
                <w:p>
                  <w:pPr>
                    <w:jc w:val="center"/>
                    <w:rPr>
                      <w:rFonts w:hint="default"/>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2"/>
                      <w:sz w:val="21"/>
                      <w:szCs w:val="21"/>
                      <w:highlight w:val="none"/>
                      <w:lang w:val="en-US" w:eastAsia="zh-CN" w:bidi="ar-SA"/>
                      <w14:textFill>
                        <w14:solidFill>
                          <w14:schemeClr w14:val="tx1"/>
                        </w14:solidFill>
                      </w14:textFill>
                    </w:rPr>
                    <w:t>35.5</w:t>
                  </w:r>
                </w:p>
              </w:tc>
              <w:tc>
                <w:tcPr>
                  <w:tcW w:w="1194" w:type="dxa"/>
                  <w:vAlign w:val="center"/>
                </w:tcPr>
                <w:p>
                  <w:pPr>
                    <w:jc w:val="center"/>
                    <w:rPr>
                      <w:rFonts w:hint="default" w:eastAsiaTheme="minor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38.1</w:t>
                  </w:r>
                </w:p>
              </w:tc>
              <w:tc>
                <w:tcPr>
                  <w:tcW w:w="1318" w:type="dxa"/>
                  <w:vMerge w:val="continue"/>
                  <w:vAlign w:val="center"/>
                </w:tcPr>
                <w:p>
                  <w:pPr>
                    <w:jc w:val="center"/>
                    <w:rPr>
                      <w:color w:val="000000" w:themeColor="text1"/>
                      <w:szCs w:val="21"/>
                      <w:highlight w:val="none"/>
                      <w14:textFill>
                        <w14:solidFill>
                          <w14:schemeClr w14:val="tx1"/>
                        </w14:solidFill>
                      </w14:textFill>
                    </w:rPr>
                  </w:pPr>
                </w:p>
              </w:tc>
            </w:tr>
          </w:tbl>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bCs/>
                <w:color w:val="000000" w:themeColor="text1"/>
                <w:sz w:val="24"/>
                <w:highlight w:val="none"/>
                <w14:textFill>
                  <w14:solidFill>
                    <w14:schemeClr w14:val="tx1"/>
                  </w14:solidFill>
                </w14:textFill>
              </w:rPr>
              <w:t>由监测结果可知，项目</w:t>
            </w:r>
            <w:r>
              <w:rPr>
                <w:rFonts w:hint="eastAsia"/>
                <w:bCs/>
                <w:color w:val="000000" w:themeColor="text1"/>
                <w:sz w:val="24"/>
                <w:highlight w:val="none"/>
                <w14:textFill>
                  <w14:solidFill>
                    <w14:schemeClr w14:val="tx1"/>
                  </w14:solidFill>
                </w14:textFill>
              </w:rPr>
              <w:t>各监测点位均</w:t>
            </w:r>
            <w:r>
              <w:rPr>
                <w:bCs/>
                <w:color w:val="000000" w:themeColor="text1"/>
                <w:sz w:val="24"/>
                <w:highlight w:val="none"/>
                <w14:textFill>
                  <w14:solidFill>
                    <w14:schemeClr w14:val="tx1"/>
                  </w14:solidFill>
                </w14:textFill>
              </w:rPr>
              <w:t>符合《声环境质量标准》（GB3096-2008）</w:t>
            </w:r>
            <w:r>
              <w:rPr>
                <w:rFonts w:hint="eastAsia"/>
                <w:bCs/>
                <w:color w:val="000000" w:themeColor="text1"/>
                <w:sz w:val="24"/>
                <w:highlight w:val="none"/>
                <w:lang w:val="en-US" w:eastAsia="zh-CN"/>
                <w14:textFill>
                  <w14:solidFill>
                    <w14:schemeClr w14:val="tx1"/>
                  </w14:solidFill>
                </w14:textFill>
              </w:rPr>
              <w:t>2</w:t>
            </w:r>
            <w:r>
              <w:rPr>
                <w:bCs/>
                <w:color w:val="000000" w:themeColor="text1"/>
                <w:sz w:val="24"/>
                <w:highlight w:val="none"/>
                <w14:textFill>
                  <w14:solidFill>
                    <w14:schemeClr w14:val="tx1"/>
                  </w14:solidFill>
                </w14:textFill>
              </w:rPr>
              <w:t>类标准，可见项目建设地周围声环境质量良好</w:t>
            </w:r>
            <w:r>
              <w:rPr>
                <w:rFonts w:hint="eastAsia"/>
                <w:bCs/>
                <w:color w:val="000000" w:themeColor="text1"/>
                <w:sz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19" w:type="dxa"/>
            <w:vAlign w:val="center"/>
          </w:tcPr>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环境</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保护</w:t>
            </w:r>
          </w:p>
          <w:p>
            <w:pPr>
              <w:pStyle w:val="24"/>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目标</w:t>
            </w:r>
          </w:p>
        </w:tc>
        <w:tc>
          <w:tcPr>
            <w:tcW w:w="8190" w:type="dxa"/>
            <w:vAlign w:val="center"/>
          </w:tcPr>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lang w:eastAsia="zh-CN"/>
                <w14:textFill>
                  <w14:solidFill>
                    <w14:schemeClr w14:val="tx1"/>
                  </w14:solidFill>
                </w14:textFill>
              </w:rPr>
              <w:t>1、大气环境保护目标</w:t>
            </w:r>
          </w:p>
          <w:p>
            <w:pPr>
              <w:adjustRightInd w:val="0"/>
              <w:snapToGrid w:val="0"/>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根据现场勘查，本项目厂界外500m范围内无自然保护区、风景名胜区，周边环境敏感点主要为周边的居民区、学校、行政办公单位等，本项目周边500m范围内的环境敏感点详见表3-</w:t>
            </w:r>
            <w:r>
              <w:rPr>
                <w:rFonts w:hint="eastAsia" w:ascii="Times New Roman" w:hAnsi="Times New Roman" w:eastAsia="宋体" w:cs="Times New Roman"/>
                <w:color w:val="000000" w:themeColor="text1"/>
                <w:sz w:val="24"/>
                <w:szCs w:val="24"/>
                <w:lang w:eastAsia="zh-CN"/>
                <w14:textFill>
                  <w14:solidFill>
                    <w14:schemeClr w14:val="tx1"/>
                  </w14:solidFill>
                </w14:textFill>
              </w:rPr>
              <w:t>5~3-6</w:t>
            </w:r>
            <w:r>
              <w:rPr>
                <w:rFonts w:ascii="Times New Roman" w:hAnsi="Times New Roman" w:eastAsia="宋体" w:cs="Times New Roman"/>
                <w:color w:val="000000" w:themeColor="text1"/>
                <w:sz w:val="24"/>
                <w:szCs w:val="24"/>
                <w:lang w:eastAsia="zh-CN"/>
                <w14:textFill>
                  <w14:solidFill>
                    <w14:schemeClr w14:val="tx1"/>
                  </w14:solidFill>
                </w14:textFill>
              </w:rPr>
              <w:t>和附图</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lang w:eastAsia="zh-CN"/>
                <w14:textFill>
                  <w14:solidFill>
                    <w14:schemeClr w14:val="tx1"/>
                  </w14:solidFill>
                </w14:textFill>
              </w:rPr>
              <w:t>。</w:t>
            </w:r>
          </w:p>
          <w:p>
            <w:pPr>
              <w:pStyle w:val="3"/>
              <w:spacing w:before="0" w:after="0" w:line="240" w:lineRule="auto"/>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表3-</w:t>
            </w:r>
            <w:r>
              <w:rPr>
                <w:rFonts w:hint="eastAsia" w:ascii="Times New Roman" w:hAnsi="Times New Roman" w:eastAsia="宋体" w:cs="Times New Roman"/>
                <w:color w:val="000000" w:themeColor="text1"/>
                <w:sz w:val="21"/>
                <w:szCs w:val="21"/>
                <w:lang w:eastAsia="zh-CN"/>
                <w14:textFill>
                  <w14:solidFill>
                    <w14:schemeClr w14:val="tx1"/>
                  </w14:solidFill>
                </w14:textFill>
              </w:rPr>
              <w:t>5</w:t>
            </w:r>
            <w:r>
              <w:rPr>
                <w:rFonts w:ascii="Times New Roman" w:hAnsi="Times New Roman" w:eastAsia="宋体" w:cs="Times New Roman"/>
                <w:color w:val="000000" w:themeColor="text1"/>
                <w:sz w:val="21"/>
                <w:szCs w:val="21"/>
                <w:lang w:eastAsia="zh-CN"/>
                <w14:textFill>
                  <w14:solidFill>
                    <w14:schemeClr w14:val="tx1"/>
                  </w14:solidFill>
                </w14:textFill>
              </w:rPr>
              <w:t xml:space="preserve">  主要大气环境保护目标一览表</w:t>
            </w:r>
          </w:p>
          <w:tbl>
            <w:tblPr>
              <w:tblStyle w:val="28"/>
              <w:tblW w:w="821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6"/>
              <w:gridCol w:w="1350"/>
              <w:gridCol w:w="603"/>
              <w:gridCol w:w="667"/>
              <w:gridCol w:w="787"/>
              <w:gridCol w:w="792"/>
              <w:gridCol w:w="1123"/>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333" w:hRule="atLeast"/>
                <w:jc w:val="center"/>
              </w:trPr>
              <w:tc>
                <w:tcPr>
                  <w:tcW w:w="785" w:type="dxa"/>
                  <w:vMerge w:val="restart"/>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名称</w:t>
                  </w:r>
                </w:p>
              </w:tc>
              <w:tc>
                <w:tcPr>
                  <w:tcW w:w="2586" w:type="dxa"/>
                  <w:gridSpan w:val="2"/>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坐标</w:t>
                  </w:r>
                </w:p>
              </w:tc>
              <w:tc>
                <w:tcPr>
                  <w:tcW w:w="603" w:type="dxa"/>
                  <w:vMerge w:val="restart"/>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保护对象</w:t>
                  </w:r>
                </w:p>
              </w:tc>
              <w:tc>
                <w:tcPr>
                  <w:tcW w:w="667" w:type="dxa"/>
                  <w:vMerge w:val="restart"/>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保护内容</w:t>
                  </w:r>
                </w:p>
              </w:tc>
              <w:tc>
                <w:tcPr>
                  <w:tcW w:w="787"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环境功能区</w:t>
                  </w:r>
                </w:p>
              </w:tc>
              <w:tc>
                <w:tcPr>
                  <w:tcW w:w="792"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相对</w:t>
                  </w:r>
                  <w:r>
                    <w:rPr>
                      <w:rFonts w:hint="eastAsia"/>
                      <w:color w:val="000000" w:themeColor="text1"/>
                      <w:sz w:val="21"/>
                      <w:szCs w:val="21"/>
                      <w:lang w:eastAsia="zh-CN"/>
                      <w14:textFill>
                        <w14:solidFill>
                          <w14:schemeClr w14:val="tx1"/>
                        </w14:solidFill>
                      </w14:textFill>
                    </w:rPr>
                    <w:t>边界</w:t>
                  </w:r>
                  <w:r>
                    <w:rPr>
                      <w:color w:val="000000" w:themeColor="text1"/>
                      <w:sz w:val="21"/>
                      <w:szCs w:val="21"/>
                      <w:lang w:eastAsia="zh-CN"/>
                      <w14:textFill>
                        <w14:solidFill>
                          <w14:schemeClr w14:val="tx1"/>
                        </w14:solidFill>
                      </w14:textFill>
                    </w:rPr>
                    <w:t>方位</w:t>
                  </w:r>
                </w:p>
              </w:tc>
              <w:tc>
                <w:tcPr>
                  <w:tcW w:w="1123"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相对</w:t>
                  </w:r>
                  <w:r>
                    <w:rPr>
                      <w:rFonts w:hint="eastAsia"/>
                      <w:color w:val="000000" w:themeColor="text1"/>
                      <w:sz w:val="21"/>
                      <w:szCs w:val="21"/>
                      <w:lang w:eastAsia="zh-CN"/>
                      <w14:textFill>
                        <w14:solidFill>
                          <w14:schemeClr w14:val="tx1"/>
                        </w14:solidFill>
                      </w14:textFill>
                    </w:rPr>
                    <w:t>边界</w:t>
                  </w:r>
                  <w:r>
                    <w:rPr>
                      <w:color w:val="000000" w:themeColor="text1"/>
                      <w:sz w:val="21"/>
                      <w:szCs w:val="21"/>
                      <w:lang w:eastAsia="zh-CN"/>
                      <w14:textFill>
                        <w14:solidFill>
                          <w14:schemeClr w14:val="tx1"/>
                        </w14:solidFill>
                      </w14:textFill>
                    </w:rPr>
                    <w:t>距离/m</w:t>
                  </w:r>
                </w:p>
              </w:tc>
              <w:tc>
                <w:tcPr>
                  <w:tcW w:w="874"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85"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1236" w:type="dxa"/>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经度</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纬度</w:t>
                  </w:r>
                </w:p>
              </w:tc>
              <w:tc>
                <w:tcPr>
                  <w:tcW w:w="603"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667"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787"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792"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1123"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优山美地小区</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107.91295</w:t>
                  </w:r>
                  <w:r>
                    <w:rPr>
                      <w:rFonts w:hint="eastAsia"/>
                      <w:color w:val="000000" w:themeColor="text1"/>
                      <w:sz w:val="21"/>
                      <w:szCs w:val="21"/>
                      <w:lang w:val="en-US" w:eastAsia="zh-CN"/>
                      <w14:textFill>
                        <w14:solidFill>
                          <w14:schemeClr w14:val="tx1"/>
                        </w14:solidFill>
                      </w14:textFill>
                    </w:rPr>
                    <w:t>1</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35.511047</w:t>
                  </w:r>
                </w:p>
              </w:tc>
              <w:tc>
                <w:tcPr>
                  <w:tcW w:w="603"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环境空气</w:t>
                  </w:r>
                </w:p>
              </w:tc>
              <w:tc>
                <w:tcPr>
                  <w:tcW w:w="667"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人群</w:t>
                  </w:r>
                </w:p>
              </w:tc>
              <w:tc>
                <w:tcPr>
                  <w:tcW w:w="787" w:type="dxa"/>
                  <w:vMerge w:val="restart"/>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二类区</w:t>
                  </w:r>
                </w:p>
              </w:tc>
              <w:tc>
                <w:tcPr>
                  <w:tcW w:w="792" w:type="dxa"/>
                  <w:tcBorders>
                    <w:tl2br w:val="nil"/>
                    <w:tr2bl w:val="nil"/>
                  </w:tcBorders>
                  <w:vAlign w:val="center"/>
                </w:tcPr>
                <w:p>
                  <w:pPr>
                    <w:adjustRightInd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N</w:t>
                  </w:r>
                </w:p>
              </w:tc>
              <w:tc>
                <w:tcPr>
                  <w:tcW w:w="1123"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70~400</w:t>
                  </w:r>
                </w:p>
              </w:tc>
              <w:tc>
                <w:tcPr>
                  <w:tcW w:w="874"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住宅小区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马坪小区</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107.911614</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35.505720</w:t>
                  </w:r>
                </w:p>
              </w:tc>
              <w:tc>
                <w:tcPr>
                  <w:tcW w:w="603" w:type="dxa"/>
                  <w:vMerge w:val="continue"/>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p>
              </w:tc>
              <w:tc>
                <w:tcPr>
                  <w:tcW w:w="667" w:type="dxa"/>
                  <w:vMerge w:val="continue"/>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p>
              </w:tc>
              <w:tc>
                <w:tcPr>
                  <w:tcW w:w="787" w:type="dxa"/>
                  <w:vMerge w:val="continue"/>
                  <w:tcBorders>
                    <w:tl2br w:val="nil"/>
                    <w:tr2bl w:val="nil"/>
                  </w:tcBorders>
                  <w:vAlign w:val="center"/>
                </w:tcPr>
                <w:p>
                  <w:pPr>
                    <w:adjustRightInd w:val="0"/>
                    <w:snapToGrid w:val="0"/>
                    <w:jc w:val="center"/>
                    <w:rPr>
                      <w:color w:val="000000" w:themeColor="text1"/>
                      <w:sz w:val="21"/>
                      <w:szCs w:val="21"/>
                      <w:lang w:eastAsia="zh-CN"/>
                      <w14:textFill>
                        <w14:solidFill>
                          <w14:schemeClr w14:val="tx1"/>
                        </w14:solidFill>
                      </w14:textFill>
                    </w:rPr>
                  </w:pPr>
                </w:p>
              </w:tc>
              <w:tc>
                <w:tcPr>
                  <w:tcW w:w="792" w:type="dxa"/>
                  <w:tcBorders>
                    <w:tl2br w:val="nil"/>
                    <w:tr2bl w:val="nil"/>
                  </w:tcBorders>
                  <w:vAlign w:val="center"/>
                </w:tcPr>
                <w:p>
                  <w:pPr>
                    <w:adjustRightInd w:val="0"/>
                    <w:snapToGrid w:val="0"/>
                    <w:jc w:val="center"/>
                    <w:rPr>
                      <w:rFonts w:eastAsia="宋体"/>
                      <w:color w:val="000000" w:themeColor="text1"/>
                      <w:sz w:val="21"/>
                      <w:szCs w:val="21"/>
                      <w:lang w:eastAsia="zh-CN"/>
                      <w14:textFill>
                        <w14:solidFill>
                          <w14:schemeClr w14:val="tx1"/>
                        </w14:solidFill>
                      </w14:textFill>
                    </w:rPr>
                  </w:pPr>
                  <w:r>
                    <w:rPr>
                      <w:rFonts w:hint="eastAsia" w:eastAsia="宋体"/>
                      <w:color w:val="000000" w:themeColor="text1"/>
                      <w:sz w:val="21"/>
                      <w:szCs w:val="21"/>
                      <w:lang w:eastAsia="zh-CN"/>
                      <w14:textFill>
                        <w14:solidFill>
                          <w14:schemeClr w14:val="tx1"/>
                        </w14:solidFill>
                      </w14:textFill>
                    </w:rPr>
                    <w:t>S</w:t>
                  </w:r>
                </w:p>
              </w:tc>
              <w:tc>
                <w:tcPr>
                  <w:tcW w:w="1123"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290~500</w:t>
                  </w:r>
                </w:p>
              </w:tc>
              <w:tc>
                <w:tcPr>
                  <w:tcW w:w="874" w:type="dxa"/>
                  <w:tcBorders>
                    <w:tl2br w:val="nil"/>
                    <w:tr2bl w:val="nil"/>
                  </w:tcBorders>
                  <w:vAlign w:val="center"/>
                </w:tcPr>
                <w:p>
                  <w:pPr>
                    <w:adjustRightInd w:val="0"/>
                    <w:snapToGrid w:val="0"/>
                    <w:jc w:val="center"/>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住宅小区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5" w:type="dxa"/>
                  <w:tcBorders>
                    <w:tl2br w:val="nil"/>
                    <w:tr2bl w:val="nil"/>
                  </w:tcBorders>
                  <w:vAlign w:val="center"/>
                </w:tcPr>
                <w:p>
                  <w:pPr>
                    <w:adjustRightInd w:val="0"/>
                    <w:snapToGrid w:val="0"/>
                    <w:jc w:val="center"/>
                    <w:rPr>
                      <w:rFonts w:hint="eastAsia" w:eastAsia="宋体"/>
                      <w:color w:val="FF0000"/>
                      <w:sz w:val="21"/>
                      <w:szCs w:val="21"/>
                      <w:lang w:val="en-US" w:eastAsia="zh-CN"/>
                    </w:rPr>
                  </w:pPr>
                  <w:r>
                    <w:rPr>
                      <w:rFonts w:hint="eastAsia" w:eastAsia="宋体"/>
                      <w:color w:val="FF0000"/>
                      <w:sz w:val="21"/>
                      <w:szCs w:val="21"/>
                      <w:lang w:val="en-US" w:eastAsia="zh-CN"/>
                    </w:rPr>
                    <w:t>宁县畜牧兽医站</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107.912666</w:t>
                  </w:r>
                </w:p>
              </w:tc>
              <w:tc>
                <w:tcPr>
                  <w:tcW w:w="1350"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35.509545</w:t>
                  </w:r>
                </w:p>
              </w:tc>
              <w:tc>
                <w:tcPr>
                  <w:tcW w:w="603" w:type="dxa"/>
                  <w:vMerge w:val="continue"/>
                  <w:tcBorders>
                    <w:tl2br w:val="nil"/>
                    <w:tr2bl w:val="nil"/>
                  </w:tcBorders>
                  <w:vAlign w:val="center"/>
                </w:tcPr>
                <w:p>
                  <w:pPr>
                    <w:adjustRightInd w:val="0"/>
                    <w:snapToGrid w:val="0"/>
                    <w:jc w:val="center"/>
                    <w:rPr>
                      <w:color w:val="FF0000"/>
                      <w:sz w:val="21"/>
                      <w:szCs w:val="21"/>
                      <w:lang w:eastAsia="zh-CN"/>
                    </w:rPr>
                  </w:pPr>
                </w:p>
              </w:tc>
              <w:tc>
                <w:tcPr>
                  <w:tcW w:w="667" w:type="dxa"/>
                  <w:vMerge w:val="continue"/>
                  <w:tcBorders>
                    <w:tl2br w:val="nil"/>
                    <w:tr2bl w:val="nil"/>
                  </w:tcBorders>
                  <w:vAlign w:val="center"/>
                </w:tcPr>
                <w:p>
                  <w:pPr>
                    <w:adjustRightInd w:val="0"/>
                    <w:snapToGrid w:val="0"/>
                    <w:jc w:val="center"/>
                    <w:rPr>
                      <w:color w:val="FF0000"/>
                      <w:sz w:val="21"/>
                      <w:szCs w:val="21"/>
                      <w:lang w:eastAsia="zh-CN"/>
                    </w:rPr>
                  </w:pPr>
                </w:p>
              </w:tc>
              <w:tc>
                <w:tcPr>
                  <w:tcW w:w="787" w:type="dxa"/>
                  <w:vMerge w:val="continue"/>
                  <w:tcBorders>
                    <w:tl2br w:val="nil"/>
                    <w:tr2bl w:val="nil"/>
                  </w:tcBorders>
                  <w:vAlign w:val="center"/>
                </w:tcPr>
                <w:p>
                  <w:pPr>
                    <w:adjustRightInd w:val="0"/>
                    <w:snapToGrid w:val="0"/>
                    <w:jc w:val="center"/>
                    <w:rPr>
                      <w:color w:val="FF0000"/>
                      <w:sz w:val="21"/>
                      <w:szCs w:val="21"/>
                      <w:lang w:eastAsia="zh-CN"/>
                    </w:rPr>
                  </w:pPr>
                </w:p>
              </w:tc>
              <w:tc>
                <w:tcPr>
                  <w:tcW w:w="1915" w:type="dxa"/>
                  <w:gridSpan w:val="2"/>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项目区</w:t>
                  </w:r>
                </w:p>
              </w:tc>
              <w:tc>
                <w:tcPr>
                  <w:tcW w:w="874"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办公</w:t>
                  </w:r>
                </w:p>
              </w:tc>
            </w:tr>
          </w:tbl>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2、</w:t>
            </w:r>
            <w:r>
              <w:rPr>
                <w:rFonts w:ascii="Times New Roman" w:hAnsi="Times New Roman" w:eastAsia="宋体" w:cs="Times New Roman"/>
                <w:b/>
                <w:color w:val="000000" w:themeColor="text1"/>
                <w:sz w:val="24"/>
                <w:szCs w:val="24"/>
                <w:lang w:eastAsia="zh-CN"/>
                <w14:textFill>
                  <w14:solidFill>
                    <w14:schemeClr w14:val="tx1"/>
                  </w14:solidFill>
                </w14:textFill>
              </w:rPr>
              <w:t>声环境保护目标</w:t>
            </w:r>
          </w:p>
          <w:p>
            <w:pPr>
              <w:spacing w:line="360" w:lineRule="auto"/>
              <w:ind w:firstLine="480" w:firstLineChars="200"/>
              <w:rPr>
                <w:rFonts w:hint="eastAsia" w:ascii="Times New Roman" w:hAnsi="Times New Roman" w:eastAsia="宋体" w:cs="Times New Roman"/>
                <w:color w:val="FF0000"/>
                <w:sz w:val="24"/>
                <w:szCs w:val="24"/>
                <w:lang w:val="en-US" w:eastAsia="zh-CN"/>
              </w:rPr>
            </w:pPr>
            <w:r>
              <w:rPr>
                <w:rFonts w:ascii="Times New Roman" w:hAnsi="Times New Roman" w:eastAsia="宋体" w:cs="Times New Roman"/>
                <w:color w:val="FF0000"/>
                <w:sz w:val="24"/>
                <w:szCs w:val="24"/>
                <w:lang w:eastAsia="zh-CN"/>
              </w:rPr>
              <w:t>本项50m范围内</w:t>
            </w:r>
            <w:r>
              <w:rPr>
                <w:rFonts w:hint="eastAsia" w:ascii="Times New Roman" w:hAnsi="Times New Roman" w:eastAsia="宋体" w:cs="Times New Roman"/>
                <w:color w:val="FF0000"/>
                <w:sz w:val="24"/>
                <w:szCs w:val="24"/>
                <w:lang w:eastAsia="zh-CN"/>
              </w:rPr>
              <w:t>无</w:t>
            </w:r>
            <w:r>
              <w:rPr>
                <w:rFonts w:ascii="Times New Roman" w:hAnsi="Times New Roman" w:eastAsia="宋体" w:cs="Times New Roman"/>
                <w:color w:val="FF0000"/>
                <w:sz w:val="24"/>
                <w:szCs w:val="24"/>
                <w:lang w:eastAsia="zh-CN"/>
              </w:rPr>
              <w:t>声环境保护目标</w:t>
            </w:r>
            <w:r>
              <w:rPr>
                <w:rFonts w:hint="eastAsia" w:ascii="Times New Roman" w:hAnsi="Times New Roman" w:eastAsia="宋体" w:cs="Times New Roman"/>
                <w:color w:val="FF0000"/>
                <w:sz w:val="24"/>
                <w:szCs w:val="24"/>
                <w:lang w:eastAsia="zh-CN"/>
              </w:rPr>
              <w:t>，</w:t>
            </w:r>
            <w:r>
              <w:rPr>
                <w:rFonts w:hint="eastAsia" w:ascii="Times New Roman" w:hAnsi="Times New Roman" w:eastAsia="宋体" w:cs="Times New Roman"/>
                <w:color w:val="FF0000"/>
                <w:sz w:val="24"/>
                <w:szCs w:val="24"/>
                <w:lang w:val="en-US" w:eastAsia="zh-CN"/>
              </w:rPr>
              <w:t>声环境保护目标主要为宁县畜牧兽医站其他办公人员。</w:t>
            </w:r>
          </w:p>
          <w:p>
            <w:pPr>
              <w:pStyle w:val="3"/>
              <w:spacing w:before="0" w:after="0" w:line="240" w:lineRule="auto"/>
              <w:jc w:val="center"/>
              <w:rPr>
                <w:rFonts w:ascii="Times New Roman" w:hAnsi="Times New Roman" w:eastAsia="宋体" w:cs="Times New Roman"/>
                <w:color w:val="FF0000"/>
                <w:sz w:val="21"/>
                <w:szCs w:val="21"/>
                <w:lang w:eastAsia="zh-CN"/>
              </w:rPr>
            </w:pPr>
            <w:r>
              <w:rPr>
                <w:rFonts w:ascii="Times New Roman" w:hAnsi="Times New Roman" w:eastAsia="宋体" w:cs="Times New Roman"/>
                <w:color w:val="FF0000"/>
                <w:sz w:val="21"/>
                <w:szCs w:val="21"/>
                <w:lang w:eastAsia="zh-CN"/>
              </w:rPr>
              <w:t>表3-</w:t>
            </w:r>
            <w:r>
              <w:rPr>
                <w:rFonts w:hint="eastAsia" w:ascii="Times New Roman" w:hAnsi="Times New Roman" w:eastAsia="宋体" w:cs="Times New Roman"/>
                <w:color w:val="FF0000"/>
                <w:sz w:val="21"/>
                <w:szCs w:val="21"/>
                <w:lang w:val="en-US" w:eastAsia="zh-CN"/>
              </w:rPr>
              <w:t>6</w:t>
            </w:r>
            <w:r>
              <w:rPr>
                <w:rFonts w:ascii="Times New Roman" w:hAnsi="Times New Roman" w:eastAsia="宋体" w:cs="Times New Roman"/>
                <w:color w:val="FF0000"/>
                <w:sz w:val="21"/>
                <w:szCs w:val="21"/>
                <w:lang w:eastAsia="zh-CN"/>
              </w:rPr>
              <w:t xml:space="preserve">  主要</w:t>
            </w:r>
            <w:r>
              <w:rPr>
                <w:rFonts w:hint="eastAsia" w:ascii="Times New Roman" w:hAnsi="Times New Roman" w:eastAsia="宋体" w:cs="Times New Roman"/>
                <w:color w:val="FF0000"/>
                <w:sz w:val="21"/>
                <w:szCs w:val="21"/>
                <w:lang w:val="en-US" w:eastAsia="zh-CN"/>
              </w:rPr>
              <w:t>声</w:t>
            </w:r>
            <w:r>
              <w:rPr>
                <w:rFonts w:ascii="Times New Roman" w:hAnsi="Times New Roman" w:eastAsia="宋体" w:cs="Times New Roman"/>
                <w:color w:val="FF0000"/>
                <w:sz w:val="21"/>
                <w:szCs w:val="21"/>
                <w:lang w:eastAsia="zh-CN"/>
              </w:rPr>
              <w:t>环境保护目标一览表</w:t>
            </w:r>
          </w:p>
          <w:tbl>
            <w:tblPr>
              <w:tblStyle w:val="28"/>
              <w:tblW w:w="821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36"/>
              <w:gridCol w:w="1350"/>
              <w:gridCol w:w="603"/>
              <w:gridCol w:w="667"/>
              <w:gridCol w:w="787"/>
              <w:gridCol w:w="792"/>
              <w:gridCol w:w="1123"/>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785" w:type="dxa"/>
                  <w:vMerge w:val="restart"/>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名称</w:t>
                  </w:r>
                </w:p>
              </w:tc>
              <w:tc>
                <w:tcPr>
                  <w:tcW w:w="2586" w:type="dxa"/>
                  <w:gridSpan w:val="2"/>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坐标</w:t>
                  </w:r>
                </w:p>
              </w:tc>
              <w:tc>
                <w:tcPr>
                  <w:tcW w:w="603" w:type="dxa"/>
                  <w:vMerge w:val="restart"/>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保护对象</w:t>
                  </w:r>
                </w:p>
              </w:tc>
              <w:tc>
                <w:tcPr>
                  <w:tcW w:w="667" w:type="dxa"/>
                  <w:vMerge w:val="restart"/>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保护内容</w:t>
                  </w:r>
                </w:p>
              </w:tc>
              <w:tc>
                <w:tcPr>
                  <w:tcW w:w="787"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环境功能区</w:t>
                  </w:r>
                </w:p>
              </w:tc>
              <w:tc>
                <w:tcPr>
                  <w:tcW w:w="792"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相对</w:t>
                  </w:r>
                  <w:r>
                    <w:rPr>
                      <w:rFonts w:hint="eastAsia"/>
                      <w:color w:val="FF0000"/>
                      <w:sz w:val="21"/>
                      <w:szCs w:val="21"/>
                      <w:lang w:eastAsia="zh-CN"/>
                    </w:rPr>
                    <w:t>边界</w:t>
                  </w:r>
                  <w:r>
                    <w:rPr>
                      <w:color w:val="FF0000"/>
                      <w:sz w:val="21"/>
                      <w:szCs w:val="21"/>
                      <w:lang w:eastAsia="zh-CN"/>
                    </w:rPr>
                    <w:t>方位</w:t>
                  </w:r>
                </w:p>
              </w:tc>
              <w:tc>
                <w:tcPr>
                  <w:tcW w:w="1123"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相对</w:t>
                  </w:r>
                  <w:r>
                    <w:rPr>
                      <w:rFonts w:hint="eastAsia"/>
                      <w:color w:val="FF0000"/>
                      <w:sz w:val="21"/>
                      <w:szCs w:val="21"/>
                      <w:lang w:eastAsia="zh-CN"/>
                    </w:rPr>
                    <w:t>边界</w:t>
                  </w:r>
                  <w:r>
                    <w:rPr>
                      <w:color w:val="FF0000"/>
                      <w:sz w:val="21"/>
                      <w:szCs w:val="21"/>
                      <w:lang w:eastAsia="zh-CN"/>
                    </w:rPr>
                    <w:t>距离/m</w:t>
                  </w:r>
                </w:p>
              </w:tc>
              <w:tc>
                <w:tcPr>
                  <w:tcW w:w="874"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785"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1236"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经度</w:t>
                  </w:r>
                </w:p>
              </w:tc>
              <w:tc>
                <w:tcPr>
                  <w:tcW w:w="1350"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纬度</w:t>
                  </w:r>
                </w:p>
              </w:tc>
              <w:tc>
                <w:tcPr>
                  <w:tcW w:w="603"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667"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787"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792"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1123"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785" w:type="dxa"/>
                  <w:tcBorders>
                    <w:tl2br w:val="nil"/>
                    <w:tr2bl w:val="nil"/>
                  </w:tcBorders>
                  <w:vAlign w:val="center"/>
                </w:tcPr>
                <w:p>
                  <w:pPr>
                    <w:adjustRightInd w:val="0"/>
                    <w:snapToGrid w:val="0"/>
                    <w:jc w:val="center"/>
                    <w:rPr>
                      <w:rFonts w:hint="eastAsia" w:eastAsia="宋体"/>
                      <w:color w:val="FF0000"/>
                      <w:sz w:val="21"/>
                      <w:szCs w:val="21"/>
                      <w:lang w:val="en-US" w:eastAsia="zh-CN"/>
                    </w:rPr>
                  </w:pPr>
                  <w:r>
                    <w:rPr>
                      <w:rFonts w:hint="eastAsia" w:eastAsia="宋体"/>
                      <w:color w:val="FF0000"/>
                      <w:sz w:val="21"/>
                      <w:szCs w:val="21"/>
                      <w:lang w:val="en-US" w:eastAsia="zh-CN"/>
                    </w:rPr>
                    <w:t>宁县畜牧兽医站</w:t>
                  </w:r>
                </w:p>
              </w:tc>
              <w:tc>
                <w:tcPr>
                  <w:tcW w:w="1236"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107.912666</w:t>
                  </w:r>
                </w:p>
              </w:tc>
              <w:tc>
                <w:tcPr>
                  <w:tcW w:w="1350"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35.509545</w:t>
                  </w:r>
                </w:p>
              </w:tc>
              <w:tc>
                <w:tcPr>
                  <w:tcW w:w="603" w:type="dxa"/>
                  <w:tcBorders>
                    <w:tl2br w:val="nil"/>
                    <w:tr2bl w:val="nil"/>
                  </w:tcBorders>
                  <w:vAlign w:val="center"/>
                </w:tcPr>
                <w:p>
                  <w:pPr>
                    <w:adjustRightInd w:val="0"/>
                    <w:snapToGrid w:val="0"/>
                    <w:jc w:val="center"/>
                    <w:rPr>
                      <w:color w:val="FF0000"/>
                      <w:sz w:val="21"/>
                      <w:szCs w:val="21"/>
                      <w:lang w:eastAsia="zh-CN"/>
                    </w:rPr>
                  </w:pPr>
                  <w:r>
                    <w:rPr>
                      <w:rFonts w:hint="eastAsia"/>
                      <w:color w:val="FF0000"/>
                      <w:sz w:val="21"/>
                      <w:szCs w:val="21"/>
                      <w:lang w:val="en-US" w:eastAsia="zh-CN"/>
                    </w:rPr>
                    <w:t>声环境</w:t>
                  </w:r>
                </w:p>
              </w:tc>
              <w:tc>
                <w:tcPr>
                  <w:tcW w:w="667" w:type="dxa"/>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人群</w:t>
                  </w:r>
                </w:p>
              </w:tc>
              <w:tc>
                <w:tcPr>
                  <w:tcW w:w="787" w:type="dxa"/>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二类区</w:t>
                  </w:r>
                </w:p>
              </w:tc>
              <w:tc>
                <w:tcPr>
                  <w:tcW w:w="1915" w:type="dxa"/>
                  <w:gridSpan w:val="2"/>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项目区</w:t>
                  </w:r>
                </w:p>
              </w:tc>
              <w:tc>
                <w:tcPr>
                  <w:tcW w:w="874"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办公</w:t>
                  </w:r>
                </w:p>
              </w:tc>
            </w:tr>
          </w:tbl>
          <w:p>
            <w:pPr>
              <w:numPr>
                <w:ilvl w:val="0"/>
                <w:numId w:val="6"/>
              </w:numPr>
              <w:spacing w:line="360" w:lineRule="auto"/>
              <w:rPr>
                <w:rFonts w:hint="eastAsia"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地表水保护目标</w:t>
            </w:r>
          </w:p>
          <w:p>
            <w:pPr>
              <w:spacing w:line="360" w:lineRule="auto"/>
              <w:ind w:left="360"/>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根据现场调查，项目区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东</w:t>
            </w:r>
            <w:r>
              <w:rPr>
                <w:rFonts w:hint="eastAsia" w:ascii="Times New Roman" w:hAnsi="Times New Roman" w:eastAsia="宋体" w:cs="Times New Roman"/>
                <w:color w:val="000000" w:themeColor="text1"/>
                <w:sz w:val="24"/>
                <w:szCs w:val="24"/>
                <w:lang w:eastAsia="zh-CN"/>
                <w14:textFill>
                  <w14:solidFill>
                    <w14:schemeClr w14:val="tx1"/>
                  </w14:solidFill>
                </w14:textFill>
              </w:rPr>
              <w:t>侧</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46m处为马莲河，属于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object>
                <v:shape id="_x0000_i1025" o:spt="75" type="#_x0000_t75" style="height:17pt;width:9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4 \* ROMAN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lang w:eastAsia="zh-CN"/>
                <w14:textFill>
                  <w14:solidFill>
                    <w14:schemeClr w14:val="tx1"/>
                  </w14:solidFill>
                </w14:textFill>
              </w:rPr>
              <w:t>IV</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eastAsia="zh-CN"/>
                <w14:textFill>
                  <w14:solidFill>
                    <w14:schemeClr w14:val="tx1"/>
                  </w14:solidFill>
                </w14:textFill>
              </w:rPr>
              <w:t>水体。</w:t>
            </w:r>
          </w:p>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4、</w:t>
            </w:r>
            <w:r>
              <w:rPr>
                <w:rFonts w:ascii="Times New Roman" w:hAnsi="Times New Roman" w:eastAsia="宋体" w:cs="Times New Roman"/>
                <w:b/>
                <w:color w:val="000000" w:themeColor="text1"/>
                <w:sz w:val="24"/>
                <w:szCs w:val="24"/>
                <w:lang w:eastAsia="zh-CN"/>
                <w14:textFill>
                  <w14:solidFill>
                    <w14:schemeClr w14:val="tx1"/>
                  </w14:solidFill>
                </w14:textFill>
              </w:rPr>
              <w:t>地下水环境保护目标</w:t>
            </w:r>
          </w:p>
          <w:p>
            <w:pPr>
              <w:adjustRightInd w:val="0"/>
              <w:snapToGrid w:val="0"/>
              <w:spacing w:line="360" w:lineRule="auto"/>
              <w:ind w:firstLine="480" w:firstLineChars="200"/>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根据现场勘查，本项目厂界外500m范围内无地下水集中式饮用水水源或热水、矿泉水、温泉等特殊地下水资源。</w:t>
            </w:r>
          </w:p>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val="en-US" w:eastAsia="zh-CN"/>
                <w14:textFill>
                  <w14:solidFill>
                    <w14:schemeClr w14:val="tx1"/>
                  </w14:solidFill>
                </w14:textFill>
              </w:rPr>
              <w:t>5</w:t>
            </w:r>
            <w:r>
              <w:rPr>
                <w:rFonts w:ascii="Times New Roman" w:hAnsi="Times New Roman" w:eastAsia="宋体" w:cs="Times New Roman"/>
                <w:b/>
                <w:color w:val="000000" w:themeColor="text1"/>
                <w:sz w:val="24"/>
                <w:szCs w:val="24"/>
                <w:lang w:eastAsia="zh-CN"/>
                <w14:textFill>
                  <w14:solidFill>
                    <w14:schemeClr w14:val="tx1"/>
                  </w14:solidFill>
                </w14:textFill>
              </w:rPr>
              <w:t>、生态环境保护目标</w:t>
            </w:r>
          </w:p>
          <w:p>
            <w:pPr>
              <w:adjustRightInd w:val="0"/>
              <w:snapToGrid w:val="0"/>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本项目位于</w:t>
            </w:r>
            <w:r>
              <w:rPr>
                <w:rFonts w:hint="eastAsia" w:ascii="Times New Roman" w:hAnsi="Times New Roman" w:eastAsia="宋体" w:cs="Times New Roman"/>
                <w:color w:val="000000" w:themeColor="text1"/>
                <w:sz w:val="24"/>
                <w:szCs w:val="24"/>
                <w:lang w:eastAsia="zh-CN"/>
                <w14:textFill>
                  <w14:solidFill>
                    <w14:schemeClr w14:val="tx1"/>
                  </w14:solidFill>
                </w14:textFill>
              </w:rPr>
              <w:t>庆阳市</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宁县新宁镇马莲路15号</w:t>
            </w:r>
            <w:r>
              <w:rPr>
                <w:rFonts w:ascii="Times New Roman" w:hAnsi="Times New Roman" w:eastAsia="宋体" w:cs="Times New Roman"/>
                <w:color w:val="000000" w:themeColor="text1"/>
                <w:sz w:val="24"/>
                <w:szCs w:val="24"/>
                <w:lang w:eastAsia="zh-CN"/>
                <w14:textFill>
                  <w14:solidFill>
                    <w14:schemeClr w14:val="tx1"/>
                  </w14:solidFill>
                </w14:textFill>
              </w:rPr>
              <w:t>，占地范围内无自然保护区、风景名胜区、文化和自然遗产地等生态环境保护目标</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419"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污染</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物排</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放控</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制标</w:t>
            </w:r>
          </w:p>
          <w:p>
            <w:pPr>
              <w:pStyle w:val="24"/>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准</w:t>
            </w:r>
          </w:p>
        </w:tc>
        <w:tc>
          <w:tcPr>
            <w:tcW w:w="8190" w:type="dxa"/>
            <w:vAlign w:val="center"/>
          </w:tcPr>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lang w:eastAsia="zh-CN"/>
                <w14:textFill>
                  <w14:solidFill>
                    <w14:schemeClr w14:val="tx1"/>
                  </w14:solidFill>
                </w14:textFill>
              </w:rPr>
              <w:t>1、废气</w:t>
            </w:r>
          </w:p>
          <w:p>
            <w:pPr>
              <w:spacing w:line="360" w:lineRule="auto"/>
              <w:ind w:firstLine="480" w:firstLineChars="200"/>
              <w:rPr>
                <w:bCs/>
                <w:color w:val="000000" w:themeColor="text1"/>
                <w:sz w:val="24"/>
                <w:szCs w:val="28"/>
                <w:lang w:eastAsia="zh-CN"/>
                <w14:textFill>
                  <w14:solidFill>
                    <w14:schemeClr w14:val="tx1"/>
                  </w14:solidFill>
                </w14:textFill>
              </w:rPr>
            </w:pPr>
            <w:r>
              <w:rPr>
                <w:rFonts w:hint="eastAsia" w:ascii="宋体" w:hAnsi="宋体" w:cs="宋体"/>
                <w:bCs/>
                <w:color w:val="000000" w:themeColor="text1"/>
                <w:sz w:val="24"/>
                <w:szCs w:val="28"/>
                <w:lang w:eastAsia="zh-CN"/>
                <w14:textFill>
                  <w14:solidFill>
                    <w14:schemeClr w14:val="tx1"/>
                  </w14:solidFill>
                </w14:textFill>
              </w:rPr>
              <w:t>（</w:t>
            </w:r>
            <w:r>
              <w:rPr>
                <w:bCs/>
                <w:color w:val="000000" w:themeColor="text1"/>
                <w:sz w:val="24"/>
                <w:szCs w:val="28"/>
                <w:lang w:eastAsia="zh-CN"/>
                <w14:textFill>
                  <w14:solidFill>
                    <w14:schemeClr w14:val="tx1"/>
                  </w14:solidFill>
                </w14:textFill>
              </w:rPr>
              <w:t>1</w:t>
            </w:r>
            <w:r>
              <w:rPr>
                <w:rFonts w:hint="eastAsia" w:ascii="宋体" w:hAnsi="宋体" w:cs="宋体"/>
                <w:bCs/>
                <w:color w:val="000000" w:themeColor="text1"/>
                <w:sz w:val="24"/>
                <w:szCs w:val="28"/>
                <w:lang w:eastAsia="zh-CN"/>
                <w14:textFill>
                  <w14:solidFill>
                    <w14:schemeClr w14:val="tx1"/>
                  </w14:solidFill>
                </w14:textFill>
              </w:rPr>
              <w:t>）运营期</w:t>
            </w:r>
            <w:r>
              <w:rPr>
                <w:bCs/>
                <w:color w:val="000000" w:themeColor="text1"/>
                <w:sz w:val="24"/>
                <w:szCs w:val="28"/>
                <w:lang w:eastAsia="zh-CN"/>
                <w14:textFill>
                  <w14:solidFill>
                    <w14:schemeClr w14:val="tx1"/>
                  </w14:solidFill>
                </w14:textFill>
              </w:rPr>
              <w:t>废气</w:t>
            </w:r>
          </w:p>
          <w:p>
            <w:pPr>
              <w:spacing w:line="360" w:lineRule="auto"/>
              <w:ind w:firstLine="480" w:firstLineChars="200"/>
              <w:rPr>
                <w:rFonts w:hint="eastAsia" w:ascii="Times New Roman" w:hAnsi="Times New Roman" w:eastAsia="宋体" w:cs="Times New Roman"/>
                <w:color w:val="FF0000"/>
                <w:sz w:val="24"/>
                <w:szCs w:val="24"/>
                <w:lang w:val="en-US" w:eastAsia="zh-CN"/>
              </w:rPr>
            </w:pPr>
            <w:r>
              <w:rPr>
                <w:rFonts w:hint="eastAsia"/>
                <w:color w:val="000000" w:themeColor="text1"/>
                <w:sz w:val="24"/>
                <w:szCs w:val="28"/>
                <w:lang w:val="en-US" w:eastAsia="zh-CN"/>
                <w14:textFill>
                  <w14:solidFill>
                    <w14:schemeClr w14:val="tx1"/>
                  </w14:solidFill>
                </w14:textFill>
              </w:rPr>
              <w:t>本项目微生物实验室设有生物安全柜和高效过滤器，含有病原微生物的气体不外排。</w:t>
            </w:r>
            <w:r>
              <w:rPr>
                <w:rFonts w:hint="default" w:ascii="Times New Roman" w:hAnsi="Times New Roman" w:eastAsia="宋体" w:cs="Times New Roman"/>
                <w:color w:val="FF0000"/>
                <w:sz w:val="24"/>
                <w:szCs w:val="24"/>
                <w:lang w:val="en-US" w:eastAsia="zh-CN"/>
              </w:rPr>
              <w:t>生物实验室废气采用负压方式经高效空气过滤器净化后通过排风管道引至楼顶</w:t>
            </w:r>
            <w:r>
              <w:rPr>
                <w:rFonts w:hint="eastAsia" w:ascii="Times New Roman" w:hAnsi="Times New Roman" w:eastAsia="宋体" w:cs="Times New Roman"/>
                <w:color w:val="FF0000"/>
                <w:sz w:val="24"/>
                <w:szCs w:val="24"/>
                <w:lang w:val="en-US" w:eastAsia="zh-CN"/>
              </w:rPr>
              <w:t>4m排气筒排放，排气筒距离地面高度15m。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本项目实验室废气排放参照《病源微生物实验室污染物排放标准》（征求意见稿）中废气生物学排放限值和指标。</w:t>
            </w:r>
          </w:p>
          <w:p>
            <w:pPr>
              <w:pStyle w:val="3"/>
              <w:spacing w:before="0" w:after="0"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表3-7      废气生物学排放限值和指标</w:t>
            </w:r>
          </w:p>
          <w:tbl>
            <w:tblPr>
              <w:tblStyle w:val="29"/>
              <w:tblW w:w="823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3194"/>
              <w:gridCol w:w="27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2298"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序号</w:t>
                  </w:r>
                </w:p>
              </w:tc>
              <w:tc>
                <w:tcPr>
                  <w:tcW w:w="3194"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控制指标</w:t>
                  </w:r>
                </w:p>
              </w:tc>
              <w:tc>
                <w:tcPr>
                  <w:tcW w:w="2747"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2298"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c>
                <w:tcPr>
                  <w:tcW w:w="3194"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目标微生物</w:t>
                  </w:r>
                </w:p>
              </w:tc>
              <w:tc>
                <w:tcPr>
                  <w:tcW w:w="2747" w:type="dxa"/>
                  <w:tcBorders>
                    <w:tl2br w:val="nil"/>
                    <w:tr2bl w:val="nil"/>
                  </w:tcBorders>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不得检出</w:t>
                  </w:r>
                </w:p>
              </w:tc>
            </w:tr>
          </w:tbl>
          <w:p>
            <w:pPr>
              <w:spacing w:line="360" w:lineRule="auto"/>
              <w:ind w:firstLine="480" w:firstLineChars="200"/>
              <w:rPr>
                <w:color w:val="000000" w:themeColor="text1"/>
                <w:sz w:val="24"/>
                <w:szCs w:val="28"/>
                <w:lang w:eastAsia="zh-CN"/>
                <w14:textFill>
                  <w14:solidFill>
                    <w14:schemeClr w14:val="tx1"/>
                  </w14:solidFill>
                </w14:textFill>
              </w:rPr>
            </w:pPr>
            <w:r>
              <w:rPr>
                <w:rFonts w:hint="eastAsia"/>
                <w:color w:val="000000" w:themeColor="text1"/>
                <w:sz w:val="24"/>
                <w:szCs w:val="28"/>
                <w:lang w:eastAsia="zh-CN"/>
                <w14:textFill>
                  <w14:solidFill>
                    <w14:schemeClr w14:val="tx1"/>
                  </w14:solidFill>
                </w14:textFill>
              </w:rPr>
              <w:t>（2）施工期扬尘</w:t>
            </w:r>
          </w:p>
          <w:p>
            <w:pPr>
              <w:spacing w:line="360" w:lineRule="auto"/>
              <w:ind w:firstLine="480" w:firstLineChars="200"/>
              <w:rPr>
                <w:color w:val="000000" w:themeColor="text1"/>
                <w:sz w:val="24"/>
                <w:szCs w:val="28"/>
                <w:lang w:eastAsia="zh-CN"/>
                <w14:textFill>
                  <w14:solidFill>
                    <w14:schemeClr w14:val="tx1"/>
                  </w14:solidFill>
                </w14:textFill>
              </w:rPr>
            </w:pPr>
            <w:r>
              <w:rPr>
                <w:rFonts w:hint="eastAsia"/>
                <w:color w:val="000000" w:themeColor="text1"/>
                <w:sz w:val="24"/>
                <w:szCs w:val="28"/>
                <w:lang w:eastAsia="zh-CN"/>
                <w14:textFill>
                  <w14:solidFill>
                    <w14:schemeClr w14:val="tx1"/>
                  </w14:solidFill>
                </w14:textFill>
              </w:rPr>
              <w:t>项目施工期扬尘执行</w:t>
            </w:r>
            <w:r>
              <w:rPr>
                <w:color w:val="000000" w:themeColor="text1"/>
                <w:sz w:val="24"/>
                <w:szCs w:val="28"/>
                <w:lang w:eastAsia="zh-CN"/>
                <w14:textFill>
                  <w14:solidFill>
                    <w14:schemeClr w14:val="tx1"/>
                  </w14:solidFill>
                </w14:textFill>
              </w:rPr>
              <w:t>《大气污染物综合排放标准》（GB16297-1996）中二级标准。详见表</w:t>
            </w:r>
            <w:r>
              <w:rPr>
                <w:rFonts w:hint="eastAsia"/>
                <w:color w:val="000000" w:themeColor="text1"/>
                <w:sz w:val="24"/>
                <w:szCs w:val="28"/>
                <w:lang w:eastAsia="zh-CN"/>
                <w14:textFill>
                  <w14:solidFill>
                    <w14:schemeClr w14:val="tx1"/>
                  </w14:solidFill>
                </w14:textFill>
              </w:rPr>
              <w:t>3-</w:t>
            </w:r>
            <w:r>
              <w:rPr>
                <w:rFonts w:hint="eastAsia"/>
                <w:color w:val="000000" w:themeColor="text1"/>
                <w:sz w:val="24"/>
                <w:szCs w:val="28"/>
                <w:lang w:val="en-US" w:eastAsia="zh-CN"/>
                <w14:textFill>
                  <w14:solidFill>
                    <w14:schemeClr w14:val="tx1"/>
                  </w14:solidFill>
                </w14:textFill>
              </w:rPr>
              <w:t>8</w:t>
            </w:r>
            <w:r>
              <w:rPr>
                <w:color w:val="000000" w:themeColor="text1"/>
                <w:sz w:val="24"/>
                <w:szCs w:val="28"/>
                <w:lang w:eastAsia="zh-CN"/>
                <w14:textFill>
                  <w14:solidFill>
                    <w14:schemeClr w14:val="tx1"/>
                  </w14:solidFill>
                </w14:textFill>
              </w:rPr>
              <w:t>。</w:t>
            </w:r>
          </w:p>
          <w:p>
            <w:pPr>
              <w:pStyle w:val="3"/>
              <w:spacing w:before="0" w:after="0" w:line="240" w:lineRule="auto"/>
              <w:jc w:val="center"/>
              <w:rPr>
                <w:rFonts w:ascii="Times New Roman" w:hAnsi="Times New Roman" w:eastAsia="宋体" w:cs="Times New Roman"/>
                <w:color w:val="000000" w:themeColor="text1"/>
                <w:sz w:val="21"/>
                <w:szCs w:val="21"/>
                <w:lang w:val="zh-CN" w:eastAsia="zh-CN"/>
                <w14:textFill>
                  <w14:solidFill>
                    <w14:schemeClr w14:val="tx1"/>
                  </w14:solidFill>
                </w14:textFill>
              </w:rPr>
            </w:pPr>
            <w:r>
              <w:rPr>
                <w:rFonts w:ascii="Times New Roman" w:hAnsi="Times New Roman" w:eastAsia="宋体" w:cs="Times New Roman"/>
                <w:color w:val="000000" w:themeColor="text1"/>
                <w:sz w:val="21"/>
                <w:szCs w:val="21"/>
                <w:lang w:val="zh-CN" w:eastAsia="zh-CN"/>
                <w14:textFill>
                  <w14:solidFill>
                    <w14:schemeClr w14:val="tx1"/>
                  </w14:solidFill>
                </w14:textFill>
              </w:rPr>
              <w:t>表</w:t>
            </w:r>
            <w:r>
              <w:rPr>
                <w:rFonts w:hint="eastAsia" w:ascii="Times New Roman" w:hAnsi="Times New Roman" w:eastAsia="宋体" w:cs="Times New Roman"/>
                <w:color w:val="000000" w:themeColor="text1"/>
                <w:sz w:val="21"/>
                <w:szCs w:val="21"/>
                <w:lang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r>
              <w:rPr>
                <w:rFonts w:hint="eastAsia" w:ascii="Times New Roman" w:hAnsi="Times New Roman" w:eastAsia="宋体" w:cs="Times New Roman"/>
                <w:color w:val="000000" w:themeColor="text1"/>
                <w:sz w:val="21"/>
                <w:szCs w:val="21"/>
                <w:lang w:val="zh-CN" w:eastAsia="zh-CN"/>
                <w14:textFill>
                  <w14:solidFill>
                    <w14:schemeClr w14:val="tx1"/>
                  </w14:solidFill>
                </w14:textFill>
              </w:rPr>
              <w:t xml:space="preserve">   </w:t>
            </w:r>
            <w:r>
              <w:rPr>
                <w:rFonts w:ascii="Times New Roman" w:hAnsi="Times New Roman" w:eastAsia="宋体" w:cs="Times New Roman"/>
                <w:color w:val="000000" w:themeColor="text1"/>
                <w:sz w:val="21"/>
                <w:szCs w:val="21"/>
                <w:lang w:val="zh-CN" w:eastAsia="zh-CN"/>
                <w14:textFill>
                  <w14:solidFill>
                    <w14:schemeClr w14:val="tx1"/>
                  </w14:solidFill>
                </w14:textFill>
              </w:rPr>
              <w:t xml:space="preserve"> 《大气污染物综合排放标准》（GB16297-1996）</w:t>
            </w:r>
          </w:p>
          <w:tbl>
            <w:tblPr>
              <w:tblStyle w:val="28"/>
              <w:tblW w:w="865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2435"/>
              <w:gridCol w:w="3392"/>
              <w:gridCol w:w="2832"/>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2435" w:type="dxa"/>
                  <w:vMerge w:val="restart"/>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6224" w:type="dxa"/>
                  <w:gridSpan w:val="2"/>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2435" w:type="dxa"/>
                  <w:vMerge w:val="continue"/>
                  <w:tcBorders>
                    <w:tl2br w:val="nil"/>
                    <w:tr2bl w:val="nil"/>
                  </w:tcBorders>
                  <w:vAlign w:val="center"/>
                </w:tcPr>
                <w:p>
                  <w:pPr>
                    <w:pStyle w:val="20"/>
                    <w:ind w:firstLine="420" w:firstLineChars="200"/>
                    <w:jc w:val="center"/>
                    <w:rPr>
                      <w:color w:val="000000" w:themeColor="text1"/>
                      <w:szCs w:val="21"/>
                      <w14:textFill>
                        <w14:solidFill>
                          <w14:schemeClr w14:val="tx1"/>
                        </w14:solidFill>
                      </w14:textFill>
                    </w:rPr>
                  </w:pPr>
                </w:p>
              </w:tc>
              <w:tc>
                <w:tcPr>
                  <w:tcW w:w="3392" w:type="dxa"/>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监控点</w:t>
                  </w:r>
                </w:p>
              </w:tc>
              <w:tc>
                <w:tcPr>
                  <w:tcW w:w="2832" w:type="dxa"/>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浓度mg/m</w:t>
                  </w:r>
                  <w:r>
                    <w:rPr>
                      <w:color w:val="000000" w:themeColor="text1"/>
                      <w:szCs w:val="21"/>
                      <w:vertAlign w:val="superscript"/>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2435" w:type="dxa"/>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p>
              </w:tc>
              <w:tc>
                <w:tcPr>
                  <w:tcW w:w="3392" w:type="dxa"/>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周界外浓度最高点</w:t>
                  </w:r>
                </w:p>
              </w:tc>
              <w:tc>
                <w:tcPr>
                  <w:tcW w:w="2832" w:type="dxa"/>
                  <w:tcBorders>
                    <w:tl2br w:val="nil"/>
                    <w:tr2bl w:val="nil"/>
                  </w:tcBorders>
                  <w:vAlign w:val="center"/>
                </w:tcPr>
                <w:p>
                  <w:pPr>
                    <w:pStyle w:val="20"/>
                    <w:ind w:left="420" w:hanging="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bl>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hint="eastAsia" w:ascii="Times New Roman" w:hAnsi="Times New Roman" w:eastAsia="宋体" w:cs="Times New Roman"/>
                <w:b/>
                <w:color w:val="000000" w:themeColor="text1"/>
                <w:sz w:val="24"/>
                <w:szCs w:val="24"/>
                <w:lang w:eastAsia="zh-CN"/>
                <w14:textFill>
                  <w14:solidFill>
                    <w14:schemeClr w14:val="tx1"/>
                  </w14:solidFill>
                </w14:textFill>
              </w:rPr>
              <w:t>2、</w:t>
            </w:r>
            <w:r>
              <w:rPr>
                <w:rFonts w:ascii="Times New Roman" w:hAnsi="Times New Roman" w:eastAsia="宋体" w:cs="Times New Roman"/>
                <w:b/>
                <w:color w:val="000000" w:themeColor="text1"/>
                <w:sz w:val="24"/>
                <w:szCs w:val="24"/>
                <w:lang w:eastAsia="zh-CN"/>
                <w14:textFill>
                  <w14:solidFill>
                    <w14:schemeClr w14:val="tx1"/>
                  </w14:solidFill>
                </w14:textFill>
              </w:rPr>
              <w:t>废水</w:t>
            </w:r>
          </w:p>
          <w:p>
            <w:pPr>
              <w:numPr>
                <w:ilvl w:val="0"/>
                <w:numId w:val="0"/>
              </w:numPr>
              <w:spacing w:line="360" w:lineRule="auto"/>
              <w:ind w:firstLine="504"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本项目采用雨、污分流，污、废合流制排水系统。</w:t>
            </w:r>
          </w:p>
          <w:p>
            <w:pPr>
              <w:spacing w:line="360" w:lineRule="auto"/>
              <w:ind w:firstLine="504" w:firstLineChars="200"/>
              <w:rPr>
                <w:rFonts w:hint="eastAsia"/>
                <w:color w:val="FF0000"/>
                <w:sz w:val="24"/>
                <w:szCs w:val="28"/>
                <w:lang w:eastAsia="zh-CN"/>
              </w:rPr>
            </w:pPr>
            <w:r>
              <w:rPr>
                <w:rFonts w:hint="default" w:ascii="Times New Roman" w:hAnsi="Times New Roman" w:eastAsia="宋体" w:cs="Times New Roman"/>
                <w:color w:val="FF0000"/>
                <w:spacing w:val="6"/>
                <w:sz w:val="24"/>
                <w:szCs w:val="24"/>
                <w:lang w:val="en-US" w:eastAsia="zh-CN"/>
              </w:rPr>
              <w:t>生活污水排入化粪池处理，化粪池处理后排入市政污水管网，最终进入</w:t>
            </w:r>
            <w:r>
              <w:rPr>
                <w:rFonts w:hint="eastAsia" w:ascii="Times New Roman" w:hAnsi="Times New Roman" w:eastAsia="宋体" w:cs="Times New Roman"/>
                <w:color w:val="FF0000"/>
                <w:spacing w:val="6"/>
                <w:sz w:val="24"/>
                <w:szCs w:val="24"/>
                <w:lang w:val="en-US" w:eastAsia="zh-CN"/>
              </w:rPr>
              <w:t>宁县生活污水</w:t>
            </w:r>
            <w:r>
              <w:rPr>
                <w:rFonts w:hint="default" w:ascii="Times New Roman" w:hAnsi="Times New Roman" w:eastAsia="宋体" w:cs="Times New Roman"/>
                <w:color w:val="FF0000"/>
                <w:spacing w:val="6"/>
                <w:sz w:val="24"/>
                <w:szCs w:val="24"/>
                <w:lang w:val="en-US" w:eastAsia="zh-CN"/>
              </w:rPr>
              <w:t>处理厂处理。</w:t>
            </w:r>
            <w:r>
              <w:rPr>
                <w:rFonts w:hint="eastAsia" w:ascii="Times New Roman" w:hAnsi="Times New Roman" w:eastAsia="宋体" w:cs="Times New Roman"/>
                <w:color w:val="FF0000"/>
                <w:spacing w:val="6"/>
                <w:sz w:val="24"/>
                <w:szCs w:val="24"/>
                <w:lang w:val="en-US" w:eastAsia="zh-CN"/>
              </w:rPr>
              <w:t>废水排放</w:t>
            </w:r>
            <w:r>
              <w:rPr>
                <w:rFonts w:hint="default" w:ascii="Times New Roman" w:hAnsi="Times New Roman" w:eastAsia="宋体" w:cs="Times New Roman"/>
                <w:color w:val="FF0000"/>
                <w:spacing w:val="6"/>
                <w:sz w:val="24"/>
                <w:szCs w:val="24"/>
                <w:lang w:val="en-US" w:eastAsia="zh-CN"/>
              </w:rPr>
              <w:t>满足废水排放执行《污水综合排放标准》（GB8978-1996）</w:t>
            </w:r>
            <w:r>
              <w:rPr>
                <w:rFonts w:hint="eastAsia" w:ascii="Times New Roman" w:hAnsi="Times New Roman" w:eastAsia="宋体" w:cs="Times New Roman"/>
                <w:color w:val="FF0000"/>
                <w:spacing w:val="6"/>
                <w:sz w:val="24"/>
                <w:szCs w:val="24"/>
                <w:lang w:val="en-US" w:eastAsia="zh-CN"/>
              </w:rPr>
              <w:t>三级标准</w:t>
            </w:r>
            <w:r>
              <w:rPr>
                <w:rFonts w:hint="eastAsia"/>
                <w:color w:val="FF0000"/>
                <w:sz w:val="24"/>
                <w:szCs w:val="28"/>
                <w:lang w:eastAsia="zh-CN"/>
              </w:rPr>
              <w:t>。具体标准值见表3-</w:t>
            </w:r>
            <w:r>
              <w:rPr>
                <w:rFonts w:hint="eastAsia"/>
                <w:color w:val="FF0000"/>
                <w:sz w:val="24"/>
                <w:szCs w:val="28"/>
                <w:lang w:val="en-US" w:eastAsia="zh-CN"/>
              </w:rPr>
              <w:t>10</w:t>
            </w:r>
            <w:r>
              <w:rPr>
                <w:rFonts w:hint="eastAsia"/>
                <w:color w:val="FF0000"/>
                <w:sz w:val="24"/>
                <w:szCs w:val="28"/>
                <w:lang w:eastAsia="zh-CN"/>
              </w:rPr>
              <w:t>。</w:t>
            </w:r>
          </w:p>
          <w:p>
            <w:pPr>
              <w:pStyle w:val="3"/>
              <w:spacing w:before="0" w:after="0" w:line="240" w:lineRule="auto"/>
              <w:jc w:val="center"/>
              <w:rPr>
                <w:rFonts w:hint="default" w:ascii="Times New Roman" w:hAnsi="Times New Roman" w:eastAsia="宋体" w:cs="Times New Roman"/>
                <w:color w:val="FF0000"/>
                <w:sz w:val="21"/>
                <w:szCs w:val="21"/>
                <w:lang w:val="zh-CN" w:eastAsia="zh-CN"/>
              </w:rPr>
            </w:pPr>
            <w:r>
              <w:rPr>
                <w:rFonts w:hint="default" w:ascii="Times New Roman" w:hAnsi="Times New Roman" w:eastAsia="宋体" w:cs="Times New Roman"/>
                <w:color w:val="FF0000"/>
                <w:sz w:val="21"/>
                <w:szCs w:val="21"/>
                <w:lang w:val="zh-CN" w:eastAsia="zh-CN"/>
              </w:rPr>
              <w:t>表3-</w:t>
            </w:r>
            <w:r>
              <w:rPr>
                <w:rFonts w:hint="eastAsia" w:ascii="Times New Roman" w:hAnsi="Times New Roman" w:eastAsia="宋体" w:cs="Times New Roman"/>
                <w:color w:val="FF0000"/>
                <w:sz w:val="21"/>
                <w:szCs w:val="21"/>
                <w:lang w:val="en-US" w:eastAsia="zh-CN"/>
              </w:rPr>
              <w:t>10</w:t>
            </w:r>
            <w:r>
              <w:rPr>
                <w:rFonts w:hint="default" w:ascii="Times New Roman" w:hAnsi="Times New Roman" w:eastAsia="宋体" w:cs="Times New Roman"/>
                <w:color w:val="FF0000"/>
                <w:sz w:val="21"/>
                <w:szCs w:val="21"/>
                <w:lang w:val="zh-CN" w:eastAsia="zh-CN"/>
              </w:rPr>
              <w:t xml:space="preserve">   GB8978-1996表4中相关污水排放执行标准 单位：mg/L</w:t>
            </w:r>
          </w:p>
          <w:tbl>
            <w:tblPr>
              <w:tblStyle w:val="28"/>
              <w:tblW w:w="8157"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03"/>
              <w:gridCol w:w="882"/>
              <w:gridCol w:w="884"/>
              <w:gridCol w:w="897"/>
              <w:gridCol w:w="901"/>
              <w:gridCol w:w="910"/>
              <w:gridCol w:w="88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251" w:hRule="atLeast"/>
                <w:jc w:val="center"/>
              </w:trPr>
              <w:tc>
                <w:tcPr>
                  <w:tcW w:w="2803" w:type="dxa"/>
                  <w:tcBorders>
                    <w:left w:val="nil"/>
                    <w:bottom w:val="single" w:color="000000" w:sz="6" w:space="0"/>
                    <w:right w:val="single" w:color="000000" w:sz="6" w:space="0"/>
                  </w:tcBorders>
                  <w:vAlign w:val="center"/>
                </w:tcPr>
                <w:p>
                  <w:pPr>
                    <w:pStyle w:val="39"/>
                    <w:spacing w:line="252" w:lineRule="exact"/>
                    <w:ind w:left="66" w:right="31"/>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排放标准</w:t>
                  </w:r>
                </w:p>
              </w:tc>
              <w:tc>
                <w:tcPr>
                  <w:tcW w:w="882" w:type="dxa"/>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pH</w:t>
                  </w:r>
                </w:p>
              </w:tc>
              <w:tc>
                <w:tcPr>
                  <w:tcW w:w="884" w:type="dxa"/>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SS</w:t>
                  </w:r>
                </w:p>
              </w:tc>
              <w:tc>
                <w:tcPr>
                  <w:tcW w:w="897" w:type="dxa"/>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COD</w:t>
                  </w:r>
                </w:p>
              </w:tc>
              <w:tc>
                <w:tcPr>
                  <w:tcW w:w="901" w:type="dxa"/>
                  <w:tcBorders>
                    <w:left w:val="single" w:color="000000" w:sz="6" w:space="0"/>
                    <w:bottom w:val="single" w:color="000000" w:sz="6" w:space="0"/>
                    <w:right w:val="single" w:color="000000" w:sz="6" w:space="0"/>
                  </w:tcBorders>
                  <w:vAlign w:val="center"/>
                </w:tcPr>
                <w:p>
                  <w:pPr>
                    <w:pStyle w:val="39"/>
                    <w:spacing w:before="12" w:line="240" w:lineRule="exact"/>
                    <w:ind w:left="99" w:right="71"/>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position w:val="2"/>
                      <w:sz w:val="21"/>
                      <w:szCs w:val="21"/>
                    </w:rPr>
                    <w:t>BOD</w:t>
                  </w:r>
                  <w:r>
                    <w:rPr>
                      <w:rFonts w:hint="default" w:ascii="Times New Roman" w:hAnsi="Times New Roman" w:eastAsia="宋体" w:cs="Times New Roman"/>
                      <w:color w:val="FF0000"/>
                      <w:position w:val="2"/>
                      <w:sz w:val="21"/>
                      <w:szCs w:val="21"/>
                      <w:vertAlign w:val="subscript"/>
                    </w:rPr>
                    <w:t>5</w:t>
                  </w:r>
                </w:p>
              </w:tc>
              <w:tc>
                <w:tcPr>
                  <w:tcW w:w="910" w:type="dxa"/>
                  <w:tcBorders>
                    <w:left w:val="single" w:color="000000" w:sz="6" w:space="0"/>
                    <w:bottom w:val="single" w:color="000000" w:sz="6" w:space="0"/>
                    <w:right w:val="single" w:color="000000" w:sz="6" w:space="0"/>
                  </w:tcBorders>
                  <w:vAlign w:val="center"/>
                </w:tcPr>
                <w:p>
                  <w:pPr>
                    <w:pStyle w:val="39"/>
                    <w:spacing w:before="12" w:line="240" w:lineRule="exact"/>
                    <w:ind w:left="130" w:right="103"/>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position w:val="2"/>
                      <w:sz w:val="21"/>
                      <w:szCs w:val="21"/>
                    </w:rPr>
                    <w:t>NH</w:t>
                  </w:r>
                  <w:r>
                    <w:rPr>
                      <w:rFonts w:hint="default" w:ascii="Times New Roman" w:hAnsi="Times New Roman" w:eastAsia="宋体" w:cs="Times New Roman"/>
                      <w:color w:val="FF0000"/>
                      <w:position w:val="2"/>
                      <w:sz w:val="21"/>
                      <w:szCs w:val="21"/>
                      <w:vertAlign w:val="subscript"/>
                    </w:rPr>
                    <w:t>3</w:t>
                  </w:r>
                  <w:r>
                    <w:rPr>
                      <w:rFonts w:hint="default" w:ascii="Times New Roman" w:hAnsi="Times New Roman" w:eastAsia="宋体" w:cs="Times New Roman"/>
                      <w:color w:val="FF0000"/>
                      <w:position w:val="2"/>
                      <w:sz w:val="21"/>
                      <w:szCs w:val="21"/>
                      <w:vertAlign w:val="baseline"/>
                    </w:rPr>
                    <w:t>-N</w:t>
                  </w:r>
                </w:p>
              </w:tc>
              <w:tc>
                <w:tcPr>
                  <w:tcW w:w="880" w:type="dxa"/>
                  <w:tcBorders>
                    <w:left w:val="single" w:color="000000" w:sz="6" w:space="0"/>
                    <w:bottom w:val="single" w:color="000000" w:sz="6" w:space="0"/>
                    <w:right w:val="nil"/>
                  </w:tcBorders>
                  <w:vAlign w:val="center"/>
                </w:tcPr>
                <w:p>
                  <w:pPr>
                    <w:pStyle w:val="39"/>
                    <w:spacing w:line="252" w:lineRule="exact"/>
                    <w:ind w:left="114" w:right="96"/>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石油类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493" w:hRule="atLeast"/>
                <w:jc w:val="center"/>
              </w:trPr>
              <w:tc>
                <w:tcPr>
                  <w:tcW w:w="2803" w:type="dxa"/>
                  <w:tcBorders>
                    <w:top w:val="single" w:color="000000" w:sz="6" w:space="0"/>
                    <w:left w:val="nil"/>
                    <w:bottom w:val="single" w:color="000000" w:sz="6" w:space="0"/>
                    <w:right w:val="single" w:color="000000" w:sz="6" w:space="0"/>
                  </w:tcBorders>
                  <w:vAlign w:val="center"/>
                </w:tcPr>
                <w:p>
                  <w:pPr>
                    <w:pStyle w:val="39"/>
                    <w:ind w:left="63" w:right="31"/>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《污水综合排放标准》</w:t>
                  </w:r>
                </w:p>
                <w:p>
                  <w:pPr>
                    <w:pStyle w:val="39"/>
                    <w:spacing w:before="4" w:line="251" w:lineRule="exact"/>
                    <w:ind w:left="68" w:right="31"/>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（GB8978-1996）中三级标准</w:t>
                  </w:r>
                </w:p>
              </w:tc>
              <w:tc>
                <w:tcPr>
                  <w:tcW w:w="882"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6-9</w:t>
                  </w:r>
                </w:p>
              </w:tc>
              <w:tc>
                <w:tcPr>
                  <w:tcW w:w="8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400</w:t>
                  </w:r>
                </w:p>
              </w:tc>
              <w:tc>
                <w:tcPr>
                  <w:tcW w:w="89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500</w:t>
                  </w:r>
                </w:p>
              </w:tc>
              <w:tc>
                <w:tcPr>
                  <w:tcW w:w="901"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300</w:t>
                  </w:r>
                </w:p>
              </w:tc>
              <w:tc>
                <w:tcPr>
                  <w:tcW w:w="91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45*</w:t>
                  </w:r>
                </w:p>
              </w:tc>
              <w:tc>
                <w:tcPr>
                  <w:tcW w:w="880" w:type="dxa"/>
                  <w:tcBorders>
                    <w:top w:val="single" w:color="000000" w:sz="6" w:space="0"/>
                    <w:left w:val="single" w:color="000000" w:sz="6" w:space="0"/>
                    <w:bottom w:val="single" w:color="000000" w:sz="6" w:space="0"/>
                    <w:right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p>
              </w:tc>
            </w:tr>
          </w:tbl>
          <w:p>
            <w:pPr>
              <w:spacing w:line="360" w:lineRule="auto"/>
              <w:ind w:firstLine="504" w:firstLineChars="200"/>
              <w:rPr>
                <w:rFonts w:hint="default" w:ascii="Times New Roman" w:hAnsi="Times New Roman" w:eastAsia="宋体" w:cs="Times New Roman"/>
                <w:color w:val="FF0000"/>
                <w:spacing w:val="6"/>
                <w:sz w:val="24"/>
                <w:szCs w:val="24"/>
                <w:lang w:val="en-US" w:eastAsia="zh-CN"/>
              </w:rPr>
            </w:pP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含有毒有害微生物实验室废水，就地进行</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酸碱中和、</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化学消毒</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高压蒸汽灭菌器高温灭菌消毒）一同排入</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化粪池预</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处理后排放至市政污水管网，最终进入</w:t>
            </w:r>
            <w:r>
              <w:rPr>
                <w:rFonts w:hint="eastAsia" w:ascii="Times New Roman" w:hAnsi="Times New Roman" w:eastAsia="宋体" w:cs="Times New Roman"/>
                <w:color w:val="000000" w:themeColor="text1"/>
                <w:spacing w:val="6"/>
                <w:sz w:val="24"/>
                <w:szCs w:val="24"/>
                <w:lang w:val="en-US" w:eastAsia="zh-CN"/>
                <w14:textFill>
                  <w14:solidFill>
                    <w14:schemeClr w14:val="tx1"/>
                  </w14:solidFill>
                </w14:textFill>
              </w:rPr>
              <w:t>宁县生活污水</w:t>
            </w:r>
            <w:r>
              <w:rPr>
                <w:rFonts w:hint="default" w:ascii="Times New Roman" w:hAnsi="Times New Roman" w:eastAsia="宋体" w:cs="Times New Roman"/>
                <w:color w:val="000000" w:themeColor="text1"/>
                <w:spacing w:val="6"/>
                <w:sz w:val="24"/>
                <w:szCs w:val="24"/>
                <w:lang w:val="en-US" w:eastAsia="zh-CN"/>
                <w14:textFill>
                  <w14:solidFill>
                    <w14:schemeClr w14:val="tx1"/>
                  </w14:solidFill>
                </w14:textFill>
              </w:rPr>
              <w:t>处理厂处理。</w:t>
            </w:r>
            <w:r>
              <w:rPr>
                <w:rFonts w:hint="eastAsia" w:ascii="Times New Roman" w:hAnsi="Times New Roman" w:eastAsia="宋体" w:cs="Times New Roman"/>
                <w:color w:val="FF0000"/>
                <w:spacing w:val="6"/>
                <w:sz w:val="24"/>
                <w:szCs w:val="24"/>
                <w:lang w:val="en-US" w:eastAsia="zh-CN"/>
              </w:rPr>
              <w:t>由于本建设项目的检测项目大多为传染性疾病，参照执行《医疗机构水污染排放标准》（GB18466-2005）表1传染病、结核病医疗机构水污染物排放标准限值（日均值）标准限值，同时满足《污水综合排放标准》（GB8978-1996）三级标准要求详见表3-11。</w:t>
            </w:r>
          </w:p>
          <w:p>
            <w:pPr>
              <w:snapToGrid w:val="0"/>
              <w:jc w:val="center"/>
              <w:rPr>
                <w:rFonts w:hint="default" w:ascii="Times New Roman" w:hAnsi="Times New Roman" w:cs="Times New Roman" w:eastAsiaTheme="minorEastAsia"/>
                <w:b/>
                <w:color w:val="FF0000"/>
                <w:kern w:val="0"/>
                <w:sz w:val="21"/>
                <w:szCs w:val="20"/>
              </w:rPr>
            </w:pPr>
            <w:r>
              <w:rPr>
                <w:rFonts w:hint="default" w:ascii="Times New Roman" w:hAnsi="Times New Roman" w:cs="Times New Roman" w:eastAsiaTheme="minorEastAsia"/>
                <w:b/>
                <w:color w:val="FF0000"/>
                <w:kern w:val="0"/>
                <w:sz w:val="21"/>
                <w:szCs w:val="20"/>
              </w:rPr>
              <w:t>表</w:t>
            </w:r>
            <w:r>
              <w:rPr>
                <w:rFonts w:hint="default" w:ascii="Times New Roman" w:hAnsi="Times New Roman" w:cs="Times New Roman" w:eastAsiaTheme="minorEastAsia"/>
                <w:b/>
                <w:color w:val="FF0000"/>
                <w:kern w:val="0"/>
                <w:sz w:val="21"/>
                <w:szCs w:val="20"/>
                <w:lang w:val="en-US" w:eastAsia="zh-CN"/>
              </w:rPr>
              <w:t>3-</w:t>
            </w:r>
            <w:r>
              <w:rPr>
                <w:rFonts w:hint="eastAsia" w:ascii="Times New Roman" w:hAnsi="Times New Roman" w:cs="Times New Roman"/>
                <w:b/>
                <w:color w:val="FF0000"/>
                <w:kern w:val="0"/>
                <w:sz w:val="21"/>
                <w:szCs w:val="20"/>
                <w:lang w:val="en-US" w:eastAsia="zh-CN"/>
              </w:rPr>
              <w:t>11</w:t>
            </w:r>
            <w:r>
              <w:rPr>
                <w:rFonts w:hint="default" w:ascii="Times New Roman" w:hAnsi="Times New Roman" w:cs="Times New Roman" w:eastAsiaTheme="minorEastAsia"/>
                <w:b/>
                <w:color w:val="FF0000"/>
                <w:kern w:val="0"/>
                <w:sz w:val="21"/>
                <w:szCs w:val="20"/>
              </w:rPr>
              <w:t xml:space="preserve">       传染病、结核病医疗机构水污染物排放限值（日均值）</w:t>
            </w:r>
          </w:p>
          <w:tbl>
            <w:tblPr>
              <w:tblStyle w:val="28"/>
              <w:tblW w:w="8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358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0" w:hRule="atLeast"/>
                <w:jc w:val="center"/>
              </w:trPr>
              <w:tc>
                <w:tcPr>
                  <w:tcW w:w="187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序号</w:t>
                  </w:r>
                </w:p>
              </w:tc>
              <w:tc>
                <w:tcPr>
                  <w:tcW w:w="358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项目</w:t>
                  </w:r>
                </w:p>
              </w:tc>
              <w:tc>
                <w:tcPr>
                  <w:tcW w:w="27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0" w:hRule="atLeast"/>
                <w:jc w:val="center"/>
              </w:trPr>
              <w:tc>
                <w:tcPr>
                  <w:tcW w:w="18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1</w:t>
                  </w:r>
                </w:p>
              </w:tc>
              <w:tc>
                <w:tcPr>
                  <w:tcW w:w="35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粪大肠菌群数（MPN/L）</w:t>
                  </w:r>
                </w:p>
              </w:tc>
              <w:tc>
                <w:tcPr>
                  <w:tcW w:w="2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8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2</w:t>
                  </w:r>
                </w:p>
              </w:tc>
              <w:tc>
                <w:tcPr>
                  <w:tcW w:w="35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肠道致病菌</w:t>
                  </w:r>
                </w:p>
              </w:tc>
              <w:tc>
                <w:tcPr>
                  <w:tcW w:w="2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8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3</w:t>
                  </w:r>
                </w:p>
              </w:tc>
              <w:tc>
                <w:tcPr>
                  <w:tcW w:w="35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肠道病毒</w:t>
                  </w:r>
                </w:p>
              </w:tc>
              <w:tc>
                <w:tcPr>
                  <w:tcW w:w="2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8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4</w:t>
                  </w:r>
                </w:p>
              </w:tc>
              <w:tc>
                <w:tcPr>
                  <w:tcW w:w="35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结核杆菌</w:t>
                  </w:r>
                </w:p>
              </w:tc>
              <w:tc>
                <w:tcPr>
                  <w:tcW w:w="278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bl>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lang w:eastAsia="zh-CN"/>
                <w14:textFill>
                  <w14:solidFill>
                    <w14:schemeClr w14:val="tx1"/>
                  </w14:solidFill>
                </w14:textFill>
              </w:rPr>
              <w:t>3、噪声</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bookmarkStart w:id="23" w:name="_Ref170113298"/>
            <w:r>
              <w:rPr>
                <w:rFonts w:hint="eastAsia" w:ascii="Times New Roman" w:hAnsi="Times New Roman" w:eastAsia="宋体" w:cs="Times New Roman"/>
                <w:color w:val="000000" w:themeColor="text1"/>
                <w:sz w:val="24"/>
                <w:szCs w:val="24"/>
                <w:lang w:eastAsia="zh-CN"/>
                <w14:textFill>
                  <w14:solidFill>
                    <w14:schemeClr w14:val="tx1"/>
                  </w14:solidFill>
                </w14:textFill>
              </w:rPr>
              <w:t>施工</w:t>
            </w:r>
            <w:r>
              <w:rPr>
                <w:rFonts w:ascii="Times New Roman" w:hAnsi="Times New Roman" w:eastAsia="宋体" w:cs="Times New Roman"/>
                <w:color w:val="000000" w:themeColor="text1"/>
                <w:sz w:val="24"/>
                <w:szCs w:val="24"/>
                <w:lang w:eastAsia="zh-CN"/>
                <w14:textFill>
                  <w14:solidFill>
                    <w14:schemeClr w14:val="tx1"/>
                  </w14:solidFill>
                </w14:textFill>
              </w:rPr>
              <w:t>期噪声标准执行《建筑施工场界环境噪声排放标准》（GB12523-2011）标准，具体见表</w:t>
            </w:r>
            <w:r>
              <w:rPr>
                <w:rFonts w:hint="eastAsia" w:ascii="Times New Roman" w:hAnsi="Times New Roman" w:eastAsia="宋体" w:cs="Times New Roman"/>
                <w:color w:val="000000" w:themeColor="text1"/>
                <w:sz w:val="24"/>
                <w:szCs w:val="24"/>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w:t>
            </w:r>
            <w:r>
              <w:rPr>
                <w:rFonts w:ascii="Times New Roman" w:hAnsi="Times New Roman" w:eastAsia="宋体" w:cs="Times New Roman"/>
                <w:color w:val="000000" w:themeColor="text1"/>
                <w:sz w:val="24"/>
                <w:szCs w:val="24"/>
                <w:lang w:eastAsia="zh-CN"/>
                <w14:textFill>
                  <w14:solidFill>
                    <w14:schemeClr w14:val="tx1"/>
                  </w14:solidFill>
                </w14:textFill>
              </w:rPr>
              <w:t>。</w:t>
            </w:r>
          </w:p>
          <w:p>
            <w:pPr>
              <w:snapToGrid w:val="0"/>
              <w:jc w:val="center"/>
              <w:rPr>
                <w:rFonts w:hint="default" w:ascii="Times New Roman" w:hAnsi="Times New Roman" w:cs="Times New Roman" w:eastAsiaTheme="minorEastAsia"/>
                <w:b/>
                <w:color w:val="000000" w:themeColor="text1"/>
                <w:kern w:val="0"/>
                <w:sz w:val="21"/>
                <w:szCs w:val="20"/>
                <w:lang w:eastAsia="zh-CN"/>
                <w14:textFill>
                  <w14:solidFill>
                    <w14:schemeClr w14:val="tx1"/>
                  </w14:solidFill>
                </w14:textFill>
              </w:rPr>
            </w:pPr>
            <w:r>
              <w:rPr>
                <w:rFonts w:hint="default" w:ascii="Times New Roman" w:hAnsi="Times New Roman" w:cs="Times New Roman" w:eastAsiaTheme="minorEastAsia"/>
                <w:b/>
                <w:color w:val="000000" w:themeColor="text1"/>
                <w:kern w:val="0"/>
                <w:sz w:val="21"/>
                <w:szCs w:val="20"/>
                <w:lang w:eastAsia="zh-CN"/>
                <w14:textFill>
                  <w14:solidFill>
                    <w14:schemeClr w14:val="tx1"/>
                  </w14:solidFill>
                </w14:textFill>
              </w:rPr>
              <w:t>表</w:t>
            </w:r>
            <w:bookmarkEnd w:id="23"/>
            <w:r>
              <w:rPr>
                <w:rFonts w:hint="eastAsia" w:ascii="Times New Roman" w:hAnsi="Times New Roman" w:cs="Times New Roman" w:eastAsiaTheme="minorEastAsia"/>
                <w:b/>
                <w:color w:val="000000" w:themeColor="text1"/>
                <w:kern w:val="0"/>
                <w:sz w:val="21"/>
                <w:szCs w:val="20"/>
                <w:lang w:eastAsia="zh-CN"/>
                <w14:textFill>
                  <w14:solidFill>
                    <w14:schemeClr w14:val="tx1"/>
                  </w14:solidFill>
                </w14:textFill>
              </w:rPr>
              <w:t>3--</w:t>
            </w:r>
            <w:r>
              <w:rPr>
                <w:rFonts w:hint="eastAsia" w:ascii="Times New Roman" w:hAnsi="Times New Roman" w:cs="Times New Roman" w:eastAsiaTheme="minorEastAsia"/>
                <w:b/>
                <w:color w:val="000000" w:themeColor="text1"/>
                <w:kern w:val="0"/>
                <w:sz w:val="21"/>
                <w:szCs w:val="20"/>
                <w:lang w:val="en-US" w:eastAsia="zh-CN"/>
                <w14:textFill>
                  <w14:solidFill>
                    <w14:schemeClr w14:val="tx1"/>
                  </w14:solidFill>
                </w14:textFill>
              </w:rPr>
              <w:t>12</w:t>
            </w:r>
            <w:r>
              <w:rPr>
                <w:rFonts w:hint="default" w:ascii="Times New Roman" w:hAnsi="Times New Roman" w:cs="Times New Roman" w:eastAsiaTheme="minorEastAsia"/>
                <w:b/>
                <w:color w:val="000000" w:themeColor="text1"/>
                <w:kern w:val="0"/>
                <w:sz w:val="21"/>
                <w:szCs w:val="20"/>
                <w:lang w:eastAsia="zh-CN"/>
                <w14:textFill>
                  <w14:solidFill>
                    <w14:schemeClr w14:val="tx1"/>
                  </w14:solidFill>
                </w14:textFill>
              </w:rPr>
              <w:t xml:space="preserve">  </w:t>
            </w:r>
            <w:r>
              <w:rPr>
                <w:rFonts w:hint="eastAsia" w:ascii="Times New Roman" w:hAnsi="Times New Roman" w:cs="Times New Roman" w:eastAsiaTheme="minorEastAsia"/>
                <w:b/>
                <w:color w:val="000000" w:themeColor="text1"/>
                <w:kern w:val="0"/>
                <w:sz w:val="21"/>
                <w:szCs w:val="20"/>
                <w:lang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0"/>
                <w:lang w:eastAsia="zh-CN"/>
                <w14:textFill>
                  <w14:solidFill>
                    <w14:schemeClr w14:val="tx1"/>
                  </w14:solidFill>
                </w14:textFill>
              </w:rPr>
              <w:t xml:space="preserve"> 建筑施工场界噪声排放限值         dB（A）</w:t>
            </w:r>
          </w:p>
          <w:tbl>
            <w:tblPr>
              <w:tblStyle w:val="28"/>
              <w:tblW w:w="829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148"/>
              <w:gridCol w:w="4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77" w:hRule="exact"/>
                <w:jc w:val="center"/>
              </w:trPr>
              <w:tc>
                <w:tcPr>
                  <w:tcW w:w="4148" w:type="dxa"/>
                  <w:tcBorders>
                    <w:tl2br w:val="nil"/>
                    <w:tr2bl w:val="nil"/>
                  </w:tcBorders>
                  <w:vAlign w:val="center"/>
                </w:tcPr>
                <w:p>
                  <w:pPr>
                    <w:spacing w:line="280" w:lineRule="exact"/>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昼间</w:t>
                  </w:r>
                </w:p>
              </w:tc>
              <w:tc>
                <w:tcPr>
                  <w:tcW w:w="4151" w:type="dxa"/>
                  <w:tcBorders>
                    <w:tl2br w:val="nil"/>
                    <w:tr2bl w:val="nil"/>
                  </w:tcBorders>
                  <w:vAlign w:val="center"/>
                </w:tcPr>
                <w:p>
                  <w:pPr>
                    <w:spacing w:line="280" w:lineRule="exact"/>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285" w:hRule="exact"/>
                <w:jc w:val="center"/>
              </w:trPr>
              <w:tc>
                <w:tcPr>
                  <w:tcW w:w="4148" w:type="dxa"/>
                  <w:tcBorders>
                    <w:tl2br w:val="nil"/>
                    <w:tr2bl w:val="nil"/>
                  </w:tcBorders>
                  <w:vAlign w:val="center"/>
                </w:tcPr>
                <w:p>
                  <w:pPr>
                    <w:spacing w:line="280" w:lineRule="exact"/>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70</w:t>
                  </w:r>
                </w:p>
              </w:tc>
              <w:tc>
                <w:tcPr>
                  <w:tcW w:w="4151" w:type="dxa"/>
                  <w:tcBorders>
                    <w:tl2br w:val="nil"/>
                    <w:tr2bl w:val="nil"/>
                  </w:tcBorders>
                  <w:vAlign w:val="center"/>
                </w:tcPr>
                <w:p>
                  <w:pPr>
                    <w:spacing w:line="280" w:lineRule="exact"/>
                    <w:jc w:val="center"/>
                    <w:rPr>
                      <w:color w:val="000000" w:themeColor="text1"/>
                      <w:sz w:val="21"/>
                      <w:szCs w:val="21"/>
                      <w:lang w:eastAsia="zh-CN"/>
                      <w14:textFill>
                        <w14:solidFill>
                          <w14:schemeClr w14:val="tx1"/>
                        </w14:solidFill>
                      </w14:textFill>
                    </w:rPr>
                  </w:pPr>
                  <w:r>
                    <w:rPr>
                      <w:color w:val="000000" w:themeColor="text1"/>
                      <w:sz w:val="21"/>
                      <w:szCs w:val="21"/>
                      <w:lang w:eastAsia="zh-CN"/>
                      <w14:textFill>
                        <w14:solidFill>
                          <w14:schemeClr w14:val="tx1"/>
                        </w14:solidFill>
                      </w14:textFill>
                    </w:rPr>
                    <w:t>55</w:t>
                  </w:r>
                </w:p>
              </w:tc>
            </w:tr>
          </w:tbl>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本项目所在区域为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ascii="Times New Roman" w:hAnsi="Times New Roman" w:eastAsia="宋体" w:cs="Times New Roman"/>
                <w:color w:val="000000" w:themeColor="text1"/>
                <w:sz w:val="24"/>
                <w:szCs w:val="24"/>
                <w:lang w:eastAsia="zh-CN"/>
                <w14:textFill>
                  <w14:solidFill>
                    <w14:schemeClr w14:val="tx1"/>
                  </w14:solidFill>
                </w14:textFill>
              </w:rPr>
              <w:t>类区，本项目</w:t>
            </w:r>
            <w:r>
              <w:rPr>
                <w:rFonts w:hint="eastAsia"/>
                <w:bCs/>
                <w:color w:val="000000" w:themeColor="text1"/>
                <w:sz w:val="24"/>
                <w:lang w:eastAsia="zh-CN"/>
                <w14:textFill>
                  <w14:solidFill>
                    <w14:schemeClr w14:val="tx1"/>
                  </w14:solidFill>
                </w14:textFill>
              </w:rPr>
              <w:t>运营期</w:t>
            </w:r>
            <w:r>
              <w:rPr>
                <w:rFonts w:hint="eastAsia"/>
                <w:bCs/>
                <w:color w:val="000000" w:themeColor="text1"/>
                <w:sz w:val="24"/>
                <w:szCs w:val="24"/>
                <w:lang w:eastAsia="zh-CN"/>
                <w14:textFill>
                  <w14:solidFill>
                    <w14:schemeClr w14:val="tx1"/>
                  </w14:solidFill>
                </w14:textFill>
              </w:rPr>
              <w:t>噪声执行</w:t>
            </w:r>
            <w:r>
              <w:rPr>
                <w:bCs/>
                <w:color w:val="000000" w:themeColor="text1"/>
                <w:kern w:val="44"/>
                <w:sz w:val="24"/>
                <w:szCs w:val="24"/>
                <w:lang w:eastAsia="zh-CN"/>
                <w14:textFill>
                  <w14:solidFill>
                    <w14:schemeClr w14:val="tx1"/>
                  </w14:solidFill>
                </w14:textFill>
              </w:rPr>
              <w:t>《</w:t>
            </w:r>
            <w:r>
              <w:rPr>
                <w:rFonts w:hint="eastAsia"/>
                <w:bCs/>
                <w:color w:val="000000" w:themeColor="text1"/>
                <w:kern w:val="44"/>
                <w:sz w:val="24"/>
                <w:szCs w:val="24"/>
                <w:lang w:eastAsia="zh-CN"/>
                <w14:textFill>
                  <w14:solidFill>
                    <w14:schemeClr w14:val="tx1"/>
                  </w14:solidFill>
                </w14:textFill>
              </w:rPr>
              <w:t>社会生活</w:t>
            </w:r>
            <w:r>
              <w:rPr>
                <w:bCs/>
                <w:color w:val="000000" w:themeColor="text1"/>
                <w:kern w:val="44"/>
                <w:sz w:val="24"/>
                <w:szCs w:val="24"/>
                <w:lang w:eastAsia="zh-CN"/>
                <w14:textFill>
                  <w14:solidFill>
                    <w14:schemeClr w14:val="tx1"/>
                  </w14:solidFill>
                </w14:textFill>
              </w:rPr>
              <w:t>环境噪声排放标准》（GB</w:t>
            </w:r>
            <w:r>
              <w:rPr>
                <w:rFonts w:hint="eastAsia"/>
                <w:bCs/>
                <w:color w:val="000000" w:themeColor="text1"/>
                <w:kern w:val="44"/>
                <w:sz w:val="24"/>
                <w:szCs w:val="24"/>
                <w:lang w:eastAsia="zh-CN"/>
                <w14:textFill>
                  <w14:solidFill>
                    <w14:schemeClr w14:val="tx1"/>
                  </w14:solidFill>
                </w14:textFill>
              </w:rPr>
              <w:t>22337</w:t>
            </w:r>
            <w:r>
              <w:rPr>
                <w:bCs/>
                <w:color w:val="000000" w:themeColor="text1"/>
                <w:kern w:val="44"/>
                <w:sz w:val="24"/>
                <w:szCs w:val="24"/>
                <w:lang w:eastAsia="zh-CN"/>
                <w14:textFill>
                  <w14:solidFill>
                    <w14:schemeClr w14:val="tx1"/>
                  </w14:solidFill>
                </w14:textFill>
              </w:rPr>
              <w:t>-2008）</w:t>
            </w:r>
            <w:r>
              <w:rPr>
                <w:rFonts w:ascii="Times New Roman" w:hAnsi="Times New Roman" w:eastAsia="宋体" w:cs="Times New Roman"/>
                <w:color w:val="000000" w:themeColor="text1"/>
                <w:sz w:val="24"/>
                <w:szCs w:val="24"/>
                <w:lang w:eastAsia="zh-CN"/>
                <w14:textFill>
                  <w14:solidFill>
                    <w14:schemeClr w14:val="tx1"/>
                  </w14:solidFill>
                </w14:textFill>
              </w:rPr>
              <w:t>，具体限值见表3-</w:t>
            </w:r>
            <w:r>
              <w:rPr>
                <w:rFonts w:hint="eastAsia" w:ascii="Times New Roman" w:hAnsi="Times New Roman" w:eastAsia="宋体" w:cs="Times New Roman"/>
                <w:color w:val="000000" w:themeColor="text1"/>
                <w:sz w:val="24"/>
                <w:szCs w:val="24"/>
                <w:lang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lang w:eastAsia="zh-CN"/>
                <w14:textFill>
                  <w14:solidFill>
                    <w14:schemeClr w14:val="tx1"/>
                  </w14:solidFill>
                </w14:textFill>
              </w:rPr>
              <w:t>。</w:t>
            </w:r>
          </w:p>
          <w:p>
            <w:pPr>
              <w:snapToGrid w:val="0"/>
              <w:jc w:val="center"/>
              <w:rPr>
                <w:rFonts w:hint="default" w:ascii="Times New Roman" w:hAnsi="Times New Roman" w:cs="Times New Roman" w:eastAsiaTheme="minorEastAsia"/>
                <w:b/>
                <w:color w:val="000000" w:themeColor="text1"/>
                <w:kern w:val="0"/>
                <w:sz w:val="21"/>
                <w:szCs w:val="20"/>
                <w:lang w:val="zh-CN" w:eastAsia="zh-CN"/>
                <w14:textFill>
                  <w14:solidFill>
                    <w14:schemeClr w14:val="tx1"/>
                  </w14:solidFill>
                </w14:textFill>
              </w:rPr>
            </w:pPr>
            <w:r>
              <w:rPr>
                <w:rFonts w:hint="default" w:ascii="Times New Roman" w:hAnsi="Times New Roman" w:cs="Times New Roman" w:eastAsiaTheme="minorEastAsia"/>
                <w:b/>
                <w:color w:val="000000" w:themeColor="text1"/>
                <w:kern w:val="0"/>
                <w:sz w:val="21"/>
                <w:szCs w:val="20"/>
                <w:lang w:val="zh-CN" w:eastAsia="zh-CN"/>
                <w14:textFill>
                  <w14:solidFill>
                    <w14:schemeClr w14:val="tx1"/>
                  </w14:solidFill>
                </w14:textFill>
              </w:rPr>
              <w:t>表3-</w:t>
            </w:r>
            <w:r>
              <w:rPr>
                <w:rFonts w:hint="eastAsia" w:ascii="Times New Roman" w:hAnsi="Times New Roman" w:cs="Times New Roman" w:eastAsiaTheme="minorEastAsia"/>
                <w:b/>
                <w:color w:val="000000" w:themeColor="text1"/>
                <w:kern w:val="0"/>
                <w:sz w:val="21"/>
                <w:szCs w:val="20"/>
                <w:lang w:eastAsia="zh-CN"/>
                <w14:textFill>
                  <w14:solidFill>
                    <w14:schemeClr w14:val="tx1"/>
                  </w14:solidFill>
                </w14:textFill>
              </w:rPr>
              <w:t>1</w:t>
            </w:r>
            <w:r>
              <w:rPr>
                <w:rFonts w:hint="eastAsia" w:ascii="Times New Roman" w:hAnsi="Times New Roman" w:cs="Times New Roman" w:eastAsiaTheme="minorEastAsia"/>
                <w:b/>
                <w:color w:val="000000" w:themeColor="text1"/>
                <w:kern w:val="0"/>
                <w:sz w:val="21"/>
                <w:szCs w:val="20"/>
                <w:lang w:val="en-US" w:eastAsia="zh-CN"/>
                <w14:textFill>
                  <w14:solidFill>
                    <w14:schemeClr w14:val="tx1"/>
                  </w14:solidFill>
                </w14:textFill>
              </w:rPr>
              <w:t>3</w:t>
            </w:r>
            <w:r>
              <w:rPr>
                <w:rFonts w:hint="default" w:ascii="Times New Roman" w:hAnsi="Times New Roman" w:cs="Times New Roman" w:eastAsiaTheme="minorEastAsia"/>
                <w:b/>
                <w:color w:val="000000" w:themeColor="text1"/>
                <w:kern w:val="0"/>
                <w:sz w:val="21"/>
                <w:szCs w:val="20"/>
                <w:lang w:val="zh-CN" w:eastAsia="zh-CN"/>
                <w14:textFill>
                  <w14:solidFill>
                    <w14:schemeClr w14:val="tx1"/>
                  </w14:solidFill>
                </w14:textFill>
              </w:rPr>
              <w:t xml:space="preserve"> </w:t>
            </w:r>
            <w:r>
              <w:rPr>
                <w:rFonts w:hint="eastAsia" w:ascii="Times New Roman" w:hAnsi="Times New Roman" w:cs="Times New Roman"/>
                <w:b/>
                <w:color w:val="000000" w:themeColor="text1"/>
                <w:kern w:val="0"/>
                <w:sz w:val="21"/>
                <w:szCs w:val="20"/>
                <w:lang w:val="en-US" w:eastAsia="zh-CN"/>
                <w14:textFill>
                  <w14:solidFill>
                    <w14:schemeClr w14:val="tx1"/>
                  </w14:solidFill>
                </w14:textFill>
              </w:rPr>
              <w:t xml:space="preserve">    </w:t>
            </w:r>
            <w:r>
              <w:rPr>
                <w:rFonts w:hint="default" w:ascii="Times New Roman" w:hAnsi="Times New Roman" w:cs="Times New Roman" w:eastAsiaTheme="minorEastAsia"/>
                <w:b/>
                <w:color w:val="000000" w:themeColor="text1"/>
                <w:kern w:val="0"/>
                <w:sz w:val="21"/>
                <w:szCs w:val="20"/>
                <w:lang w:val="zh-CN" w:eastAsia="zh-CN"/>
                <w14:textFill>
                  <w14:solidFill>
                    <w14:schemeClr w14:val="tx1"/>
                  </w14:solidFill>
                </w14:textFill>
              </w:rPr>
              <w:t>社会生活环境噪声排放标准    单位：dB(A)</w:t>
            </w:r>
          </w:p>
          <w:tbl>
            <w:tblPr>
              <w:tblStyle w:val="28"/>
              <w:tblW w:w="83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696"/>
              <w:gridCol w:w="24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3298" w:type="dxa"/>
                  <w:tcBorders>
                    <w:tl2br w:val="nil"/>
                    <w:tr2bl w:val="nil"/>
                  </w:tcBorders>
                  <w:vAlign w:val="center"/>
                </w:tcPr>
                <w:p>
                  <w:pPr>
                    <w:snapToGrid w:val="0"/>
                    <w:jc w:val="center"/>
                    <w:rPr>
                      <w:rFonts w:ascii="Times New Roman" w:hAnsi="Times New Roman" w:eastAsia="宋体" w:cs="Times New Roman"/>
                      <w:bCs/>
                      <w:color w:val="000000" w:themeColor="text1"/>
                      <w:sz w:val="21"/>
                      <w:szCs w:val="21"/>
                      <w:lang w:eastAsia="zh-CN"/>
                      <w14:textFill>
                        <w14:solidFill>
                          <w14:schemeClr w14:val="tx1"/>
                        </w14:solidFill>
                      </w14:textFill>
                    </w:rPr>
                  </w:pPr>
                  <w:r>
                    <w:rPr>
                      <w:rFonts w:ascii="Times New Roman" w:hAnsi="Times New Roman" w:eastAsia="宋体" w:cs="Times New Roman"/>
                      <w:bCs/>
                      <w:color w:val="000000" w:themeColor="text1"/>
                      <w:sz w:val="21"/>
                      <w:szCs w:val="21"/>
                      <w:lang w:eastAsia="zh-CN"/>
                      <w14:textFill>
                        <w14:solidFill>
                          <w14:schemeClr w14:val="tx1"/>
                        </w14:solidFill>
                      </w14:textFill>
                    </w:rPr>
                    <w:t>声环境功能区类别</w:t>
                  </w:r>
                </w:p>
              </w:tc>
              <w:tc>
                <w:tcPr>
                  <w:tcW w:w="2696" w:type="dxa"/>
                  <w:tcBorders>
                    <w:tl2br w:val="nil"/>
                    <w:tr2bl w:val="nil"/>
                  </w:tcBorders>
                  <w:vAlign w:val="center"/>
                </w:tcPr>
                <w:p>
                  <w:pPr>
                    <w:snapToGrid w:val="0"/>
                    <w:jc w:val="center"/>
                    <w:rPr>
                      <w:rFonts w:ascii="Times New Roman" w:hAnsi="Times New Roman" w:eastAsia="宋体" w:cs="Times New Roman"/>
                      <w:bCs/>
                      <w:color w:val="000000" w:themeColor="text1"/>
                      <w:sz w:val="21"/>
                      <w:szCs w:val="21"/>
                      <w:lang w:eastAsia="zh-CN"/>
                      <w14:textFill>
                        <w14:solidFill>
                          <w14:schemeClr w14:val="tx1"/>
                        </w14:solidFill>
                      </w14:textFill>
                    </w:rPr>
                  </w:pPr>
                  <w:r>
                    <w:rPr>
                      <w:rFonts w:ascii="Times New Roman" w:hAnsi="Times New Roman" w:eastAsia="宋体" w:cs="Times New Roman"/>
                      <w:bCs/>
                      <w:color w:val="000000" w:themeColor="text1"/>
                      <w:sz w:val="21"/>
                      <w:szCs w:val="21"/>
                      <w:lang w:eastAsia="zh-CN"/>
                      <w14:textFill>
                        <w14:solidFill>
                          <w14:schemeClr w14:val="tx1"/>
                        </w14:solidFill>
                      </w14:textFill>
                    </w:rPr>
                    <w:t>昼间</w:t>
                  </w:r>
                </w:p>
              </w:tc>
              <w:tc>
                <w:tcPr>
                  <w:tcW w:w="2404" w:type="dxa"/>
                  <w:tcBorders>
                    <w:tl2br w:val="nil"/>
                    <w:tr2bl w:val="nil"/>
                  </w:tcBorders>
                  <w:vAlign w:val="center"/>
                </w:tcPr>
                <w:p>
                  <w:pPr>
                    <w:snapToGrid w:val="0"/>
                    <w:jc w:val="center"/>
                    <w:rPr>
                      <w:rFonts w:ascii="Times New Roman" w:hAnsi="Times New Roman" w:eastAsia="宋体" w:cs="Times New Roman"/>
                      <w:bCs/>
                      <w:color w:val="000000" w:themeColor="text1"/>
                      <w:sz w:val="21"/>
                      <w:szCs w:val="21"/>
                      <w:lang w:eastAsia="zh-CN"/>
                      <w14:textFill>
                        <w14:solidFill>
                          <w14:schemeClr w14:val="tx1"/>
                        </w14:solidFill>
                      </w14:textFill>
                    </w:rPr>
                  </w:pPr>
                  <w:r>
                    <w:rPr>
                      <w:rFonts w:ascii="Times New Roman" w:hAnsi="Times New Roman" w:eastAsia="宋体" w:cs="Times New Roman"/>
                      <w:bCs/>
                      <w:color w:val="000000" w:themeColor="text1"/>
                      <w:sz w:val="21"/>
                      <w:szCs w:val="21"/>
                      <w:lang w:eastAsia="zh-CN"/>
                      <w14:textFill>
                        <w14:solidFill>
                          <w14:schemeClr w14:val="tx1"/>
                        </w14:solidFill>
                      </w14:textFill>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3298" w:type="dxa"/>
                  <w:tcBorders>
                    <w:tl2br w:val="nil"/>
                    <w:tr2bl w:val="nil"/>
                  </w:tcBorders>
                  <w:vAlign w:val="center"/>
                </w:tcPr>
                <w:p>
                  <w:pPr>
                    <w:snapToGrid w:val="0"/>
                    <w:jc w:val="center"/>
                    <w:rPr>
                      <w:rFonts w:ascii="Times New Roman" w:hAnsi="Times New Roman" w:eastAsia="宋体" w:cs="Times New Roman"/>
                      <w:bCs/>
                      <w:color w:val="000000" w:themeColor="text1"/>
                      <w:sz w:val="21"/>
                      <w:szCs w:val="21"/>
                      <w:lang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2</w:t>
                  </w:r>
                </w:p>
              </w:tc>
              <w:tc>
                <w:tcPr>
                  <w:tcW w:w="2696" w:type="dxa"/>
                  <w:tcBorders>
                    <w:tl2br w:val="nil"/>
                    <w:tr2bl w:val="nil"/>
                  </w:tcBorders>
                  <w:vAlign w:val="center"/>
                </w:tcPr>
                <w:p>
                  <w:pPr>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60</w:t>
                  </w:r>
                </w:p>
              </w:tc>
              <w:tc>
                <w:tcPr>
                  <w:tcW w:w="2404" w:type="dxa"/>
                  <w:tcBorders>
                    <w:tl2br w:val="nil"/>
                    <w:tr2bl w:val="nil"/>
                  </w:tcBorders>
                  <w:vAlign w:val="center"/>
                </w:tcPr>
                <w:p>
                  <w:pPr>
                    <w:snapToGrid w:val="0"/>
                    <w:jc w:val="center"/>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50</w:t>
                  </w:r>
                </w:p>
              </w:tc>
            </w:tr>
          </w:tbl>
          <w:p>
            <w:pPr>
              <w:spacing w:line="360" w:lineRule="auto"/>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b/>
                <w:color w:val="000000" w:themeColor="text1"/>
                <w:sz w:val="24"/>
                <w:szCs w:val="24"/>
                <w:lang w:eastAsia="zh-CN"/>
                <w14:textFill>
                  <w14:solidFill>
                    <w14:schemeClr w14:val="tx1"/>
                  </w14:solidFill>
                </w14:textFill>
              </w:rPr>
              <w:t>4、固废</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项目运营期一般固体废物执行《一般工业固体废物贮存和填埋污染控制标准》（GB18599-2020）要求。</w:t>
            </w:r>
          </w:p>
          <w:p>
            <w:pPr>
              <w:spacing w:line="360" w:lineRule="auto"/>
              <w:ind w:firstLine="504" w:firstLineChars="200"/>
              <w:rPr>
                <w:rFonts w:hint="eastAsia" w:ascii="Times New Roman" w:hAnsi="Times New Roman" w:eastAsia="宋体" w:cs="Times New Roman"/>
                <w:color w:val="000000" w:themeColor="text1"/>
                <w:spacing w:val="6"/>
                <w:sz w:val="24"/>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危险废物的收集、贮存和运输应严格执行《医疗废物管理条例》、《危险废物贮存污染控制标准》（GB18597-20</w:t>
            </w: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23</w:t>
            </w:r>
            <w:r>
              <w:rPr>
                <w:rFonts w:hint="default" w:ascii="Times New Roman" w:hAnsi="Times New Roman" w:eastAsia="宋体" w:cs="Times New Roman"/>
                <w:color w:val="000000" w:themeColor="text1"/>
                <w:spacing w:val="6"/>
                <w:sz w:val="24"/>
                <w:lang w:val="en-US" w:eastAsia="zh-CN"/>
                <w14:textFill>
                  <w14:solidFill>
                    <w14:schemeClr w14:val="tx1"/>
                  </w14:solidFill>
                </w14:textFill>
              </w:rPr>
              <w:t>）</w:t>
            </w:r>
            <w:r>
              <w:rPr>
                <w:rFonts w:hint="eastAsia" w:ascii="Times New Roman" w:hAnsi="Times New Roman" w:eastAsia="宋体" w:cs="Times New Roman"/>
                <w:color w:val="000000" w:themeColor="text1"/>
                <w:spacing w:val="6"/>
                <w:sz w:val="24"/>
                <w:lang w:val="en-US" w:eastAsia="zh-CN"/>
                <w14:textFill>
                  <w14:solidFill>
                    <w14:schemeClr w14:val="tx1"/>
                  </w14:solidFill>
                </w14:textFill>
              </w:rPr>
              <w:t>。</w:t>
            </w:r>
          </w:p>
          <w:p>
            <w:pPr>
              <w:spacing w:line="360" w:lineRule="auto"/>
              <w:ind w:firstLine="504" w:firstLineChars="200"/>
              <w:rPr>
                <w:rFonts w:hint="eastAsia" w:ascii="Times New Roman" w:hAnsi="Times New Roman" w:eastAsia="宋体" w:cs="Times New Roman"/>
                <w:color w:val="FF0000"/>
                <w:spacing w:val="6"/>
                <w:sz w:val="24"/>
                <w:szCs w:val="24"/>
                <w:lang w:val="en-US" w:eastAsia="zh-CN"/>
              </w:rPr>
            </w:pPr>
            <w:r>
              <w:rPr>
                <w:rFonts w:hint="eastAsia" w:ascii="Times New Roman" w:hAnsi="Times New Roman" w:eastAsia="宋体" w:cs="Times New Roman"/>
                <w:color w:val="FF0000"/>
                <w:spacing w:val="6"/>
                <w:sz w:val="24"/>
                <w:szCs w:val="24"/>
                <w:lang w:val="en-US" w:eastAsia="zh-CN"/>
              </w:rPr>
              <w:t>由于本建设项目的检测项目大多为传染性疾病，</w:t>
            </w:r>
            <w:r>
              <w:commentReference w:id="5"/>
            </w:r>
            <w:r>
              <w:rPr>
                <w:rFonts w:hint="eastAsia"/>
                <w:color w:val="0000FF"/>
                <w:sz w:val="24"/>
                <w:szCs w:val="24"/>
                <w:lang w:val="en-US" w:eastAsia="zh-CN"/>
              </w:rPr>
              <w:t>化粪池污泥</w:t>
            </w:r>
            <w:r>
              <w:rPr>
                <w:rFonts w:hint="eastAsia" w:ascii="Times New Roman" w:hAnsi="Times New Roman" w:eastAsia="宋体" w:cs="Times New Roman"/>
                <w:color w:val="FF0000"/>
                <w:spacing w:val="6"/>
                <w:sz w:val="24"/>
                <w:szCs w:val="24"/>
                <w:lang w:val="en-US" w:eastAsia="zh-CN"/>
              </w:rPr>
              <w:t>参照执行《医疗机构水污染排放标准》（GB18466-2005）表4传染病、结核病医疗机构污泥控制要求，具体见表3-14.</w:t>
            </w:r>
          </w:p>
          <w:p>
            <w:pPr>
              <w:snapToGrid w:val="0"/>
              <w:jc w:val="center"/>
              <w:rPr>
                <w:rFonts w:hint="default" w:ascii="Times New Roman" w:hAnsi="Times New Roman" w:cs="Times New Roman" w:eastAsiaTheme="minorEastAsia"/>
                <w:b/>
                <w:color w:val="FF0000"/>
                <w:kern w:val="0"/>
                <w:sz w:val="21"/>
                <w:szCs w:val="20"/>
                <w:lang w:val="en-US" w:eastAsia="zh-CN"/>
              </w:rPr>
            </w:pPr>
            <w:r>
              <w:rPr>
                <w:rFonts w:hint="default" w:ascii="Times New Roman" w:hAnsi="Times New Roman" w:cs="Times New Roman" w:eastAsiaTheme="minorEastAsia"/>
                <w:b/>
                <w:color w:val="FF0000"/>
                <w:kern w:val="0"/>
                <w:sz w:val="21"/>
                <w:szCs w:val="20"/>
                <w:lang w:val="zh-CN" w:eastAsia="zh-CN"/>
              </w:rPr>
              <w:t>表</w:t>
            </w:r>
            <w:r>
              <w:rPr>
                <w:rFonts w:hint="default" w:ascii="Times New Roman" w:hAnsi="Times New Roman" w:cs="Times New Roman" w:eastAsiaTheme="minorEastAsia"/>
                <w:b/>
                <w:color w:val="FF0000"/>
                <w:kern w:val="0"/>
                <w:sz w:val="21"/>
                <w:szCs w:val="20"/>
                <w:lang w:val="en-US" w:eastAsia="zh-CN"/>
              </w:rPr>
              <w:t>3-</w:t>
            </w:r>
            <w:r>
              <w:rPr>
                <w:rFonts w:hint="eastAsia" w:ascii="Times New Roman" w:hAnsi="Times New Roman" w:cs="Times New Roman" w:eastAsiaTheme="minorEastAsia"/>
                <w:b/>
                <w:color w:val="FF0000"/>
                <w:kern w:val="0"/>
                <w:sz w:val="21"/>
                <w:szCs w:val="20"/>
                <w:lang w:val="en-US" w:eastAsia="zh-CN"/>
              </w:rPr>
              <w:t>14</w:t>
            </w:r>
            <w:r>
              <w:rPr>
                <w:rFonts w:hint="default" w:ascii="Times New Roman" w:hAnsi="Times New Roman" w:cs="Times New Roman" w:eastAsiaTheme="minorEastAsia"/>
                <w:b/>
                <w:color w:val="FF0000"/>
                <w:kern w:val="0"/>
                <w:sz w:val="21"/>
                <w:szCs w:val="20"/>
                <w:lang w:val="zh-CN" w:eastAsia="zh-CN"/>
              </w:rPr>
              <w:t xml:space="preserve">       传染病、结核病医疗机构</w:t>
            </w:r>
            <w:r>
              <w:rPr>
                <w:rFonts w:hint="eastAsia" w:ascii="Times New Roman" w:hAnsi="Times New Roman" w:cs="Times New Roman" w:eastAsiaTheme="minorEastAsia"/>
                <w:b/>
                <w:color w:val="FF0000"/>
                <w:kern w:val="0"/>
                <w:sz w:val="21"/>
                <w:szCs w:val="20"/>
                <w:lang w:val="en-US" w:eastAsia="zh-CN"/>
              </w:rPr>
              <w:t>污泥控制要求</w:t>
            </w:r>
          </w:p>
          <w:tbl>
            <w:tblPr>
              <w:tblStyle w:val="28"/>
              <w:tblW w:w="8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3602"/>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8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序号</w:t>
                  </w:r>
                </w:p>
              </w:tc>
              <w:tc>
                <w:tcPr>
                  <w:tcW w:w="360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项目</w:t>
                  </w:r>
                </w:p>
              </w:tc>
              <w:tc>
                <w:tcPr>
                  <w:tcW w:w="279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color w:val="FF0000"/>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1</w:t>
                  </w:r>
                </w:p>
              </w:tc>
              <w:tc>
                <w:tcPr>
                  <w:tcW w:w="360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粪大肠菌群数（MPN/L）</w:t>
                  </w:r>
                </w:p>
              </w:tc>
              <w:tc>
                <w:tcPr>
                  <w:tcW w:w="27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Arial" w:hAnsi="Arial" w:eastAsia="宋体" w:cs="Arial"/>
                      <w:b w:val="0"/>
                      <w:bCs w:val="0"/>
                      <w:i w:val="0"/>
                      <w:iCs w:val="0"/>
                      <w:color w:val="FF0000"/>
                      <w:kern w:val="0"/>
                      <w:sz w:val="21"/>
                      <w:szCs w:val="21"/>
                      <w:u w:val="none"/>
                      <w:lang w:val="en-US" w:eastAsia="zh-CN" w:bidi="ar"/>
                    </w:rPr>
                    <w:t>≤</w:t>
                  </w:r>
                  <w:r>
                    <w:rPr>
                      <w:rFonts w:hint="default" w:ascii="Times New Roman" w:hAnsi="Times New Roman" w:eastAsia="宋体" w:cs="Times New Roman"/>
                      <w:b w:val="0"/>
                      <w:bCs w:val="0"/>
                      <w:i w:val="0"/>
                      <w:iCs w:val="0"/>
                      <w:color w:val="FF0000"/>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2</w:t>
                  </w:r>
                </w:p>
              </w:tc>
              <w:tc>
                <w:tcPr>
                  <w:tcW w:w="360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肠道致病菌</w:t>
                  </w:r>
                </w:p>
              </w:tc>
              <w:tc>
                <w:tcPr>
                  <w:tcW w:w="27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8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3</w:t>
                  </w:r>
                </w:p>
              </w:tc>
              <w:tc>
                <w:tcPr>
                  <w:tcW w:w="360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肠道病毒</w:t>
                  </w:r>
                </w:p>
              </w:tc>
              <w:tc>
                <w:tcPr>
                  <w:tcW w:w="27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18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4</w:t>
                  </w:r>
                </w:p>
              </w:tc>
              <w:tc>
                <w:tcPr>
                  <w:tcW w:w="360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结核杆菌</w:t>
                  </w:r>
                </w:p>
              </w:tc>
              <w:tc>
                <w:tcPr>
                  <w:tcW w:w="27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FF0000"/>
                      <w:sz w:val="21"/>
                      <w:szCs w:val="21"/>
                    </w:rPr>
                  </w:pPr>
                  <w:r>
                    <w:rPr>
                      <w:rFonts w:hint="default" w:ascii="Times New Roman" w:hAnsi="Times New Roman" w:eastAsia="宋体" w:cs="Times New Roman"/>
                      <w:b w:val="0"/>
                      <w:bCs w:val="0"/>
                      <w:i w:val="0"/>
                      <w:iCs w:val="0"/>
                      <w:color w:val="FF0000"/>
                      <w:kern w:val="0"/>
                      <w:sz w:val="21"/>
                      <w:szCs w:val="21"/>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2" w:hRule="atLeast"/>
                <w:jc w:val="center"/>
              </w:trPr>
              <w:tc>
                <w:tcPr>
                  <w:tcW w:w="18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FF0000"/>
                      <w:kern w:val="0"/>
                      <w:sz w:val="21"/>
                      <w:szCs w:val="21"/>
                      <w:u w:val="none"/>
                      <w:lang w:val="en-US" w:eastAsia="zh-CN" w:bidi="ar"/>
                    </w:rPr>
                  </w:pPr>
                  <w:r>
                    <w:rPr>
                      <w:rFonts w:hint="eastAsia" w:ascii="Times New Roman" w:hAnsi="Times New Roman" w:eastAsia="宋体" w:cs="Times New Roman"/>
                      <w:b w:val="0"/>
                      <w:bCs w:val="0"/>
                      <w:i w:val="0"/>
                      <w:iCs w:val="0"/>
                      <w:color w:val="FF0000"/>
                      <w:kern w:val="0"/>
                      <w:sz w:val="21"/>
                      <w:szCs w:val="21"/>
                      <w:u w:val="none"/>
                      <w:lang w:val="en-US" w:eastAsia="zh-CN" w:bidi="ar"/>
                    </w:rPr>
                    <w:t>5</w:t>
                  </w:r>
                </w:p>
              </w:tc>
              <w:tc>
                <w:tcPr>
                  <w:tcW w:w="360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FF0000"/>
                      <w:kern w:val="0"/>
                      <w:sz w:val="21"/>
                      <w:szCs w:val="21"/>
                      <w:u w:val="none"/>
                      <w:lang w:val="en-US" w:eastAsia="zh-CN" w:bidi="ar"/>
                    </w:rPr>
                  </w:pPr>
                  <w:r>
                    <w:rPr>
                      <w:rFonts w:hint="eastAsia" w:ascii="Times New Roman" w:hAnsi="Times New Roman" w:eastAsia="宋体" w:cs="Times New Roman"/>
                      <w:b w:val="0"/>
                      <w:bCs w:val="0"/>
                      <w:i w:val="0"/>
                      <w:iCs w:val="0"/>
                      <w:color w:val="FF0000"/>
                      <w:kern w:val="0"/>
                      <w:sz w:val="21"/>
                      <w:szCs w:val="21"/>
                      <w:u w:val="none"/>
                      <w:lang w:val="en-US" w:eastAsia="zh-CN" w:bidi="ar"/>
                    </w:rPr>
                    <w:t>蛔虫卵死亡率</w:t>
                  </w:r>
                </w:p>
              </w:tc>
              <w:tc>
                <w:tcPr>
                  <w:tcW w:w="279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i w:val="0"/>
                      <w:iCs w:val="0"/>
                      <w:color w:val="FF0000"/>
                      <w:kern w:val="0"/>
                      <w:sz w:val="21"/>
                      <w:szCs w:val="21"/>
                      <w:u w:val="none"/>
                      <w:lang w:val="en-US" w:eastAsia="zh-CN" w:bidi="ar"/>
                    </w:rPr>
                  </w:pPr>
                  <w:r>
                    <w:rPr>
                      <w:rFonts w:hint="eastAsia" w:ascii="微软雅黑" w:hAnsi="微软雅黑" w:eastAsia="微软雅黑" w:cs="微软雅黑"/>
                      <w:b w:val="0"/>
                      <w:bCs w:val="0"/>
                      <w:i w:val="0"/>
                      <w:iCs w:val="0"/>
                      <w:color w:val="FF0000"/>
                      <w:kern w:val="0"/>
                      <w:sz w:val="21"/>
                      <w:szCs w:val="21"/>
                      <w:u w:val="none"/>
                      <w:lang w:val="en-US" w:eastAsia="zh-CN" w:bidi="ar"/>
                    </w:rPr>
                    <w:t>&gt;</w:t>
                  </w:r>
                  <w:r>
                    <w:rPr>
                      <w:rFonts w:hint="eastAsia" w:ascii="Times New Roman" w:hAnsi="Times New Roman" w:eastAsia="宋体" w:cs="Times New Roman"/>
                      <w:b w:val="0"/>
                      <w:bCs w:val="0"/>
                      <w:i w:val="0"/>
                      <w:iCs w:val="0"/>
                      <w:color w:val="FF0000"/>
                      <w:kern w:val="0"/>
                      <w:sz w:val="21"/>
                      <w:szCs w:val="21"/>
                      <w:u w:val="none"/>
                      <w:lang w:val="en-US" w:eastAsia="zh-CN" w:bidi="ar"/>
                    </w:rPr>
                    <w:t>95%</w:t>
                  </w:r>
                </w:p>
              </w:tc>
            </w:tr>
          </w:tbl>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9" w:type="dxa"/>
            <w:vAlign w:val="center"/>
          </w:tcPr>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总量</w:t>
            </w:r>
          </w:p>
          <w:p>
            <w:pPr>
              <w:pStyle w:val="24"/>
              <w:adjustRightInd w:val="0"/>
              <w:snapToGrid w:val="0"/>
              <w:spacing w:before="0" w:beforeAutospacing="0" w:after="0" w:afterAutospacing="0"/>
              <w:jc w:val="center"/>
              <w:rPr>
                <w:rFonts w:ascii="Times New Roman" w:hAnsi="Times New Roman"/>
                <w:color w:val="000000" w:themeColor="text1"/>
                <w:kern w:val="2"/>
                <w:szCs w:val="24"/>
                <w:lang w:val="zh-CN"/>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控制</w:t>
            </w:r>
          </w:p>
          <w:p>
            <w:pPr>
              <w:pStyle w:val="24"/>
              <w:adjustRightInd w:val="0"/>
              <w:snapToGrid w:val="0"/>
              <w:spacing w:before="0" w:beforeAutospacing="0" w:after="0" w:afterAutospacing="0"/>
              <w:jc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kern w:val="2"/>
                <w:szCs w:val="24"/>
                <w:lang w:val="zh-CN"/>
                <w14:textFill>
                  <w14:solidFill>
                    <w14:schemeClr w14:val="tx1"/>
                  </w14:solidFill>
                </w14:textFill>
              </w:rPr>
              <w:t>指标</w:t>
            </w:r>
          </w:p>
        </w:tc>
        <w:tc>
          <w:tcPr>
            <w:tcW w:w="8190" w:type="dxa"/>
          </w:tcPr>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bookmarkStart w:id="24" w:name="_Toc17170"/>
            <w:bookmarkStart w:id="25" w:name="_Toc21834"/>
            <w:bookmarkStart w:id="26" w:name="_Toc19630"/>
            <w:r>
              <w:rPr>
                <w:rFonts w:hint="eastAsia" w:ascii="宋体" w:hAnsi="宋体" w:eastAsia="宋体" w:cs="宋体"/>
                <w:color w:val="000000" w:themeColor="text1"/>
                <w:sz w:val="24"/>
                <w:szCs w:val="24"/>
                <w:lang w:val="en-US" w:eastAsia="zh-CN"/>
                <w14:textFill>
                  <w14:solidFill>
                    <w14:schemeClr w14:val="tx1"/>
                  </w14:solidFill>
                </w14:textFill>
              </w:rPr>
              <w:t>本项目冬季采用集中供暖，污水最终排入市政污水管网。因此，本项目总量控制指标由污水处理厂统一设置，本评价不再建议总量控制指标。</w:t>
            </w:r>
            <w:bookmarkEnd w:id="24"/>
            <w:bookmarkEnd w:id="25"/>
            <w:bookmarkEnd w:id="26"/>
          </w:p>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24"/>
              <w:adjustRightInd w:val="0"/>
              <w:snapToGrid w:val="0"/>
              <w:spacing w:before="0" w:beforeAutospacing="0" w:after="0" w:afterAutospacing="0"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pStyle w:val="24"/>
              <w:adjustRightInd w:val="0"/>
              <w:snapToGrid w:val="0"/>
              <w:spacing w:before="0" w:beforeAutospacing="0" w:after="0" w:afterAutospacing="0"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p>
        </w:tc>
      </w:tr>
    </w:tbl>
    <w:p>
      <w:pPr>
        <w:spacing w:before="5" w:line="360" w:lineRule="auto"/>
        <w:jc w:val="center"/>
        <w:outlineLvl w:val="0"/>
        <w:rPr>
          <w:rFonts w:ascii="Times New Roman" w:hAnsi="Times New Roman" w:eastAsia="宋体"/>
          <w:b/>
          <w:color w:val="000000" w:themeColor="text1"/>
          <w:sz w:val="30"/>
          <w:szCs w:val="30"/>
          <w:lang w:eastAsia="zh-CN"/>
          <w14:textFill>
            <w14:solidFill>
              <w14:schemeClr w14:val="tx1"/>
            </w14:solidFill>
          </w14:textFill>
        </w:rPr>
      </w:pPr>
      <w:bookmarkStart w:id="27" w:name="_Toc20652"/>
      <w:r>
        <w:rPr>
          <w:rFonts w:ascii="Times New Roman" w:hAnsi="Times New Roman" w:eastAsia="宋体"/>
          <w:b/>
          <w:color w:val="000000" w:themeColor="text1"/>
          <w:sz w:val="30"/>
          <w:szCs w:val="30"/>
          <w:lang w:eastAsia="zh-CN"/>
          <w14:textFill>
            <w14:solidFill>
              <w14:schemeClr w14:val="tx1"/>
            </w14:solidFill>
          </w14:textFill>
        </w:rPr>
        <w:t>四、主要环境影响和保护措施</w:t>
      </w:r>
      <w:bookmarkEnd w:id="27"/>
    </w:p>
    <w:tbl>
      <w:tblPr>
        <w:tblStyle w:val="28"/>
        <w:tblW w:w="963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872" w:hRule="atLeast"/>
          <w:jc w:val="center"/>
        </w:trPr>
        <w:tc>
          <w:tcPr>
            <w:tcW w:w="1056" w:type="dxa"/>
            <w:tcMar>
              <w:left w:w="28" w:type="dxa"/>
              <w:right w:w="28" w:type="dxa"/>
            </w:tcMar>
            <w:vAlign w:val="center"/>
          </w:tcPr>
          <w:p>
            <w:pPr>
              <w:pStyle w:val="24"/>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施工</w:t>
            </w:r>
          </w:p>
          <w:p>
            <w:pPr>
              <w:pStyle w:val="24"/>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期环</w:t>
            </w:r>
          </w:p>
          <w:p>
            <w:pPr>
              <w:pStyle w:val="24"/>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境保</w:t>
            </w:r>
          </w:p>
          <w:p>
            <w:pPr>
              <w:pStyle w:val="24"/>
              <w:adjustRightInd w:val="0"/>
              <w:snapToGrid w:val="0"/>
              <w:spacing w:before="0" w:beforeAutospacing="0" w:after="0" w:afterAutospacing="0"/>
              <w:jc w:val="center"/>
              <w:rPr>
                <w:rFonts w:ascii="Times New Roman" w:hAnsi="Times New Roman"/>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护措</w:t>
            </w:r>
          </w:p>
          <w:p>
            <w:pPr>
              <w:pStyle w:val="24"/>
              <w:adjustRightInd w:val="0"/>
              <w:snapToGrid w:val="0"/>
              <w:spacing w:before="0" w:beforeAutospacing="0" w:after="0" w:afterAutospacing="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color w:val="000000" w:themeColor="text1"/>
                <w:kern w:val="2"/>
                <w:szCs w:val="24"/>
                <w14:textFill>
                  <w14:solidFill>
                    <w14:schemeClr w14:val="tx1"/>
                  </w14:solidFill>
                </w14:textFill>
              </w:rPr>
              <w:t>施</w:t>
            </w:r>
          </w:p>
        </w:tc>
        <w:tc>
          <w:tcPr>
            <w:tcW w:w="8579" w:type="dxa"/>
            <w:vAlign w:val="center"/>
          </w:tcPr>
          <w:p>
            <w:pPr>
              <w:spacing w:line="360" w:lineRule="auto"/>
              <w:ind w:firstLine="480" w:firstLineChars="200"/>
              <w:rPr>
                <w:rFonts w:hint="default" w:ascii="Times New Roman" w:hAnsi="Times New Roman" w:eastAsia="宋体" w:cs="Times New Roman"/>
                <w:color w:val="FF0000"/>
                <w:kern w:val="24"/>
                <w:sz w:val="24"/>
                <w:lang w:eastAsia="zh-CN"/>
              </w:rPr>
            </w:pPr>
            <w:r>
              <w:rPr>
                <w:rFonts w:hint="default" w:ascii="Times New Roman" w:hAnsi="Times New Roman" w:eastAsia="宋体" w:cs="Times New Roman"/>
                <w:color w:val="FF0000"/>
                <w:kern w:val="24"/>
                <w:sz w:val="24"/>
              </w:rPr>
              <w:t>本项目办公实验用房</w:t>
            </w:r>
            <w:r>
              <w:rPr>
                <w:rFonts w:hint="eastAsia" w:ascii="Times New Roman" w:hAnsi="Times New Roman" w:eastAsia="宋体" w:cs="Times New Roman"/>
                <w:color w:val="FF0000"/>
                <w:kern w:val="24"/>
                <w:sz w:val="24"/>
                <w:lang w:val="en-US" w:eastAsia="zh-CN"/>
              </w:rPr>
              <w:t>在现有办公楼内</w:t>
            </w:r>
            <w:r>
              <w:rPr>
                <w:rFonts w:hint="default" w:ascii="Times New Roman" w:hAnsi="Times New Roman" w:eastAsia="宋体" w:cs="Times New Roman"/>
                <w:color w:val="FF0000"/>
                <w:kern w:val="24"/>
                <w:sz w:val="24"/>
              </w:rPr>
              <w:t>，不</w:t>
            </w:r>
            <w:r>
              <w:rPr>
                <w:rFonts w:hint="default" w:ascii="Times New Roman" w:hAnsi="Times New Roman" w:eastAsia="宋体" w:cs="Times New Roman"/>
                <w:color w:val="FF0000"/>
                <w:kern w:val="24"/>
                <w:sz w:val="24"/>
                <w:lang w:eastAsia="zh-CN"/>
              </w:rPr>
              <w:t>进行大规模的</w:t>
            </w:r>
            <w:r>
              <w:rPr>
                <w:rFonts w:hint="default" w:ascii="Times New Roman" w:hAnsi="Times New Roman" w:eastAsia="宋体" w:cs="Times New Roman"/>
                <w:color w:val="FF0000"/>
                <w:kern w:val="24"/>
                <w:sz w:val="24"/>
              </w:rPr>
              <w:t>土建工程，施工内容仅有水电气路改造和通风系统、实验室仪器设备安装，</w:t>
            </w:r>
            <w:r>
              <w:rPr>
                <w:rFonts w:hint="default" w:ascii="Times New Roman" w:hAnsi="Times New Roman" w:eastAsia="宋体" w:cs="Times New Roman"/>
                <w:color w:val="FF0000"/>
                <w:kern w:val="24"/>
                <w:sz w:val="24"/>
                <w:lang w:eastAsia="zh-CN"/>
              </w:rPr>
              <w:t>施工量较小，</w:t>
            </w:r>
            <w:r>
              <w:rPr>
                <w:rFonts w:hint="eastAsia" w:ascii="Times New Roman" w:hAnsi="Times New Roman" w:eastAsia="宋体" w:cs="Times New Roman"/>
                <w:color w:val="FF0000"/>
                <w:kern w:val="24"/>
                <w:sz w:val="24"/>
                <w:lang w:val="en-US" w:eastAsia="zh-CN"/>
              </w:rPr>
              <w:t>实验室改造工程已完成，本次施工期环境影响进行回顾性分析</w:t>
            </w:r>
            <w:r>
              <w:rPr>
                <w:rFonts w:hint="default" w:ascii="Times New Roman" w:hAnsi="Times New Roman" w:eastAsia="宋体" w:cs="Times New Roman"/>
                <w:color w:val="FF0000"/>
                <w:kern w:val="24"/>
                <w:sz w:val="24"/>
                <w:lang w:eastAsia="zh-CN"/>
              </w:rPr>
              <w:t>。</w:t>
            </w:r>
          </w:p>
          <w:p>
            <w:pPr>
              <w:pStyle w:val="4"/>
              <w:spacing w:before="0" w:after="0" w:line="360" w:lineRule="auto"/>
              <w:ind w:firstLine="480" w:firstLineChars="200"/>
              <w:rPr>
                <w:rFonts w:eastAsia="华文中宋"/>
                <w:color w:val="FF0000"/>
                <w:sz w:val="24"/>
                <w:lang w:eastAsia="zh-CN"/>
              </w:rPr>
            </w:pPr>
            <w:r>
              <w:rPr>
                <w:rFonts w:hint="eastAsia" w:eastAsia="华文中宋"/>
                <w:color w:val="FF0000"/>
                <w:sz w:val="24"/>
                <w:lang w:eastAsia="zh-CN"/>
              </w:rPr>
              <w:t>4.1、施工期</w:t>
            </w:r>
            <w:r>
              <w:rPr>
                <w:rFonts w:eastAsia="华文中宋"/>
                <w:color w:val="FF0000"/>
                <w:sz w:val="24"/>
                <w:lang w:eastAsia="zh-CN"/>
              </w:rPr>
              <w:t>大气</w:t>
            </w:r>
            <w:r>
              <w:rPr>
                <w:rFonts w:hint="eastAsia" w:eastAsia="华文中宋"/>
                <w:color w:val="FF0000"/>
                <w:sz w:val="24"/>
                <w:lang w:eastAsia="zh-CN"/>
              </w:rPr>
              <w:t>环境保护措施</w:t>
            </w:r>
          </w:p>
          <w:p>
            <w:pPr>
              <w:spacing w:line="360" w:lineRule="auto"/>
              <w:ind w:firstLine="480" w:firstLineChars="200"/>
              <w:rPr>
                <w:rFonts w:hint="default" w:ascii="Times New Roman" w:hAnsi="Times New Roman" w:eastAsia="宋体" w:cs="Times New Roman"/>
                <w:color w:val="FF0000"/>
                <w:sz w:val="24"/>
                <w:szCs w:val="24"/>
                <w:lang w:eastAsia="zh-CN" w:bidi="ar"/>
              </w:rPr>
            </w:pPr>
            <w:r>
              <w:rPr>
                <w:rFonts w:hint="default" w:ascii="Times New Roman" w:hAnsi="Times New Roman" w:eastAsia="宋体" w:cs="Times New Roman"/>
                <w:color w:val="FF0000"/>
                <w:sz w:val="24"/>
                <w:szCs w:val="24"/>
                <w:lang w:eastAsia="zh-CN" w:bidi="ar"/>
              </w:rPr>
              <w:t>本项目室内装修主要为墙砖等。施工阶段不设置施工营地，不提供施工工人食宿。施工期大气污染物主要是：修建筑材料堆放产生的粉尘、室内安装 瓷砖、切割木材等材料时产生的粉尘。粉尘产生量较小，为无组织排放。建筑物装修阶段，室内环境污染控制遵守</w:t>
            </w:r>
            <w:r>
              <w:rPr>
                <w:rFonts w:hint="eastAsia" w:ascii="Times New Roman" w:hAnsi="Times New Roman" w:eastAsia="宋体" w:cs="Times New Roman"/>
                <w:color w:val="FF0000"/>
                <w:sz w:val="24"/>
                <w:szCs w:val="24"/>
                <w:lang w:val="en-US" w:eastAsia="zh-CN" w:bidi="ar"/>
              </w:rPr>
              <w:t>了</w:t>
            </w:r>
            <w:r>
              <w:rPr>
                <w:rFonts w:hint="default" w:ascii="Times New Roman" w:hAnsi="Times New Roman" w:eastAsia="宋体" w:cs="Times New Roman"/>
                <w:color w:val="FF0000"/>
                <w:sz w:val="24"/>
                <w:szCs w:val="24"/>
                <w:lang w:eastAsia="zh-CN" w:bidi="ar"/>
              </w:rPr>
              <w:t>住宅装修工程施工规范，符合《民用建筑工程室内环境污染控制规范》的有关规定，</w:t>
            </w:r>
            <w:r>
              <w:rPr>
                <w:rFonts w:hint="eastAsia" w:ascii="Times New Roman" w:hAnsi="Times New Roman" w:eastAsia="宋体" w:cs="Times New Roman"/>
                <w:color w:val="FF0000"/>
                <w:sz w:val="24"/>
                <w:szCs w:val="24"/>
                <w:lang w:val="en-US" w:eastAsia="zh-CN" w:bidi="ar"/>
              </w:rPr>
              <w:t>装修材料选用了</w:t>
            </w:r>
            <w:r>
              <w:rPr>
                <w:rFonts w:hint="default" w:ascii="Times New Roman" w:hAnsi="Times New Roman" w:eastAsia="宋体" w:cs="Times New Roman"/>
                <w:color w:val="FF0000"/>
                <w:sz w:val="24"/>
                <w:szCs w:val="24"/>
                <w:lang w:eastAsia="zh-CN" w:bidi="ar"/>
              </w:rPr>
              <w:t>低毒、低污染的环保型装修材料。项目装修期间施工时采取遮盖、围挡、喷洒等防尘 措施；运送物料时，采用蓬盖、密闭等防尘措施。</w:t>
            </w:r>
            <w:r>
              <w:rPr>
                <w:rFonts w:hint="eastAsia" w:ascii="Times New Roman" w:hAnsi="Times New Roman" w:eastAsia="宋体" w:cs="Times New Roman"/>
                <w:color w:val="FF0000"/>
                <w:sz w:val="24"/>
                <w:szCs w:val="24"/>
                <w:lang w:val="en-US" w:eastAsia="zh-CN" w:bidi="ar"/>
              </w:rPr>
              <w:t>项目施工期对环境影响较小，无投诉等问题</w:t>
            </w:r>
            <w:r>
              <w:rPr>
                <w:rFonts w:hint="default" w:ascii="Times New Roman" w:hAnsi="Times New Roman" w:eastAsia="宋体" w:cs="Times New Roman"/>
                <w:color w:val="FF0000"/>
                <w:sz w:val="24"/>
                <w:szCs w:val="24"/>
                <w:lang w:eastAsia="zh-CN" w:bidi="ar"/>
              </w:rPr>
              <w:t>。</w:t>
            </w:r>
          </w:p>
          <w:p>
            <w:pPr>
              <w:spacing w:line="360" w:lineRule="auto"/>
              <w:ind w:firstLine="482" w:firstLineChars="200"/>
              <w:rPr>
                <w:rFonts w:eastAsia="宋体"/>
                <w:b/>
                <w:bCs/>
                <w:color w:val="FF0000"/>
                <w:sz w:val="24"/>
                <w:lang w:eastAsia="zh-CN"/>
              </w:rPr>
            </w:pPr>
            <w:r>
              <w:rPr>
                <w:rFonts w:hint="eastAsia"/>
                <w:b/>
                <w:bCs/>
                <w:color w:val="FF0000"/>
                <w:sz w:val="24"/>
                <w:lang w:eastAsia="zh-CN"/>
              </w:rPr>
              <w:t>4.2、施工期废水环境保护措施</w:t>
            </w:r>
          </w:p>
          <w:p>
            <w:pPr>
              <w:spacing w:line="360" w:lineRule="auto"/>
              <w:ind w:firstLine="480" w:firstLineChars="200"/>
              <w:rPr>
                <w:color w:val="FF0000"/>
                <w:sz w:val="24"/>
                <w:lang w:eastAsia="zh-CN"/>
              </w:rPr>
            </w:pPr>
            <w:r>
              <w:rPr>
                <w:rFonts w:hint="eastAsia"/>
                <w:color w:val="FF0000"/>
                <w:sz w:val="24"/>
                <w:szCs w:val="24"/>
                <w:lang w:eastAsia="zh-CN" w:bidi="ar"/>
              </w:rPr>
              <w:t>施工期废水主要为施工人员产生的生活污水，依托</w:t>
            </w:r>
            <w:r>
              <w:rPr>
                <w:rFonts w:hint="eastAsia"/>
                <w:color w:val="FF0000"/>
                <w:sz w:val="24"/>
                <w:szCs w:val="24"/>
                <w:lang w:val="en-US" w:eastAsia="zh-CN" w:bidi="ar"/>
              </w:rPr>
              <w:t>院内现有</w:t>
            </w:r>
            <w:r>
              <w:rPr>
                <w:rFonts w:hint="eastAsia"/>
                <w:color w:val="FF0000"/>
                <w:sz w:val="24"/>
                <w:szCs w:val="24"/>
                <w:lang w:eastAsia="zh-CN" w:bidi="ar"/>
              </w:rPr>
              <w:t>化粪池处理后 排放至市政污水管网，</w:t>
            </w:r>
            <w:r>
              <w:rPr>
                <w:rFonts w:hint="eastAsia"/>
                <w:color w:val="FF0000"/>
                <w:sz w:val="24"/>
                <w:szCs w:val="24"/>
                <w:lang w:val="en-US" w:eastAsia="zh-CN" w:bidi="ar"/>
              </w:rPr>
              <w:t>最终进入宁县生活污水处理厂</w:t>
            </w:r>
            <w:r>
              <w:rPr>
                <w:rFonts w:hint="eastAsia"/>
                <w:color w:val="FF0000"/>
                <w:sz w:val="24"/>
                <w:szCs w:val="24"/>
                <w:lang w:eastAsia="zh-CN" w:bidi="ar"/>
              </w:rPr>
              <w:t>，</w:t>
            </w:r>
            <w:r>
              <w:rPr>
                <w:rFonts w:hint="eastAsia"/>
                <w:color w:val="FF0000"/>
                <w:sz w:val="24"/>
                <w:szCs w:val="24"/>
                <w:lang w:val="en-US" w:eastAsia="zh-CN" w:bidi="ar"/>
              </w:rPr>
              <w:t>项目施工期废水未对周边环境造成影响</w:t>
            </w:r>
            <w:r>
              <w:rPr>
                <w:rFonts w:hint="eastAsia"/>
                <w:color w:val="FF0000"/>
                <w:sz w:val="24"/>
                <w:szCs w:val="24"/>
                <w:lang w:eastAsia="zh-CN" w:bidi="ar"/>
              </w:rPr>
              <w:t>。</w:t>
            </w:r>
          </w:p>
          <w:p>
            <w:pPr>
              <w:spacing w:line="360" w:lineRule="auto"/>
              <w:ind w:firstLine="482" w:firstLineChars="200"/>
              <w:rPr>
                <w:rFonts w:eastAsia="宋体"/>
                <w:b/>
                <w:bCs/>
                <w:color w:val="FF0000"/>
                <w:sz w:val="24"/>
                <w:lang w:eastAsia="zh-CN"/>
              </w:rPr>
            </w:pPr>
            <w:r>
              <w:rPr>
                <w:rFonts w:hint="eastAsia"/>
                <w:b/>
                <w:bCs/>
                <w:color w:val="FF0000"/>
                <w:sz w:val="24"/>
                <w:lang w:eastAsia="zh-CN"/>
              </w:rPr>
              <w:t>4.3、施工期噪声污染防治措施</w:t>
            </w:r>
          </w:p>
          <w:p>
            <w:pPr>
              <w:spacing w:line="360" w:lineRule="auto"/>
              <w:ind w:firstLine="480" w:firstLineChars="200"/>
              <w:rPr>
                <w:color w:val="FF0000"/>
                <w:sz w:val="24"/>
                <w:lang w:eastAsia="zh-CN"/>
              </w:rPr>
            </w:pPr>
            <w:r>
              <w:rPr>
                <w:rFonts w:hint="default" w:ascii="Times New Roman" w:hAnsi="Times New Roman" w:eastAsia="宋体" w:cs="Times New Roman"/>
                <w:color w:val="FF0000"/>
                <w:sz w:val="24"/>
                <w:szCs w:val="24"/>
                <w:lang w:eastAsia="zh-CN" w:bidi="ar"/>
              </w:rPr>
              <w:t>施工期噪声主要是施工现场各类机械设备噪声。由于项目无主体结构施工， 场地噪声主要产生于室内装饰和设备安装两个阶段。机械噪声：主要为装修期间使用的电钻、电锤、切割机等机械设备产生的 噪声，其噪声级为80~100dB（A）。</w:t>
            </w:r>
            <w:r>
              <w:rPr>
                <w:rFonts w:hint="eastAsia" w:ascii="Times New Roman" w:hAnsi="Times New Roman" w:eastAsia="宋体" w:cs="Times New Roman"/>
                <w:color w:val="FF0000"/>
                <w:sz w:val="24"/>
                <w:szCs w:val="24"/>
                <w:lang w:val="en-US" w:eastAsia="zh-CN" w:bidi="ar"/>
              </w:rPr>
              <w:t>项目</w:t>
            </w:r>
            <w:r>
              <w:rPr>
                <w:rFonts w:hint="default" w:ascii="Times New Roman" w:hAnsi="Times New Roman" w:eastAsia="宋体" w:cs="Times New Roman"/>
                <w:color w:val="FF0000"/>
                <w:sz w:val="24"/>
                <w:szCs w:val="24"/>
                <w:lang w:eastAsia="zh-CN" w:bidi="ar"/>
              </w:rPr>
              <w:t>施工期</w:t>
            </w:r>
            <w:r>
              <w:rPr>
                <w:rFonts w:hint="eastAsia" w:ascii="Times New Roman" w:hAnsi="Times New Roman" w:eastAsia="宋体" w:cs="Times New Roman"/>
                <w:color w:val="FF0000"/>
                <w:sz w:val="24"/>
                <w:szCs w:val="24"/>
                <w:lang w:val="en-US" w:eastAsia="zh-CN" w:bidi="ar"/>
              </w:rPr>
              <w:t>采取了</w:t>
            </w:r>
            <w:r>
              <w:rPr>
                <w:rFonts w:hint="default" w:ascii="Times New Roman" w:hAnsi="Times New Roman" w:eastAsia="宋体" w:cs="Times New Roman"/>
                <w:color w:val="FF0000"/>
                <w:sz w:val="24"/>
                <w:szCs w:val="24"/>
                <w:lang w:eastAsia="zh-CN" w:bidi="ar"/>
              </w:rPr>
              <w:t>加强施工噪声管理，通过对高噪声作业时间的严格控制</w:t>
            </w:r>
            <w:r>
              <w:rPr>
                <w:rFonts w:hint="eastAsia" w:ascii="Times New Roman" w:hAnsi="Times New Roman" w:eastAsia="宋体" w:cs="Times New Roman"/>
                <w:color w:val="FF0000"/>
                <w:sz w:val="24"/>
                <w:szCs w:val="24"/>
                <w:lang w:eastAsia="zh-CN" w:bidi="ar"/>
              </w:rPr>
              <w:t>，</w:t>
            </w:r>
            <w:r>
              <w:rPr>
                <w:rFonts w:hint="eastAsia" w:ascii="Times New Roman" w:hAnsi="Times New Roman" w:eastAsia="宋体" w:cs="Times New Roman"/>
                <w:color w:val="FF0000"/>
                <w:sz w:val="24"/>
                <w:szCs w:val="24"/>
                <w:lang w:val="en-US" w:eastAsia="zh-CN" w:bidi="ar"/>
              </w:rPr>
              <w:t>未在休息时间进行施工，</w:t>
            </w:r>
            <w:r>
              <w:rPr>
                <w:rFonts w:hint="default" w:ascii="Times New Roman" w:hAnsi="Times New Roman" w:eastAsia="宋体" w:cs="Times New Roman"/>
                <w:color w:val="FF0000"/>
                <w:sz w:val="24"/>
                <w:szCs w:val="24"/>
                <w:lang w:eastAsia="zh-CN" w:bidi="ar"/>
              </w:rPr>
              <w:t>避免</w:t>
            </w:r>
            <w:r>
              <w:rPr>
                <w:rFonts w:hint="eastAsia" w:ascii="Times New Roman" w:hAnsi="Times New Roman" w:eastAsia="宋体" w:cs="Times New Roman"/>
                <w:color w:val="FF0000"/>
                <w:sz w:val="24"/>
                <w:szCs w:val="24"/>
                <w:lang w:val="en-US" w:eastAsia="zh-CN" w:bidi="ar"/>
              </w:rPr>
              <w:t>了</w:t>
            </w:r>
            <w:r>
              <w:rPr>
                <w:rFonts w:hint="default" w:ascii="Times New Roman" w:hAnsi="Times New Roman" w:eastAsia="宋体" w:cs="Times New Roman"/>
                <w:color w:val="FF0000"/>
                <w:sz w:val="24"/>
                <w:szCs w:val="24"/>
                <w:lang w:eastAsia="zh-CN" w:bidi="ar"/>
              </w:rPr>
              <w:t>施 工对周围环境造成干扰，减少噪声污染</w:t>
            </w:r>
            <w:r>
              <w:rPr>
                <w:rFonts w:hint="eastAsia"/>
                <w:color w:val="FF0000"/>
                <w:sz w:val="24"/>
                <w:lang w:eastAsia="zh-CN"/>
              </w:rPr>
              <w:t>。</w:t>
            </w:r>
          </w:p>
          <w:p>
            <w:pPr>
              <w:spacing w:line="360" w:lineRule="auto"/>
              <w:ind w:firstLine="482" w:firstLineChars="200"/>
              <w:rPr>
                <w:b/>
                <w:bCs/>
                <w:color w:val="FF0000"/>
                <w:sz w:val="24"/>
                <w:lang w:eastAsia="zh-CN"/>
              </w:rPr>
            </w:pPr>
            <w:r>
              <w:rPr>
                <w:rFonts w:hint="eastAsia"/>
                <w:b/>
                <w:bCs/>
                <w:color w:val="FF0000"/>
                <w:sz w:val="24"/>
                <w:lang w:eastAsia="zh-CN"/>
              </w:rPr>
              <w:t>4.4、固体废弃物环境环境保护措施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FF0000"/>
                <w:kern w:val="24"/>
                <w:sz w:val="24"/>
              </w:rPr>
              <w:t>施工期产生的固体废物主要是生活垃圾以及装修的建筑垃圾等。装修建筑 垃圾主要包括装修时废木料、水泥、沙石、石材、塑料包装、金属材料、碎玻璃等，</w:t>
            </w:r>
            <w:r>
              <w:rPr>
                <w:rFonts w:hint="eastAsia" w:ascii="Times New Roman" w:hAnsi="Times New Roman" w:eastAsia="宋体" w:cs="Times New Roman"/>
                <w:color w:val="FF0000"/>
                <w:kern w:val="24"/>
                <w:sz w:val="24"/>
                <w:lang w:val="en-US" w:eastAsia="zh-CN"/>
              </w:rPr>
              <w:t>对此部分固废采取了</w:t>
            </w:r>
            <w:r>
              <w:rPr>
                <w:rFonts w:hint="default" w:ascii="Times New Roman" w:hAnsi="Times New Roman" w:eastAsia="宋体" w:cs="Times New Roman"/>
                <w:color w:val="FF0000"/>
                <w:kern w:val="24"/>
                <w:sz w:val="24"/>
              </w:rPr>
              <w:t>分类收集，可回用的统一收集回用，不能回用的收集后堆放于指定暂存地点，由施工方统一清运处理物业指定地点排放，严禁随意排放。生活垃圾经收集后由环卫部门清运。</w:t>
            </w:r>
            <w:r>
              <w:rPr>
                <w:rFonts w:hint="eastAsia" w:ascii="Times New Roman" w:hAnsi="Times New Roman" w:eastAsia="宋体" w:cs="Times New Roman"/>
                <w:color w:val="FF0000"/>
                <w:kern w:val="24"/>
                <w:sz w:val="24"/>
                <w:lang w:val="en-US" w:eastAsia="zh-CN"/>
              </w:rPr>
              <w:t>场地内无遗留建筑垃圾等，项目施工期间对周围环境影响较小</w:t>
            </w:r>
            <w:r>
              <w:rPr>
                <w:rFonts w:hint="default" w:ascii="Times New Roman" w:hAnsi="Times New Roman" w:eastAsia="宋体" w:cs="Times New Roman"/>
                <w:color w:val="FF0000"/>
                <w:kern w:val="24"/>
                <w:sz w:val="24"/>
                <w:lang w:val="en-US" w:eastAsia="zh-CN"/>
              </w:rPr>
              <w:t>。</w:t>
            </w:r>
          </w:p>
          <w:p>
            <w:pPr>
              <w:adjustRightInd w:val="0"/>
              <w:snapToGrid w:val="0"/>
              <w:rPr>
                <w:rFonts w:ascii="Times New Roman" w:hAnsi="Times New Roman" w:eastAsia="宋体" w:cs="Times New Roman"/>
                <w:bCs/>
                <w:color w:val="000000" w:themeColor="text1"/>
                <w:spacing w:val="-10"/>
                <w:sz w:val="24"/>
                <w:szCs w:val="24"/>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4401" w:hRule="atLeast"/>
          <w:jc w:val="center"/>
        </w:trPr>
        <w:tc>
          <w:tcPr>
            <w:tcW w:w="1056" w:type="dxa"/>
            <w:tcMar>
              <w:left w:w="28" w:type="dxa"/>
              <w:right w:w="28" w:type="dxa"/>
            </w:tcMar>
            <w:vAlign w:val="center"/>
          </w:tcPr>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运营</w:t>
            </w:r>
          </w:p>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期环</w:t>
            </w:r>
          </w:p>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境影</w:t>
            </w:r>
          </w:p>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响和</w:t>
            </w:r>
          </w:p>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保护</w:t>
            </w:r>
          </w:p>
          <w:p>
            <w:pPr>
              <w:adjustRightInd w:val="0"/>
              <w:snapToGrid w:val="0"/>
              <w:jc w:val="center"/>
              <w:rPr>
                <w:rFonts w:ascii="Times New Roman" w:hAnsi="Times New Roman" w:eastAsia="宋体" w:cs="Times New Roman"/>
                <w:bCs/>
                <w:color w:val="000000" w:themeColor="text1"/>
                <w:sz w:val="24"/>
                <w:szCs w:val="24"/>
                <w:lang w:eastAsia="zh-CN"/>
                <w14:textFill>
                  <w14:solidFill>
                    <w14:schemeClr w14:val="tx1"/>
                  </w14:solidFill>
                </w14:textFill>
              </w:rPr>
            </w:pPr>
            <w:r>
              <w:rPr>
                <w:rFonts w:ascii="Times New Roman" w:hAnsi="Times New Roman" w:eastAsia="宋体" w:cs="Times New Roman"/>
                <w:bCs/>
                <w:color w:val="000000" w:themeColor="text1"/>
                <w:sz w:val="24"/>
                <w:szCs w:val="24"/>
                <w:lang w:eastAsia="zh-CN"/>
                <w14:textFill>
                  <w14:solidFill>
                    <w14:schemeClr w14:val="tx1"/>
                  </w14:solidFill>
                </w14:textFill>
              </w:rPr>
              <w:t>措施</w:t>
            </w:r>
          </w:p>
        </w:tc>
        <w:tc>
          <w:tcPr>
            <w:tcW w:w="8579" w:type="dxa"/>
            <w:vAlign w:val="center"/>
          </w:tcPr>
          <w:p>
            <w:pPr>
              <w:spacing w:line="360" w:lineRule="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1、废气</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微生物实验室主要对样品进行进行细菌、寄生虫检验检测。微生物实验室检测、实验过程中，废气可能含传染性的病原微生物（气溶胶）。实验室设1套生物安全柜，并要求所有</w:t>
            </w:r>
            <w:r>
              <w:rPr>
                <w:rFonts w:hint="eastAsia" w:ascii="Times New Roman" w:hAnsi="Times New Roman" w:eastAsia="宋体" w:cs="Times New Roman"/>
                <w:color w:val="000000" w:themeColor="text1"/>
                <w:sz w:val="24"/>
                <w:lang w:val="en-US" w:eastAsia="zh-CN"/>
                <w14:textFill>
                  <w14:solidFill>
                    <w14:schemeClr w14:val="tx1"/>
                  </w14:solidFill>
                </w14:textFill>
              </w:rPr>
              <w:t>涉及</w:t>
            </w:r>
            <w:r>
              <w:rPr>
                <w:rFonts w:hint="default" w:ascii="Times New Roman" w:hAnsi="Times New Roman" w:eastAsia="宋体" w:cs="Times New Roman"/>
                <w:color w:val="000000" w:themeColor="text1"/>
                <w:sz w:val="24"/>
                <w:lang w:val="en-US" w:eastAsia="zh-CN"/>
                <w14:textFill>
                  <w14:solidFill>
                    <w14:schemeClr w14:val="tx1"/>
                  </w14:solidFill>
                </w14:textFill>
              </w:rPr>
              <w:t>病原微生物的操作均在生物安全柜中进行，生物安全柜设计采用II级A2生物安全柜，柜里的实验平台相对实验室内环境处于负压状态，气流在生物安全柜内得到有效控制，基本可杜绝实验过程中产生的气溶胶从操作窗口外逸；安全柜安装有高效空气过滤器（HEPA过滤器），安全柜排气筒内置的高效过滤器对粒径0.3µm以上的气溶胶去除效率达到99.97%，排气中的病原微生物可被彻底去除，达到空气洁净度7级。排气中几乎不含病原微生物气溶胶，排气由风管经净化排风机组处理后，通过专用排气筒送至楼顶排放。</w:t>
            </w:r>
          </w:p>
          <w:p>
            <w:pPr>
              <w:adjustRightInd w:val="0"/>
              <w:snapToGrid w:val="0"/>
              <w:spacing w:line="360" w:lineRule="auto"/>
              <w:ind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微生物实验室废气防治措施</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①实验室气流控制</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的微生物实验室采用定风量送风和定风量排风。通过控制实验室不同区域送、排风风量，保持实验室各区域维持一定的压差，从而保证实验室内气流按照“清洁区→半污染区→污染区一高效过滤器→排空”的方向流动。</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为了保证室内负压差，实验室内送、排风机实现连锁控制，保证排风机先于送风机开启，后于送风机关闭。实验室各房间均安装微压差传感器，并在各主要房间入口设置室内压差显示器，送排风管的适当位置设置定风量阀和电动风阀，以控制各房间的送排风量，通过PLC闭环控制来保证室内负压强梯度，确保气流由清洁区流向污染区。</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②保证高效过滤器效果</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生物安全柜和负压罩内的高效过滤器对粒径0.3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u</w:t>
            </w:r>
            <w:commentRangeStart w:id="6"/>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commentRangeEnd w:id="6"/>
            <w:r>
              <w:commentReference w:id="6"/>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以上的气溶胶去除效率达到99.9</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气中的病原微生物可被彻底去除，达到空气洁净度7级。负压罩内排气经过设备内置高效过滤器排入实验室排风管道内；生物安全柜排气经生物安全柜内置高效过滤器过滤，经过生物安全柜排风管道后汇入实验室排风管道内；实验室内送风口、排风口高效过滤器后设置微压差自动报警系统，保证在各部分过滤器失效之前报警，提醒工作人员及时更换；按照规定定期更换过滤器，保证其在良好的运行状态下工作，确保实验室外排的废气中不含病原微生物。以上排气净化措施是国际上生物安全实验室通用的生物性废气净化装置，在国外八十年代初开始使用，至今尚无病毒扩散事故的记录，我国自八十年代中期引进，迄今亦未出现对环境造成影响的事故。</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③消毒装置设置</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室还设置有辅助消毒装置，通过含氯消毒剂、紫外线、臭氧及熏蒸等切断病原微生物的传播途径，确保实验室排出的气体对环境的安全。因此在正常运行情况下，可能带有病原微生物气溶胶的废气经消毒灭菌、高效过滤后，将病原微生物完全捕集，最后通过专用烟道至楼顶排放，不会对周围环境产生不利影响。</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项目病原学生物实验室和血清实验室各安装1台二级生物安全柜，经处理的实验室废气通过排气筒升至楼顶排放，实验室共用一个排气口，排气口高15m，高于出楼顶4m。</w:t>
            </w:r>
          </w:p>
          <w:p>
            <w:pPr>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4429125" cy="2047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429125" cy="2047875"/>
                          </a:xfrm>
                          <a:prstGeom prst="rect">
                            <a:avLst/>
                          </a:prstGeom>
                          <a:noFill/>
                          <a:ln>
                            <a:noFill/>
                          </a:ln>
                        </pic:spPr>
                      </pic:pic>
                    </a:graphicData>
                  </a:graphic>
                </wp:inline>
              </w:drawing>
            </w: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4086860" cy="3780790"/>
                  <wp:effectExtent l="0" t="0" r="8890" b="1016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5"/>
                          <a:stretch>
                            <a:fillRect/>
                          </a:stretch>
                        </pic:blipFill>
                        <pic:spPr>
                          <a:xfrm>
                            <a:off x="0" y="0"/>
                            <a:ext cx="4086860" cy="3780790"/>
                          </a:xfrm>
                          <a:prstGeom prst="rect">
                            <a:avLst/>
                          </a:prstGeom>
                          <a:noFill/>
                          <a:ln>
                            <a:noFill/>
                          </a:ln>
                        </pic:spPr>
                      </pic:pic>
                    </a:graphicData>
                  </a:graphic>
                </wp:inline>
              </w:drawing>
            </w:r>
          </w:p>
          <w:p>
            <w:pPr>
              <w:spacing w:line="360" w:lineRule="auto"/>
              <w:ind w:firstLine="482" w:firstLineChars="200"/>
              <w:jc w:val="center"/>
              <w:rPr>
                <w:rFonts w:hint="default" w:ascii="Times New Roman" w:hAnsi="Times New Roman" w:eastAsia="宋体" w:cs="Times New Roman"/>
                <w:bCs/>
                <w:color w:val="000000" w:themeColor="text1"/>
                <w:spacing w:val="-10"/>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图</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 生物安全柜示意图</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42" w:firstLineChars="200"/>
              <w:rPr>
                <w:b/>
                <w:bCs w:val="0"/>
                <w:color w:val="000000" w:themeColor="text1"/>
                <w:spacing w:val="-10"/>
                <w:sz w:val="24"/>
                <w:lang w:eastAsia="zh-CN"/>
                <w14:textFill>
                  <w14:solidFill>
                    <w14:schemeClr w14:val="tx1"/>
                  </w14:solidFill>
                </w14:textFill>
              </w:rPr>
            </w:pPr>
            <w:r>
              <w:rPr>
                <w:b/>
                <w:bCs w:val="0"/>
                <w:color w:val="000000" w:themeColor="text1"/>
                <w:spacing w:val="-10"/>
                <w:sz w:val="24"/>
                <w:lang w:eastAsia="zh-CN"/>
                <w14:textFill>
                  <w14:solidFill>
                    <w14:schemeClr w14:val="tx1"/>
                  </w14:solidFill>
                </w14:textFill>
              </w:rPr>
              <w:t>排放口基本信息</w:t>
            </w:r>
          </w:p>
          <w:p>
            <w:pPr>
              <w:pStyle w:val="7"/>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废气主要为实验室排放气溶胶排放口信息</w:t>
            </w:r>
            <w:r>
              <w:rPr>
                <w:rFonts w:ascii="Times New Roman" w:hAnsi="Times New Roman" w:eastAsia="宋体" w:cs="Times New Roman"/>
                <w:color w:val="000000" w:themeColor="text1"/>
                <w:sz w:val="24"/>
                <w:szCs w:val="24"/>
                <w:lang w:eastAsia="zh-CN"/>
                <w14:textFill>
                  <w14:solidFill>
                    <w14:schemeClr w14:val="tx1"/>
                  </w14:solidFill>
                </w14:textFill>
              </w:rPr>
              <w:t>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w:t>
            </w:r>
            <w:r>
              <w:rPr>
                <w:rFonts w:ascii="Times New Roman" w:hAnsi="Times New Roman" w:eastAsia="宋体" w:cs="Times New Roman"/>
                <w:color w:val="000000" w:themeColor="text1"/>
                <w:sz w:val="24"/>
                <w:szCs w:val="24"/>
                <w:lang w:eastAsia="zh-CN"/>
                <w14:textFill>
                  <w14:solidFill>
                    <w14:schemeClr w14:val="tx1"/>
                  </w14:solidFill>
                </w14:textFill>
              </w:rPr>
              <w:t>。</w:t>
            </w:r>
          </w:p>
          <w:p>
            <w:pPr>
              <w:tabs>
                <w:tab w:val="left" w:pos="7470"/>
              </w:tabs>
              <w:jc w:val="center"/>
              <w:rPr>
                <w:rFonts w:hAnsi="宋体" w:cs="Calibri"/>
                <w:b/>
                <w:color w:val="000000" w:themeColor="text1"/>
                <w:sz w:val="21"/>
                <w:szCs w:val="20"/>
                <w:lang w:eastAsia="zh-CN"/>
                <w14:textFill>
                  <w14:solidFill>
                    <w14:schemeClr w14:val="tx1"/>
                  </w14:solidFill>
                </w14:textFill>
              </w:rPr>
            </w:pPr>
            <w:r>
              <w:rPr>
                <w:rFonts w:hAnsi="宋体" w:cs="Calibri"/>
                <w:b/>
                <w:color w:val="000000" w:themeColor="text1"/>
                <w:sz w:val="21"/>
                <w:szCs w:val="20"/>
                <w:lang w:eastAsia="zh-CN"/>
                <w14:textFill>
                  <w14:solidFill>
                    <w14:schemeClr w14:val="tx1"/>
                  </w14:solidFill>
                </w14:textFill>
              </w:rPr>
              <w:t>表4-</w:t>
            </w:r>
            <w:r>
              <w:rPr>
                <w:rFonts w:hint="eastAsia" w:hAnsi="宋体" w:cs="Calibri"/>
                <w:b/>
                <w:color w:val="000000" w:themeColor="text1"/>
                <w:sz w:val="21"/>
                <w:szCs w:val="20"/>
                <w:lang w:val="en-US" w:eastAsia="zh-CN"/>
                <w14:textFill>
                  <w14:solidFill>
                    <w14:schemeClr w14:val="tx1"/>
                  </w14:solidFill>
                </w14:textFill>
              </w:rPr>
              <w:t>1</w:t>
            </w:r>
            <w:r>
              <w:rPr>
                <w:rFonts w:hAnsi="宋体" w:cs="Calibri"/>
                <w:b/>
                <w:color w:val="000000" w:themeColor="text1"/>
                <w:sz w:val="21"/>
                <w:szCs w:val="20"/>
                <w:lang w:eastAsia="zh-CN"/>
                <w14:textFill>
                  <w14:solidFill>
                    <w14:schemeClr w14:val="tx1"/>
                  </w14:solidFill>
                </w14:textFill>
              </w:rPr>
              <w:t xml:space="preserve">   项目有组织废气污染物参数一览表</w:t>
            </w:r>
          </w:p>
          <w:tbl>
            <w:tblPr>
              <w:tblStyle w:val="28"/>
              <w:tblW w:w="8655"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
            <w:tblGrid>
              <w:gridCol w:w="719"/>
              <w:gridCol w:w="1288"/>
              <w:gridCol w:w="886"/>
              <w:gridCol w:w="1004"/>
              <w:gridCol w:w="710"/>
              <w:gridCol w:w="707"/>
              <w:gridCol w:w="704"/>
              <w:gridCol w:w="913"/>
              <w:gridCol w:w="1724"/>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517" w:hRule="atLeast"/>
                <w:jc w:val="center"/>
              </w:trPr>
              <w:tc>
                <w:tcPr>
                  <w:tcW w:w="719" w:type="dxa"/>
                  <w:vMerge w:val="restart"/>
                  <w:tcBorders>
                    <w:tl2br w:val="nil"/>
                    <w:tr2bl w:val="nil"/>
                  </w:tcBorders>
                  <w:vAlign w:val="center"/>
                </w:tcPr>
                <w:p>
                  <w:pPr>
                    <w:ind w:right="16"/>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污染源名称</w:t>
                  </w:r>
                </w:p>
              </w:tc>
              <w:tc>
                <w:tcPr>
                  <w:tcW w:w="1288" w:type="dxa"/>
                  <w:vMerge w:val="restart"/>
                  <w:tcBorders>
                    <w:tl2br w:val="nil"/>
                    <w:tr2bl w:val="nil"/>
                  </w:tcBorders>
                  <w:vAlign w:val="center"/>
                </w:tcPr>
                <w:p>
                  <w:pPr>
                    <w:ind w:right="43"/>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坐标</w:t>
                  </w:r>
                </w:p>
              </w:tc>
              <w:tc>
                <w:tcPr>
                  <w:tcW w:w="886" w:type="dxa"/>
                  <w:vMerge w:val="restart"/>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排气筒编号</w:t>
                  </w:r>
                </w:p>
              </w:tc>
              <w:tc>
                <w:tcPr>
                  <w:tcW w:w="1004" w:type="dxa"/>
                  <w:vMerge w:val="restart"/>
                  <w:tcBorders>
                    <w:tl2br w:val="nil"/>
                    <w:tr2bl w:val="nil"/>
                  </w:tcBorders>
                  <w:vAlign w:val="center"/>
                </w:tcPr>
                <w:p>
                  <w:pPr>
                    <w:spacing w:line="239"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排气筒底部海拔高度/m</w:t>
                  </w:r>
                </w:p>
              </w:tc>
              <w:tc>
                <w:tcPr>
                  <w:tcW w:w="710" w:type="dxa"/>
                  <w:vMerge w:val="restart"/>
                  <w:tcBorders>
                    <w:tl2br w:val="nil"/>
                    <w:tr2bl w:val="nil"/>
                  </w:tcBorders>
                  <w:vAlign w:val="center"/>
                </w:tcPr>
                <w:p>
                  <w:pPr>
                    <w:ind w:right="8"/>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排气筒高度 m</w:t>
                  </w:r>
                </w:p>
              </w:tc>
              <w:tc>
                <w:tcPr>
                  <w:tcW w:w="707" w:type="dxa"/>
                  <w:vMerge w:val="restart"/>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排气筒出口内径 m</w:t>
                  </w:r>
                </w:p>
              </w:tc>
              <w:tc>
                <w:tcPr>
                  <w:tcW w:w="704" w:type="dxa"/>
                  <w:vMerge w:val="restart"/>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烟气流速m/s</w:t>
                  </w:r>
                </w:p>
              </w:tc>
              <w:tc>
                <w:tcPr>
                  <w:tcW w:w="913" w:type="dxa"/>
                  <w:vMerge w:val="restart"/>
                  <w:tcBorders>
                    <w:tl2br w:val="nil"/>
                    <w:tr2bl w:val="nil"/>
                  </w:tcBorders>
                  <w:vAlign w:val="center"/>
                </w:tcPr>
                <w:p>
                  <w:pPr>
                    <w:spacing w:line="239"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烟气温度</w:t>
                  </w:r>
                </w:p>
                <w:p>
                  <w:pPr>
                    <w:ind w:left="123"/>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p>
              </w:tc>
              <w:tc>
                <w:tcPr>
                  <w:tcW w:w="1724" w:type="dxa"/>
                  <w:tcBorders>
                    <w:tl2br w:val="nil"/>
                    <w:tr2bl w:val="nil"/>
                  </w:tcBorders>
                  <w:vAlign w:val="center"/>
                </w:tcPr>
                <w:p>
                  <w:pPr>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污染物排放</w:t>
                  </w:r>
                  <w:r>
                    <w:rPr>
                      <w:rFonts w:hint="eastAsia" w:ascii="Times New Roman" w:hAnsi="Times New Roman" w:eastAsia="宋体" w:cs="Times New Roman"/>
                      <w:color w:val="000000" w:themeColor="text1"/>
                      <w:sz w:val="21"/>
                      <w:szCs w:val="21"/>
                      <w:lang w:eastAsia="zh-CN"/>
                      <w14:textFill>
                        <w14:solidFill>
                          <w14:schemeClr w14:val="tx1"/>
                        </w14:solidFill>
                      </w14:textFill>
                    </w:rPr>
                    <w:t>速率</w:t>
                  </w:r>
                </w:p>
                <w:p>
                  <w:pPr>
                    <w:ind w:right="57"/>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lang w:eastAsia="zh-CN"/>
                      <w14:textFill>
                        <w14:solidFill>
                          <w14:schemeClr w14:val="tx1"/>
                        </w14:solidFill>
                      </w14:textFill>
                    </w:rPr>
                    <w:t>kg/h</w:t>
                  </w:r>
                  <w:r>
                    <w:rPr>
                      <w:rFonts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466" w:hRule="atLeast"/>
                <w:jc w:val="center"/>
              </w:trPr>
              <w:tc>
                <w:tcPr>
                  <w:tcW w:w="719"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1288"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886"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1004"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710"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707"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704"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913" w:type="dxa"/>
                  <w:vMerge w:val="continue"/>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1724" w:type="dxa"/>
                  <w:tcBorders>
                    <w:tl2br w:val="nil"/>
                    <w:tr2bl w:val="nil"/>
                  </w:tcBorders>
                  <w:vAlign w:val="center"/>
                </w:tcPr>
                <w:p>
                  <w:pPr>
                    <w:ind w:left="49"/>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FF0000"/>
                      <w:sz w:val="21"/>
                      <w:szCs w:val="21"/>
                      <w:lang w:eastAsia="zh-CN"/>
                    </w:rPr>
                    <w:t>气溶胶</w:t>
                  </w:r>
                  <w:r>
                    <w:rPr>
                      <w:rFonts w:hint="eastAsia"/>
                      <w:color w:val="FF0000"/>
                      <w:lang w:eastAsia="zh-CN"/>
                    </w:rPr>
                    <w:t>（</w:t>
                  </w:r>
                  <w:r>
                    <w:rPr>
                      <w:rFonts w:hint="eastAsia"/>
                      <w:color w:val="FF0000"/>
                      <w:lang w:val="en-US" w:eastAsia="zh-CN"/>
                    </w:rPr>
                    <w:t>目标微生物</w:t>
                  </w:r>
                  <w:r>
                    <w:rPr>
                      <w:rFonts w:hint="eastAsia"/>
                      <w:color w:val="FF0000"/>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763" w:hRule="atLeast"/>
                <w:jc w:val="center"/>
              </w:trPr>
              <w:tc>
                <w:tcPr>
                  <w:tcW w:w="719" w:type="dxa"/>
                  <w:tcBorders>
                    <w:tl2br w:val="nil"/>
                    <w:tr2bl w:val="nil"/>
                  </w:tcBorders>
                  <w:vAlign w:val="center"/>
                </w:tcPr>
                <w:p>
                  <w:pPr>
                    <w:ind w:left="51"/>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实验室废气</w:t>
                  </w:r>
                </w:p>
              </w:tc>
              <w:tc>
                <w:tcPr>
                  <w:tcW w:w="1288"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107.912666</w:t>
                  </w:r>
                </w:p>
                <w:p>
                  <w:pPr>
                    <w:ind w:left="51"/>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35.509545</w:t>
                  </w:r>
                </w:p>
              </w:tc>
              <w:tc>
                <w:tcPr>
                  <w:tcW w:w="886" w:type="dxa"/>
                  <w:tcBorders>
                    <w:tl2br w:val="nil"/>
                    <w:tr2bl w:val="nil"/>
                  </w:tcBorders>
                  <w:vAlign w:val="center"/>
                </w:tcPr>
                <w:p>
                  <w:pPr>
                    <w:ind w:left="51"/>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DA001</w:t>
                  </w:r>
                </w:p>
              </w:tc>
              <w:tc>
                <w:tcPr>
                  <w:tcW w:w="1004" w:type="dxa"/>
                  <w:tcBorders>
                    <w:tl2br w:val="nil"/>
                    <w:tr2bl w:val="nil"/>
                  </w:tcBorders>
                  <w:vAlign w:val="center"/>
                </w:tcPr>
                <w:p>
                  <w:pPr>
                    <w:ind w:right="41"/>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947.55</w:t>
                  </w:r>
                </w:p>
              </w:tc>
              <w:tc>
                <w:tcPr>
                  <w:tcW w:w="710" w:type="dxa"/>
                  <w:tcBorders>
                    <w:tl2br w:val="nil"/>
                    <w:tr2bl w:val="nil"/>
                  </w:tcBorders>
                  <w:vAlign w:val="center"/>
                </w:tcPr>
                <w:p>
                  <w:pPr>
                    <w:ind w:right="45"/>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15</w:t>
                  </w:r>
                </w:p>
              </w:tc>
              <w:tc>
                <w:tcPr>
                  <w:tcW w:w="707" w:type="dxa"/>
                  <w:tcBorders>
                    <w:tl2br w:val="nil"/>
                    <w:tr2bl w:val="nil"/>
                  </w:tcBorders>
                  <w:vAlign w:val="center"/>
                </w:tcPr>
                <w:p>
                  <w:pPr>
                    <w:ind w:right="4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0.2</w:t>
                  </w:r>
                </w:p>
              </w:tc>
              <w:tc>
                <w:tcPr>
                  <w:tcW w:w="704" w:type="dxa"/>
                  <w:tcBorders>
                    <w:tl2br w:val="nil"/>
                    <w:tr2bl w:val="nil"/>
                  </w:tcBorders>
                  <w:vAlign w:val="center"/>
                </w:tcPr>
                <w:p>
                  <w:pPr>
                    <w:ind w:right="4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0.36</w:t>
                  </w:r>
                </w:p>
              </w:tc>
              <w:tc>
                <w:tcPr>
                  <w:tcW w:w="913" w:type="dxa"/>
                  <w:tcBorders>
                    <w:tl2br w:val="nil"/>
                    <w:tr2bl w:val="nil"/>
                  </w:tcBorders>
                  <w:vAlign w:val="center"/>
                </w:tcPr>
                <w:p>
                  <w:pPr>
                    <w:ind w:right="45"/>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常温</w:t>
                  </w:r>
                </w:p>
              </w:tc>
              <w:tc>
                <w:tcPr>
                  <w:tcW w:w="1724" w:type="dxa"/>
                  <w:tcBorders>
                    <w:tl2br w:val="nil"/>
                    <w:tr2bl w:val="nil"/>
                  </w:tcBorders>
                  <w:vAlign w:val="center"/>
                </w:tcPr>
                <w:p>
                  <w:pPr>
                    <w:ind w:right="45"/>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不得检出</w:t>
                  </w:r>
                </w:p>
              </w:tc>
            </w:tr>
          </w:tbl>
          <w:p>
            <w:pPr>
              <w:adjustRightInd w:val="0"/>
              <w:snapToGrid w:val="0"/>
              <w:spacing w:line="360" w:lineRule="auto"/>
              <w:ind w:firstLine="442" w:firstLineChars="200"/>
              <w:jc w:val="left"/>
              <w:rPr>
                <w:rFonts w:hint="eastAsia"/>
                <w:b/>
                <w:color w:val="000000" w:themeColor="text1"/>
                <w:spacing w:val="-10"/>
                <w:sz w:val="24"/>
                <w14:textFill>
                  <w14:solidFill>
                    <w14:schemeClr w14:val="tx1"/>
                  </w14:solidFill>
                </w14:textFill>
              </w:rPr>
            </w:pPr>
            <w:r>
              <w:rPr>
                <w:rFonts w:hint="eastAsia"/>
                <w:b/>
                <w:color w:val="000000" w:themeColor="text1"/>
                <w:spacing w:val="-10"/>
                <w:sz w:val="24"/>
                <w14:textFill>
                  <w14:solidFill>
                    <w14:schemeClr w14:val="tx1"/>
                  </w14:solidFill>
                </w14:textFill>
              </w:rPr>
              <w:t>例行监测计划：</w:t>
            </w:r>
          </w:p>
          <w:p>
            <w:pPr>
              <w:spacing w:line="360" w:lineRule="auto"/>
              <w:ind w:firstLine="480" w:firstLineChars="200"/>
              <w:rPr>
                <w:rFonts w:hint="eastAsia"/>
                <w:color w:val="000000" w:themeColor="text1"/>
                <w:sz w:val="24"/>
                <w:szCs w:val="24"/>
                <w:lang w:val="en-US" w:eastAsia="zh-CN" w:bidi="ar"/>
                <w14:textFill>
                  <w14:solidFill>
                    <w14:schemeClr w14:val="tx1"/>
                  </w14:solidFill>
                </w14:textFill>
              </w:rPr>
            </w:pPr>
            <w:r>
              <w:rPr>
                <w:color w:val="000000" w:themeColor="text1"/>
                <w:sz w:val="24"/>
                <w:szCs w:val="24"/>
                <w:lang w:bidi="ar"/>
                <w14:textFill>
                  <w14:solidFill>
                    <w14:schemeClr w14:val="tx1"/>
                  </w14:solidFill>
                </w14:textFill>
              </w:rPr>
              <w:t>根据</w:t>
            </w:r>
            <w:r>
              <w:rPr>
                <w:rFonts w:hint="eastAsia"/>
                <w:color w:val="000000" w:themeColor="text1"/>
                <w:sz w:val="24"/>
                <w:szCs w:val="24"/>
                <w:lang w:bidi="ar"/>
                <w14:textFill>
                  <w14:solidFill>
                    <w14:schemeClr w14:val="tx1"/>
                  </w14:solidFill>
                </w14:textFill>
              </w:rPr>
              <w:t>《排污单位自行监测技术指南 总则》（HJ819-2017）</w:t>
            </w:r>
            <w:r>
              <w:rPr>
                <w:color w:val="000000" w:themeColor="text1"/>
                <w:sz w:val="24"/>
                <w:szCs w:val="24"/>
                <w:lang w:bidi="ar"/>
                <w14:textFill>
                  <w14:solidFill>
                    <w14:schemeClr w14:val="tx1"/>
                  </w14:solidFill>
                </w14:textFill>
              </w:rPr>
              <w:t>，结合项目性质和排污特点，</w:t>
            </w:r>
            <w:r>
              <w:rPr>
                <w:rFonts w:hint="eastAsia"/>
                <w:color w:val="000000" w:themeColor="text1"/>
                <w:sz w:val="24"/>
                <w:szCs w:val="24"/>
                <w:lang w:eastAsia="zh-CN" w:bidi="ar"/>
                <w14:textFill>
                  <w14:solidFill>
                    <w14:schemeClr w14:val="tx1"/>
                  </w14:solidFill>
                </w14:textFill>
              </w:rPr>
              <w:t>项目废气</w:t>
            </w:r>
            <w:r>
              <w:rPr>
                <w:color w:val="000000" w:themeColor="text1"/>
                <w:sz w:val="24"/>
                <w:szCs w:val="24"/>
                <w:lang w:bidi="ar"/>
                <w14:textFill>
                  <w14:solidFill>
                    <w14:schemeClr w14:val="tx1"/>
                  </w14:solidFill>
                </w14:textFill>
              </w:rPr>
              <w:t>监控计划见表</w:t>
            </w:r>
            <w:r>
              <w:rPr>
                <w:rFonts w:hint="eastAsia"/>
                <w:color w:val="000000" w:themeColor="text1"/>
                <w:sz w:val="24"/>
                <w:szCs w:val="24"/>
                <w:lang w:val="en-US" w:eastAsia="zh-CN" w:bidi="ar"/>
                <w14:textFill>
                  <w14:solidFill>
                    <w14:schemeClr w14:val="tx1"/>
                  </w14:solidFill>
                </w14:textFill>
              </w:rPr>
              <w:t>4-2。</w:t>
            </w:r>
          </w:p>
          <w:p>
            <w:pPr>
              <w:tabs>
                <w:tab w:val="left" w:pos="7470"/>
              </w:tabs>
              <w:jc w:val="center"/>
              <w:rPr>
                <w:rFonts w:hAnsi="宋体" w:cs="Calibri"/>
                <w:b/>
                <w:color w:val="000000" w:themeColor="text1"/>
                <w:sz w:val="21"/>
                <w:szCs w:val="20"/>
                <w:lang w:eastAsia="zh-CN"/>
                <w14:textFill>
                  <w14:solidFill>
                    <w14:schemeClr w14:val="tx1"/>
                  </w14:solidFill>
                </w14:textFill>
              </w:rPr>
            </w:pPr>
            <w:r>
              <w:rPr>
                <w:rFonts w:hAnsi="宋体" w:cs="Calibri"/>
                <w:b/>
                <w:color w:val="000000" w:themeColor="text1"/>
                <w:sz w:val="21"/>
                <w:szCs w:val="20"/>
                <w:lang w:eastAsia="zh-CN"/>
                <w14:textFill>
                  <w14:solidFill>
                    <w14:schemeClr w14:val="tx1"/>
                  </w14:solidFill>
                </w14:textFill>
              </w:rPr>
              <w:t>表</w:t>
            </w:r>
            <w:r>
              <w:rPr>
                <w:rFonts w:hint="eastAsia" w:hAnsi="宋体" w:cs="Calibri"/>
                <w:b/>
                <w:color w:val="000000" w:themeColor="text1"/>
                <w:sz w:val="21"/>
                <w:szCs w:val="20"/>
                <w:lang w:val="en-US" w:eastAsia="zh-CN"/>
                <w14:textFill>
                  <w14:solidFill>
                    <w14:schemeClr w14:val="tx1"/>
                  </w14:solidFill>
                </w14:textFill>
              </w:rPr>
              <w:t xml:space="preserve">4-2       </w:t>
            </w:r>
            <w:r>
              <w:rPr>
                <w:rFonts w:hAnsi="宋体" w:cs="Calibri"/>
                <w:b/>
                <w:color w:val="000000" w:themeColor="text1"/>
                <w:sz w:val="21"/>
                <w:szCs w:val="20"/>
                <w:lang w:eastAsia="zh-CN"/>
                <w14:textFill>
                  <w14:solidFill>
                    <w14:schemeClr w14:val="tx1"/>
                  </w14:solidFill>
                </w14:textFill>
              </w:rPr>
              <w:t xml:space="preserve">  环境监控计划</w:t>
            </w:r>
          </w:p>
          <w:tbl>
            <w:tblPr>
              <w:tblStyle w:val="28"/>
              <w:tblW w:w="8577"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953"/>
              <w:gridCol w:w="1236"/>
              <w:gridCol w:w="1077"/>
              <w:gridCol w:w="836"/>
              <w:gridCol w:w="907"/>
              <w:gridCol w:w="1784"/>
              <w:gridCol w:w="178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953"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类型</w:t>
                  </w:r>
                </w:p>
              </w:tc>
              <w:tc>
                <w:tcPr>
                  <w:tcW w:w="1236"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排污节点名称</w:t>
                  </w:r>
                </w:p>
              </w:tc>
              <w:tc>
                <w:tcPr>
                  <w:tcW w:w="1077"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监测项目</w:t>
                  </w:r>
                </w:p>
              </w:tc>
              <w:tc>
                <w:tcPr>
                  <w:tcW w:w="836"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频次</w:t>
                  </w:r>
                </w:p>
              </w:tc>
              <w:tc>
                <w:tcPr>
                  <w:tcW w:w="907"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监测方式</w:t>
                  </w:r>
                </w:p>
              </w:tc>
              <w:tc>
                <w:tcPr>
                  <w:tcW w:w="1784"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c>
                <w:tcPr>
                  <w:tcW w:w="1784" w:type="dxa"/>
                  <w:tcBorders>
                    <w:tl2br w:val="nil"/>
                    <w:tr2bl w:val="nil"/>
                  </w:tcBorders>
                  <w:vAlign w:val="center"/>
                </w:tcPr>
                <w:p>
                  <w:pPr>
                    <w:jc w:val="center"/>
                    <w:rPr>
                      <w:rFonts w:hint="eastAsia" w:eastAsiaTheme="minorEastAsia"/>
                      <w:b/>
                      <w:color w:val="FF0000"/>
                      <w:szCs w:val="21"/>
                      <w:lang w:val="en-US" w:eastAsia="zh-CN"/>
                    </w:rPr>
                  </w:pPr>
                  <w:r>
                    <w:rPr>
                      <w:rFonts w:hint="eastAsia"/>
                      <w:b/>
                      <w:color w:val="FF0000"/>
                      <w:szCs w:val="21"/>
                      <w:lang w:val="en-US" w:eastAsia="zh-CN"/>
                    </w:rPr>
                    <w:t>检测方法</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1116" w:hRule="atLeast"/>
                <w:jc w:val="center"/>
              </w:trPr>
              <w:tc>
                <w:tcPr>
                  <w:tcW w:w="953"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废气（有组织）</w:t>
                  </w:r>
                </w:p>
              </w:tc>
              <w:tc>
                <w:tcPr>
                  <w:tcW w:w="1236"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实验室排气口</w:t>
                  </w:r>
                </w:p>
              </w:tc>
              <w:tc>
                <w:tcPr>
                  <w:tcW w:w="1077"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目标微生物</w:t>
                  </w:r>
                </w:p>
              </w:tc>
              <w:tc>
                <w:tcPr>
                  <w:tcW w:w="836"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1次/半年</w:t>
                  </w:r>
                </w:p>
              </w:tc>
              <w:tc>
                <w:tcPr>
                  <w:tcW w:w="907"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手动</w:t>
                  </w:r>
                </w:p>
              </w:tc>
              <w:tc>
                <w:tcPr>
                  <w:tcW w:w="1784"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参照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《病源微生物实验室污染物排放标准》（征求意见稿），不得检出</w:t>
                  </w:r>
                </w:p>
              </w:tc>
              <w:tc>
                <w:tcPr>
                  <w:tcW w:w="1784" w:type="dxa"/>
                  <w:tcBorders>
                    <w:tl2br w:val="nil"/>
                    <w:tr2bl w:val="nil"/>
                  </w:tcBorders>
                  <w:vAlign w:val="center"/>
                </w:tcPr>
                <w:p>
                  <w:pPr>
                    <w:ind w:left="51"/>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参照</w:t>
                  </w:r>
                  <w:r>
                    <w:rPr>
                      <w:rFonts w:hint="eastAsia" w:ascii="Times New Roman" w:hAnsi="Times New Roman" w:eastAsia="宋体" w:cs="Times New Roman"/>
                      <w:color w:val="FF0000"/>
                      <w:sz w:val="21"/>
                      <w:szCs w:val="21"/>
                      <w:lang w:val="en-US" w:eastAsia="zh-CN"/>
                    </w:rPr>
                    <w:t>《病源微生物实验室污染物排放标准》（征求意见稿）表7要求</w:t>
                  </w:r>
                </w:p>
              </w:tc>
            </w:tr>
          </w:tbl>
          <w:p>
            <w:pPr>
              <w:spacing w:line="360" w:lineRule="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2、废水</w:t>
            </w:r>
          </w:p>
          <w:p>
            <w:pPr>
              <w:spacing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实验室主要进行动物疫病抗原检测，实验所用试剂购买成品试剂盒，醇、酯类化学药品都不用，不在实验室配置溶液，实验结束后器具清洗主要通过高压锅灭菌消毒处理后用纯水冲洗，项目实验室中不使用无机酸等试剂，无特殊废水产生。</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2.1废水产生情况</w:t>
            </w:r>
          </w:p>
          <w:p>
            <w:pPr>
              <w:spacing w:line="360" w:lineRule="auto"/>
              <w:ind w:firstLine="480"/>
              <w:rPr>
                <w:rFonts w:hint="default" w:ascii="Times New Roman" w:hAnsi="Times New Roman" w:eastAsia="宋体" w:cs="Times New Roman"/>
                <w:color w:val="000000" w:themeColor="text1"/>
                <w:sz w:val="24"/>
                <w:highlight w:val="yellow"/>
                <w:lang w:val="en-US"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①</w:t>
            </w:r>
            <w:r>
              <w:rPr>
                <w:rFonts w:hint="default" w:ascii="Times New Roman" w:hAnsi="Times New Roman" w:eastAsia="宋体" w:cs="Times New Roman"/>
                <w:color w:val="000000" w:themeColor="text1"/>
                <w:sz w:val="24"/>
                <w:lang w:val="en-US" w:eastAsia="zh-CN"/>
                <w14:textFill>
                  <w14:solidFill>
                    <w14:schemeClr w14:val="tx1"/>
                  </w14:solidFill>
                </w14:textFill>
              </w:rPr>
              <w:t>工作人员生活污水</w:t>
            </w:r>
          </w:p>
          <w:p>
            <w:pPr>
              <w:spacing w:line="360" w:lineRule="auto"/>
              <w:ind w:firstLine="504" w:firstLineChars="200"/>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pacing w:val="6"/>
                <w:sz w:val="24"/>
                <w:highlight w:val="none"/>
                <w:lang w:val="en-US" w:eastAsia="zh-CN"/>
              </w:rPr>
              <w:t>本项目劳动定员为</w:t>
            </w:r>
            <w:r>
              <w:rPr>
                <w:rFonts w:hint="eastAsia" w:ascii="Times New Roman" w:hAnsi="Times New Roman" w:eastAsia="宋体" w:cs="Times New Roman"/>
                <w:color w:val="FF0000"/>
                <w:spacing w:val="6"/>
                <w:sz w:val="24"/>
                <w:highlight w:val="none"/>
                <w:lang w:val="en-US" w:eastAsia="zh-CN"/>
              </w:rPr>
              <w:t>5</w:t>
            </w:r>
            <w:r>
              <w:rPr>
                <w:rFonts w:hint="default" w:ascii="Times New Roman" w:hAnsi="Times New Roman" w:eastAsia="宋体" w:cs="Times New Roman"/>
                <w:color w:val="FF0000"/>
                <w:spacing w:val="6"/>
                <w:sz w:val="24"/>
                <w:highlight w:val="none"/>
                <w:lang w:val="en-US" w:eastAsia="zh-CN"/>
              </w:rPr>
              <w:t>人，全年工作天数为</w:t>
            </w:r>
            <w:r>
              <w:rPr>
                <w:rFonts w:hint="eastAsia" w:ascii="Times New Roman" w:hAnsi="Times New Roman" w:eastAsia="宋体" w:cs="Times New Roman"/>
                <w:color w:val="FF0000"/>
                <w:spacing w:val="6"/>
                <w:sz w:val="24"/>
                <w:highlight w:val="none"/>
                <w:lang w:val="en-US" w:eastAsia="zh-CN"/>
              </w:rPr>
              <w:t>300</w:t>
            </w:r>
            <w:r>
              <w:rPr>
                <w:rFonts w:hint="default" w:ascii="Times New Roman" w:hAnsi="Times New Roman" w:eastAsia="宋体" w:cs="Times New Roman"/>
                <w:color w:val="FF0000"/>
                <w:spacing w:val="6"/>
                <w:sz w:val="24"/>
                <w:highlight w:val="none"/>
                <w:lang w:val="en-US" w:eastAsia="zh-CN"/>
              </w:rPr>
              <w:t>天，</w:t>
            </w:r>
            <w:r>
              <w:rPr>
                <w:rFonts w:hint="eastAsia" w:ascii="Times New Roman" w:hAnsi="Times New Roman" w:eastAsia="宋体" w:cs="Times New Roman"/>
                <w:color w:val="FF0000"/>
                <w:spacing w:val="6"/>
                <w:sz w:val="24"/>
                <w:highlight w:val="none"/>
                <w:lang w:val="en-US" w:eastAsia="zh-CN"/>
              </w:rPr>
              <w:t>项目区不设食堂，根据</w:t>
            </w:r>
            <w:r>
              <w:rPr>
                <w:rFonts w:hint="default" w:ascii="Times New Roman" w:hAnsi="Times New Roman" w:eastAsia="宋体" w:cs="Times New Roman"/>
                <w:color w:val="FF0000"/>
                <w:spacing w:val="6"/>
                <w:sz w:val="24"/>
                <w:highlight w:val="none"/>
                <w:lang w:val="en-US" w:eastAsia="zh-CN"/>
              </w:rPr>
              <w:t>员工生活用水定额按40L/人·d计，则生活用水量约为</w:t>
            </w:r>
            <w:r>
              <w:rPr>
                <w:rFonts w:hint="eastAsia" w:ascii="Times New Roman" w:hAnsi="Times New Roman" w:eastAsia="宋体" w:cs="Times New Roman"/>
                <w:color w:val="FF0000"/>
                <w:spacing w:val="6"/>
                <w:sz w:val="24"/>
                <w:highlight w:val="none"/>
                <w:lang w:val="en-US" w:eastAsia="zh-CN"/>
              </w:rPr>
              <w:t>0.2</w:t>
            </w:r>
            <w:r>
              <w:rPr>
                <w:rFonts w:hint="default" w:ascii="Times New Roman" w:hAnsi="Times New Roman" w:eastAsia="宋体" w:cs="Times New Roman"/>
                <w:color w:val="FF0000"/>
                <w:spacing w:val="6"/>
                <w:sz w:val="24"/>
                <w:highlight w:val="none"/>
                <w:lang w:val="en-US" w:eastAsia="zh-CN"/>
              </w:rPr>
              <w:t>m</w:t>
            </w:r>
            <w:r>
              <w:rPr>
                <w:rFonts w:hint="default" w:ascii="Times New Roman" w:hAnsi="Times New Roman" w:eastAsia="宋体" w:cs="Times New Roman"/>
                <w:color w:val="FF0000"/>
                <w:spacing w:val="6"/>
                <w:sz w:val="24"/>
                <w:highlight w:val="none"/>
                <w:vertAlign w:val="superscript"/>
                <w:lang w:val="en-US" w:eastAsia="zh-CN"/>
              </w:rPr>
              <w:t>3</w:t>
            </w:r>
            <w:r>
              <w:rPr>
                <w:rFonts w:hint="default" w:ascii="Times New Roman" w:hAnsi="Times New Roman" w:eastAsia="宋体" w:cs="Times New Roman"/>
                <w:color w:val="FF0000"/>
                <w:spacing w:val="6"/>
                <w:sz w:val="24"/>
                <w:highlight w:val="none"/>
                <w:lang w:val="en-US" w:eastAsia="zh-CN"/>
              </w:rPr>
              <w:t>/d，</w:t>
            </w:r>
            <w:r>
              <w:rPr>
                <w:rFonts w:hint="eastAsia" w:ascii="Times New Roman" w:hAnsi="Times New Roman" w:eastAsia="宋体" w:cs="Times New Roman"/>
                <w:color w:val="FF0000"/>
                <w:spacing w:val="6"/>
                <w:sz w:val="24"/>
                <w:highlight w:val="none"/>
                <w:lang w:val="en-US" w:eastAsia="zh-CN"/>
              </w:rPr>
              <w:t>60</w:t>
            </w:r>
            <w:r>
              <w:rPr>
                <w:rFonts w:hint="default" w:ascii="Times New Roman" w:hAnsi="Times New Roman" w:eastAsia="宋体" w:cs="Times New Roman"/>
                <w:color w:val="FF0000"/>
                <w:spacing w:val="6"/>
                <w:sz w:val="24"/>
                <w:highlight w:val="none"/>
                <w:lang w:val="en-US" w:eastAsia="zh-CN"/>
              </w:rPr>
              <w:t>m</w:t>
            </w:r>
            <w:r>
              <w:rPr>
                <w:rFonts w:hint="default" w:ascii="Times New Roman" w:hAnsi="Times New Roman" w:eastAsia="宋体" w:cs="Times New Roman"/>
                <w:color w:val="FF0000"/>
                <w:spacing w:val="6"/>
                <w:sz w:val="24"/>
                <w:highlight w:val="none"/>
                <w:vertAlign w:val="superscript"/>
                <w:lang w:val="en-US" w:eastAsia="zh-CN"/>
              </w:rPr>
              <w:t>3</w:t>
            </w:r>
            <w:r>
              <w:rPr>
                <w:rFonts w:hint="default" w:ascii="Times New Roman" w:hAnsi="Times New Roman" w:eastAsia="宋体" w:cs="Times New Roman"/>
                <w:color w:val="FF0000"/>
                <w:spacing w:val="6"/>
                <w:sz w:val="24"/>
                <w:highlight w:val="none"/>
                <w:lang w:val="en-US" w:eastAsia="zh-CN"/>
              </w:rPr>
              <w:t>/a。</w:t>
            </w:r>
            <w:r>
              <w:rPr>
                <w:rFonts w:hint="default" w:ascii="Times New Roman" w:hAnsi="Times New Roman" w:eastAsia="宋体" w:cs="Times New Roman"/>
                <w:color w:val="FF0000"/>
                <w:sz w:val="24"/>
                <w:lang w:val="en-US" w:eastAsia="zh-CN"/>
              </w:rPr>
              <w:t>污水按用水量的80%计算，则工作人员生活污水产生量约为</w:t>
            </w:r>
            <w:r>
              <w:rPr>
                <w:rFonts w:hint="eastAsia" w:ascii="Times New Roman" w:hAnsi="Times New Roman" w:eastAsia="宋体" w:cs="Times New Roman"/>
                <w:color w:val="FF0000"/>
                <w:sz w:val="24"/>
                <w:lang w:val="en-US" w:eastAsia="zh-CN"/>
              </w:rPr>
              <w:t>0.16</w:t>
            </w:r>
            <w:r>
              <w:rPr>
                <w:rFonts w:hint="default" w:ascii="Times New Roman" w:hAnsi="Times New Roman" w:eastAsia="宋体" w:cs="Times New Roman"/>
                <w:color w:val="FF0000"/>
                <w:sz w:val="24"/>
                <w:lang w:val="en-US" w:eastAsia="zh-CN"/>
              </w:rPr>
              <w:t>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/d（</w:t>
            </w:r>
            <w:r>
              <w:rPr>
                <w:rFonts w:hint="eastAsia" w:ascii="Times New Roman" w:hAnsi="Times New Roman" w:eastAsia="宋体" w:cs="Times New Roman"/>
                <w:color w:val="FF0000"/>
                <w:sz w:val="24"/>
                <w:lang w:val="en-US" w:eastAsia="zh-CN"/>
              </w:rPr>
              <w:t>48</w:t>
            </w:r>
            <w:r>
              <w:rPr>
                <w:rFonts w:hint="default" w:ascii="Times New Roman" w:hAnsi="Times New Roman" w:eastAsia="宋体" w:cs="Times New Roman"/>
                <w:color w:val="FF0000"/>
                <w:sz w:val="24"/>
                <w:lang w:val="en-US" w:eastAsia="zh-CN"/>
              </w:rPr>
              <w:t>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lang w:val="en-US" w:eastAsia="zh-CN"/>
              </w:rPr>
              <w:t>/a）。</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②实验清洗废水</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实验室清洗废水包括实验人员洗手废水和实验仪器清洗废水。根据建设单位提供资料，实验室清洗用水量约为</w:t>
            </w:r>
            <w:r>
              <w:rPr>
                <w:rFonts w:hint="eastAsia" w:ascii="Times New Roman" w:hAnsi="Times New Roman" w:eastAsia="宋体" w:cs="Times New Roman"/>
                <w:color w:val="000000" w:themeColor="text1"/>
                <w:sz w:val="24"/>
                <w:lang w:val="en-US" w:eastAsia="zh-CN"/>
                <w14:textFill>
                  <w14:solidFill>
                    <w14:schemeClr w14:val="tx1"/>
                  </w14:solidFill>
                </w14:textFill>
              </w:rPr>
              <w:t>48</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r>
              <w:rPr>
                <w:rFonts w:hint="eastAsia" w:ascii="Times New Roman" w:hAnsi="Times New Roman" w:eastAsia="宋体" w:cs="Times New Roman"/>
                <w:color w:val="000000" w:themeColor="text1"/>
                <w:sz w:val="24"/>
                <w:lang w:val="en-US" w:eastAsia="zh-CN"/>
                <w14:textFill>
                  <w14:solidFill>
                    <w14:schemeClr w14:val="tx1"/>
                  </w14:solidFill>
                </w14:textFill>
              </w:rPr>
              <w:t>0.2</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/d）。废水产生量约为80%，则废水量为</w:t>
            </w:r>
            <w:r>
              <w:rPr>
                <w:rFonts w:hint="eastAsia" w:ascii="Times New Roman" w:hAnsi="Times New Roman" w:eastAsia="宋体" w:cs="Times New Roman"/>
                <w:color w:val="000000" w:themeColor="text1"/>
                <w:sz w:val="24"/>
                <w:lang w:val="en-US" w:eastAsia="zh-CN"/>
                <w14:textFill>
                  <w14:solidFill>
                    <w14:schemeClr w14:val="tx1"/>
                  </w14:solidFill>
                </w14:textFill>
              </w:rPr>
              <w:t>38.4</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r>
              <w:rPr>
                <w:rFonts w:hint="eastAsia" w:ascii="Times New Roman" w:hAnsi="Times New Roman" w:eastAsia="宋体" w:cs="Times New Roman"/>
                <w:color w:val="000000" w:themeColor="text1"/>
                <w:sz w:val="24"/>
                <w:lang w:val="en-US" w:eastAsia="zh-CN"/>
                <w14:textFill>
                  <w14:solidFill>
                    <w14:schemeClr w14:val="tx1"/>
                  </w14:solidFill>
                </w14:textFill>
              </w:rPr>
              <w:t>0.16</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③生物实验室高压灭菌柜定期外排废水</w:t>
            </w:r>
          </w:p>
          <w:p>
            <w:pPr>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生物实验室中废水主要产生于实验结束后的清理冲刷过程。对于具有传染性的器皿经实验室内高压蒸汽灭菌器消毒后，再洗刷。实验室配有高压蒸汽灭菌锅，对有感染性的器具先进行灭菌消毒，后进行洗刷。灭菌时采用高压蒸汽121℃，102.9kPa，30min灭菌处理，有效灭活病原微生物，高压蒸汽灭菌，不仅可杀死一 般的细菌、真菌等微生物，对芽孢、孢子也有杀灭效果，是最可靠、应用最普遍的物理灭菌法，因此废水不具有传染性。根据</w:t>
            </w:r>
            <w:r>
              <w:rPr>
                <w:rFonts w:hint="eastAsia" w:ascii="Times New Roman" w:hAnsi="Times New Roman" w:eastAsia="宋体" w:cs="Times New Roman"/>
                <w:color w:val="000000" w:themeColor="text1"/>
                <w:sz w:val="24"/>
                <w:lang w:val="en-US" w:eastAsia="zh-CN"/>
                <w14:textFill>
                  <w14:solidFill>
                    <w14:schemeClr w14:val="tx1"/>
                  </w14:solidFill>
                </w14:textFill>
              </w:rPr>
              <w:t>业主</w:t>
            </w:r>
            <w:r>
              <w:rPr>
                <w:rFonts w:hint="default" w:ascii="Times New Roman" w:hAnsi="Times New Roman" w:eastAsia="宋体" w:cs="Times New Roman"/>
                <w:color w:val="000000" w:themeColor="text1"/>
                <w:sz w:val="24"/>
                <w:lang w:val="en-US" w:eastAsia="zh-CN"/>
                <w14:textFill>
                  <w14:solidFill>
                    <w14:schemeClr w14:val="tx1"/>
                  </w14:solidFill>
                </w14:textFill>
              </w:rPr>
              <w:t>提供的数据，生物实验室用水量为</w:t>
            </w:r>
            <w:r>
              <w:rPr>
                <w:rFonts w:hint="eastAsia" w:ascii="Times New Roman" w:hAnsi="Times New Roman" w:eastAsia="宋体" w:cs="Times New Roman"/>
                <w:color w:val="000000" w:themeColor="text1"/>
                <w:sz w:val="24"/>
                <w:lang w:val="en-US" w:eastAsia="zh-CN"/>
                <w14:textFill>
                  <w14:solidFill>
                    <w14:schemeClr w14:val="tx1"/>
                  </w14:solidFill>
                </w14:textFill>
              </w:rPr>
              <w:t>24</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r>
              <w:rPr>
                <w:rFonts w:hint="eastAsia" w:ascii="Times New Roman" w:hAnsi="Times New Roman" w:eastAsia="宋体" w:cs="Times New Roman"/>
                <w:color w:val="000000" w:themeColor="text1"/>
                <w:sz w:val="24"/>
                <w:lang w:val="en-US" w:eastAsia="zh-CN"/>
                <w14:textFill>
                  <w14:solidFill>
                    <w14:schemeClr w14:val="tx1"/>
                  </w14:solidFill>
                </w14:textFill>
              </w:rPr>
              <w:t>0.1</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/d），则高压灭菌器整个灭菌周期中的排水（如真空用水、蒸汽冷凝水）量为</w:t>
            </w:r>
            <w:r>
              <w:rPr>
                <w:rFonts w:hint="eastAsia" w:ascii="Times New Roman" w:hAnsi="Times New Roman" w:eastAsia="宋体" w:cs="Times New Roman"/>
                <w:color w:val="000000" w:themeColor="text1"/>
                <w:sz w:val="24"/>
                <w:lang w:val="en-US" w:eastAsia="zh-CN"/>
                <w14:textFill>
                  <w14:solidFill>
                    <w14:schemeClr w14:val="tx1"/>
                  </w14:solidFill>
                </w14:textFill>
              </w:rPr>
              <w:t>19.2</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/a（</w:t>
            </w:r>
            <w:r>
              <w:rPr>
                <w:rFonts w:hint="eastAsia" w:ascii="Times New Roman" w:hAnsi="Times New Roman" w:eastAsia="宋体" w:cs="Times New Roman"/>
                <w:color w:val="000000" w:themeColor="text1"/>
                <w:sz w:val="24"/>
                <w:lang w:val="en-US" w:eastAsia="zh-CN"/>
                <w14:textFill>
                  <w14:solidFill>
                    <w14:schemeClr w14:val="tx1"/>
                  </w14:solidFill>
                </w14:textFill>
              </w:rPr>
              <w:t>0.08</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lang w:val="en-US" w:eastAsia="zh-CN"/>
                <w14:textFill>
                  <w14:solidFill>
                    <w14:schemeClr w14:val="tx1"/>
                  </w14:solidFill>
                </w14:textFill>
              </w:rPr>
              <w:t>/d）。</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 4 \* GB3 \* MERGEFORMAT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纯水制备产生的废水</w:t>
            </w:r>
          </w:p>
          <w:p>
            <w:pPr>
              <w:pStyle w:val="30"/>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项目实验室</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仪器清洗使用纯水、</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去离子水等特殊用水，拟采用相应纯水机设备进行制取。纯水制备设备原理为双级反渗透技术，它是依靠大于渗透的压力作用，通过膜的毛细管作用完成过滤过程的。一般情况下1m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自来水经处理后生成0.7m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纯水，剩余0.3m</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浓水进污水站处理。本项目制备纯水所需新鲜水量总量约为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0.29</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69.6</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/a，产生的高盐废水为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0.087</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20.88</w:t>
            </w:r>
            <w:r>
              <w:rPr>
                <w:rFonts w:hint="default" w:ascii="Times New Roman" w:hAnsi="Times New Roman" w:eastAsia="宋体" w:cs="Times New Roman"/>
                <w:color w:val="000000" w:themeColor="text1"/>
                <w:sz w:val="24"/>
                <w:lang w:val="en-US" w:eastAsia="zh-CN"/>
                <w14:textFill>
                  <w14:solidFill>
                    <w14:schemeClr w14:val="tx1"/>
                  </w14:solidFill>
                </w14:textFill>
              </w:rPr>
              <w:t>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/a），其污染因子为 Ca</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，属清下水。</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2.2项目水平衡</w:t>
            </w:r>
          </w:p>
          <w:p>
            <w:pPr>
              <w:spacing w:line="360" w:lineRule="auto"/>
              <w:ind w:firstLine="48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本项目用排水情况见表</w:t>
            </w:r>
            <w:r>
              <w:rPr>
                <w:rFonts w:hint="eastAsia" w:ascii="Times New Roman" w:hAnsi="Times New Roman" w:eastAsia="宋体" w:cs="Times New Roman"/>
                <w:color w:val="000000" w:themeColor="text1"/>
                <w:sz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lang w:val="en-US" w:eastAsia="zh-CN"/>
                <w14:textFill>
                  <w14:solidFill>
                    <w14:schemeClr w14:val="tx1"/>
                  </w14:solidFill>
                </w14:textFill>
              </w:rPr>
              <w:t>。</w:t>
            </w:r>
          </w:p>
          <w:p>
            <w:pPr>
              <w:pStyle w:val="30"/>
              <w:jc w:val="center"/>
              <w:rPr>
                <w:rFonts w:hint="default" w:ascii="Times New Roman" w:hAnsi="Times New Roman" w:eastAsia="仿宋" w:cs="Times New Roman"/>
                <w:b/>
                <w:color w:val="000000" w:themeColor="text1"/>
                <w:sz w:val="21"/>
                <w:szCs w:val="21"/>
                <w:highlight w:val="none"/>
                <w14:textFill>
                  <w14:solidFill>
                    <w14:schemeClr w14:val="tx1"/>
                  </w14:solidFill>
                </w14:textFill>
              </w:rPr>
            </w:pPr>
            <w:r>
              <w:rPr>
                <w:rFonts w:hint="default" w:ascii="Times New Roman" w:hAnsi="Times New Roman" w:eastAsia="仿宋" w:cs="Times New Roman"/>
                <w:b/>
                <w:color w:val="000000" w:themeColor="text1"/>
                <w:kern w:val="0"/>
                <w:sz w:val="21"/>
                <w:szCs w:val="21"/>
                <w14:textFill>
                  <w14:solidFill>
                    <w14:schemeClr w14:val="tx1"/>
                  </w14:solidFill>
                </w14:textFill>
              </w:rPr>
              <w:t>表</w:t>
            </w:r>
            <w:r>
              <w:rPr>
                <w:rFonts w:hint="eastAsia" w:ascii="Times New Roman" w:hAnsi="Times New Roman" w:eastAsia="仿宋" w:cs="Times New Roman"/>
                <w:b/>
                <w:color w:val="000000" w:themeColor="text1"/>
                <w:kern w:val="0"/>
                <w:sz w:val="21"/>
                <w:szCs w:val="21"/>
                <w:lang w:val="en-US" w:eastAsia="zh-CN"/>
                <w14:textFill>
                  <w14:solidFill>
                    <w14:schemeClr w14:val="tx1"/>
                  </w14:solidFill>
                </w14:textFill>
              </w:rPr>
              <w:t xml:space="preserve">4-3      </w:t>
            </w:r>
            <w:r>
              <w:rPr>
                <w:rFonts w:hint="default" w:ascii="Times New Roman" w:hAnsi="Times New Roman" w:eastAsia="仿宋" w:cs="Times New Roman"/>
                <w:b/>
                <w:color w:val="000000" w:themeColor="text1"/>
                <w:kern w:val="0"/>
                <w:sz w:val="21"/>
                <w:szCs w:val="21"/>
                <w14:textFill>
                  <w14:solidFill>
                    <w14:schemeClr w14:val="tx1"/>
                  </w14:solidFill>
                </w14:textFill>
              </w:rPr>
              <w:t xml:space="preserve"> </w:t>
            </w:r>
            <w:r>
              <w:rPr>
                <w:rFonts w:hint="default" w:ascii="Times New Roman" w:hAnsi="Times New Roman" w:eastAsia="仿宋" w:cs="Times New Roman"/>
                <w:b/>
                <w:color w:val="000000" w:themeColor="text1"/>
                <w:sz w:val="21"/>
                <w:szCs w:val="21"/>
                <w:highlight w:val="none"/>
                <w:lang w:eastAsia="zh-CN"/>
                <w14:textFill>
                  <w14:solidFill>
                    <w14:schemeClr w14:val="tx1"/>
                  </w14:solidFill>
                </w14:textFill>
              </w:rPr>
              <w:t>本项目用排水情况一览表</w:t>
            </w:r>
          </w:p>
          <w:tbl>
            <w:tblPr>
              <w:tblStyle w:val="29"/>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7"/>
              <w:gridCol w:w="1226"/>
              <w:gridCol w:w="1226"/>
              <w:gridCol w:w="1226"/>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449" w:type="dxa"/>
                  <w:gridSpan w:val="2"/>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用水单元</w:t>
                  </w:r>
                </w:p>
              </w:tc>
              <w:tc>
                <w:tcPr>
                  <w:tcW w:w="1226"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日用水量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w:t>
                  </w:r>
                </w:p>
              </w:tc>
              <w:tc>
                <w:tcPr>
                  <w:tcW w:w="1226"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年用水量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226"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日排水量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w:t>
                  </w:r>
                </w:p>
              </w:tc>
              <w:tc>
                <w:tcPr>
                  <w:tcW w:w="1226"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年排水量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p>
              </w:tc>
              <w:tc>
                <w:tcPr>
                  <w:tcW w:w="1226"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损耗量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222" w:type="dxa"/>
                  <w:vMerge w:val="restart"/>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微生物实验室</w:t>
                  </w:r>
                </w:p>
              </w:tc>
              <w:tc>
                <w:tcPr>
                  <w:tcW w:w="1227"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清洗水</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60</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0.16</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48</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222" w:type="dxa"/>
                  <w:vMerge w:val="continue"/>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1227" w:type="dxa"/>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高压灭菌</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0.08</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19.2</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449" w:type="dxa"/>
                  <w:gridSpan w:val="2"/>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纯水制备</w:t>
                  </w:r>
                </w:p>
              </w:tc>
              <w:tc>
                <w:tcPr>
                  <w:tcW w:w="1226" w:type="dxa"/>
                  <w:vAlign w:val="center"/>
                </w:tcPr>
                <w:p>
                  <w:pPr>
                    <w:pStyle w:val="13"/>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0.29</w:t>
                  </w:r>
                </w:p>
              </w:tc>
              <w:tc>
                <w:tcPr>
                  <w:tcW w:w="1226" w:type="dxa"/>
                  <w:vAlign w:val="center"/>
                </w:tcPr>
                <w:p>
                  <w:pPr>
                    <w:pStyle w:val="13"/>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69.6</w:t>
                  </w:r>
                </w:p>
              </w:tc>
              <w:tc>
                <w:tcPr>
                  <w:tcW w:w="1226" w:type="dxa"/>
                  <w:vAlign w:val="center"/>
                </w:tcPr>
                <w:p>
                  <w:pPr>
                    <w:pStyle w:val="13"/>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0.087</w:t>
                  </w:r>
                </w:p>
              </w:tc>
              <w:tc>
                <w:tcPr>
                  <w:tcW w:w="1226" w:type="dxa"/>
                  <w:vAlign w:val="center"/>
                </w:tcPr>
                <w:p>
                  <w:pPr>
                    <w:pStyle w:val="13"/>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20.88</w:t>
                  </w:r>
                </w:p>
              </w:tc>
              <w:tc>
                <w:tcPr>
                  <w:tcW w:w="1226" w:type="dxa"/>
                  <w:vAlign w:val="center"/>
                </w:tcPr>
                <w:p>
                  <w:pPr>
                    <w:pStyle w:val="13"/>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449" w:type="dxa"/>
                  <w:gridSpan w:val="2"/>
                  <w:vAlign w:val="center"/>
                </w:tcPr>
                <w:p>
                  <w:pPr>
                    <w:pStyle w:val="13"/>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职工</w:t>
                  </w:r>
                  <w:r>
                    <w:rPr>
                      <w:rFonts w:hint="eastAsia" w:ascii="Times New Roman" w:hAnsi="Times New Roman" w:cs="Times New Roman"/>
                      <w:color w:val="000000" w:themeColor="text1"/>
                      <w:sz w:val="21"/>
                      <w:szCs w:val="21"/>
                      <w:lang w:eastAsia="zh-CN"/>
                      <w14:textFill>
                        <w14:solidFill>
                          <w14:schemeClr w14:val="tx1"/>
                        </w14:solidFill>
                      </w14:textFill>
                    </w:rPr>
                    <w:t>生活污水</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0.2</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48</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0.16</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38.4</w:t>
                  </w:r>
                </w:p>
              </w:tc>
              <w:tc>
                <w:tcPr>
                  <w:tcW w:w="1226" w:type="dxa"/>
                  <w:vAlign w:val="center"/>
                </w:tcPr>
                <w:p>
                  <w:pPr>
                    <w:pStyle w:val="13"/>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0.04</w:t>
                  </w:r>
                </w:p>
              </w:tc>
            </w:tr>
          </w:tbl>
          <w:p>
            <w:pPr>
              <w:spacing w:line="360" w:lineRule="auto"/>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object>
                <v:shape id="_x0000_i1026" o:spt="75" type="#_x0000_t75" style="height:151.85pt;width:416.75pt;" o:ole="t" filled="f" o:preferrelative="t" stroked="f" coordsize="21600,21600">
                  <v:path/>
                  <v:fill on="f" focussize="0,0"/>
                  <v:stroke on="f"/>
                  <v:imagedata r:id="rId17" o:title=""/>
                  <o:lock v:ext="edit" aspectratio="f"/>
                  <w10:wrap type="none"/>
                  <w10:anchorlock/>
                </v:shape>
                <o:OLEObject Type="Embed" ProgID="Visio.Drawing.11" ShapeID="_x0000_i1026" DrawAspect="Content" ObjectID="_1468075726" r:id="rId16">
                  <o:LockedField>false</o:LockedField>
                </o:OLEObject>
              </w:object>
            </w:r>
          </w:p>
          <w:p>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图4-2      水平衡图 （单位：</w:t>
            </w:r>
            <w:r>
              <w:rPr>
                <w:rFonts w:hint="default" w:ascii="Times New Roman" w:hAnsi="Times New Roman" w:eastAsia="宋体" w:cs="Times New Roman"/>
                <w:b/>
                <w:bCs/>
                <w:color w:val="000000" w:themeColor="text1"/>
                <w:kern w:val="0"/>
                <w:sz w:val="20"/>
                <w:szCs w:val="20"/>
                <w:lang w:val="en-US" w:eastAsia="zh-CN" w:bidi="ar"/>
                <w14:textFill>
                  <w14:solidFill>
                    <w14:schemeClr w14:val="tx1"/>
                  </w14:solidFill>
                </w14:textFill>
              </w:rPr>
              <w:t>t/d</w:t>
            </w:r>
            <w:r>
              <w:rPr>
                <w:rFonts w:hint="eastAsia" w:ascii="宋体" w:hAnsi="宋体" w:eastAsia="宋体" w:cs="宋体"/>
                <w:b/>
                <w:bCs/>
                <w:color w:val="000000" w:themeColor="text1"/>
                <w:kern w:val="0"/>
                <w:sz w:val="20"/>
                <w:szCs w:val="20"/>
                <w:lang w:val="en-US" w:eastAsia="zh-CN" w:bidi="ar"/>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2.3</w:t>
            </w:r>
            <w:r>
              <w:rPr>
                <w:rFonts w:ascii="Times New Roman" w:hAnsi="Times New Roman" w:eastAsia="宋体" w:cs="Times New Roman"/>
                <w:color w:val="000000" w:themeColor="text1"/>
                <w:sz w:val="24"/>
                <w:szCs w:val="24"/>
                <w:lang w:eastAsia="zh-CN"/>
                <w14:textFill>
                  <w14:solidFill>
                    <w14:schemeClr w14:val="tx1"/>
                  </w14:solidFill>
                </w14:textFill>
              </w:rPr>
              <w:t>废水类别、污染物及污染治理设施信息</w:t>
            </w:r>
          </w:p>
          <w:p>
            <w:pPr>
              <w:spacing w:after="20" w:line="367" w:lineRule="auto"/>
              <w:ind w:firstLine="600" w:firstLineChars="25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本项目实验室废水中主要污染因子为CODcr</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eastAsia="zh-CN"/>
                <w14:textFill>
                  <w14:solidFill>
                    <w14:schemeClr w14:val="tx1"/>
                  </w14:solidFill>
                </w14:textFill>
              </w:rPr>
              <w:t>、BOD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、SS、氨氮、粪大肠菌群等；污染物产生浓度</w:t>
            </w:r>
            <w:r>
              <w:rPr>
                <w:rFonts w:hint="eastAsia" w:ascii="Times New Roman" w:hAnsi="Times New Roman" w:eastAsia="宋体" w:cs="Times New Roman"/>
                <w:color w:val="000000" w:themeColor="text1"/>
                <w:sz w:val="24"/>
                <w:szCs w:val="24"/>
                <w:lang w:eastAsia="zh-CN"/>
                <w14:textFill>
                  <w14:solidFill>
                    <w14:schemeClr w14:val="tx1"/>
                  </w14:solidFill>
                </w14:textFill>
              </w:rPr>
              <w:t>类比同行业监测数据</w:t>
            </w:r>
            <w:r>
              <w:rPr>
                <w:rFonts w:hint="default" w:ascii="Times New Roman" w:hAnsi="Times New Roman" w:eastAsia="宋体" w:cs="Times New Roman"/>
                <w:color w:val="000000" w:themeColor="text1"/>
                <w:sz w:val="24"/>
                <w:szCs w:val="24"/>
                <w:lang w:eastAsia="zh-CN"/>
                <w14:textFill>
                  <w14:solidFill>
                    <w14:schemeClr w14:val="tx1"/>
                  </w14:solidFill>
                </w14:textFill>
              </w:rPr>
              <w:t>，本项目废水中主要污染物浓度为：COD</w:t>
            </w:r>
            <w:bookmarkStart w:id="28" w:name="OLE_LINK13"/>
            <w:r>
              <w:rPr>
                <w:rFonts w:hint="default" w:ascii="Times New Roman" w:hAnsi="Times New Roman" w:eastAsia="宋体" w:cs="Times New Roman"/>
                <w:color w:val="000000" w:themeColor="text1"/>
                <w:sz w:val="24"/>
                <w:szCs w:val="24"/>
                <w:lang w:eastAsia="zh-CN"/>
                <w14:textFill>
                  <w14:solidFill>
                    <w14:schemeClr w14:val="tx1"/>
                  </w14:solidFill>
                </w14:textFill>
              </w:rPr>
              <w:t>为</w:t>
            </w:r>
            <w:bookmarkEnd w:id="28"/>
            <w:r>
              <w:rPr>
                <w:rFonts w:hint="eastAsia" w:ascii="Times New Roman" w:hAnsi="Times New Roman" w:eastAsia="宋体" w:cs="Times New Roman"/>
                <w:color w:val="000000" w:themeColor="text1"/>
                <w:sz w:val="24"/>
                <w:szCs w:val="24"/>
                <w:lang w:val="en-US" w:eastAsia="zh-CN"/>
                <w14:textFill>
                  <w14:solidFill>
                    <w14:schemeClr w14:val="tx1"/>
                  </w14:solidFill>
                </w14:textFill>
              </w:rPr>
              <w:t>28</w:t>
            </w:r>
            <w:r>
              <w:rPr>
                <w:rFonts w:hint="default" w:ascii="Times New Roman" w:hAnsi="Times New Roman" w:eastAsia="宋体" w:cs="Times New Roman"/>
                <w:color w:val="000000" w:themeColor="text1"/>
                <w:sz w:val="24"/>
                <w:szCs w:val="24"/>
                <w:lang w:eastAsia="zh-CN"/>
                <w14:textFill>
                  <w14:solidFill>
                    <w14:schemeClr w14:val="tx1"/>
                  </w14:solidFill>
                </w14:textFill>
              </w:rPr>
              <w:t>0mg/L、BOD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为1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lang w:eastAsia="zh-CN"/>
                <w14:textFill>
                  <w14:solidFill>
                    <w14:schemeClr w14:val="tx1"/>
                  </w14:solidFill>
                </w14:textFill>
              </w:rPr>
              <w:t>0mg/L、NH</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-N为45mg/L、SS为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eastAsia="zh-CN"/>
                <w14:textFill>
                  <w14:solidFill>
                    <w14:schemeClr w14:val="tx1"/>
                  </w14:solidFill>
                </w14:textFill>
              </w:rPr>
              <w:t>0mg/L、粪大肠菌群为1.8×10</w:t>
            </w:r>
            <w:r>
              <w:rPr>
                <w:rFonts w:hint="default" w:ascii="Times New Roman" w:hAnsi="Times New Roman" w:eastAsia="宋体" w:cs="Times New Roman"/>
                <w:color w:val="000000" w:themeColor="text1"/>
                <w:sz w:val="24"/>
                <w:szCs w:val="24"/>
                <w:vertAlign w:val="superscript"/>
                <w:lang w:eastAsia="zh-CN"/>
                <w14:textFill>
                  <w14:solidFill>
                    <w14:schemeClr w14:val="tx1"/>
                  </w14:solidFill>
                </w14:textFill>
              </w:rPr>
              <w:t>7</w:t>
            </w:r>
            <w:r>
              <w:rPr>
                <w:rFonts w:hint="default" w:ascii="Times New Roman" w:hAnsi="Times New Roman" w:eastAsia="宋体" w:cs="Times New Roman"/>
                <w:color w:val="000000" w:themeColor="text1"/>
                <w:sz w:val="24"/>
                <w:szCs w:val="24"/>
                <w:lang w:eastAsia="zh-CN"/>
                <w14:textFill>
                  <w14:solidFill>
                    <w14:schemeClr w14:val="tx1"/>
                  </w14:solidFill>
                </w14:textFill>
              </w:rPr>
              <w:t>个/L。</w:t>
            </w:r>
          </w:p>
          <w:p>
            <w:pPr>
              <w:spacing w:after="20" w:line="367" w:lineRule="auto"/>
              <w:ind w:firstLine="600" w:firstLineChars="25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项目实验室废水通过</w:t>
            </w:r>
            <w:r>
              <w:rPr>
                <w:rFonts w:hint="eastAsia" w:ascii="Times New Roman" w:hAnsi="Times New Roman" w:eastAsia="宋体" w:cs="Times New Roman"/>
                <w:color w:val="000000" w:themeColor="text1"/>
                <w:sz w:val="24"/>
                <w:lang w:val="en-US" w:eastAsia="zh-CN"/>
                <w14:textFill>
                  <w14:solidFill>
                    <w14:schemeClr w14:val="tx1"/>
                  </w14:solidFill>
                </w14:textFill>
              </w:rPr>
              <w:t>酸碱中和、</w:t>
            </w:r>
            <w:r>
              <w:rPr>
                <w:rFonts w:hint="eastAsia" w:ascii="Times New Roman" w:hAnsi="Times New Roman" w:eastAsia="宋体" w:cs="Times New Roman"/>
                <w:color w:val="000000" w:themeColor="text1"/>
                <w:sz w:val="24"/>
                <w:lang w:eastAsia="zh-CN"/>
                <w14:textFill>
                  <w14:solidFill>
                    <w14:schemeClr w14:val="tx1"/>
                  </w14:solidFill>
                </w14:textFill>
              </w:rPr>
              <w:t>高温高压灭菌、</w:t>
            </w:r>
            <w:r>
              <w:rPr>
                <w:rFonts w:hint="eastAsia" w:ascii="Times New Roman" w:hAnsi="Times New Roman" w:eastAsia="宋体" w:cs="Times New Roman"/>
                <w:color w:val="000000" w:themeColor="text1"/>
                <w:sz w:val="24"/>
                <w:lang w:val="en-US" w:eastAsia="zh-CN"/>
                <w14:textFill>
                  <w14:solidFill>
                    <w14:schemeClr w14:val="tx1"/>
                  </w14:solidFill>
                </w14:textFill>
              </w:rPr>
              <w:t>消毒</w:t>
            </w:r>
            <w:r>
              <w:rPr>
                <w:rFonts w:hint="eastAsia" w:ascii="Times New Roman" w:hAnsi="Times New Roman" w:eastAsia="宋体" w:cs="Times New Roman"/>
                <w:color w:val="000000" w:themeColor="text1"/>
                <w:sz w:val="24"/>
                <w:lang w:eastAsia="zh-CN"/>
                <w14:textFill>
                  <w14:solidFill>
                    <w14:schemeClr w14:val="tx1"/>
                  </w14:solidFill>
                </w14:textFill>
              </w:rPr>
              <w:t>处理后进入化粪池预处理后排入市政管网，最终排入宁县生活污水处理厂进行处理。项目实验室废水经消毒、灭菌、化粪池处理后污染物</w:t>
            </w:r>
            <w:r>
              <w:rPr>
                <w:rFonts w:hint="default" w:ascii="Times New Roman" w:hAnsi="Times New Roman" w:eastAsia="宋体" w:cs="Times New Roman"/>
                <w:color w:val="000000" w:themeColor="text1"/>
                <w:sz w:val="24"/>
                <w:szCs w:val="24"/>
                <w:lang w:eastAsia="zh-CN"/>
                <w14:textFill>
                  <w14:solidFill>
                    <w14:schemeClr w14:val="tx1"/>
                  </w14:solidFill>
                </w14:textFill>
              </w:rPr>
              <w:t>CODcr</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eastAsia="zh-CN"/>
                <w14:textFill>
                  <w14:solidFill>
                    <w14:schemeClr w14:val="tx1"/>
                  </w14:solidFill>
                </w14:textFill>
              </w:rPr>
              <w:t>、BOD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、SS、氨氮、粪大肠菌群</w:t>
            </w:r>
            <w:r>
              <w:rPr>
                <w:rFonts w:hint="eastAsia" w:ascii="Times New Roman" w:hAnsi="Times New Roman" w:eastAsia="宋体" w:cs="Times New Roman"/>
                <w:color w:val="000000" w:themeColor="text1"/>
                <w:sz w:val="24"/>
                <w:szCs w:val="24"/>
                <w:lang w:eastAsia="zh-CN"/>
                <w14:textFill>
                  <w14:solidFill>
                    <w14:schemeClr w14:val="tx1"/>
                  </w14:solidFill>
                </w14:textFill>
              </w:rPr>
              <w:t>排放</w:t>
            </w:r>
            <w:r>
              <w:rPr>
                <w:rFonts w:hint="eastAsia" w:ascii="Times New Roman" w:hAnsi="Times New Roman" w:eastAsia="宋体" w:cs="Times New Roman"/>
                <w:color w:val="000000" w:themeColor="text1"/>
                <w:sz w:val="24"/>
                <w:lang w:eastAsia="zh-CN"/>
                <w14:textFill>
                  <w14:solidFill>
                    <w14:schemeClr w14:val="tx1"/>
                  </w14:solidFill>
                </w14:textFill>
              </w:rPr>
              <w:t>浓度分别为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255</w:t>
            </w:r>
            <w:r>
              <w:rPr>
                <w:rFonts w:hint="default" w:ascii="Times New Roman" w:hAnsi="Times New Roman" w:eastAsia="宋体" w:cs="Times New Roman"/>
                <w:color w:val="000000" w:themeColor="text1"/>
                <w:sz w:val="24"/>
                <w:szCs w:val="24"/>
                <w:lang w:eastAsia="zh-CN"/>
                <w14:textFill>
                  <w14:solidFill>
                    <w14:schemeClr w14:val="tx1"/>
                  </w14:solidFill>
                </w14:textFill>
              </w:rPr>
              <w:t>mg/L、BOD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135</w:t>
            </w:r>
            <w:r>
              <w:rPr>
                <w:rFonts w:hint="default" w:ascii="Times New Roman" w:hAnsi="Times New Roman" w:eastAsia="宋体" w:cs="Times New Roman"/>
                <w:color w:val="000000" w:themeColor="text1"/>
                <w:sz w:val="24"/>
                <w:szCs w:val="24"/>
                <w:lang w:eastAsia="zh-CN"/>
                <w14:textFill>
                  <w14:solidFill>
                    <w14:schemeClr w14:val="tx1"/>
                  </w14:solidFill>
                </w14:textFill>
              </w:rPr>
              <w:t>mg/L、NH</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-N为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43.65</w:t>
            </w:r>
            <w:r>
              <w:rPr>
                <w:rFonts w:hint="default" w:ascii="Times New Roman" w:hAnsi="Times New Roman" w:eastAsia="宋体" w:cs="Times New Roman"/>
                <w:color w:val="000000" w:themeColor="text1"/>
                <w:sz w:val="24"/>
                <w:szCs w:val="24"/>
                <w:lang w:eastAsia="zh-CN"/>
                <w14:textFill>
                  <w14:solidFill>
                    <w14:schemeClr w14:val="tx1"/>
                  </w14:solidFill>
                </w14:textFill>
              </w:rPr>
              <w:t>mg/L、SS为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84</w:t>
            </w:r>
            <w:r>
              <w:rPr>
                <w:rFonts w:hint="default" w:ascii="Times New Roman" w:hAnsi="Times New Roman" w:eastAsia="宋体" w:cs="Times New Roman"/>
                <w:color w:val="000000" w:themeColor="text1"/>
                <w:sz w:val="24"/>
                <w:szCs w:val="24"/>
                <w:lang w:eastAsia="zh-CN"/>
                <w14:textFill>
                  <w14:solidFill>
                    <w14:schemeClr w14:val="tx1"/>
                  </w14:solidFill>
                </w14:textFill>
              </w:rPr>
              <w:t>mg/L、粪大肠菌群为</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100MPN/L</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p>
            <w:pPr>
              <w:spacing w:after="20" w:line="367" w:lineRule="auto"/>
              <w:ind w:firstLine="600" w:firstLineChars="25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lang w:eastAsia="zh-CN"/>
                <w14:textFill>
                  <w14:solidFill>
                    <w14:schemeClr w14:val="tx1"/>
                  </w14:solidFill>
                </w14:textFill>
              </w:rPr>
              <w:t>本项目职工生活污水中</w:t>
            </w:r>
            <w:r>
              <w:rPr>
                <w:rFonts w:hint="default" w:ascii="Times New Roman" w:hAnsi="Times New Roman" w:eastAsia="宋体" w:cs="Times New Roman"/>
                <w:color w:val="000000" w:themeColor="text1"/>
                <w:sz w:val="24"/>
                <w14:textFill>
                  <w14:solidFill>
                    <w14:schemeClr w14:val="tx1"/>
                  </w14:solidFill>
                </w14:textFill>
              </w:rPr>
              <w:t>主要污染因子为CODcr</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、BOD</w:t>
            </w:r>
            <w:r>
              <w:rPr>
                <w:rFonts w:hint="default" w:ascii="Times New Roman" w:hAnsi="Times New Roman" w:eastAsia="宋体" w:cs="Times New Roman"/>
                <w:color w:val="000000" w:themeColor="text1"/>
                <w:sz w:val="24"/>
                <w:vertAlign w:val="subscript"/>
                <w14:textFill>
                  <w14:solidFill>
                    <w14:schemeClr w14:val="tx1"/>
                  </w14:solidFill>
                </w14:textFill>
              </w:rPr>
              <w:t>5</w:t>
            </w:r>
            <w:r>
              <w:rPr>
                <w:rFonts w:hint="default" w:ascii="Times New Roman" w:hAnsi="Times New Roman" w:eastAsia="宋体" w:cs="Times New Roman"/>
                <w:color w:val="000000" w:themeColor="text1"/>
                <w:sz w:val="24"/>
                <w14:textFill>
                  <w14:solidFill>
                    <w14:schemeClr w14:val="tx1"/>
                  </w14:solidFill>
                </w14:textFill>
              </w:rPr>
              <w:t>、SS、氨氮等；污染物产生浓度</w:t>
            </w:r>
            <w:r>
              <w:rPr>
                <w:rFonts w:hint="default" w:ascii="Times New Roman" w:hAnsi="Times New Roman" w:eastAsia="宋体" w:cs="Times New Roman"/>
                <w:color w:val="000000" w:themeColor="text1"/>
                <w:sz w:val="24"/>
                <w:lang w:eastAsia="zh-CN"/>
                <w14:textFill>
                  <w14:solidFill>
                    <w14:schemeClr w14:val="tx1"/>
                  </w14:solidFill>
                </w14:textFill>
              </w:rPr>
              <w:t>类比同行业经验数据</w:t>
            </w:r>
            <w:r>
              <w:rPr>
                <w:rFonts w:hint="default" w:ascii="Times New Roman" w:hAnsi="Times New Roman" w:eastAsia="宋体" w:cs="Times New Roman"/>
                <w:color w:val="000000" w:themeColor="text1"/>
                <w:sz w:val="24"/>
                <w14:textFill>
                  <w14:solidFill>
                    <w14:schemeClr w14:val="tx1"/>
                  </w14:solidFill>
                </w14:textFill>
              </w:rPr>
              <w:t>，本项目废水中主要污染物浓度为：COD</w:t>
            </w:r>
            <w:r>
              <w:rPr>
                <w:rFonts w:hint="default" w:ascii="Times New Roman" w:hAnsi="Times New Roman" w:eastAsia="宋体" w:cs="Times New Roman"/>
                <w:color w:val="000000" w:themeColor="text1"/>
                <w:sz w:val="24"/>
                <w:lang w:eastAsia="zh-CN"/>
                <w14:textFill>
                  <w14:solidFill>
                    <w14:schemeClr w14:val="tx1"/>
                  </w14:solidFill>
                </w14:textFill>
              </w:rPr>
              <w:t>为</w:t>
            </w:r>
            <w:r>
              <w:rPr>
                <w:rFonts w:hint="default" w:ascii="Times New Roman" w:hAnsi="Times New Roman" w:eastAsia="宋体" w:cs="Times New Roman"/>
                <w:color w:val="000000" w:themeColor="text1"/>
                <w:sz w:val="24"/>
                <w14:textFill>
                  <w14:solidFill>
                    <w14:schemeClr w14:val="tx1"/>
                  </w14:solidFill>
                </w14:textFill>
              </w:rPr>
              <w:t>300mg/L、BOD</w:t>
            </w:r>
            <w:r>
              <w:rPr>
                <w:rFonts w:hint="default" w:ascii="Times New Roman" w:hAnsi="Times New Roman" w:eastAsia="宋体" w:cs="Times New Roman"/>
                <w:color w:val="000000" w:themeColor="text1"/>
                <w:sz w:val="24"/>
                <w:vertAlign w:val="subscript"/>
                <w14:textFill>
                  <w14:solidFill>
                    <w14:schemeClr w14:val="tx1"/>
                  </w14:solidFill>
                </w14:textFill>
              </w:rPr>
              <w:t>5</w:t>
            </w:r>
            <w:r>
              <w:rPr>
                <w:rFonts w:hint="default" w:ascii="Times New Roman" w:hAnsi="Times New Roman" w:eastAsia="宋体" w:cs="Times New Roman"/>
                <w:color w:val="000000" w:themeColor="text1"/>
                <w:sz w:val="24"/>
                <w:lang w:eastAsia="zh-CN"/>
                <w14:textFill>
                  <w14:solidFill>
                    <w14:schemeClr w14:val="tx1"/>
                  </w14:solidFill>
                </w14:textFill>
              </w:rPr>
              <w:t>为</w:t>
            </w:r>
            <w:r>
              <w:rPr>
                <w:rFonts w:hint="default" w:ascii="Times New Roman" w:hAnsi="Times New Roman" w:eastAsia="宋体" w:cs="Times New Roman"/>
                <w:color w:val="000000" w:themeColor="text1"/>
                <w:sz w:val="24"/>
                <w14:textFill>
                  <w14:solidFill>
                    <w14:schemeClr w14:val="tx1"/>
                  </w14:solidFill>
                </w14:textFill>
              </w:rPr>
              <w:t>150mg/L、NH</w:t>
            </w:r>
            <w:r>
              <w:rPr>
                <w:rFonts w:hint="default" w:ascii="Times New Roman" w:hAnsi="Times New Roman" w:eastAsia="宋体" w:cs="Times New Roman"/>
                <w:color w:val="000000" w:themeColor="text1"/>
                <w:sz w:val="24"/>
                <w:vertAlign w:val="subscript"/>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-N</w:t>
            </w:r>
            <w:r>
              <w:rPr>
                <w:rFonts w:hint="default" w:ascii="Times New Roman" w:hAnsi="Times New Roman" w:eastAsia="宋体" w:cs="Times New Roman"/>
                <w:color w:val="000000" w:themeColor="text1"/>
                <w:sz w:val="24"/>
                <w:lang w:eastAsia="zh-CN"/>
                <w14:textFill>
                  <w14:solidFill>
                    <w14:schemeClr w14:val="tx1"/>
                  </w14:solidFill>
                </w14:textFill>
              </w:rPr>
              <w:t>为</w:t>
            </w:r>
            <w:r>
              <w:rPr>
                <w:rFonts w:hint="default" w:ascii="Times New Roman" w:hAnsi="Times New Roman" w:eastAsia="宋体" w:cs="Times New Roman"/>
                <w:color w:val="000000" w:themeColor="text1"/>
                <w:sz w:val="24"/>
                <w14:textFill>
                  <w14:solidFill>
                    <w14:schemeClr w14:val="tx1"/>
                  </w14:solidFill>
                </w14:textFill>
              </w:rPr>
              <w:t>45mg/L、SS</w:t>
            </w:r>
            <w:r>
              <w:rPr>
                <w:rFonts w:hint="default" w:ascii="Times New Roman" w:hAnsi="Times New Roman" w:eastAsia="宋体" w:cs="Times New Roman"/>
                <w:color w:val="000000" w:themeColor="text1"/>
                <w:sz w:val="24"/>
                <w:lang w:eastAsia="zh-CN"/>
                <w14:textFill>
                  <w14:solidFill>
                    <w14:schemeClr w14:val="tx1"/>
                  </w14:solidFill>
                </w14:textFill>
              </w:rPr>
              <w:t>为</w:t>
            </w:r>
            <w:r>
              <w:rPr>
                <w:rFonts w:hint="default" w:ascii="Times New Roman" w:hAnsi="Times New Roman" w:eastAsia="宋体" w:cs="Times New Roman"/>
                <w:color w:val="000000" w:themeColor="text1"/>
                <w:sz w:val="24"/>
                <w14:textFill>
                  <w14:solidFill>
                    <w14:schemeClr w14:val="tx1"/>
                  </w14:solidFill>
                </w14:textFill>
              </w:rPr>
              <w:t>1</w:t>
            </w:r>
            <w:r>
              <w:rPr>
                <w:rFonts w:hint="default" w:ascii="Times New Roman" w:hAnsi="Times New Roman" w:eastAsia="宋体" w:cs="Times New Roman"/>
                <w:color w:val="000000" w:themeColor="text1"/>
                <w:sz w:val="24"/>
                <w:lang w:val="en-US" w:eastAsia="zh-CN"/>
                <w14:textFill>
                  <w14:solidFill>
                    <w14:schemeClr w14:val="tx1"/>
                  </w14:solidFill>
                </w14:textFill>
              </w:rPr>
              <w:t>2</w:t>
            </w:r>
            <w:r>
              <w:rPr>
                <w:rFonts w:hint="default" w:ascii="Times New Roman" w:hAnsi="Times New Roman" w:eastAsia="宋体" w:cs="Times New Roman"/>
                <w:color w:val="000000" w:themeColor="text1"/>
                <w:sz w:val="24"/>
                <w14:textFill>
                  <w14:solidFill>
                    <w14:schemeClr w14:val="tx1"/>
                  </w14:solidFill>
                </w14:textFill>
              </w:rPr>
              <w:t>0mg/L。</w:t>
            </w:r>
            <w:r>
              <w:rPr>
                <w:rFonts w:hint="eastAsia" w:ascii="Times New Roman" w:hAnsi="Times New Roman" w:eastAsia="宋体" w:cs="Times New Roman"/>
                <w:color w:val="000000" w:themeColor="text1"/>
                <w:sz w:val="24"/>
                <w:lang w:eastAsia="zh-CN"/>
                <w14:textFill>
                  <w14:solidFill>
                    <w14:schemeClr w14:val="tx1"/>
                  </w14:solidFill>
                </w14:textFill>
              </w:rPr>
              <w:t>项目职工生活污水经消毒、灭菌、化粪池处理后污染物</w:t>
            </w:r>
            <w:r>
              <w:rPr>
                <w:rFonts w:hint="default" w:ascii="Times New Roman" w:hAnsi="Times New Roman" w:eastAsia="宋体" w:cs="Times New Roman"/>
                <w:color w:val="000000" w:themeColor="text1"/>
                <w:sz w:val="24"/>
                <w:szCs w:val="24"/>
                <w:lang w:eastAsia="zh-CN"/>
                <w14:textFill>
                  <w14:solidFill>
                    <w14:schemeClr w14:val="tx1"/>
                  </w14:solidFill>
                </w14:textFill>
              </w:rPr>
              <w:t>CODcr</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lang w:eastAsia="zh-CN"/>
                <w14:textFill>
                  <w14:solidFill>
                    <w14:schemeClr w14:val="tx1"/>
                  </w14:solidFill>
                </w14:textFill>
              </w:rPr>
              <w:t>、BOD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、SS、氨氮、粪大肠菌群</w:t>
            </w:r>
            <w:r>
              <w:rPr>
                <w:rFonts w:hint="eastAsia" w:ascii="Times New Roman" w:hAnsi="Times New Roman" w:eastAsia="宋体" w:cs="Times New Roman"/>
                <w:color w:val="000000" w:themeColor="text1"/>
                <w:sz w:val="24"/>
                <w:szCs w:val="24"/>
                <w:lang w:eastAsia="zh-CN"/>
                <w14:textFill>
                  <w14:solidFill>
                    <w14:schemeClr w14:val="tx1"/>
                  </w14:solidFill>
                </w14:textFill>
              </w:rPr>
              <w:t>排放</w:t>
            </w:r>
            <w:r>
              <w:rPr>
                <w:rFonts w:hint="eastAsia" w:ascii="Times New Roman" w:hAnsi="Times New Roman" w:eastAsia="宋体" w:cs="Times New Roman"/>
                <w:color w:val="000000" w:themeColor="text1"/>
                <w:sz w:val="24"/>
                <w:lang w:eastAsia="zh-CN"/>
                <w14:textFill>
                  <w14:solidFill>
                    <w14:schemeClr w14:val="tx1"/>
                  </w14:solidFill>
                </w14:textFill>
              </w:rPr>
              <w:t>浓度分别为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255</w:t>
            </w:r>
            <w:r>
              <w:rPr>
                <w:rFonts w:hint="default" w:ascii="Times New Roman" w:hAnsi="Times New Roman" w:eastAsia="宋体" w:cs="Times New Roman"/>
                <w:color w:val="000000" w:themeColor="text1"/>
                <w:sz w:val="24"/>
                <w:szCs w:val="24"/>
                <w:lang w:eastAsia="zh-CN"/>
                <w14:textFill>
                  <w14:solidFill>
                    <w14:schemeClr w14:val="tx1"/>
                  </w14:solidFill>
                </w14:textFill>
              </w:rPr>
              <w:t>mg/L、BOD</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5</w:t>
            </w:r>
            <w:r>
              <w:rPr>
                <w:rFonts w:hint="default" w:ascii="Times New Roman" w:hAnsi="Times New Roman" w:eastAsia="宋体" w:cs="Times New Roman"/>
                <w:color w:val="000000" w:themeColor="text1"/>
                <w:sz w:val="24"/>
                <w:szCs w:val="24"/>
                <w:lang w:eastAsia="zh-CN"/>
                <w14:textFill>
                  <w14:solidFill>
                    <w14:schemeClr w14:val="tx1"/>
                  </w14:solidFill>
                </w14:textFill>
              </w:rPr>
              <w:t>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135</w:t>
            </w:r>
            <w:r>
              <w:rPr>
                <w:rFonts w:hint="default" w:ascii="Times New Roman" w:hAnsi="Times New Roman" w:eastAsia="宋体" w:cs="Times New Roman"/>
                <w:color w:val="000000" w:themeColor="text1"/>
                <w:sz w:val="24"/>
                <w:szCs w:val="24"/>
                <w:lang w:eastAsia="zh-CN"/>
                <w14:textFill>
                  <w14:solidFill>
                    <w14:schemeClr w14:val="tx1"/>
                  </w14:solidFill>
                </w14:textFill>
              </w:rPr>
              <w:t>mg/L、NH</w:t>
            </w:r>
            <w:r>
              <w:rPr>
                <w:rFonts w:hint="default" w:ascii="Times New Roman" w:hAnsi="Times New Roman" w:eastAsia="宋体" w:cs="Times New Roman"/>
                <w:color w:val="000000" w:themeColor="text1"/>
                <w:sz w:val="24"/>
                <w:szCs w:val="24"/>
                <w:vertAlign w:val="subscript"/>
                <w:lang w:eastAsia="zh-CN"/>
                <w14:textFill>
                  <w14:solidFill>
                    <w14:schemeClr w14:val="tx1"/>
                  </w14:solidFill>
                </w14:textFill>
              </w:rPr>
              <w:t>3</w:t>
            </w:r>
            <w:r>
              <w:rPr>
                <w:rFonts w:hint="default" w:ascii="Times New Roman" w:hAnsi="Times New Roman" w:eastAsia="宋体" w:cs="Times New Roman"/>
                <w:color w:val="000000" w:themeColor="text1"/>
                <w:sz w:val="24"/>
                <w:szCs w:val="24"/>
                <w:lang w:eastAsia="zh-CN"/>
                <w14:textFill>
                  <w14:solidFill>
                    <w14:schemeClr w14:val="tx1"/>
                  </w14:solidFill>
                </w14:textFill>
              </w:rPr>
              <w:t>-N为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43.65</w:t>
            </w:r>
            <w:r>
              <w:rPr>
                <w:rFonts w:hint="default" w:ascii="Times New Roman" w:hAnsi="Times New Roman" w:eastAsia="宋体" w:cs="Times New Roman"/>
                <w:color w:val="000000" w:themeColor="text1"/>
                <w:sz w:val="24"/>
                <w:szCs w:val="24"/>
                <w:lang w:eastAsia="zh-CN"/>
                <w14:textFill>
                  <w14:solidFill>
                    <w14:schemeClr w14:val="tx1"/>
                  </w14:solidFill>
                </w14:textFill>
              </w:rPr>
              <w:t>mg/L、SS为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84</w:t>
            </w:r>
            <w:r>
              <w:rPr>
                <w:rFonts w:hint="default" w:ascii="Times New Roman" w:hAnsi="Times New Roman" w:eastAsia="宋体" w:cs="Times New Roman"/>
                <w:color w:val="000000" w:themeColor="text1"/>
                <w:sz w:val="24"/>
                <w:szCs w:val="24"/>
                <w:lang w:eastAsia="zh-CN"/>
                <w14:textFill>
                  <w14:solidFill>
                    <w14:schemeClr w14:val="tx1"/>
                  </w14:solidFill>
                </w14:textFill>
              </w:rPr>
              <w:t>mg/L</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spacing w:after="20" w:line="367" w:lineRule="auto"/>
              <w:ind w:firstLine="600" w:firstLineChars="25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本项目废水主要为</w:t>
            </w:r>
            <w:r>
              <w:rPr>
                <w:rFonts w:hint="eastAsia" w:ascii="Times New Roman" w:hAnsi="Times New Roman" w:eastAsia="宋体" w:cs="Times New Roman"/>
                <w:color w:val="000000" w:themeColor="text1"/>
                <w:sz w:val="24"/>
                <w:szCs w:val="24"/>
                <w:lang w:eastAsia="zh-CN"/>
                <w14:textFill>
                  <w14:solidFill>
                    <w14:schemeClr w14:val="tx1"/>
                  </w14:solidFill>
                </w14:textFill>
              </w:rPr>
              <w:t>职工</w:t>
            </w:r>
            <w:r>
              <w:rPr>
                <w:rFonts w:ascii="Times New Roman" w:hAnsi="Times New Roman" w:eastAsia="宋体" w:cs="Times New Roman"/>
                <w:color w:val="000000" w:themeColor="text1"/>
                <w:sz w:val="24"/>
                <w:szCs w:val="24"/>
                <w:lang w:eastAsia="zh-CN"/>
                <w14:textFill>
                  <w14:solidFill>
                    <w14:schemeClr w14:val="tx1"/>
                  </w14:solidFill>
                </w14:textFill>
              </w:rPr>
              <w:t>生活污水</w:t>
            </w:r>
            <w:r>
              <w:rPr>
                <w:rFonts w:hint="eastAsia" w:ascii="Times New Roman" w:hAnsi="Times New Roman" w:eastAsia="宋体" w:cs="Times New Roman"/>
                <w:color w:val="000000" w:themeColor="text1"/>
                <w:sz w:val="24"/>
                <w:szCs w:val="24"/>
                <w:lang w:eastAsia="zh-CN"/>
                <w14:textFill>
                  <w14:solidFill>
                    <w14:schemeClr w14:val="tx1"/>
                  </w14:solidFill>
                </w14:textFill>
              </w:rPr>
              <w:t>和微生物实验室废水</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生活污水经化粪池处理后，</w:t>
            </w:r>
            <w:r>
              <w:rPr>
                <w:rFonts w:ascii="Times New Roman" w:hAnsi="Times New Roman" w:eastAsia="宋体" w:cs="Times New Roman"/>
                <w:color w:val="000000" w:themeColor="text1"/>
                <w:sz w:val="24"/>
                <w:szCs w:val="24"/>
                <w:lang w:eastAsia="zh-CN"/>
                <w14:textFill>
                  <w14:solidFill>
                    <w14:schemeClr w14:val="tx1"/>
                  </w14:solidFill>
                </w14:textFill>
              </w:rPr>
              <w:t>排入市政污水管网，最终进入</w:t>
            </w:r>
            <w:r>
              <w:rPr>
                <w:rFonts w:hint="eastAsia" w:ascii="Times New Roman" w:hAnsi="Times New Roman" w:eastAsia="宋体" w:cs="Times New Roman"/>
                <w:color w:val="000000" w:themeColor="text1"/>
                <w:sz w:val="24"/>
                <w:szCs w:val="24"/>
                <w:lang w:eastAsia="zh-CN"/>
                <w14:textFill>
                  <w14:solidFill>
                    <w14:schemeClr w14:val="tx1"/>
                  </w14:solidFill>
                </w14:textFill>
              </w:rPr>
              <w:t>宁县生活污水处理厂处理</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微生物实验室废水收集后</w:t>
            </w:r>
            <w:r>
              <w:rPr>
                <w:rFonts w:hint="eastAsia" w:ascii="Times New Roman" w:hAnsi="Times New Roman" w:eastAsia="宋体" w:cs="Times New Roman"/>
                <w:color w:val="000000" w:themeColor="text1"/>
                <w:w w:val="100"/>
                <w:sz w:val="24"/>
                <w:szCs w:val="24"/>
                <w:lang w:val="en-US" w:eastAsia="zh-CN"/>
                <w14:textFill>
                  <w14:solidFill>
                    <w14:schemeClr w14:val="tx1"/>
                  </w14:solidFill>
                </w14:textFill>
              </w:rPr>
              <w:t>先经酸碱中和、高温高压灭菌、消毒预处理后排入院内化粪池，与生活污水一起排入市政管网，</w:t>
            </w:r>
            <w:r>
              <w:rPr>
                <w:rFonts w:ascii="Times New Roman" w:hAnsi="Times New Roman" w:eastAsia="宋体" w:cs="Times New Roman"/>
                <w:color w:val="000000" w:themeColor="text1"/>
                <w:sz w:val="24"/>
                <w:szCs w:val="24"/>
                <w:lang w:eastAsia="zh-CN"/>
                <w14:textFill>
                  <w14:solidFill>
                    <w14:schemeClr w14:val="tx1"/>
                  </w14:solidFill>
                </w14:textFill>
              </w:rPr>
              <w:t>最终进入</w:t>
            </w:r>
            <w:r>
              <w:rPr>
                <w:rFonts w:hint="eastAsia" w:ascii="Times New Roman" w:hAnsi="Times New Roman" w:eastAsia="宋体" w:cs="Times New Roman"/>
                <w:color w:val="000000" w:themeColor="text1"/>
                <w:sz w:val="24"/>
                <w:szCs w:val="24"/>
                <w:lang w:eastAsia="zh-CN"/>
                <w14:textFill>
                  <w14:solidFill>
                    <w14:schemeClr w14:val="tx1"/>
                  </w14:solidFill>
                </w14:textFill>
              </w:rPr>
              <w:t>宁县生活污水处理厂处理</w:t>
            </w:r>
            <w:r>
              <w:rPr>
                <w:rFonts w:ascii="Times New Roman" w:hAnsi="Times New Roman" w:eastAsia="宋体" w:cs="Times New Roman"/>
                <w:color w:val="000000" w:themeColor="text1"/>
                <w:sz w:val="24"/>
                <w:szCs w:val="24"/>
                <w:lang w:eastAsia="zh-CN"/>
                <w14:textFill>
                  <w14:solidFill>
                    <w14:schemeClr w14:val="tx1"/>
                  </w14:solidFill>
                </w14:textFill>
              </w:rPr>
              <w:t>，具体废水类别及污染治理设施信息见表4-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w:t>
            </w:r>
            <w:r>
              <w:rPr>
                <w:rFonts w:ascii="Times New Roman" w:hAnsi="Times New Roman" w:eastAsia="宋体" w:cs="Times New Roman"/>
                <w:color w:val="000000" w:themeColor="text1"/>
                <w:sz w:val="24"/>
                <w:szCs w:val="24"/>
                <w:lang w:eastAsia="zh-CN"/>
                <w14:textFill>
                  <w14:solidFill>
                    <w14:schemeClr w14:val="tx1"/>
                  </w14:solidFill>
                </w14:textFill>
              </w:rPr>
              <w:t>。</w:t>
            </w:r>
          </w:p>
          <w:p>
            <w:pPr>
              <w:tabs>
                <w:tab w:val="center" w:pos="778"/>
                <w:tab w:val="center" w:pos="4362"/>
              </w:tabs>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ascii="Times New Roman" w:hAnsi="Times New Roman" w:eastAsia="宋体" w:cs="Times New Roman"/>
                <w:b/>
                <w:bCs/>
                <w:color w:val="000000" w:themeColor="text1"/>
                <w:sz w:val="21"/>
                <w:szCs w:val="21"/>
                <w:lang w:eastAsia="zh-CN"/>
                <w14:textFill>
                  <w14:solidFill>
                    <w14:schemeClr w14:val="tx1"/>
                  </w14:solidFill>
                </w14:textFill>
              </w:rPr>
              <w:t xml:space="preserve">    废水类别、污染物及污染治理设施信息表</w:t>
            </w:r>
          </w:p>
          <w:tbl>
            <w:tblPr>
              <w:tblStyle w:val="28"/>
              <w:tblW w:w="8576"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
            <w:tblGrid>
              <w:gridCol w:w="404"/>
              <w:gridCol w:w="1011"/>
              <w:gridCol w:w="960"/>
              <w:gridCol w:w="564"/>
              <w:gridCol w:w="912"/>
              <w:gridCol w:w="732"/>
              <w:gridCol w:w="864"/>
              <w:gridCol w:w="848"/>
              <w:gridCol w:w="852"/>
              <w:gridCol w:w="1429"/>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Ex>
              <w:trPr>
                <w:trHeight w:val="316" w:hRule="atLeast"/>
                <w:jc w:val="center"/>
              </w:trPr>
              <w:tc>
                <w:tcPr>
                  <w:tcW w:w="40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废水类别</w:t>
                  </w:r>
                </w:p>
              </w:tc>
              <w:tc>
                <w:tcPr>
                  <w:tcW w:w="10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污染物种类</w:t>
                  </w:r>
                </w:p>
              </w:tc>
              <w:tc>
                <w:tcPr>
                  <w:tcW w:w="9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排放去向</w:t>
                  </w:r>
                </w:p>
              </w:tc>
              <w:tc>
                <w:tcPr>
                  <w:tcW w:w="5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排放规律</w:t>
                  </w:r>
                </w:p>
              </w:tc>
              <w:tc>
                <w:tcPr>
                  <w:tcW w:w="250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污染治理设施</w:t>
                  </w:r>
                </w:p>
              </w:tc>
              <w:tc>
                <w:tcPr>
                  <w:tcW w:w="84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口编号</w:t>
                  </w:r>
                </w:p>
              </w:tc>
              <w:tc>
                <w:tcPr>
                  <w:tcW w:w="85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排放口</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设置是否符合要求</w:t>
                  </w:r>
                </w:p>
              </w:tc>
              <w:tc>
                <w:tcPr>
                  <w:tcW w:w="14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right"/>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排放口类型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Ex>
              <w:trPr>
                <w:trHeight w:val="90" w:hRule="atLeast"/>
                <w:jc w:val="center"/>
              </w:trPr>
              <w:tc>
                <w:tcPr>
                  <w:tcW w:w="40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0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6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污染治理</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设施编号</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污染治理设施名称</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污染治理设施工艺</w:t>
                  </w:r>
                </w:p>
              </w:tc>
              <w:tc>
                <w:tcPr>
                  <w:tcW w:w="84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5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4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right"/>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Ex>
              <w:trPr>
                <w:trHeight w:val="1467" w:hRule="atLeast"/>
                <w:jc w:val="center"/>
              </w:trPr>
              <w:tc>
                <w:tcPr>
                  <w:tcW w:w="4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w:t>
                  </w:r>
                </w:p>
              </w:tc>
              <w:tc>
                <w:tcPr>
                  <w:tcW w:w="1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pH、CODcr、</w:t>
                  </w:r>
                  <w:r>
                    <w:rPr>
                      <w:rFonts w:hint="default" w:ascii="Times New Roman" w:hAnsi="Times New Roman" w:eastAsia="宋体" w:cs="Times New Roman"/>
                      <w:color w:val="000000" w:themeColor="text1"/>
                      <w:sz w:val="21"/>
                      <w:szCs w:val="21"/>
                      <w:lang w:eastAsia="zh-CN"/>
                      <w14:textFill>
                        <w14:solidFill>
                          <w14:schemeClr w14:val="tx1"/>
                        </w14:solidFill>
                      </w14:textFill>
                    </w:rPr>
                    <w:t>BOD</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96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通过市政管网排入</w:t>
                  </w:r>
                  <w:r>
                    <w:rPr>
                      <w:rFonts w:hint="eastAsia" w:ascii="Times New Roman" w:hAnsi="Times New Roman" w:eastAsia="宋体" w:cs="Times New Roman"/>
                      <w:color w:val="000000" w:themeColor="text1"/>
                      <w:sz w:val="21"/>
                      <w:szCs w:val="21"/>
                      <w:lang w:eastAsia="zh-CN"/>
                      <w14:textFill>
                        <w14:solidFill>
                          <w14:schemeClr w14:val="tx1"/>
                        </w14:solidFill>
                      </w14:textFill>
                    </w:rPr>
                    <w:t>宁县生活污水处理厂</w:t>
                  </w:r>
                </w:p>
              </w:tc>
              <w:tc>
                <w:tcPr>
                  <w:tcW w:w="5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间接排放</w:t>
                  </w: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TW00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生活污水处理系统</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化粪池</w:t>
                  </w:r>
                </w:p>
              </w:tc>
              <w:tc>
                <w:tcPr>
                  <w:tcW w:w="8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□否</w:t>
                  </w:r>
                </w:p>
              </w:tc>
              <w:tc>
                <w:tcPr>
                  <w:tcW w:w="142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□企业总排</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□雨水排放</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√清净下水排放</w:t>
                  </w:r>
                </w:p>
                <w:p>
                  <w:pPr>
                    <w:keepNext w:val="0"/>
                    <w:keepLines w:val="0"/>
                    <w:pageBreakBefore w:val="0"/>
                    <w:widowControl w:val="0"/>
                    <w:kinsoku/>
                    <w:wordWrap/>
                    <w:overflowPunct/>
                    <w:topLinePunct w:val="0"/>
                    <w:autoSpaceDE/>
                    <w:autoSpaceDN/>
                    <w:bidi w:val="0"/>
                    <w:adjustRightInd/>
                    <w:snapToGrid/>
                    <w:ind w:right="0"/>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□温排水排放</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□车间或车间处理设施排放口</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33" w:type="dxa"/>
                  <w:left w:w="109" w:type="dxa"/>
                  <w:bottom w:w="0" w:type="dxa"/>
                  <w:right w:w="108" w:type="dxa"/>
                </w:tblCellMar>
              </w:tblPrEx>
              <w:trPr>
                <w:trHeight w:val="1320" w:hRule="atLeast"/>
                <w:jc w:val="center"/>
              </w:trPr>
              <w:tc>
                <w:tcPr>
                  <w:tcW w:w="4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实验室废水</w:t>
                  </w:r>
                </w:p>
              </w:tc>
              <w:tc>
                <w:tcPr>
                  <w:tcW w:w="10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CODcr</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、SS、氨氮、粪大肠菌群</w:t>
                  </w:r>
                  <w:r>
                    <w:rPr>
                      <w:rFonts w:hint="default" w:ascii="Times New Roman" w:hAnsi="Times New Roman" w:eastAsia="宋体" w:cs="Times New Roman"/>
                      <w:color w:val="000000" w:themeColor="text1"/>
                      <w:sz w:val="21"/>
                      <w:szCs w:val="21"/>
                      <w:lang w:eastAsia="zh-CN"/>
                      <w14:textFill>
                        <w14:solidFill>
                          <w14:schemeClr w14:val="tx1"/>
                        </w14:solidFill>
                      </w14:textFill>
                    </w:rPr>
                    <w:t>，目标为生物</w:t>
                  </w:r>
                </w:p>
              </w:tc>
              <w:tc>
                <w:tcPr>
                  <w:tcW w:w="96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c>
                <w:tcPr>
                  <w:tcW w:w="5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TW00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7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消毒、高温高压灭菌预处理</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消毒、高温高压灭菌后进入化粪池</w:t>
                  </w:r>
                </w:p>
              </w:tc>
              <w:tc>
                <w:tcPr>
                  <w:tcW w:w="84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DW001</w:t>
                  </w:r>
                </w:p>
              </w:tc>
              <w:tc>
                <w:tcPr>
                  <w:tcW w:w="8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□否</w:t>
                  </w:r>
                </w:p>
              </w:tc>
              <w:tc>
                <w:tcPr>
                  <w:tcW w:w="14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bl>
          <w:p>
            <w:pPr>
              <w:spacing w:line="360" w:lineRule="auto"/>
              <w:ind w:firstLine="440" w:firstLineChars="200"/>
              <w:rPr>
                <w:bCs/>
                <w:color w:val="000000" w:themeColor="text1"/>
                <w:spacing w:val="-10"/>
                <w:sz w:val="24"/>
                <w:lang w:eastAsia="zh-CN"/>
                <w14:textFill>
                  <w14:solidFill>
                    <w14:schemeClr w14:val="tx1"/>
                  </w14:solidFill>
                </w14:textFill>
              </w:rPr>
            </w:pPr>
            <w:r>
              <w:rPr>
                <w:rFonts w:hint="eastAsia"/>
                <w:bCs/>
                <w:color w:val="000000" w:themeColor="text1"/>
                <w:spacing w:val="-10"/>
                <w:sz w:val="24"/>
                <w:lang w:eastAsia="zh-CN"/>
                <w14:textFill>
                  <w14:solidFill>
                    <w14:schemeClr w14:val="tx1"/>
                  </w14:solidFill>
                </w14:textFill>
              </w:rPr>
              <w:t>2.</w:t>
            </w:r>
            <w:r>
              <w:rPr>
                <w:rFonts w:hint="eastAsia"/>
                <w:bCs/>
                <w:color w:val="000000" w:themeColor="text1"/>
                <w:spacing w:val="-10"/>
                <w:sz w:val="24"/>
                <w:lang w:val="en-US" w:eastAsia="zh-CN"/>
                <w14:textFill>
                  <w14:solidFill>
                    <w14:schemeClr w14:val="tx1"/>
                  </w14:solidFill>
                </w14:textFill>
              </w:rPr>
              <w:t>4</w:t>
            </w:r>
            <w:r>
              <w:rPr>
                <w:rFonts w:hint="eastAsia"/>
                <w:bCs/>
                <w:color w:val="000000" w:themeColor="text1"/>
                <w:spacing w:val="-10"/>
                <w:sz w:val="24"/>
                <w:lang w:eastAsia="zh-CN"/>
                <w14:textFill>
                  <w14:solidFill>
                    <w14:schemeClr w14:val="tx1"/>
                  </w14:solidFill>
                </w14:textFill>
              </w:rPr>
              <w:t>采取环保措施：</w:t>
            </w:r>
          </w:p>
          <w:p>
            <w:pPr>
              <w:spacing w:after="128"/>
              <w:ind w:left="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实验室废水</w:t>
            </w:r>
            <w:r>
              <w:rPr>
                <w:rFonts w:ascii="Times New Roman" w:hAnsi="Times New Roman" w:eastAsia="宋体" w:cs="Times New Roman"/>
                <w:color w:val="000000" w:themeColor="text1"/>
                <w:sz w:val="24"/>
                <w:szCs w:val="24"/>
                <w:lang w:eastAsia="zh-CN"/>
                <w14:textFill>
                  <w14:solidFill>
                    <w14:schemeClr w14:val="tx1"/>
                  </w14:solidFill>
                </w14:textFill>
              </w:rPr>
              <w:t>环境影响及措施分析</w:t>
            </w:r>
          </w:p>
          <w:p>
            <w:pPr>
              <w:spacing w:line="382" w:lineRule="auto"/>
              <w:ind w:right="104" w:firstLine="480"/>
              <w:rPr>
                <w:rFonts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eastAsia="zh-CN"/>
              </w:rPr>
              <w:t>根据计算，项目实验室废水经消毒、高温高压灭菌处理后污染物排放浓度</w:t>
            </w:r>
            <w:r>
              <w:rPr>
                <w:rFonts w:ascii="Times New Roman" w:hAnsi="Times New Roman" w:eastAsia="宋体" w:cs="Times New Roman"/>
                <w:color w:val="FF0000"/>
                <w:sz w:val="24"/>
                <w:szCs w:val="24"/>
                <w:lang w:eastAsia="zh-CN"/>
              </w:rPr>
              <w:t>满足</w:t>
            </w:r>
            <w:r>
              <w:rPr>
                <w:rFonts w:hint="eastAsia" w:ascii="Times New Roman" w:hAnsi="Times New Roman" w:eastAsia="宋体" w:cs="Times New Roman"/>
                <w:color w:val="FF0000"/>
                <w:sz w:val="24"/>
                <w:szCs w:val="24"/>
                <w:lang w:eastAsia="zh-CN"/>
              </w:rPr>
              <w:t>《医疗机构水污染排放标准》（GB18466-2005）</w:t>
            </w:r>
            <w:commentRangeStart w:id="7"/>
            <w:r>
              <w:rPr>
                <w:rFonts w:hint="eastAsia" w:ascii="Times New Roman" w:hAnsi="Times New Roman" w:eastAsia="宋体" w:cs="Times New Roman"/>
                <w:color w:val="0000FF"/>
                <w:sz w:val="24"/>
                <w:szCs w:val="24"/>
                <w:lang w:eastAsia="zh-CN"/>
              </w:rPr>
              <w:t>预处理</w:t>
            </w:r>
            <w:r>
              <w:rPr>
                <w:rFonts w:hint="eastAsia" w:ascii="Times New Roman" w:hAnsi="Times New Roman" w:eastAsia="宋体" w:cs="Times New Roman"/>
                <w:color w:val="0000FF"/>
                <w:sz w:val="24"/>
                <w:szCs w:val="24"/>
                <w:lang w:val="en-US" w:eastAsia="zh-CN"/>
              </w:rPr>
              <w:t>排放</w:t>
            </w:r>
            <w:commentRangeEnd w:id="7"/>
            <w:r>
              <w:rPr>
                <w:color w:val="0000FF"/>
              </w:rPr>
              <w:commentReference w:id="7"/>
            </w:r>
            <w:r>
              <w:rPr>
                <w:rFonts w:hint="eastAsia" w:ascii="Times New Roman" w:hAnsi="Times New Roman" w:eastAsia="宋体" w:cs="Times New Roman"/>
                <w:color w:val="0000FF"/>
                <w:sz w:val="24"/>
                <w:szCs w:val="24"/>
                <w:lang w:val="en-US" w:eastAsia="zh-CN"/>
              </w:rPr>
              <w:t>标准后</w:t>
            </w:r>
            <w:r>
              <w:rPr>
                <w:rFonts w:ascii="Times New Roman" w:hAnsi="Times New Roman" w:eastAsia="宋体" w:cs="Times New Roman"/>
                <w:color w:val="FF0000"/>
                <w:sz w:val="24"/>
                <w:szCs w:val="24"/>
                <w:lang w:eastAsia="zh-CN"/>
              </w:rPr>
              <w:t>，废水进入污水管网，进入</w:t>
            </w:r>
            <w:r>
              <w:rPr>
                <w:rFonts w:hint="eastAsia" w:ascii="Times New Roman" w:hAnsi="Times New Roman" w:eastAsia="宋体" w:cs="Times New Roman"/>
                <w:color w:val="FF0000"/>
                <w:sz w:val="24"/>
                <w:szCs w:val="24"/>
                <w:lang w:eastAsia="zh-CN"/>
              </w:rPr>
              <w:t>宁县生活污水处理厂处理</w:t>
            </w:r>
            <w:r>
              <w:rPr>
                <w:rFonts w:ascii="Times New Roman" w:hAnsi="Times New Roman" w:eastAsia="宋体" w:cs="Times New Roman"/>
                <w:color w:val="FF0000"/>
                <w:sz w:val="24"/>
                <w:szCs w:val="24"/>
                <w:lang w:eastAsia="zh-CN"/>
              </w:rPr>
              <w:t>，处理后对周围环境影响较小，措施可行。</w:t>
            </w:r>
          </w:p>
          <w:p>
            <w:pPr>
              <w:spacing w:after="128"/>
              <w:ind w:left="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（2）生活污水环境影响及措施分析</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根据计算，项目职工生活污水经化粪池处理后污染物排放浓度</w:t>
            </w:r>
            <w:r>
              <w:rPr>
                <w:rFonts w:ascii="Times New Roman" w:hAnsi="Times New Roman" w:eastAsia="宋体" w:cs="Times New Roman"/>
                <w:color w:val="000000" w:themeColor="text1"/>
                <w:sz w:val="24"/>
                <w:szCs w:val="24"/>
                <w:lang w:eastAsia="zh-CN"/>
                <w14:textFill>
                  <w14:solidFill>
                    <w14:schemeClr w14:val="tx1"/>
                  </w14:solidFill>
                </w14:textFill>
              </w:rPr>
              <w:t>满足</w:t>
            </w:r>
            <w:r>
              <w:rPr>
                <w:rFonts w:hint="eastAsia" w:ascii="Times New Roman" w:hAnsi="Times New Roman" w:eastAsia="宋体" w:cs="Times New Roman"/>
                <w:color w:val="000000" w:themeColor="text1"/>
                <w:sz w:val="24"/>
                <w:szCs w:val="24"/>
                <w:lang w:eastAsia="zh-CN"/>
                <w14:textFill>
                  <w14:solidFill>
                    <w14:schemeClr w14:val="tx1"/>
                  </w14:solidFill>
                </w14:textFill>
              </w:rPr>
              <w:t>《污水综合排放标准》（GB8978-1996）三级标准</w:t>
            </w:r>
            <w:r>
              <w:rPr>
                <w:rFonts w:ascii="Times New Roman" w:hAnsi="Times New Roman" w:eastAsia="宋体" w:cs="Times New Roman"/>
                <w:color w:val="000000" w:themeColor="text1"/>
                <w:sz w:val="24"/>
                <w:szCs w:val="24"/>
                <w:lang w:eastAsia="zh-CN"/>
                <w14:textFill>
                  <w14:solidFill>
                    <w14:schemeClr w14:val="tx1"/>
                  </w14:solidFill>
                </w14:textFill>
              </w:rPr>
              <w:t>，废水进入污水管网，进入</w:t>
            </w:r>
            <w:r>
              <w:rPr>
                <w:rFonts w:hint="eastAsia" w:ascii="Times New Roman" w:hAnsi="Times New Roman" w:eastAsia="宋体" w:cs="Times New Roman"/>
                <w:color w:val="000000" w:themeColor="text1"/>
                <w:sz w:val="24"/>
                <w:szCs w:val="24"/>
                <w:lang w:eastAsia="zh-CN"/>
                <w14:textFill>
                  <w14:solidFill>
                    <w14:schemeClr w14:val="tx1"/>
                  </w14:solidFill>
                </w14:textFill>
              </w:rPr>
              <w:t>宁县生活污水处理厂处理</w:t>
            </w:r>
            <w:r>
              <w:rPr>
                <w:rFonts w:ascii="Times New Roman" w:hAnsi="Times New Roman" w:eastAsia="宋体" w:cs="Times New Roman"/>
                <w:color w:val="000000" w:themeColor="text1"/>
                <w:sz w:val="24"/>
                <w:szCs w:val="24"/>
                <w:lang w:eastAsia="zh-CN"/>
                <w14:textFill>
                  <w14:solidFill>
                    <w14:schemeClr w14:val="tx1"/>
                  </w14:solidFill>
                </w14:textFill>
              </w:rPr>
              <w:t>，处理后对周围环境影响较小，措施可行。</w:t>
            </w:r>
          </w:p>
          <w:p>
            <w:pPr>
              <w:spacing w:after="128"/>
              <w:ind w:left="48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）纯水制备废水</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本项目制备纯水产生的高盐废水为其污染因子为 Ca</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、Mg</w:t>
            </w:r>
            <w:r>
              <w:rPr>
                <w:rFonts w:hint="default"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，属清下水</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，直接排入化粪池后与生活污水等一起排入市政管网，最终进入</w:t>
            </w:r>
            <w:r>
              <w:rPr>
                <w:rFonts w:hint="eastAsia" w:ascii="Times New Roman" w:hAnsi="Times New Roman" w:eastAsia="宋体" w:cs="Times New Roman"/>
                <w:color w:val="000000" w:themeColor="text1"/>
                <w:sz w:val="24"/>
                <w:szCs w:val="24"/>
                <w:lang w:eastAsia="zh-CN"/>
                <w14:textFill>
                  <w14:solidFill>
                    <w14:schemeClr w14:val="tx1"/>
                  </w14:solidFill>
                </w14:textFill>
              </w:rPr>
              <w:t>宁县生活污水处理厂处理</w:t>
            </w:r>
            <w:r>
              <w:rPr>
                <w:rFonts w:ascii="Times New Roman" w:hAnsi="Times New Roman" w:eastAsia="宋体" w:cs="Times New Roman"/>
                <w:color w:val="000000" w:themeColor="text1"/>
                <w:sz w:val="24"/>
                <w:szCs w:val="24"/>
                <w:lang w:eastAsia="zh-CN"/>
                <w14:textFill>
                  <w14:solidFill>
                    <w14:schemeClr w14:val="tx1"/>
                  </w14:solidFill>
                </w14:textFill>
              </w:rPr>
              <w:t>，处理后对周围环境影响较小，措施可行</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pStyle w:val="30"/>
              <w:jc w:val="center"/>
              <w:rPr>
                <w:color w:val="000000" w:themeColor="text1"/>
                <w:lang w:eastAsia="zh-CN"/>
                <w14:textFill>
                  <w14:solidFill>
                    <w14:schemeClr w14:val="tx1"/>
                  </w14:solidFill>
                </w14:textFill>
              </w:rPr>
            </w:pPr>
            <w:r>
              <w:rPr>
                <w:rFonts w:hint="default" w:ascii="Times New Roman" w:hAnsi="Times New Roman" w:eastAsia="仿宋" w:cs="Times New Roman"/>
                <w:b/>
                <w:color w:val="000000" w:themeColor="text1"/>
                <w:sz w:val="21"/>
                <w:szCs w:val="21"/>
                <w:highlight w:val="none"/>
                <w14:textFill>
                  <w14:solidFill>
                    <w14:schemeClr w14:val="tx1"/>
                  </w14:solidFill>
                </w14:textFill>
              </w:rPr>
              <w:t>表</w:t>
            </w:r>
            <w:r>
              <w:rPr>
                <w:rFonts w:hint="eastAsia" w:ascii="Times New Roman" w:hAnsi="Times New Roman" w:eastAsia="仿宋" w:cs="Times New Roman"/>
                <w:b/>
                <w:color w:val="000000" w:themeColor="text1"/>
                <w:sz w:val="21"/>
                <w:szCs w:val="21"/>
                <w:highlight w:val="none"/>
                <w:lang w:val="en-US" w:eastAsia="zh-CN"/>
                <w14:textFill>
                  <w14:solidFill>
                    <w14:schemeClr w14:val="tx1"/>
                  </w14:solidFill>
                </w14:textFill>
              </w:rPr>
              <w:t>4-5</w:t>
            </w:r>
            <w:r>
              <w:rPr>
                <w:rFonts w:hint="default" w:ascii="Times New Roman" w:hAnsi="Times New Roman" w:eastAsia="仿宋" w:cs="Times New Roman"/>
                <w:b/>
                <w:color w:val="000000" w:themeColor="text1"/>
                <w:sz w:val="21"/>
                <w:szCs w:val="21"/>
                <w:highlight w:val="none"/>
                <w14:textFill>
                  <w14:solidFill>
                    <w14:schemeClr w14:val="tx1"/>
                  </w14:solidFill>
                </w14:textFill>
              </w:rPr>
              <w:t xml:space="preserve">      项目废水污染物排放情况一览表</w:t>
            </w:r>
          </w:p>
          <w:tbl>
            <w:tblPr>
              <w:tblStyle w:val="29"/>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980"/>
              <w:gridCol w:w="920"/>
              <w:gridCol w:w="958"/>
              <w:gridCol w:w="958"/>
              <w:gridCol w:w="84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3333"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废水类型</w:t>
                  </w:r>
                </w:p>
              </w:tc>
              <w:tc>
                <w:tcPr>
                  <w:tcW w:w="92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w:t>
                  </w:r>
                </w:p>
              </w:tc>
              <w:tc>
                <w:tcPr>
                  <w:tcW w:w="95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p>
              </w:tc>
              <w:tc>
                <w:tcPr>
                  <w:tcW w:w="95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NH</w:t>
                  </w:r>
                  <w:r>
                    <w:rPr>
                      <w:rFonts w:hint="default" w:ascii="Times New Roman" w:hAnsi="Times New Roman" w:eastAsia="宋体" w:cs="Times New Roman"/>
                      <w:color w:val="000000" w:themeColor="text1"/>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-N</w:t>
                  </w:r>
                </w:p>
              </w:tc>
              <w:tc>
                <w:tcPr>
                  <w:tcW w:w="84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353" w:type="dxa"/>
                  <w:vMerge w:val="restart"/>
                  <w:tcBorders>
                    <w:tl2br w:val="nil"/>
                    <w:tr2bl w:val="nil"/>
                  </w:tcBorders>
                  <w:vAlign w:val="center"/>
                </w:tcPr>
                <w:p>
                  <w:pPr>
                    <w:pStyle w:val="8"/>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职工生活污水</w:t>
                  </w:r>
                </w:p>
                <w:p>
                  <w:pPr>
                    <w:pStyle w:val="8"/>
                    <w:keepNext w:val="0"/>
                    <w:keepLines w:val="0"/>
                    <w:pageBreakBefore w:val="0"/>
                    <w:kinsoku/>
                    <w:wordWrap/>
                    <w:overflowPunct/>
                    <w:topLinePunct w:val="0"/>
                    <w:autoSpaceDE/>
                    <w:autoSpaceDN/>
                    <w:bidi w:val="0"/>
                    <w:adjustRightInd w:val="0"/>
                    <w:snapToGrid w:val="0"/>
                    <w:spacing w:after="0"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38.4t/a</w:t>
                  </w: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产生浓度（mg/L）</w:t>
                  </w:r>
                </w:p>
              </w:tc>
              <w:tc>
                <w:tcPr>
                  <w:tcW w:w="9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300</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150</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w:t>
                  </w:r>
                </w:p>
              </w:tc>
              <w:tc>
                <w:tcPr>
                  <w:tcW w:w="8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120</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产生量（t/a）</w:t>
                  </w:r>
                </w:p>
              </w:tc>
              <w:tc>
                <w:tcPr>
                  <w:tcW w:w="9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0.0115 </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0.0058 </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0.0017 </w:t>
                  </w:r>
                </w:p>
              </w:tc>
              <w:tc>
                <w:tcPr>
                  <w:tcW w:w="8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0.0046 </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处理效率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9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8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排放浓度（mg/L）</w:t>
                  </w:r>
                </w:p>
              </w:tc>
              <w:tc>
                <w:tcPr>
                  <w:tcW w:w="9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255</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135</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43.65</w:t>
                  </w:r>
                </w:p>
              </w:tc>
              <w:tc>
                <w:tcPr>
                  <w:tcW w:w="8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84</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4"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排放量（t/a）</w:t>
                  </w:r>
                </w:p>
              </w:tc>
              <w:tc>
                <w:tcPr>
                  <w:tcW w:w="9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0.0098 </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0.0052 </w:t>
                  </w:r>
                </w:p>
              </w:tc>
              <w:tc>
                <w:tcPr>
                  <w:tcW w:w="95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0.0017 </w:t>
                  </w:r>
                </w:p>
              </w:tc>
              <w:tc>
                <w:tcPr>
                  <w:tcW w:w="84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0.0032 </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2" w:hRule="atLeast"/>
                <w:jc w:val="center"/>
              </w:trPr>
              <w:tc>
                <w:tcPr>
                  <w:tcW w:w="135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实验室废水</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57.6t/a</w:t>
                  </w:r>
                </w:p>
              </w:tc>
              <w:tc>
                <w:tcPr>
                  <w:tcW w:w="1980" w:type="dxa"/>
                  <w:tcBorders>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产生浓度（mg/L）</w:t>
                  </w:r>
                </w:p>
              </w:tc>
              <w:tc>
                <w:tcPr>
                  <w:tcW w:w="920" w:type="dxa"/>
                  <w:tcBorders>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280</w:t>
                  </w:r>
                </w:p>
              </w:tc>
              <w:tc>
                <w:tcPr>
                  <w:tcW w:w="958" w:type="dxa"/>
                  <w:tcBorders>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w:t>
                  </w:r>
                </w:p>
              </w:tc>
              <w:tc>
                <w:tcPr>
                  <w:tcW w:w="958" w:type="dxa"/>
                  <w:tcBorders>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w:t>
                  </w:r>
                </w:p>
              </w:tc>
              <w:tc>
                <w:tcPr>
                  <w:tcW w:w="841" w:type="dxa"/>
                  <w:tcBorders>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80</w:t>
                  </w:r>
                </w:p>
              </w:tc>
              <w:tc>
                <w:tcPr>
                  <w:tcW w:w="1588" w:type="dxa"/>
                  <w:tcBorders>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产生量（t/a）</w:t>
                  </w:r>
                </w:p>
              </w:tc>
              <w:tc>
                <w:tcPr>
                  <w:tcW w:w="920"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0.0173</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0.0086 </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0.0026 </w:t>
                  </w:r>
                </w:p>
              </w:tc>
              <w:tc>
                <w:tcPr>
                  <w:tcW w:w="841"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0.0069 </w:t>
                  </w:r>
                </w:p>
              </w:tc>
              <w:tc>
                <w:tcPr>
                  <w:tcW w:w="1588"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103.68</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处理效率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920"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p>
              </w:tc>
              <w:tc>
                <w:tcPr>
                  <w:tcW w:w="841"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30</w:t>
                  </w:r>
                </w:p>
              </w:tc>
              <w:tc>
                <w:tcPr>
                  <w:tcW w:w="1588"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排放浓度（mg/L）</w:t>
                  </w:r>
                </w:p>
              </w:tc>
              <w:tc>
                <w:tcPr>
                  <w:tcW w:w="920"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238</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90</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43.65</w:t>
                  </w:r>
                </w:p>
              </w:tc>
              <w:tc>
                <w:tcPr>
                  <w:tcW w:w="841"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56</w:t>
                  </w:r>
                </w:p>
              </w:tc>
              <w:tc>
                <w:tcPr>
                  <w:tcW w:w="1588"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jc w:val="center"/>
              </w:trPr>
              <w:tc>
                <w:tcPr>
                  <w:tcW w:w="135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980"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排放量（t/a）</w:t>
                  </w:r>
                </w:p>
              </w:tc>
              <w:tc>
                <w:tcPr>
                  <w:tcW w:w="920"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0.0147</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0.0078 </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0.0025 </w:t>
                  </w:r>
                </w:p>
              </w:tc>
              <w:tc>
                <w:tcPr>
                  <w:tcW w:w="841"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0.0048 </w:t>
                  </w:r>
                </w:p>
              </w:tc>
              <w:tc>
                <w:tcPr>
                  <w:tcW w:w="1588"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w:t>
                  </w:r>
                  <w:r>
                    <w:commentReference w:id="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1" w:hRule="atLeast"/>
                <w:jc w:val="center"/>
              </w:trPr>
              <w:tc>
                <w:tcPr>
                  <w:tcW w:w="13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《医疗机构水污染排放标准》（GB18466-2005）</w:t>
                  </w:r>
                </w:p>
              </w:tc>
              <w:tc>
                <w:tcPr>
                  <w:tcW w:w="1980"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浓度</w:t>
                  </w:r>
                  <w:r>
                    <w:rPr>
                      <w:rFonts w:hint="default" w:ascii="Times New Roman" w:hAnsi="Times New Roman" w:eastAsia="宋体" w:cs="Times New Roman"/>
                      <w:color w:val="FF0000"/>
                      <w:sz w:val="21"/>
                      <w:szCs w:val="21"/>
                    </w:rPr>
                    <w:t>（mg/L）</w:t>
                  </w:r>
                </w:p>
              </w:tc>
              <w:tc>
                <w:tcPr>
                  <w:tcW w:w="920"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250</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100</w:t>
                  </w:r>
                </w:p>
              </w:tc>
              <w:tc>
                <w:tcPr>
                  <w:tcW w:w="958"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w:t>
                  </w:r>
                </w:p>
              </w:tc>
              <w:tc>
                <w:tcPr>
                  <w:tcW w:w="841" w:type="dxa"/>
                  <w:tcBorders>
                    <w:top w:val="single" w:color="000000" w:sz="6" w:space="0"/>
                    <w:bottom w:val="single" w:color="000000" w:sz="6" w:space="0"/>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u w:val="none"/>
                      <w:lang w:val="en-US" w:eastAsia="zh-CN" w:bidi="ar"/>
                    </w:rPr>
                  </w:pPr>
                  <w:r>
                    <w:rPr>
                      <w:rFonts w:hint="eastAsia" w:ascii="Times New Roman" w:hAnsi="Times New Roman" w:eastAsia="宋体" w:cs="Times New Roman"/>
                      <w:i w:val="0"/>
                      <w:iCs w:val="0"/>
                      <w:color w:val="FF0000"/>
                      <w:kern w:val="0"/>
                      <w:sz w:val="21"/>
                      <w:szCs w:val="21"/>
                      <w:u w:val="none"/>
                      <w:lang w:val="en-US" w:eastAsia="zh-CN" w:bidi="ar"/>
                    </w:rPr>
                    <w:t>60</w:t>
                  </w:r>
                </w:p>
              </w:tc>
              <w:tc>
                <w:tcPr>
                  <w:tcW w:w="1588" w:type="dxa"/>
                  <w:tcBorders>
                    <w:top w:val="single" w:color="000000" w:sz="6" w:space="0"/>
                    <w:bottom w:val="single" w:color="000000" w:sz="6" w:space="0"/>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100</w:t>
                  </w:r>
                  <w:r>
                    <w:rPr>
                      <w:rFonts w:hint="default" w:ascii="Times New Roman" w:hAnsi="Times New Roman" w:eastAsia="宋体" w:cs="Times New Roman"/>
                      <w:color w:val="FF0000"/>
                      <w:sz w:val="21"/>
                      <w:szCs w:val="21"/>
                      <w:lang w:val="en-US" w:eastAsia="zh-CN"/>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2" w:hRule="atLeast"/>
                <w:jc w:val="center"/>
              </w:trPr>
              <w:tc>
                <w:tcPr>
                  <w:tcW w:w="135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《污水综合排放标准》（GB8978-1996）三级标准</w:t>
                  </w:r>
                </w:p>
              </w:tc>
              <w:tc>
                <w:tcPr>
                  <w:tcW w:w="1980"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浓度</w:t>
                  </w:r>
                  <w:r>
                    <w:rPr>
                      <w:rFonts w:hint="default" w:ascii="Times New Roman" w:hAnsi="Times New Roman" w:eastAsia="宋体" w:cs="Times New Roman"/>
                      <w:color w:val="000000" w:themeColor="text1"/>
                      <w:sz w:val="21"/>
                      <w:szCs w:val="21"/>
                      <w14:textFill>
                        <w14:solidFill>
                          <w14:schemeClr w14:val="tx1"/>
                        </w14:solidFill>
                      </w14:textFill>
                    </w:rPr>
                    <w:t>（mg/L）</w:t>
                  </w:r>
                </w:p>
              </w:tc>
              <w:tc>
                <w:tcPr>
                  <w:tcW w:w="92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500</w:t>
                  </w:r>
                </w:p>
              </w:tc>
              <w:tc>
                <w:tcPr>
                  <w:tcW w:w="9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0</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w:t>
                  </w:r>
                </w:p>
              </w:tc>
              <w:tc>
                <w:tcPr>
                  <w:tcW w:w="95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45</w:t>
                  </w:r>
                </w:p>
              </w:tc>
              <w:tc>
                <w:tcPr>
                  <w:tcW w:w="8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400</w:t>
                  </w:r>
                </w:p>
              </w:tc>
              <w:tc>
                <w:tcPr>
                  <w:tcW w:w="158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bl>
          <w:p>
            <w:pPr>
              <w:adjustRightInd w:val="0"/>
              <w:snapToGrid w:val="0"/>
              <w:spacing w:line="360" w:lineRule="auto"/>
              <w:ind w:firstLine="480" w:firstLineChars="200"/>
              <w:jc w:val="left"/>
              <w:rPr>
                <w:rFonts w:hint="eastAsia"/>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实验废水特征因子达标排放分析</w:t>
            </w:r>
          </w:p>
          <w:p>
            <w:pPr>
              <w:adjustRightInd w:val="0"/>
              <w:snapToGrid w:val="0"/>
              <w:spacing w:line="360" w:lineRule="auto"/>
              <w:ind w:firstLine="480" w:firstLineChars="200"/>
              <w:jc w:val="left"/>
              <w:rPr>
                <w:rFonts w:hint="eastAsia"/>
                <w:color w:val="000000" w:themeColor="text1"/>
                <w:sz w:val="24"/>
                <w:szCs w:val="24"/>
                <w:lang w:bidi="ar"/>
                <w14:textFill>
                  <w14:solidFill>
                    <w14:schemeClr w14:val="tx1"/>
                  </w14:solidFill>
                </w14:textFill>
              </w:rPr>
            </w:pPr>
            <w:r>
              <w:rPr>
                <w:rFonts w:hint="eastAsia"/>
                <w:color w:val="000000" w:themeColor="text1"/>
                <w:sz w:val="24"/>
                <w:szCs w:val="24"/>
                <w:lang w:bidi="ar"/>
                <w14:textFill>
                  <w14:solidFill>
                    <w14:schemeClr w14:val="tx1"/>
                  </w14:solidFill>
                </w14:textFill>
              </w:rPr>
              <w:t>实验室外排废水包括低浓度器皿清洗废水（器皿淋洗废水）以及纯水机反渗透浓水。类比调查了谱尼测试科技（天津）有限公司污水处理站进口低浓度清洗废水的水质情况。谱尼测试科技（天津）有限公司主要检测对象涵盖大气、水质、土壤等，主要检测方法为光谱法、气相色谱法、化学分析法，出具检测报告约50000份/年。根据谱尼测试科技（天津）有限公司2018年1月16日及2018年2月7日对实验室出口低浓度清洗废水的采样检测数据，低浓度清洗废水污染物浓度低，重金属含量几乎微量，其检测项目、实验室分析方法、实验室外排废水与本项目类似，具有一定类比性。因此，项目实验废水特征因子达标排放。</w:t>
            </w:r>
          </w:p>
          <w:p>
            <w:pPr>
              <w:spacing w:line="360" w:lineRule="auto"/>
              <w:ind w:firstLine="442" w:firstLineChars="200"/>
              <w:rPr>
                <w:b/>
                <w:bCs w:val="0"/>
                <w:color w:val="FF0000"/>
                <w:spacing w:val="-10"/>
                <w:sz w:val="24"/>
                <w:lang w:eastAsia="zh-CN"/>
              </w:rPr>
            </w:pPr>
            <w:r>
              <w:rPr>
                <w:b/>
                <w:bCs w:val="0"/>
                <w:color w:val="FF0000"/>
                <w:spacing w:val="-10"/>
                <w:sz w:val="24"/>
                <w:lang w:eastAsia="zh-CN"/>
              </w:rPr>
              <w:t>排放口基本信息</w:t>
            </w:r>
          </w:p>
          <w:p>
            <w:pPr>
              <w:pStyle w:val="7"/>
              <w:spacing w:line="360" w:lineRule="auto"/>
              <w:ind w:firstLine="480" w:firstLineChars="200"/>
              <w:rPr>
                <w:rFonts w:ascii="Times New Roman" w:hAnsi="Times New Roman" w:eastAsia="宋体" w:cs="Times New Roman"/>
                <w:color w:val="FF0000"/>
                <w:sz w:val="24"/>
                <w:szCs w:val="24"/>
                <w:lang w:eastAsia="zh-CN"/>
              </w:rPr>
            </w:pPr>
            <w:r>
              <w:rPr>
                <w:rFonts w:ascii="Times New Roman" w:hAnsi="Times New Roman" w:eastAsia="宋体" w:cs="Times New Roman"/>
                <w:color w:val="FF0000"/>
                <w:sz w:val="24"/>
                <w:szCs w:val="24"/>
                <w:lang w:eastAsia="zh-CN"/>
              </w:rPr>
              <w:t>本项目</w:t>
            </w:r>
            <w:r>
              <w:rPr>
                <w:rFonts w:hint="eastAsia" w:ascii="Times New Roman" w:hAnsi="Times New Roman" w:eastAsia="宋体" w:cs="Times New Roman"/>
                <w:color w:val="FF0000"/>
                <w:sz w:val="24"/>
                <w:szCs w:val="24"/>
                <w:lang w:val="en-US" w:eastAsia="zh-CN"/>
              </w:rPr>
              <w:t>废水中</w:t>
            </w:r>
            <w:r>
              <w:rPr>
                <w:rFonts w:hint="eastAsia" w:ascii="Times New Roman" w:hAnsi="Times New Roman" w:eastAsia="宋体" w:cs="Times New Roman"/>
                <w:color w:val="FF0000"/>
                <w:sz w:val="24"/>
                <w:szCs w:val="24"/>
                <w:lang w:eastAsia="zh-CN"/>
              </w:rPr>
              <w:t>实验室产生的废水先经过酸碱中和后再进行消毒、高温高压灭菌预处理后排入院内化粪池</w:t>
            </w:r>
            <w:r>
              <w:rPr>
                <w:rFonts w:hint="eastAsia" w:ascii="Times New Roman" w:hAnsi="Times New Roman" w:eastAsia="宋体" w:cs="Times New Roman"/>
                <w:color w:val="FF0000"/>
                <w:sz w:val="24"/>
                <w:szCs w:val="24"/>
                <w:lang w:val="en-US" w:eastAsia="zh-CN"/>
              </w:rPr>
              <w:t>预</w:t>
            </w:r>
            <w:r>
              <w:rPr>
                <w:rFonts w:hint="eastAsia" w:ascii="Times New Roman" w:hAnsi="Times New Roman" w:eastAsia="宋体" w:cs="Times New Roman"/>
                <w:color w:val="FF0000"/>
                <w:sz w:val="24"/>
                <w:szCs w:val="24"/>
                <w:lang w:eastAsia="zh-CN"/>
              </w:rPr>
              <w:t>处理后排入宁县生活污水处理厂进行处理，化粪池前设置</w:t>
            </w:r>
            <w:r>
              <w:rPr>
                <w:rFonts w:hint="eastAsia" w:ascii="Times New Roman" w:hAnsi="Times New Roman" w:eastAsia="宋体" w:cs="Times New Roman"/>
                <w:color w:val="FF0000"/>
                <w:sz w:val="24"/>
                <w:szCs w:val="24"/>
                <w:lang w:val="en-US" w:eastAsia="zh-CN"/>
              </w:rPr>
              <w:t>1具消毒管</w:t>
            </w:r>
            <w:r>
              <w:rPr>
                <w:rFonts w:hint="eastAsia" w:ascii="Times New Roman" w:hAnsi="Times New Roman" w:eastAsia="宋体" w:cs="Times New Roman"/>
                <w:color w:val="FF0000"/>
                <w:sz w:val="24"/>
                <w:szCs w:val="24"/>
                <w:lang w:eastAsia="zh-CN"/>
              </w:rPr>
              <w:t>，对实验废水取样检测。</w:t>
            </w:r>
            <w:r>
              <w:rPr>
                <w:rFonts w:hint="eastAsia" w:ascii="Times New Roman" w:hAnsi="Times New Roman" w:eastAsia="宋体" w:cs="Times New Roman"/>
                <w:color w:val="FF0000"/>
                <w:sz w:val="24"/>
                <w:szCs w:val="24"/>
                <w:lang w:val="en-US" w:eastAsia="zh-CN"/>
              </w:rPr>
              <w:t>废水</w:t>
            </w:r>
            <w:r>
              <w:rPr>
                <w:rFonts w:hint="eastAsia" w:ascii="Times New Roman" w:hAnsi="Times New Roman" w:eastAsia="宋体" w:cs="Times New Roman"/>
                <w:color w:val="FF0000"/>
                <w:sz w:val="24"/>
                <w:szCs w:val="24"/>
                <w:lang w:eastAsia="zh-CN"/>
              </w:rPr>
              <w:t>排放口信息</w:t>
            </w:r>
            <w:r>
              <w:rPr>
                <w:rFonts w:ascii="Times New Roman" w:hAnsi="Times New Roman" w:eastAsia="宋体" w:cs="Times New Roman"/>
                <w:color w:val="FF0000"/>
                <w:sz w:val="24"/>
                <w:szCs w:val="24"/>
                <w:lang w:eastAsia="zh-CN"/>
              </w:rPr>
              <w:t>见表4-</w:t>
            </w:r>
            <w:r>
              <w:rPr>
                <w:rFonts w:hint="eastAsia" w:ascii="Times New Roman" w:hAnsi="Times New Roman" w:eastAsia="宋体" w:cs="Times New Roman"/>
                <w:color w:val="FF0000"/>
                <w:sz w:val="24"/>
                <w:szCs w:val="24"/>
                <w:lang w:val="en-US" w:eastAsia="zh-CN"/>
              </w:rPr>
              <w:t>6</w:t>
            </w:r>
            <w:r>
              <w:rPr>
                <w:rFonts w:ascii="Times New Roman" w:hAnsi="Times New Roman" w:eastAsia="宋体" w:cs="Times New Roman"/>
                <w:color w:val="FF0000"/>
                <w:sz w:val="24"/>
                <w:szCs w:val="24"/>
                <w:lang w:eastAsia="zh-CN"/>
              </w:rPr>
              <w:t>。</w:t>
            </w:r>
          </w:p>
          <w:p>
            <w:pPr>
              <w:tabs>
                <w:tab w:val="left" w:pos="7470"/>
              </w:tabs>
              <w:jc w:val="center"/>
              <w:rPr>
                <w:rFonts w:hAnsi="宋体" w:cs="Calibri"/>
                <w:b/>
                <w:color w:val="FF0000"/>
                <w:sz w:val="21"/>
                <w:szCs w:val="20"/>
                <w:lang w:eastAsia="zh-CN"/>
              </w:rPr>
            </w:pPr>
            <w:r>
              <w:rPr>
                <w:rFonts w:hAnsi="宋体" w:cs="Calibri"/>
                <w:b/>
                <w:color w:val="FF0000"/>
                <w:sz w:val="21"/>
                <w:szCs w:val="20"/>
                <w:lang w:eastAsia="zh-CN"/>
              </w:rPr>
              <w:t>表4-</w:t>
            </w:r>
            <w:r>
              <w:rPr>
                <w:rFonts w:hint="eastAsia" w:hAnsi="宋体" w:cs="Calibri"/>
                <w:b/>
                <w:color w:val="FF0000"/>
                <w:sz w:val="21"/>
                <w:szCs w:val="20"/>
                <w:lang w:val="en-US" w:eastAsia="zh-CN"/>
              </w:rPr>
              <w:t>6</w:t>
            </w:r>
            <w:r>
              <w:rPr>
                <w:rFonts w:hAnsi="宋体" w:cs="Calibri"/>
                <w:b/>
                <w:color w:val="FF0000"/>
                <w:sz w:val="21"/>
                <w:szCs w:val="20"/>
                <w:lang w:eastAsia="zh-CN"/>
              </w:rPr>
              <w:t xml:space="preserve">   项目</w:t>
            </w:r>
            <w:r>
              <w:rPr>
                <w:rFonts w:hint="eastAsia" w:hAnsi="宋体" w:cs="Calibri"/>
                <w:b/>
                <w:color w:val="FF0000"/>
                <w:sz w:val="21"/>
                <w:szCs w:val="20"/>
                <w:lang w:val="en-US" w:eastAsia="zh-CN"/>
              </w:rPr>
              <w:t>废水排放口</w:t>
            </w:r>
            <w:r>
              <w:rPr>
                <w:rFonts w:hAnsi="宋体" w:cs="Calibri"/>
                <w:b/>
                <w:color w:val="FF0000"/>
                <w:sz w:val="21"/>
                <w:szCs w:val="20"/>
                <w:lang w:eastAsia="zh-CN"/>
              </w:rPr>
              <w:t>一览表</w:t>
            </w:r>
          </w:p>
          <w:tbl>
            <w:tblPr>
              <w:tblStyle w:val="28"/>
              <w:tblW w:w="8597"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
            <w:tblGrid>
              <w:gridCol w:w="1026"/>
              <w:gridCol w:w="1354"/>
              <w:gridCol w:w="1080"/>
              <w:gridCol w:w="1309"/>
              <w:gridCol w:w="1102"/>
              <w:gridCol w:w="1720"/>
              <w:gridCol w:w="1006"/>
            </w:tblGrid>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328" w:hRule="atLeast"/>
                <w:jc w:val="center"/>
              </w:trPr>
              <w:tc>
                <w:tcPr>
                  <w:tcW w:w="1026" w:type="dxa"/>
                  <w:vMerge w:val="restart"/>
                  <w:tcBorders>
                    <w:tl2br w:val="nil"/>
                    <w:tr2bl w:val="nil"/>
                  </w:tcBorders>
                  <w:vAlign w:val="center"/>
                </w:tcPr>
                <w:p>
                  <w:pPr>
                    <w:ind w:right="16"/>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污染源名称</w:t>
                  </w:r>
                </w:p>
              </w:tc>
              <w:tc>
                <w:tcPr>
                  <w:tcW w:w="1354" w:type="dxa"/>
                  <w:vMerge w:val="restart"/>
                  <w:tcBorders>
                    <w:tl2br w:val="nil"/>
                    <w:tr2bl w:val="nil"/>
                  </w:tcBorders>
                  <w:vAlign w:val="center"/>
                </w:tcPr>
                <w:p>
                  <w:pPr>
                    <w:ind w:right="43"/>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坐标</w:t>
                  </w:r>
                </w:p>
              </w:tc>
              <w:tc>
                <w:tcPr>
                  <w:tcW w:w="1080" w:type="dxa"/>
                  <w:vMerge w:val="restart"/>
                  <w:tcBorders>
                    <w:tl2br w:val="nil"/>
                    <w:tr2bl w:val="nil"/>
                  </w:tcBorders>
                  <w:vAlign w:val="center"/>
                </w:tcPr>
                <w:p>
                  <w:pPr>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排</w:t>
                  </w:r>
                  <w:r>
                    <w:rPr>
                      <w:rFonts w:hint="eastAsia" w:ascii="Times New Roman" w:hAnsi="Times New Roman" w:eastAsia="宋体" w:cs="Times New Roman"/>
                      <w:color w:val="FF0000"/>
                      <w:sz w:val="21"/>
                      <w:szCs w:val="21"/>
                      <w:lang w:val="en-US" w:eastAsia="zh-CN"/>
                    </w:rPr>
                    <w:t>口</w:t>
                  </w:r>
                  <w:r>
                    <w:rPr>
                      <w:rFonts w:ascii="Times New Roman" w:hAnsi="Times New Roman" w:eastAsia="宋体" w:cs="Times New Roman"/>
                      <w:color w:val="FF0000"/>
                      <w:sz w:val="21"/>
                      <w:szCs w:val="21"/>
                    </w:rPr>
                    <w:t>编号</w:t>
                  </w:r>
                </w:p>
              </w:tc>
              <w:tc>
                <w:tcPr>
                  <w:tcW w:w="1309" w:type="dxa"/>
                  <w:vMerge w:val="restart"/>
                  <w:tcBorders>
                    <w:tl2br w:val="nil"/>
                    <w:tr2bl w:val="nil"/>
                  </w:tcBorders>
                  <w:vAlign w:val="center"/>
                </w:tcPr>
                <w:p>
                  <w:pPr>
                    <w:spacing w:line="239" w:lineRule="auto"/>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排放污染物</w:t>
                  </w:r>
                </w:p>
              </w:tc>
              <w:tc>
                <w:tcPr>
                  <w:tcW w:w="1102" w:type="dxa"/>
                  <w:vMerge w:val="restart"/>
                  <w:tcBorders>
                    <w:tl2br w:val="nil"/>
                    <w:tr2bl w:val="nil"/>
                  </w:tcBorders>
                  <w:vAlign w:val="center"/>
                </w:tcPr>
                <w:p>
                  <w:pPr>
                    <w:ind w:right="8"/>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排放去向</w:t>
                  </w:r>
                </w:p>
              </w:tc>
              <w:tc>
                <w:tcPr>
                  <w:tcW w:w="1720" w:type="dxa"/>
                  <w:vMerge w:val="restart"/>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执行标准</w:t>
                  </w:r>
                </w:p>
              </w:tc>
              <w:tc>
                <w:tcPr>
                  <w:tcW w:w="1006" w:type="dxa"/>
                  <w:vMerge w:val="restart"/>
                  <w:tcBorders>
                    <w:tl2br w:val="nil"/>
                    <w:tr2bl w:val="nil"/>
                  </w:tcBorders>
                  <w:vAlign w:val="center"/>
                </w:tcPr>
                <w:p>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排放规律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312" w:hRule="atLeast"/>
                <w:jc w:val="center"/>
              </w:trPr>
              <w:tc>
                <w:tcPr>
                  <w:tcW w:w="1026"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354"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080"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309"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102"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720"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1006"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1467" w:hRule="atLeast"/>
                <w:jc w:val="center"/>
              </w:trPr>
              <w:tc>
                <w:tcPr>
                  <w:tcW w:w="1026" w:type="dxa"/>
                  <w:tcBorders>
                    <w:tl2br w:val="nil"/>
                    <w:tr2bl w:val="nil"/>
                  </w:tcBorders>
                  <w:vAlign w:val="center"/>
                </w:tcPr>
                <w:p>
                  <w:pPr>
                    <w:ind w:left="51"/>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实验室</w:t>
                  </w:r>
                  <w:r>
                    <w:rPr>
                      <w:rFonts w:hint="eastAsia" w:ascii="Times New Roman" w:hAnsi="Times New Roman" w:eastAsia="宋体" w:cs="Times New Roman"/>
                      <w:color w:val="FF0000"/>
                      <w:sz w:val="21"/>
                      <w:szCs w:val="21"/>
                      <w:lang w:val="en-US" w:eastAsia="zh-CN"/>
                    </w:rPr>
                    <w:t>废水排放口</w:t>
                  </w:r>
                </w:p>
              </w:tc>
              <w:tc>
                <w:tcPr>
                  <w:tcW w:w="1354" w:type="dxa"/>
                  <w:tcBorders>
                    <w:tl2br w:val="nil"/>
                    <w:tr2bl w:val="nil"/>
                  </w:tcBorders>
                  <w:vAlign w:val="center"/>
                </w:tcPr>
                <w:p>
                  <w:pPr>
                    <w:ind w:left="51"/>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107.912521</w:t>
                  </w:r>
                </w:p>
                <w:p>
                  <w:pPr>
                    <w:ind w:left="51"/>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35.509507</w:t>
                  </w:r>
                </w:p>
              </w:tc>
              <w:tc>
                <w:tcPr>
                  <w:tcW w:w="1080" w:type="dxa"/>
                  <w:tcBorders>
                    <w:tl2br w:val="nil"/>
                    <w:tr2bl w:val="nil"/>
                  </w:tcBorders>
                  <w:vAlign w:val="center"/>
                </w:tcPr>
                <w:p>
                  <w:pPr>
                    <w:ind w:left="51"/>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DW</w:t>
                  </w:r>
                  <w:r>
                    <w:rPr>
                      <w:rFonts w:ascii="Times New Roman" w:hAnsi="Times New Roman" w:eastAsia="宋体" w:cs="Times New Roman"/>
                      <w:color w:val="FF0000"/>
                      <w:sz w:val="21"/>
                      <w:szCs w:val="21"/>
                      <w:lang w:eastAsia="zh-CN"/>
                    </w:rPr>
                    <w:t>001</w:t>
                  </w:r>
                </w:p>
              </w:tc>
              <w:tc>
                <w:tcPr>
                  <w:tcW w:w="1309" w:type="dxa"/>
                  <w:tcBorders>
                    <w:tl2br w:val="nil"/>
                    <w:tr2bl w:val="nil"/>
                  </w:tcBorders>
                  <w:vAlign w:val="center"/>
                </w:tcPr>
                <w:p>
                  <w:pPr>
                    <w:ind w:right="41"/>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w:t>
                  </w:r>
                  <w:r>
                    <w:rPr>
                      <w:rFonts w:hint="eastAsia" w:ascii="Times New Roman" w:hAnsi="Times New Roman" w:eastAsia="宋体" w:cs="Times New Roman"/>
                      <w:color w:val="FF0000"/>
                      <w:sz w:val="21"/>
                      <w:szCs w:val="21"/>
                      <w:lang w:val="en-US" w:eastAsia="zh-CN"/>
                    </w:rPr>
                    <w:t>、</w:t>
                  </w:r>
                  <w:r>
                    <w:rPr>
                      <w:rFonts w:hint="default" w:ascii="Times New Roman" w:hAnsi="Times New Roman" w:eastAsia="宋体" w:cs="Times New Roman"/>
                      <w:color w:val="FF0000"/>
                      <w:sz w:val="21"/>
                      <w:szCs w:val="21"/>
                      <w:lang w:val="en-US" w:eastAsia="zh-CN"/>
                    </w:rPr>
                    <w:t>BOD</w:t>
                  </w:r>
                  <w:r>
                    <w:rPr>
                      <w:rFonts w:hint="default" w:ascii="Times New Roman" w:hAnsi="Times New Roman" w:eastAsia="宋体" w:cs="Times New Roman"/>
                      <w:color w:val="FF0000"/>
                      <w:sz w:val="21"/>
                      <w:szCs w:val="21"/>
                      <w:vertAlign w:val="subscript"/>
                      <w:lang w:val="en-US" w:eastAsia="zh-CN"/>
                    </w:rPr>
                    <w:t>5</w:t>
                  </w:r>
                  <w:r>
                    <w:rPr>
                      <w:rFonts w:hint="eastAsia" w:ascii="Times New Roman" w:hAnsi="Times New Roman" w:eastAsia="宋体" w:cs="Times New Roman"/>
                      <w:color w:val="FF0000"/>
                      <w:sz w:val="21"/>
                      <w:szCs w:val="21"/>
                      <w:lang w:val="en-US" w:eastAsia="zh-CN"/>
                    </w:rPr>
                    <w:t>、</w:t>
                  </w:r>
                </w:p>
                <w:p>
                  <w:pPr>
                    <w:ind w:right="41"/>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NH</w:t>
                  </w:r>
                  <w:r>
                    <w:rPr>
                      <w:rFonts w:hint="default" w:ascii="Times New Roman" w:hAnsi="Times New Roman" w:eastAsia="宋体" w:cs="Times New Roman"/>
                      <w:color w:val="FF0000"/>
                      <w:sz w:val="21"/>
                      <w:szCs w:val="21"/>
                      <w:vertAlign w:val="subscript"/>
                      <w:lang w:val="en-US" w:eastAsia="zh-CN"/>
                    </w:rPr>
                    <w:t>3</w:t>
                  </w:r>
                  <w:r>
                    <w:rPr>
                      <w:rFonts w:hint="default" w:ascii="Times New Roman" w:hAnsi="Times New Roman" w:eastAsia="宋体" w:cs="Times New Roman"/>
                      <w:color w:val="FF0000"/>
                      <w:sz w:val="21"/>
                      <w:szCs w:val="21"/>
                      <w:lang w:val="en-US" w:eastAsia="zh-CN"/>
                    </w:rPr>
                    <w:t>-N</w:t>
                  </w:r>
                  <w:r>
                    <w:rPr>
                      <w:rFonts w:hint="eastAsia" w:ascii="Times New Roman" w:hAnsi="Times New Roman" w:eastAsia="宋体" w:cs="Times New Roman"/>
                      <w:color w:val="FF0000"/>
                      <w:sz w:val="21"/>
                      <w:szCs w:val="21"/>
                      <w:lang w:val="en-US" w:eastAsia="zh-CN"/>
                    </w:rPr>
                    <w:t>、</w:t>
                  </w:r>
                </w:p>
                <w:p>
                  <w:pPr>
                    <w:ind w:right="41"/>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SS</w:t>
                  </w:r>
                </w:p>
                <w:p>
                  <w:pPr>
                    <w:ind w:right="45"/>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粪大肠菌群</w:t>
                  </w:r>
                </w:p>
                <w:p>
                  <w:pPr>
                    <w:ind w:right="45"/>
                    <w:jc w:val="center"/>
                    <w:rPr>
                      <w:rFonts w:hint="default"/>
                      <w:color w:val="FF0000"/>
                      <w:lang w:val="en-US" w:eastAsia="zh-CN"/>
                    </w:rPr>
                  </w:pPr>
                  <w:r>
                    <w:rPr>
                      <w:rFonts w:hint="eastAsia" w:ascii="Times New Roman" w:hAnsi="Times New Roman" w:eastAsia="宋体" w:cs="Times New Roman"/>
                      <w:color w:val="FF0000"/>
                      <w:sz w:val="21"/>
                      <w:szCs w:val="21"/>
                      <w:lang w:val="en-US" w:eastAsia="zh-CN"/>
                    </w:rPr>
                    <w:t>目标微生物</w:t>
                  </w:r>
                </w:p>
              </w:tc>
              <w:tc>
                <w:tcPr>
                  <w:tcW w:w="1102" w:type="dxa"/>
                  <w:tcBorders>
                    <w:tl2br w:val="nil"/>
                    <w:tr2bl w:val="nil"/>
                  </w:tcBorders>
                  <w:vAlign w:val="center"/>
                </w:tcPr>
                <w:p>
                  <w:pPr>
                    <w:ind w:right="45"/>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宁县污水处理厂</w:t>
                  </w:r>
                </w:p>
              </w:tc>
              <w:tc>
                <w:tcPr>
                  <w:tcW w:w="1720" w:type="dxa"/>
                  <w:tcBorders>
                    <w:tl2br w:val="nil"/>
                    <w:tr2bl w:val="nil"/>
                  </w:tcBorders>
                  <w:vAlign w:val="center"/>
                </w:tcPr>
                <w:p>
                  <w:pPr>
                    <w:ind w:right="43"/>
                    <w:jc w:val="center"/>
                    <w:rPr>
                      <w:rFonts w:hint="eastAsia" w:ascii="Times New Roman" w:hAnsi="Times New Roman" w:cs="Times New Roman" w:eastAsiaTheme="minorEastAsia"/>
                      <w:color w:val="FF0000"/>
                      <w:sz w:val="21"/>
                      <w:szCs w:val="21"/>
                      <w:lang w:val="en-US" w:eastAsia="zh-CN"/>
                    </w:rPr>
                  </w:pPr>
                  <w:r>
                    <w:rPr>
                      <w:rFonts w:hint="eastAsia" w:ascii="Times New Roman" w:hAnsi="Times New Roman" w:eastAsia="宋体" w:cs="Times New Roman"/>
                      <w:color w:val="FF0000"/>
                      <w:sz w:val="21"/>
                      <w:szCs w:val="21"/>
                      <w:lang w:val="en-US" w:eastAsia="zh-CN"/>
                    </w:rPr>
                    <w:t>参照《医疗机构水污染排放标准》（GB18466-2005）</w:t>
                  </w:r>
                  <w:commentRangeStart w:id="9"/>
                  <w:r>
                    <w:rPr>
                      <w:rFonts w:hint="eastAsia" w:ascii="Times New Roman" w:hAnsi="Times New Roman" w:eastAsia="宋体" w:cs="Times New Roman"/>
                      <w:color w:val="0000FF"/>
                      <w:sz w:val="21"/>
                      <w:szCs w:val="21"/>
                      <w:lang w:val="en-US" w:eastAsia="zh-CN"/>
                    </w:rPr>
                    <w:t>预处理排放</w:t>
                  </w:r>
                  <w:commentRangeEnd w:id="9"/>
                  <w:r>
                    <w:rPr>
                      <w:color w:val="0000FF"/>
                    </w:rPr>
                    <w:commentReference w:id="9"/>
                  </w:r>
                  <w:r>
                    <w:rPr>
                      <w:rFonts w:hint="eastAsia"/>
                      <w:color w:val="0000FF"/>
                      <w:lang w:val="en-US" w:eastAsia="zh-CN"/>
                    </w:rPr>
                    <w:t>标准</w:t>
                  </w:r>
                </w:p>
              </w:tc>
              <w:tc>
                <w:tcPr>
                  <w:tcW w:w="1006" w:type="dxa"/>
                  <w:vMerge w:val="restart"/>
                  <w:tcBorders>
                    <w:tl2br w:val="nil"/>
                    <w:tr2bl w:val="nil"/>
                  </w:tcBorders>
                  <w:vAlign w:val="center"/>
                </w:tcPr>
                <w:p>
                  <w:pPr>
                    <w:ind w:right="43"/>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间接排放，排放期间流量不稳定，但有规律，且不属于非周期性规律</w:t>
                  </w:r>
                </w:p>
              </w:tc>
            </w:tr>
            <w:tr>
              <w:tblPrEx>
                <w:tblBorders>
                  <w:top w:val="single" w:color="auto" w:sz="12" w:space="0"/>
                  <w:left w:val="none" w:color="auto" w:sz="0" w:space="0"/>
                  <w:bottom w:val="single" w:color="auto" w:sz="12" w:space="0"/>
                  <w:right w:val="none" w:color="auto" w:sz="0" w:space="0"/>
                  <w:insideH w:val="single" w:color="auto" w:sz="6" w:space="0"/>
                  <w:insideV w:val="single" w:color="000000" w:sz="6" w:space="0"/>
                </w:tblBorders>
                <w:tblLayout w:type="fixed"/>
                <w:tblCellMar>
                  <w:top w:w="29" w:type="dxa"/>
                  <w:left w:w="109" w:type="dxa"/>
                  <w:bottom w:w="0" w:type="dxa"/>
                  <w:right w:w="66" w:type="dxa"/>
                </w:tblCellMar>
              </w:tblPrEx>
              <w:trPr>
                <w:trHeight w:val="733" w:hRule="atLeast"/>
                <w:jc w:val="center"/>
              </w:trPr>
              <w:tc>
                <w:tcPr>
                  <w:tcW w:w="1026" w:type="dxa"/>
                  <w:tcBorders>
                    <w:tl2br w:val="nil"/>
                    <w:tr2bl w:val="nil"/>
                  </w:tcBorders>
                  <w:vAlign w:val="center"/>
                </w:tcPr>
                <w:p>
                  <w:pPr>
                    <w:ind w:left="51"/>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综合污水排放口</w:t>
                  </w:r>
                </w:p>
              </w:tc>
              <w:tc>
                <w:tcPr>
                  <w:tcW w:w="1354" w:type="dxa"/>
                  <w:tcBorders>
                    <w:tl2br w:val="nil"/>
                    <w:tr2bl w:val="nil"/>
                  </w:tcBorders>
                  <w:vAlign w:val="center"/>
                </w:tcPr>
                <w:p>
                  <w:pPr>
                    <w:ind w:left="51"/>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107.912483</w:t>
                  </w:r>
                </w:p>
                <w:p>
                  <w:pPr>
                    <w:ind w:left="51"/>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35.509443</w:t>
                  </w:r>
                </w:p>
              </w:tc>
              <w:tc>
                <w:tcPr>
                  <w:tcW w:w="1080" w:type="dxa"/>
                  <w:tcBorders>
                    <w:tl2br w:val="nil"/>
                    <w:tr2bl w:val="nil"/>
                  </w:tcBorders>
                  <w:vAlign w:val="center"/>
                </w:tcPr>
                <w:p>
                  <w:pPr>
                    <w:ind w:left="51"/>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DW002</w:t>
                  </w:r>
                </w:p>
              </w:tc>
              <w:tc>
                <w:tcPr>
                  <w:tcW w:w="1309" w:type="dxa"/>
                  <w:tcBorders>
                    <w:tl2br w:val="nil"/>
                    <w:tr2bl w:val="nil"/>
                  </w:tcBorders>
                  <w:vAlign w:val="center"/>
                </w:tcPr>
                <w:p>
                  <w:pPr>
                    <w:ind w:right="41"/>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w:t>
                  </w:r>
                  <w:r>
                    <w:rPr>
                      <w:rFonts w:hint="eastAsia" w:ascii="Times New Roman" w:hAnsi="Times New Roman" w:eastAsia="宋体" w:cs="Times New Roman"/>
                      <w:color w:val="FF0000"/>
                      <w:sz w:val="21"/>
                      <w:szCs w:val="21"/>
                      <w:lang w:val="en-US" w:eastAsia="zh-CN"/>
                    </w:rPr>
                    <w:t>、</w:t>
                  </w:r>
                  <w:r>
                    <w:rPr>
                      <w:rFonts w:hint="default" w:ascii="Times New Roman" w:hAnsi="Times New Roman" w:eastAsia="宋体" w:cs="Times New Roman"/>
                      <w:color w:val="FF0000"/>
                      <w:sz w:val="21"/>
                      <w:szCs w:val="21"/>
                      <w:lang w:val="en-US" w:eastAsia="zh-CN"/>
                    </w:rPr>
                    <w:t>BOD</w:t>
                  </w:r>
                  <w:r>
                    <w:rPr>
                      <w:rFonts w:hint="default" w:ascii="Times New Roman" w:hAnsi="Times New Roman" w:eastAsia="宋体" w:cs="Times New Roman"/>
                      <w:color w:val="FF0000"/>
                      <w:sz w:val="21"/>
                      <w:szCs w:val="21"/>
                      <w:vertAlign w:val="subscript"/>
                      <w:lang w:val="en-US" w:eastAsia="zh-CN"/>
                    </w:rPr>
                    <w:t>5</w:t>
                  </w:r>
                  <w:r>
                    <w:rPr>
                      <w:rFonts w:hint="eastAsia" w:ascii="Times New Roman" w:hAnsi="Times New Roman" w:eastAsia="宋体" w:cs="Times New Roman"/>
                      <w:color w:val="FF0000"/>
                      <w:sz w:val="21"/>
                      <w:szCs w:val="21"/>
                      <w:lang w:val="en-US" w:eastAsia="zh-CN"/>
                    </w:rPr>
                    <w:t>、</w:t>
                  </w:r>
                </w:p>
                <w:p>
                  <w:pPr>
                    <w:ind w:right="41"/>
                    <w:jc w:val="center"/>
                    <w:rPr>
                      <w:rFonts w:hint="eastAsia"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NH</w:t>
                  </w:r>
                  <w:r>
                    <w:rPr>
                      <w:rFonts w:hint="default" w:ascii="Times New Roman" w:hAnsi="Times New Roman" w:eastAsia="宋体" w:cs="Times New Roman"/>
                      <w:color w:val="FF0000"/>
                      <w:sz w:val="21"/>
                      <w:szCs w:val="21"/>
                      <w:vertAlign w:val="subscript"/>
                      <w:lang w:val="en-US" w:eastAsia="zh-CN"/>
                    </w:rPr>
                    <w:t>3</w:t>
                  </w:r>
                  <w:r>
                    <w:rPr>
                      <w:rFonts w:hint="default" w:ascii="Times New Roman" w:hAnsi="Times New Roman" w:eastAsia="宋体" w:cs="Times New Roman"/>
                      <w:color w:val="FF0000"/>
                      <w:sz w:val="21"/>
                      <w:szCs w:val="21"/>
                      <w:lang w:val="en-US" w:eastAsia="zh-CN"/>
                    </w:rPr>
                    <w:t>-N</w:t>
                  </w:r>
                  <w:r>
                    <w:rPr>
                      <w:rFonts w:hint="eastAsia" w:ascii="Times New Roman" w:hAnsi="Times New Roman" w:eastAsia="宋体" w:cs="Times New Roman"/>
                      <w:color w:val="FF0000"/>
                      <w:sz w:val="21"/>
                      <w:szCs w:val="21"/>
                      <w:lang w:val="en-US" w:eastAsia="zh-CN"/>
                    </w:rPr>
                    <w:t>、</w:t>
                  </w:r>
                </w:p>
                <w:p>
                  <w:pPr>
                    <w:ind w:right="41"/>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SS</w:t>
                  </w:r>
                </w:p>
                <w:p>
                  <w:pPr>
                    <w:ind w:right="45"/>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粪大肠菌群</w:t>
                  </w:r>
                </w:p>
                <w:p>
                  <w:pPr>
                    <w:ind w:right="45"/>
                    <w:jc w:val="center"/>
                    <w:rPr>
                      <w:rFonts w:hint="default"/>
                      <w:color w:val="FF0000"/>
                      <w:lang w:val="en-US" w:eastAsia="zh-CN"/>
                    </w:rPr>
                  </w:pPr>
                  <w:r>
                    <w:rPr>
                      <w:rFonts w:hint="eastAsia" w:ascii="Times New Roman" w:hAnsi="Times New Roman" w:eastAsia="宋体" w:cs="Times New Roman"/>
                      <w:color w:val="FF0000"/>
                      <w:sz w:val="21"/>
                      <w:szCs w:val="21"/>
                      <w:lang w:val="en-US" w:eastAsia="zh-CN"/>
                    </w:rPr>
                    <w:t>目标微生物</w:t>
                  </w:r>
                </w:p>
              </w:tc>
              <w:tc>
                <w:tcPr>
                  <w:tcW w:w="1102" w:type="dxa"/>
                  <w:tcBorders>
                    <w:tl2br w:val="nil"/>
                    <w:tr2bl w:val="nil"/>
                  </w:tcBorders>
                  <w:vAlign w:val="center"/>
                </w:tcPr>
                <w:p>
                  <w:pPr>
                    <w:ind w:right="45"/>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先进院内化粪池，最终进入宁县污水处理厂</w:t>
                  </w:r>
                </w:p>
              </w:tc>
              <w:tc>
                <w:tcPr>
                  <w:tcW w:w="1720" w:type="dxa"/>
                  <w:tcBorders>
                    <w:tl2br w:val="nil"/>
                    <w:tr2bl w:val="nil"/>
                  </w:tcBorders>
                  <w:vAlign w:val="center"/>
                </w:tcPr>
                <w:p>
                  <w:pPr>
                    <w:ind w:right="43"/>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eastAsia="zh-CN"/>
                    </w:rPr>
                    <w:t>《污水综合排放标准》（GB8978-1996）中三级标准，目标微生物参照</w:t>
                  </w:r>
                  <w:r>
                    <w:rPr>
                      <w:rFonts w:hint="eastAsia" w:ascii="Times New Roman" w:hAnsi="Times New Roman" w:eastAsia="宋体" w:cs="Times New Roman"/>
                      <w:color w:val="FF0000"/>
                      <w:sz w:val="21"/>
                      <w:szCs w:val="21"/>
                      <w:lang w:val="en-US" w:eastAsia="zh-CN"/>
                    </w:rPr>
                    <w:t>《病源微生物实验室污染物排放标准》（征求意见稿），不得检出</w:t>
                  </w:r>
                </w:p>
              </w:tc>
              <w:tc>
                <w:tcPr>
                  <w:tcW w:w="1006" w:type="dxa"/>
                  <w:vMerge w:val="continue"/>
                  <w:tcBorders>
                    <w:tl2br w:val="nil"/>
                    <w:tr2bl w:val="nil"/>
                  </w:tcBorders>
                  <w:vAlign w:val="center"/>
                </w:tcPr>
                <w:p>
                  <w:pPr>
                    <w:ind w:right="43"/>
                    <w:jc w:val="center"/>
                    <w:rPr>
                      <w:rFonts w:hint="eastAsia" w:ascii="Times New Roman" w:hAnsi="Times New Roman" w:eastAsia="宋体" w:cs="Times New Roman"/>
                      <w:color w:val="FF0000"/>
                      <w:sz w:val="21"/>
                      <w:szCs w:val="21"/>
                      <w:lang w:val="en-US" w:eastAsia="zh-CN"/>
                    </w:rPr>
                  </w:pPr>
                </w:p>
              </w:tc>
            </w:tr>
          </w:tbl>
          <w:p>
            <w:pPr>
              <w:adjustRightInd w:val="0"/>
              <w:snapToGrid w:val="0"/>
              <w:spacing w:line="360" w:lineRule="auto"/>
              <w:ind w:firstLine="442" w:firstLineChars="200"/>
              <w:jc w:val="left"/>
              <w:rPr>
                <w:rFonts w:hint="eastAsia"/>
                <w:b/>
                <w:color w:val="000000" w:themeColor="text1"/>
                <w:spacing w:val="-10"/>
                <w:sz w:val="24"/>
                <w14:textFill>
                  <w14:solidFill>
                    <w14:schemeClr w14:val="tx1"/>
                  </w14:solidFill>
                </w14:textFill>
              </w:rPr>
            </w:pPr>
            <w:r>
              <w:rPr>
                <w:rFonts w:hint="eastAsia"/>
                <w:b/>
                <w:color w:val="000000" w:themeColor="text1"/>
                <w:spacing w:val="-10"/>
                <w:sz w:val="24"/>
                <w14:textFill>
                  <w14:solidFill>
                    <w14:schemeClr w14:val="tx1"/>
                  </w14:solidFill>
                </w14:textFill>
              </w:rPr>
              <w:t>例行监测计划：</w:t>
            </w:r>
          </w:p>
          <w:p>
            <w:pPr>
              <w:adjustRightInd w:val="0"/>
              <w:snapToGrid w:val="0"/>
              <w:spacing w:line="360" w:lineRule="auto"/>
              <w:ind w:firstLine="480" w:firstLineChars="200"/>
              <w:jc w:val="left"/>
              <w:rPr>
                <w:rFonts w:hint="eastAsia"/>
                <w:bCs/>
                <w:color w:val="000000" w:themeColor="text1"/>
                <w:spacing w:val="-10"/>
                <w:sz w:val="24"/>
                <w14:textFill>
                  <w14:solidFill>
                    <w14:schemeClr w14:val="tx1"/>
                  </w14:solidFill>
                </w14:textFill>
              </w:rPr>
            </w:pPr>
            <w:r>
              <w:rPr>
                <w:color w:val="000000" w:themeColor="text1"/>
                <w:sz w:val="24"/>
                <w:szCs w:val="24"/>
                <w:lang w:bidi="ar"/>
                <w14:textFill>
                  <w14:solidFill>
                    <w14:schemeClr w14:val="tx1"/>
                  </w14:solidFill>
                </w14:textFill>
              </w:rPr>
              <w:t>根据</w:t>
            </w:r>
            <w:r>
              <w:rPr>
                <w:rFonts w:hint="eastAsia"/>
                <w:color w:val="000000" w:themeColor="text1"/>
                <w:sz w:val="24"/>
                <w:szCs w:val="24"/>
                <w:lang w:bidi="ar"/>
                <w14:textFill>
                  <w14:solidFill>
                    <w14:schemeClr w14:val="tx1"/>
                  </w14:solidFill>
                </w14:textFill>
              </w:rPr>
              <w:t>《排污单位自行监测技术指南 总则》（HJ819-2017）</w:t>
            </w:r>
            <w:r>
              <w:rPr>
                <w:rFonts w:hint="eastAsia"/>
                <w:color w:val="000000" w:themeColor="text1"/>
                <w:sz w:val="24"/>
                <w:szCs w:val="24"/>
                <w:lang w:eastAsia="zh-CN" w:bidi="ar"/>
                <w14:textFill>
                  <w14:solidFill>
                    <w14:schemeClr w14:val="tx1"/>
                  </w14:solidFill>
                </w14:textFill>
              </w:rPr>
              <w:t>，</w:t>
            </w:r>
            <w:r>
              <w:rPr>
                <w:rFonts w:hint="eastAsia"/>
                <w:color w:val="000000" w:themeColor="text1"/>
                <w:sz w:val="24"/>
                <w:szCs w:val="24"/>
                <w:lang w:val="en-US" w:eastAsia="zh-CN" w:bidi="ar"/>
                <w14:textFill>
                  <w14:solidFill>
                    <w14:schemeClr w14:val="tx1"/>
                  </w14:solidFill>
                </w14:textFill>
              </w:rPr>
              <w:t>参照</w:t>
            </w:r>
            <w:r>
              <w:rPr>
                <w:color w:val="000000" w:themeColor="text1"/>
                <w:sz w:val="24"/>
                <w:szCs w:val="24"/>
                <w:lang w:bidi="ar"/>
                <w14:textFill>
                  <w14:solidFill>
                    <w14:schemeClr w14:val="tx1"/>
                  </w14:solidFill>
                </w14:textFill>
              </w:rPr>
              <w:t>，结合项目性质和排污特点，</w:t>
            </w:r>
            <w:r>
              <w:rPr>
                <w:rFonts w:hint="eastAsia"/>
                <w:color w:val="000000" w:themeColor="text1"/>
                <w:sz w:val="24"/>
                <w:szCs w:val="24"/>
                <w:lang w:eastAsia="zh-CN" w:bidi="ar"/>
                <w14:textFill>
                  <w14:solidFill>
                    <w14:schemeClr w14:val="tx1"/>
                  </w14:solidFill>
                </w14:textFill>
              </w:rPr>
              <w:t>废水</w:t>
            </w:r>
            <w:r>
              <w:rPr>
                <w:color w:val="000000" w:themeColor="text1"/>
                <w:sz w:val="24"/>
                <w:szCs w:val="24"/>
                <w:lang w:bidi="ar"/>
                <w14:textFill>
                  <w14:solidFill>
                    <w14:schemeClr w14:val="tx1"/>
                  </w14:solidFill>
                </w14:textFill>
              </w:rPr>
              <w:t>监控计划见表</w:t>
            </w:r>
            <w:r>
              <w:rPr>
                <w:rFonts w:hint="eastAsia"/>
                <w:color w:val="000000" w:themeColor="text1"/>
                <w:sz w:val="24"/>
                <w:szCs w:val="24"/>
                <w:lang w:val="en-US" w:eastAsia="zh-CN" w:bidi="ar"/>
                <w14:textFill>
                  <w14:solidFill>
                    <w14:schemeClr w14:val="tx1"/>
                  </w14:solidFill>
                </w14:textFill>
              </w:rPr>
              <w:t>4-7</w:t>
            </w:r>
            <w:r>
              <w:rPr>
                <w:rFonts w:hint="eastAsia"/>
                <w:bCs/>
                <w:color w:val="000000" w:themeColor="text1"/>
                <w:spacing w:val="-10"/>
                <w:sz w:val="24"/>
                <w14:textFill>
                  <w14:solidFill>
                    <w14:schemeClr w14:val="tx1"/>
                  </w14:solidFill>
                </w14:textFill>
              </w:rPr>
              <w:t>，监测计划如下：</w:t>
            </w:r>
          </w:p>
          <w:p>
            <w:pPr>
              <w:keepNext w:val="0"/>
              <w:keepLines w:val="0"/>
              <w:pageBreakBefore w:val="0"/>
              <w:widowControl w:val="0"/>
              <w:tabs>
                <w:tab w:val="right" w:pos="0"/>
              </w:tabs>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表4-7   废水污染物自行监测方案一览表</w:t>
            </w:r>
          </w:p>
          <w:tbl>
            <w:tblPr>
              <w:tblStyle w:val="28"/>
              <w:tblW w:w="85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79"/>
              <w:gridCol w:w="1992"/>
              <w:gridCol w:w="1387"/>
              <w:gridCol w:w="1853"/>
              <w:gridCol w:w="18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66"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影响因素</w:t>
                  </w:r>
                </w:p>
              </w:tc>
              <w:tc>
                <w:tcPr>
                  <w:tcW w:w="879"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监测位置</w:t>
                  </w:r>
                </w:p>
              </w:tc>
              <w:tc>
                <w:tcPr>
                  <w:tcW w:w="1992"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监测项目</w:t>
                  </w:r>
                </w:p>
              </w:tc>
              <w:tc>
                <w:tcPr>
                  <w:tcW w:w="1387"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频次</w:t>
                  </w:r>
                </w:p>
              </w:tc>
              <w:tc>
                <w:tcPr>
                  <w:tcW w:w="1853"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执行标准</w:t>
                  </w:r>
                </w:p>
              </w:tc>
              <w:tc>
                <w:tcPr>
                  <w:tcW w:w="1820" w:type="dxa"/>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方法依据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8597" w:type="dxa"/>
                  <w:gridSpan w:val="6"/>
                  <w:vAlign w:val="center"/>
                </w:tcPr>
                <w:p>
                  <w:pPr>
                    <w:adjustRightInd w:val="0"/>
                    <w:snapToGrid w:val="0"/>
                    <w:jc w:val="center"/>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污染物排放达标监测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66"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r>
                    <w:rPr>
                      <w:rFonts w:hint="default" w:ascii="Times New Roman" w:hAnsi="Times New Roman" w:eastAsia="宋体" w:cs="Times New Roman"/>
                      <w:color w:val="000000" w:themeColor="text1"/>
                      <w:sz w:val="21"/>
                      <w:szCs w:val="20"/>
                      <w:lang w:eastAsia="zh-CN"/>
                      <w14:textFill>
                        <w14:solidFill>
                          <w14:schemeClr w14:val="tx1"/>
                        </w14:solidFill>
                      </w14:textFill>
                    </w:rPr>
                    <w:t>废水</w:t>
                  </w:r>
                </w:p>
              </w:tc>
              <w:tc>
                <w:tcPr>
                  <w:tcW w:w="879"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r>
                    <w:rPr>
                      <w:rFonts w:hint="default" w:ascii="Times New Roman" w:hAnsi="Times New Roman" w:eastAsia="宋体" w:cs="Times New Roman"/>
                      <w:color w:val="000000" w:themeColor="text1"/>
                      <w:sz w:val="21"/>
                      <w:szCs w:val="20"/>
                      <w:lang w:eastAsia="zh-CN"/>
                      <w14:textFill>
                        <w14:solidFill>
                          <w14:schemeClr w14:val="tx1"/>
                        </w14:solidFill>
                      </w14:textFill>
                    </w:rPr>
                    <w:t>废水总排口</w:t>
                  </w:r>
                </w:p>
              </w:tc>
              <w:tc>
                <w:tcPr>
                  <w:tcW w:w="1992" w:type="dxa"/>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pH、</w:t>
                  </w:r>
                  <w:r>
                    <w:rPr>
                      <w:rFonts w:hint="default" w:ascii="Times New Roman" w:hAnsi="Times New Roman" w:eastAsia="宋体" w:cs="Times New Roman"/>
                      <w:color w:val="000000" w:themeColor="text1"/>
                      <w:sz w:val="21"/>
                      <w:szCs w:val="21"/>
                      <w14:textFill>
                        <w14:solidFill>
                          <w14:schemeClr w14:val="tx1"/>
                        </w14:solidFill>
                      </w14:textFill>
                    </w:rPr>
                    <w:t>COD、SS、</w:t>
                  </w:r>
                </w:p>
              </w:tc>
              <w:tc>
                <w:tcPr>
                  <w:tcW w:w="1387" w:type="dxa"/>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r>
                    <w:rPr>
                      <w:rFonts w:hint="default" w:ascii="Times New Roman" w:hAnsi="Times New Roman" w:eastAsia="宋体" w:cs="Times New Roman"/>
                      <w:color w:val="000000" w:themeColor="text1"/>
                      <w:sz w:val="21"/>
                      <w:szCs w:val="20"/>
                      <w14:textFill>
                        <w14:solidFill>
                          <w14:schemeClr w14:val="tx1"/>
                        </w14:solidFill>
                      </w14:textFill>
                    </w:rPr>
                    <w:t>每</w:t>
                  </w:r>
                  <w:r>
                    <w:rPr>
                      <w:rFonts w:hint="eastAsia" w:ascii="Times New Roman" w:hAnsi="Times New Roman" w:eastAsia="宋体" w:cs="Times New Roman"/>
                      <w:color w:val="000000" w:themeColor="text1"/>
                      <w:sz w:val="21"/>
                      <w:szCs w:val="20"/>
                      <w:lang w:eastAsia="zh-CN"/>
                      <w14:textFill>
                        <w14:solidFill>
                          <w14:schemeClr w14:val="tx1"/>
                        </w14:solidFill>
                      </w14:textFill>
                    </w:rPr>
                    <w:t>周</w:t>
                  </w:r>
                  <w:r>
                    <w:rPr>
                      <w:rFonts w:hint="default" w:ascii="Times New Roman" w:hAnsi="Times New Roman" w:eastAsia="宋体" w:cs="Times New Roman"/>
                      <w:color w:val="000000" w:themeColor="text1"/>
                      <w:sz w:val="21"/>
                      <w:szCs w:val="20"/>
                      <w14:textFill>
                        <w14:solidFill>
                          <w14:schemeClr w14:val="tx1"/>
                        </w14:solidFill>
                      </w14:textFill>
                    </w:rPr>
                    <w:t>一次</w:t>
                  </w:r>
                </w:p>
              </w:tc>
              <w:tc>
                <w:tcPr>
                  <w:tcW w:w="1853"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r>
                    <w:rPr>
                      <w:rFonts w:hint="default" w:ascii="Times New Roman" w:hAnsi="Times New Roman" w:eastAsia="宋体" w:cs="Times New Roman"/>
                      <w:color w:val="000000" w:themeColor="text1"/>
                      <w:sz w:val="21"/>
                      <w:szCs w:val="20"/>
                      <w:lang w:val="en-US" w:eastAsia="zh-CN"/>
                      <w14:textFill>
                        <w14:solidFill>
                          <w14:schemeClr w14:val="tx1"/>
                        </w14:solidFill>
                      </w14:textFill>
                    </w:rPr>
                    <w:t>《污水综合排放标准》（GB8978-1996）中三级标准</w:t>
                  </w:r>
                </w:p>
              </w:tc>
              <w:tc>
                <w:tcPr>
                  <w:tcW w:w="1820"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r>
                    <w:rPr>
                      <w:rFonts w:hint="default" w:ascii="Times New Roman" w:hAnsi="Times New Roman" w:eastAsia="宋体" w:cs="Times New Roman"/>
                      <w:color w:val="000000" w:themeColor="text1"/>
                      <w:sz w:val="21"/>
                      <w:szCs w:val="20"/>
                      <w14:textFill>
                        <w14:solidFill>
                          <w14:schemeClr w14:val="tx1"/>
                        </w14:solidFill>
                      </w14:textFill>
                    </w:rPr>
                    <w:t>《排污单位自行监测技术指南 总则》（HJ819-2017）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66"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879"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199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氨氮、BOD</w:t>
                  </w:r>
                  <w:r>
                    <w:rPr>
                      <w:rFonts w:hint="default" w:ascii="Times New Roman" w:hAnsi="Times New Roman" w:eastAsia="宋体" w:cs="Times New Roman"/>
                      <w:color w:val="000000" w:themeColor="text1"/>
                      <w:sz w:val="21"/>
                      <w:szCs w:val="21"/>
                      <w:vertAlign w:val="subscript"/>
                      <w14:textFill>
                        <w14:solidFill>
                          <w14:schemeClr w14:val="tx1"/>
                        </w14:solidFill>
                      </w14:textFill>
                    </w:rPr>
                    <w:t>5</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387" w:type="dxa"/>
                  <w:vAlign w:val="center"/>
                </w:tcPr>
                <w:p>
                  <w:pPr>
                    <w:adjustRightInd w:val="0"/>
                    <w:snapToGrid w:val="0"/>
                    <w:jc w:val="center"/>
                    <w:rPr>
                      <w:rFonts w:hint="eastAsia" w:ascii="Times New Roman" w:hAnsi="Times New Roman" w:eastAsia="宋体" w:cs="Times New Roman"/>
                      <w:color w:val="000000" w:themeColor="text1"/>
                      <w:sz w:val="21"/>
                      <w:szCs w:val="20"/>
                      <w:lang w:eastAsia="zh-CN"/>
                      <w14:textFill>
                        <w14:solidFill>
                          <w14:schemeClr w14:val="tx1"/>
                        </w14:solidFill>
                      </w14:textFill>
                    </w:rPr>
                  </w:pPr>
                  <w:r>
                    <w:rPr>
                      <w:rFonts w:hint="eastAsia" w:ascii="Times New Roman" w:hAnsi="Times New Roman" w:eastAsia="宋体" w:cs="Times New Roman"/>
                      <w:color w:val="000000" w:themeColor="text1"/>
                      <w:sz w:val="21"/>
                      <w:szCs w:val="20"/>
                      <w:lang w:eastAsia="zh-CN"/>
                      <w14:textFill>
                        <w14:solidFill>
                          <w14:schemeClr w14:val="tx1"/>
                        </w14:solidFill>
                      </w14:textFill>
                    </w:rPr>
                    <w:t>每月一次</w:t>
                  </w:r>
                </w:p>
              </w:tc>
              <w:tc>
                <w:tcPr>
                  <w:tcW w:w="1853"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val="en-US" w:eastAsia="zh-CN"/>
                      <w14:textFill>
                        <w14:solidFill>
                          <w14:schemeClr w14:val="tx1"/>
                        </w14:solidFill>
                      </w14:textFill>
                    </w:rPr>
                  </w:pPr>
                </w:p>
              </w:tc>
              <w:tc>
                <w:tcPr>
                  <w:tcW w:w="1820"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666"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879"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199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粪大肠菌群</w:t>
                  </w:r>
                </w:p>
              </w:tc>
              <w:tc>
                <w:tcPr>
                  <w:tcW w:w="1387" w:type="dxa"/>
                  <w:vAlign w:val="center"/>
                </w:tcPr>
                <w:p>
                  <w:pPr>
                    <w:adjustRightInd w:val="0"/>
                    <w:snapToGrid w:val="0"/>
                    <w:jc w:val="center"/>
                    <w:rPr>
                      <w:rFonts w:hint="eastAsia" w:ascii="Times New Roman" w:hAnsi="Times New Roman" w:eastAsia="宋体" w:cs="Times New Roman"/>
                      <w:color w:val="000000" w:themeColor="text1"/>
                      <w:sz w:val="21"/>
                      <w:szCs w:val="20"/>
                      <w:lang w:eastAsia="zh-CN"/>
                      <w14:textFill>
                        <w14:solidFill>
                          <w14:schemeClr w14:val="tx1"/>
                        </w14:solidFill>
                      </w14:textFill>
                    </w:rPr>
                  </w:pPr>
                  <w:r>
                    <w:rPr>
                      <w:rFonts w:hint="eastAsia" w:ascii="Times New Roman" w:hAnsi="Times New Roman" w:eastAsia="宋体" w:cs="Times New Roman"/>
                      <w:color w:val="000000" w:themeColor="text1"/>
                      <w:sz w:val="21"/>
                      <w:szCs w:val="20"/>
                      <w:lang w:eastAsia="zh-CN"/>
                      <w14:textFill>
                        <w14:solidFill>
                          <w14:schemeClr w14:val="tx1"/>
                        </w14:solidFill>
                      </w14:textFill>
                    </w:rPr>
                    <w:t>每季度一次</w:t>
                  </w:r>
                </w:p>
              </w:tc>
              <w:tc>
                <w:tcPr>
                  <w:tcW w:w="1853"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val="en-US" w:eastAsia="zh-CN"/>
                      <w14:textFill>
                        <w14:solidFill>
                          <w14:schemeClr w14:val="tx1"/>
                        </w14:solidFill>
                      </w14:textFill>
                    </w:rPr>
                  </w:pPr>
                </w:p>
              </w:tc>
              <w:tc>
                <w:tcPr>
                  <w:tcW w:w="1820"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666"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879"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199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目标微生物</w:t>
                  </w:r>
                </w:p>
              </w:tc>
              <w:tc>
                <w:tcPr>
                  <w:tcW w:w="1387" w:type="dxa"/>
                  <w:vAlign w:val="center"/>
                </w:tcPr>
                <w:p>
                  <w:pPr>
                    <w:adjustRightInd w:val="0"/>
                    <w:snapToGrid w:val="0"/>
                    <w:jc w:val="center"/>
                    <w:rPr>
                      <w:rFonts w:hint="default" w:ascii="Times New Roman" w:hAnsi="Times New Roman" w:eastAsia="宋体" w:cs="Times New Roman"/>
                      <w:color w:val="000000" w:themeColor="text1"/>
                      <w:sz w:val="21"/>
                      <w:szCs w:val="20"/>
                      <w14:textFill>
                        <w14:solidFill>
                          <w14:schemeClr w14:val="tx1"/>
                        </w14:solidFill>
                      </w14:textFill>
                    </w:rPr>
                  </w:pPr>
                  <w:r>
                    <w:rPr>
                      <w:rFonts w:hint="eastAsia" w:ascii="Times New Roman" w:hAnsi="Times New Roman" w:eastAsia="宋体" w:cs="Times New Roman"/>
                      <w:color w:val="000000" w:themeColor="text1"/>
                      <w:sz w:val="21"/>
                      <w:szCs w:val="20"/>
                      <w:lang w:eastAsia="zh-CN"/>
                      <w14:textFill>
                        <w14:solidFill>
                          <w14:schemeClr w14:val="tx1"/>
                        </w14:solidFill>
                      </w14:textFill>
                    </w:rPr>
                    <w:t>每月一次</w:t>
                  </w:r>
                </w:p>
              </w:tc>
              <w:tc>
                <w:tcPr>
                  <w:tcW w:w="1853" w:type="dxa"/>
                  <w:vAlign w:val="center"/>
                </w:tcPr>
                <w:p>
                  <w:pPr>
                    <w:adjustRightInd w:val="0"/>
                    <w:snapToGrid w:val="0"/>
                    <w:jc w:val="center"/>
                    <w:rPr>
                      <w:rFonts w:hint="default" w:ascii="Times New Roman" w:hAnsi="Times New Roman" w:eastAsia="宋体" w:cs="Times New Roman"/>
                      <w:color w:val="000000" w:themeColor="text1"/>
                      <w:sz w:val="21"/>
                      <w:szCs w:val="20"/>
                      <w:lang w:val="en-US" w:eastAsia="zh-CN"/>
                      <w14:textFill>
                        <w14:solidFill>
                          <w14:schemeClr w14:val="tx1"/>
                        </w14:solidFill>
                      </w14:textFill>
                    </w:rPr>
                  </w:pPr>
                  <w:r>
                    <w:rPr>
                      <w:rFonts w:hint="eastAsia" w:ascii="Times New Roman" w:hAnsi="Times New Roman" w:eastAsia="宋体" w:cs="Times New Roman"/>
                      <w:color w:val="000000" w:themeColor="text1"/>
                      <w:sz w:val="21"/>
                      <w:szCs w:val="20"/>
                      <w:lang w:val="en-US" w:eastAsia="zh-CN"/>
                      <w14:textFill>
                        <w14:solidFill>
                          <w14:schemeClr w14:val="tx1"/>
                        </w14:solidFill>
                      </w14:textFill>
                    </w:rPr>
                    <w:t>参照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《病源微生物实验室污染物排放标准》（征求意见稿），不得检出</w:t>
                  </w:r>
                </w:p>
              </w:tc>
              <w:tc>
                <w:tcPr>
                  <w:tcW w:w="1820" w:type="dxa"/>
                  <w:vAlign w:val="center"/>
                </w:tcPr>
                <w:p>
                  <w:pPr>
                    <w:adjustRightInd w:val="0"/>
                    <w:snapToGrid w:val="0"/>
                    <w:jc w:val="center"/>
                    <w:rPr>
                      <w:rFonts w:hint="eastAsia" w:ascii="Times New Roman" w:hAnsi="Times New Roman" w:eastAsia="宋体" w:cs="Times New Roman"/>
                      <w:color w:val="000000" w:themeColor="text1"/>
                      <w:sz w:val="21"/>
                      <w:szCs w:val="20"/>
                      <w:lang w:eastAsia="zh-CN"/>
                      <w14:textFill>
                        <w14:solidFill>
                          <w14:schemeClr w14:val="tx1"/>
                        </w14:solidFill>
                      </w14:textFill>
                    </w:rPr>
                  </w:pPr>
                  <w:r>
                    <w:rPr>
                      <w:rFonts w:hint="eastAsia" w:ascii="Times New Roman" w:hAnsi="Times New Roman" w:eastAsia="宋体" w:cs="Times New Roman"/>
                      <w:color w:val="000000" w:themeColor="text1"/>
                      <w:sz w:val="21"/>
                      <w:szCs w:val="20"/>
                      <w:lang w:eastAsia="zh-CN"/>
                      <w14:textFill>
                        <w14:solidFill>
                          <w14:schemeClr w14:val="tx1"/>
                        </w14:solidFill>
                      </w14:textFill>
                    </w:rPr>
                    <w:t>自定义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666"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0"/>
                      <w:lang w:eastAsia="zh-CN"/>
                      <w14:textFill>
                        <w14:solidFill>
                          <w14:schemeClr w14:val="tx1"/>
                        </w14:solidFill>
                      </w14:textFill>
                    </w:rPr>
                  </w:pPr>
                </w:p>
              </w:tc>
              <w:tc>
                <w:tcPr>
                  <w:tcW w:w="879" w:type="dxa"/>
                  <w:vAlign w:val="center"/>
                </w:tcPr>
                <w:p>
                  <w:pPr>
                    <w:adjustRightInd w:val="0"/>
                    <w:snapToGrid w:val="0"/>
                    <w:jc w:val="center"/>
                    <w:rPr>
                      <w:rFonts w:hint="default" w:ascii="Times New Roman" w:hAnsi="Times New Roman" w:eastAsia="宋体" w:cs="Times New Roman"/>
                      <w:color w:val="FF0000"/>
                      <w:sz w:val="21"/>
                      <w:szCs w:val="20"/>
                      <w:lang w:val="en-US" w:eastAsia="zh-CN"/>
                    </w:rPr>
                  </w:pPr>
                  <w:r>
                    <w:rPr>
                      <w:rFonts w:hint="eastAsia" w:ascii="Times New Roman" w:hAnsi="Times New Roman" w:eastAsia="宋体" w:cs="Times New Roman"/>
                      <w:color w:val="FF0000"/>
                      <w:sz w:val="21"/>
                      <w:szCs w:val="20"/>
                      <w:lang w:val="en-US" w:eastAsia="zh-CN"/>
                    </w:rPr>
                    <w:t>实验废水排放口</w:t>
                  </w:r>
                </w:p>
              </w:tc>
              <w:tc>
                <w:tcPr>
                  <w:tcW w:w="1992" w:type="dxa"/>
                  <w:vAlign w:val="center"/>
                </w:tcPr>
                <w:p>
                  <w:pPr>
                    <w:adjustRightInd w:val="0"/>
                    <w:snapToGrid w:val="0"/>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pH、COD、SS、氨氮、BOD</w:t>
                  </w:r>
                  <w:r>
                    <w:rPr>
                      <w:rFonts w:hint="eastAsia" w:ascii="Times New Roman" w:hAnsi="Times New Roman" w:eastAsia="宋体" w:cs="Times New Roman"/>
                      <w:color w:val="FF0000"/>
                      <w:sz w:val="21"/>
                      <w:szCs w:val="21"/>
                      <w:vertAlign w:val="subscript"/>
                      <w:lang w:eastAsia="zh-CN"/>
                    </w:rPr>
                    <w:t>5</w:t>
                  </w:r>
                  <w:r>
                    <w:rPr>
                      <w:rFonts w:hint="eastAsia" w:ascii="Times New Roman" w:hAnsi="Times New Roman" w:eastAsia="宋体" w:cs="Times New Roman"/>
                      <w:color w:val="FF0000"/>
                      <w:sz w:val="21"/>
                      <w:szCs w:val="21"/>
                      <w:lang w:eastAsia="zh-CN"/>
                    </w:rPr>
                    <w:t>、粪大肠菌群、</w:t>
                  </w:r>
                  <w:r>
                    <w:rPr>
                      <w:rFonts w:hint="eastAsia" w:ascii="Times New Roman" w:hAnsi="Times New Roman" w:eastAsia="宋体" w:cs="Times New Roman"/>
                      <w:color w:val="FF0000"/>
                      <w:sz w:val="21"/>
                      <w:szCs w:val="21"/>
                      <w:lang w:val="en-US" w:eastAsia="zh-CN"/>
                    </w:rPr>
                    <w:t>其他</w:t>
                  </w:r>
                  <w:r>
                    <w:rPr>
                      <w:rFonts w:hint="eastAsia" w:ascii="Times New Roman" w:hAnsi="Times New Roman" w:eastAsia="宋体" w:cs="Times New Roman"/>
                      <w:color w:val="FF0000"/>
                      <w:sz w:val="21"/>
                      <w:szCs w:val="21"/>
                      <w:lang w:eastAsia="zh-CN"/>
                    </w:rPr>
                    <w:t>目标微生物</w:t>
                  </w:r>
                </w:p>
              </w:tc>
              <w:tc>
                <w:tcPr>
                  <w:tcW w:w="1387" w:type="dxa"/>
                  <w:vAlign w:val="center"/>
                </w:tcPr>
                <w:p>
                  <w:pPr>
                    <w:adjustRightInd w:val="0"/>
                    <w:snapToGrid w:val="0"/>
                    <w:jc w:val="center"/>
                    <w:rPr>
                      <w:rFonts w:hint="default" w:ascii="Times New Roman" w:hAnsi="Times New Roman" w:eastAsia="宋体" w:cs="Times New Roman"/>
                      <w:color w:val="FF0000"/>
                      <w:sz w:val="21"/>
                      <w:szCs w:val="20"/>
                    </w:rPr>
                  </w:pPr>
                  <w:r>
                    <w:rPr>
                      <w:rFonts w:hint="eastAsia" w:ascii="Times New Roman" w:hAnsi="Times New Roman" w:eastAsia="宋体" w:cs="Times New Roman"/>
                      <w:color w:val="FF0000"/>
                      <w:sz w:val="21"/>
                      <w:szCs w:val="20"/>
                      <w:lang w:eastAsia="zh-CN"/>
                    </w:rPr>
                    <w:t>每月一次</w:t>
                  </w:r>
                </w:p>
              </w:tc>
              <w:tc>
                <w:tcPr>
                  <w:tcW w:w="1853" w:type="dxa"/>
                  <w:vAlign w:val="center"/>
                </w:tcPr>
                <w:p>
                  <w:pPr>
                    <w:adjustRightInd w:val="0"/>
                    <w:snapToGrid w:val="0"/>
                    <w:jc w:val="center"/>
                    <w:rPr>
                      <w:rFonts w:hint="eastAsia" w:ascii="Times New Roman" w:hAnsi="Times New Roman" w:eastAsia="宋体" w:cs="Times New Roman"/>
                      <w:color w:val="FF0000"/>
                      <w:sz w:val="21"/>
                      <w:szCs w:val="20"/>
                      <w:lang w:val="en-US" w:eastAsia="zh-CN"/>
                    </w:rPr>
                  </w:pPr>
                  <w:r>
                    <w:rPr>
                      <w:rFonts w:hint="eastAsia" w:ascii="Times New Roman" w:hAnsi="Times New Roman" w:eastAsia="宋体" w:cs="Times New Roman"/>
                      <w:color w:val="FF0000"/>
                      <w:sz w:val="21"/>
                      <w:szCs w:val="20"/>
                      <w:lang w:val="en-US" w:eastAsia="zh-CN"/>
                    </w:rPr>
                    <w:t>《医疗机构水污染排放标准》（GB18466-2005）</w:t>
                  </w:r>
                  <w:commentRangeStart w:id="10"/>
                  <w:r>
                    <w:rPr>
                      <w:rFonts w:hint="eastAsia" w:ascii="Times New Roman" w:hAnsi="Times New Roman" w:eastAsia="宋体" w:cs="Times New Roman"/>
                      <w:color w:val="0000FF"/>
                      <w:sz w:val="21"/>
                      <w:szCs w:val="20"/>
                      <w:lang w:val="en-US" w:eastAsia="zh-CN"/>
                    </w:rPr>
                    <w:t>预处理</w:t>
                  </w:r>
                  <w:commentRangeEnd w:id="10"/>
                  <w:r>
                    <w:rPr>
                      <w:color w:val="0000FF"/>
                    </w:rPr>
                    <w:commentReference w:id="10"/>
                  </w:r>
                  <w:r>
                    <w:rPr>
                      <w:rFonts w:hint="eastAsia"/>
                      <w:color w:val="0000FF"/>
                      <w:lang w:val="en-US" w:eastAsia="zh-CN"/>
                    </w:rPr>
                    <w:t>排放</w:t>
                  </w:r>
                  <w:r>
                    <w:rPr>
                      <w:rFonts w:hint="eastAsia" w:ascii="Times New Roman" w:hAnsi="Times New Roman" w:eastAsia="宋体" w:cs="Times New Roman"/>
                      <w:color w:val="0000FF"/>
                      <w:sz w:val="21"/>
                      <w:szCs w:val="20"/>
                      <w:lang w:val="en-US" w:eastAsia="zh-CN"/>
                    </w:rPr>
                    <w:t>标准</w:t>
                  </w:r>
                </w:p>
              </w:tc>
              <w:tc>
                <w:tcPr>
                  <w:tcW w:w="1820" w:type="dxa"/>
                  <w:vAlign w:val="center"/>
                </w:tcPr>
                <w:p>
                  <w:pPr>
                    <w:adjustRightInd w:val="0"/>
                    <w:snapToGrid w:val="0"/>
                    <w:jc w:val="center"/>
                    <w:rPr>
                      <w:rFonts w:hint="eastAsia" w:ascii="Times New Roman" w:hAnsi="Times New Roman" w:eastAsia="宋体" w:cs="Times New Roman"/>
                      <w:color w:val="FF0000"/>
                      <w:sz w:val="21"/>
                      <w:szCs w:val="20"/>
                      <w:lang w:eastAsia="zh-CN"/>
                    </w:rPr>
                  </w:pPr>
                  <w:r>
                    <w:rPr>
                      <w:rFonts w:hint="eastAsia" w:ascii="Times New Roman" w:hAnsi="Times New Roman" w:eastAsia="宋体" w:cs="Times New Roman"/>
                      <w:color w:val="FF0000"/>
                      <w:sz w:val="21"/>
                      <w:szCs w:val="20"/>
                      <w:lang w:eastAsia="zh-CN"/>
                    </w:rPr>
                    <w:t>法参照HJ493、HJ494、HJ495和HJ91.1执行</w:t>
                  </w:r>
                </w:p>
              </w:tc>
            </w:tr>
          </w:tbl>
          <w:p>
            <w:pPr>
              <w:spacing w:line="360" w:lineRule="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3、噪声</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3.1噪声产生情况</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本项目检验时设备较多且单一，分配合理。噪声源主要为通风系统的送风机、排风机、污水处理站水泵等设备噪声，其噪声源强为65~85dB（A）。</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3.2噪声治理措施</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本项目营运期的主要噪声源为水泵、风机和实验室设备等设备噪声，为了保护本疾控中心职工及周围居民不受本项目噪声的影响，应采取有效的隔声、消声、减振措施。具体措施如下： </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（1）设备选型方面，在满足功能要求的前提下，水泵、风机、抽风机等设备选用装配质量好、低噪声设备；</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（2）设备合理布局，污水处理设施及水泵房等高噪声设施用房布置在地下，利用建筑物、构筑物来阻隔声波的传播，减少对周围环境的影响；</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（3）风机安装风机消声器，以降低风机的运行噪声和气流噪声向外传播。风机消声器的消声量应不低于30dB（A）；</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（4）为避免</w:t>
            </w:r>
            <w:r>
              <w:rPr>
                <w:rFonts w:hint="eastAsia" w:ascii="Times New Roman" w:hAnsi="Times New Roman" w:eastAsia="宋体" w:cs="Times New Roman"/>
                <w:color w:val="000000" w:themeColor="text1"/>
                <w:sz w:val="24"/>
                <w:lang w:val="en-US" w:eastAsia="zh-CN"/>
                <w14:textFill>
                  <w14:solidFill>
                    <w14:schemeClr w14:val="tx1"/>
                  </w14:solidFill>
                </w14:textFill>
              </w:rPr>
              <w:t>实验室</w:t>
            </w:r>
            <w:r>
              <w:rPr>
                <w:rFonts w:hint="default" w:ascii="Times New Roman" w:hAnsi="Times New Roman" w:eastAsia="宋体" w:cs="Times New Roman"/>
                <w:color w:val="000000" w:themeColor="text1"/>
                <w:sz w:val="24"/>
                <w:lang w:val="en-US" w:eastAsia="zh-CN"/>
                <w14:textFill>
                  <w14:solidFill>
                    <w14:schemeClr w14:val="tx1"/>
                  </w14:solidFill>
                </w14:textFill>
              </w:rPr>
              <w:t>内水泵的振动和噪声对周围环境造成影响，在进行水泵机组的安装设计时应采取如下隔振及消声措施：选用优质低转速、低噪声、高效率、低能源的水泵；水泵机组底座下设置橡胶隔振器、金属弹簧隔振器或弹性衬垫材料；水泵的吸水管道上和出水管上装设软性连接装置，如可曲挠橡胶接头、不锈钢或铜材质的波纹管、水锤消声器；备用水泵应采用和工作水泵相同的隔振消声措施，对于水泵的电动机采取减振措施。现场安装时，各地脚螺栓和底座安装槽必须预埋。</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5）加强产噪设备的维护管理，避免因不正常运行所导致的噪声增大。上述噪声控制技术都已经较为成熟，通过采取各项减振、隔声、消声等综合治理措施，从技术角度上讲，完全可以满足噪声防治的需要，噪声值满足《工业企业厂界环境噪声排放标准》（GB12348-2008）中的2类标准；噪声的排放在可承受范围内。因此，本项目拟采取的噪声防治措施可行。</w:t>
            </w:r>
          </w:p>
          <w:p>
            <w:pPr>
              <w:adjustRightInd w:val="0"/>
              <w:snapToGrid w:val="0"/>
              <w:spacing w:line="360" w:lineRule="auto"/>
              <w:ind w:firstLine="482" w:firstLineChars="200"/>
              <w:rPr>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例行监测计划：</w:t>
            </w:r>
          </w:p>
          <w:p>
            <w:pPr>
              <w:adjustRightInd w:val="0"/>
              <w:snapToGrid w:val="0"/>
              <w:spacing w:line="360" w:lineRule="auto"/>
              <w:ind w:firstLine="480" w:firstLineChars="200"/>
              <w:rPr>
                <w:rFonts w:eastAsia="宋体"/>
                <w:color w:val="000000" w:themeColor="text1"/>
                <w:sz w:val="24"/>
                <w:lang w:eastAsia="zh-CN"/>
                <w14:textFill>
                  <w14:solidFill>
                    <w14:schemeClr w14:val="tx1"/>
                  </w14:solidFill>
                </w14:textFill>
              </w:rPr>
            </w:pPr>
            <w:r>
              <w:rPr>
                <w:color w:val="000000" w:themeColor="text1"/>
                <w:sz w:val="24"/>
                <w:szCs w:val="24"/>
                <w:lang w:eastAsia="zh-CN" w:bidi="ar"/>
                <w14:textFill>
                  <w14:solidFill>
                    <w14:schemeClr w14:val="tx1"/>
                  </w14:solidFill>
                </w14:textFill>
              </w:rPr>
              <w:t>根据</w:t>
            </w:r>
            <w:r>
              <w:rPr>
                <w:rFonts w:hint="eastAsia"/>
                <w:color w:val="000000" w:themeColor="text1"/>
                <w:sz w:val="24"/>
                <w:szCs w:val="24"/>
                <w:lang w:eastAsia="zh-CN" w:bidi="ar"/>
                <w14:textFill>
                  <w14:solidFill>
                    <w14:schemeClr w14:val="tx1"/>
                  </w14:solidFill>
                </w14:textFill>
              </w:rPr>
              <w:t>《排污单位自行监测技术指南 总则》（HJ819-2017）</w:t>
            </w:r>
            <w:r>
              <w:rPr>
                <w:color w:val="000000" w:themeColor="text1"/>
                <w:sz w:val="24"/>
                <w:szCs w:val="24"/>
                <w:lang w:eastAsia="zh-CN" w:bidi="ar"/>
                <w14:textFill>
                  <w14:solidFill>
                    <w14:schemeClr w14:val="tx1"/>
                  </w14:solidFill>
                </w14:textFill>
              </w:rPr>
              <w:t>，结合项目性质和排污特点，</w:t>
            </w:r>
            <w:r>
              <w:rPr>
                <w:rFonts w:hint="eastAsia"/>
                <w:color w:val="000000" w:themeColor="text1"/>
                <w:sz w:val="24"/>
                <w:szCs w:val="24"/>
                <w:lang w:eastAsia="zh-CN" w:bidi="ar"/>
                <w14:textFill>
                  <w14:solidFill>
                    <w14:schemeClr w14:val="tx1"/>
                  </w14:solidFill>
                </w14:textFill>
              </w:rPr>
              <w:t>项目噪声检测计划如下：</w:t>
            </w:r>
          </w:p>
          <w:p>
            <w:pPr>
              <w:adjustRightInd w:val="0"/>
              <w:snapToGrid w:val="0"/>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监测点位：厂界四周；</w:t>
            </w:r>
          </w:p>
          <w:p>
            <w:pPr>
              <w:pStyle w:val="2"/>
              <w:ind w:left="0" w:leftChars="0" w:firstLine="480"/>
              <w:rPr>
                <w:color w:val="000000" w:themeColor="text1"/>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监测频次：一</w:t>
            </w:r>
            <w:r>
              <w:rPr>
                <w:rFonts w:hint="eastAsia"/>
                <w:color w:val="000000" w:themeColor="text1"/>
                <w:sz w:val="24"/>
                <w:lang w:val="en-US" w:eastAsia="zh-CN"/>
                <w14:textFill>
                  <w14:solidFill>
                    <w14:schemeClr w14:val="tx1"/>
                  </w14:solidFill>
                </w14:textFill>
              </w:rPr>
              <w:t>季度</w:t>
            </w:r>
            <w:r>
              <w:rPr>
                <w:rFonts w:hint="eastAsia"/>
                <w:color w:val="000000" w:themeColor="text1"/>
                <w:sz w:val="24"/>
                <w:lang w:eastAsia="zh-CN"/>
                <w14:textFill>
                  <w14:solidFill>
                    <w14:schemeClr w14:val="tx1"/>
                  </w14:solidFill>
                </w14:textFill>
              </w:rPr>
              <w:t>一次。</w:t>
            </w:r>
          </w:p>
          <w:p>
            <w:pPr>
              <w:spacing w:line="360" w:lineRule="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4、固体废物</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4.1固废产排情况</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本项目固体废物包括实验过程产生的一般工业固体废物、危险废物以及职工日常生活产生的生活垃圾。</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一般工业固体废物</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废包装材料</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废包装材料主要为包装药品的废纸箱、废塑料</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废木箱</w:t>
            </w:r>
            <w:r>
              <w:rPr>
                <w:rFonts w:hint="default" w:ascii="Times New Roman" w:hAnsi="Times New Roman" w:eastAsia="宋体" w:cs="Times New Roman"/>
                <w:color w:val="000000" w:themeColor="text1"/>
                <w:sz w:val="24"/>
                <w:szCs w:val="24"/>
                <w14:textFill>
                  <w14:solidFill>
                    <w14:schemeClr w14:val="tx1"/>
                  </w14:solidFill>
                </w14:textFill>
              </w:rPr>
              <w:t>等，属于一般工业固体废物，产生量约为0.05t/a。</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统一收集后外售利用。</w:t>
            </w:r>
          </w:p>
          <w:p>
            <w:pPr>
              <w:pStyle w:val="11"/>
              <w:adjustRightInd w:val="0"/>
              <w:snapToGrid w:val="0"/>
              <w:spacing w:line="360" w:lineRule="auto"/>
              <w:ind w:firstLine="504" w:firstLineChars="21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化粪池污泥：化粪池产生少量污泥，应定期期清理，根据近年来相关污泥清理统计情况，其产生量按0.8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kg/t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（水）计，则年产生污泥量约为</w:t>
            </w:r>
            <w:r>
              <w:rPr>
                <w:rFonts w:hint="eastAsia" w:ascii="Times New Roman" w:hAnsi="Times New Roman" w:cs="Times New Roman"/>
                <w:color w:val="000000" w:themeColor="text1"/>
                <w:sz w:val="24"/>
                <w:szCs w:val="24"/>
                <w:lang w:val="en-US" w:eastAsia="zh-CN"/>
                <w14:textFill>
                  <w14:solidFill>
                    <w14:schemeClr w14:val="tx1"/>
                  </w14:solidFill>
                </w14:textFill>
              </w:rPr>
              <w:t>0.077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。由于项目微生物废水经过消毒、高温高压灭菌处理后排入化粪池，因此此部分污泥作为一般固废处理。</w:t>
            </w:r>
          </w:p>
          <w:p>
            <w:pPr>
              <w:pStyle w:val="11"/>
              <w:adjustRightInd w:val="0"/>
              <w:snapToGrid w:val="0"/>
              <w:spacing w:line="360" w:lineRule="auto"/>
              <w:ind w:firstLine="504" w:firstLineChars="21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废离子交换树脂：项目纯水制备过程中会产生一定量的废离子交换树脂，根据企业实际情况，废离子交换树脂每年更换一次，每次0.05t。</w:t>
            </w:r>
          </w:p>
          <w:p>
            <w:pPr>
              <w:pStyle w:val="11"/>
              <w:adjustRightInd w:val="0"/>
              <w:snapToGrid w:val="0"/>
              <w:spacing w:line="360" w:lineRule="auto"/>
              <w:ind w:firstLine="504" w:firstLineChars="21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废一次性实验用品</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根据畜牧站实验</w:t>
            </w:r>
            <w:r>
              <w:rPr>
                <w:rFonts w:hint="eastAsia" w:ascii="Times New Roman" w:hAnsi="Times New Roman" w:cs="Times New Roman"/>
                <w:color w:val="000000" w:themeColor="text1"/>
                <w:sz w:val="24"/>
                <w:szCs w:val="24"/>
                <w:lang w:val="en-US" w:eastAsia="zh-CN"/>
                <w14:textFill>
                  <w14:solidFill>
                    <w14:schemeClr w14:val="tx1"/>
                  </w14:solidFill>
                </w14:textFill>
              </w:rPr>
              <w:t>室往年一次性实验室用品平均年产生量，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产生量约为0.2t/a。</w:t>
            </w:r>
          </w:p>
          <w:p>
            <w:pPr>
              <w:pStyle w:val="11"/>
              <w:adjustRightInd w:val="0"/>
              <w:snapToGrid w:val="0"/>
              <w:spacing w:line="360" w:lineRule="auto"/>
              <w:ind w:firstLine="504" w:firstLineChars="21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生活垃圾：</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定员</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人，每人每日生活垃圾产生量按0.5kg 计，年工作天数为</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24</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0天，产生生活垃圾</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2.5</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kg/d（</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0.6</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t/a）；生活垃圾总量为</w:t>
            </w:r>
            <w:r>
              <w:rPr>
                <w:rFonts w:hint="eastAsia" w:ascii="Times New Roman" w:hAnsi="Times New Roman" w:cs="Times New Roman" w:eastAsiaTheme="minorEastAsia"/>
                <w:color w:val="000000" w:themeColor="text1"/>
                <w:sz w:val="24"/>
                <w:lang w:val="en-US" w:eastAsia="zh-CN"/>
                <w14:textFill>
                  <w14:solidFill>
                    <w14:schemeClr w14:val="tx1"/>
                  </w14:solidFill>
                </w14:textFill>
              </w:rPr>
              <w:t>0.6</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t/a；集中收集后交由环卫部门统一处理</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（2）危险废物</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过期药剂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pacing w:val="-2"/>
                <w:sz w:val="24"/>
                <w:szCs w:val="24"/>
                <w14:textFill>
                  <w14:solidFill>
                    <w14:schemeClr w14:val="tx1"/>
                  </w14:solidFill>
                </w14:textFill>
              </w:rPr>
              <w:t>实验室试剂一般都有保质期，过了保质期的试剂作为危险废物管理，产生量约</w:t>
            </w:r>
            <w:r>
              <w:rPr>
                <w:rFonts w:hint="default" w:ascii="Times New Roman" w:hAnsi="Times New Roman" w:eastAsia="宋体" w:cs="Times New Roman"/>
                <w:color w:val="000000" w:themeColor="text1"/>
                <w:sz w:val="24"/>
                <w:szCs w:val="24"/>
                <w14:textFill>
                  <w14:solidFill>
                    <w14:schemeClr w14:val="tx1"/>
                  </w14:solidFill>
                </w14:textFill>
              </w:rPr>
              <w:t>0.01t/a</w:t>
            </w:r>
            <w:r>
              <w:rPr>
                <w:rFonts w:hint="default" w:ascii="Times New Roman" w:hAnsi="Times New Roman" w:eastAsia="宋体" w:cs="Times New Roman"/>
                <w:color w:val="000000" w:themeColor="text1"/>
                <w:spacing w:val="-15"/>
                <w:sz w:val="24"/>
                <w:szCs w:val="24"/>
                <w14:textFill>
                  <w14:solidFill>
                    <w14:schemeClr w14:val="tx1"/>
                  </w14:solidFill>
                </w14:textFill>
              </w:rPr>
              <w:t>。</w:t>
            </w:r>
            <w:r>
              <w:rPr>
                <w:rFonts w:hint="default" w:ascii="Times New Roman" w:hAnsi="Times New Roman" w:eastAsia="宋体" w:cs="Times New Roman"/>
                <w:color w:val="000000" w:themeColor="text1"/>
                <w:spacing w:val="-6"/>
                <w:sz w:val="24"/>
                <w:szCs w:val="24"/>
                <w14:textFill>
                  <w14:solidFill>
                    <w14:schemeClr w14:val="tx1"/>
                  </w14:solidFill>
                </w14:textFill>
              </w:rPr>
              <w:t>根据《国家危险废物名录》，实验过期药剂属于危险废物，废物类别为</w:t>
            </w:r>
            <w:r>
              <w:rPr>
                <w:rFonts w:hint="default" w:ascii="Times New Roman" w:hAnsi="Times New Roman" w:eastAsia="宋体" w:cs="Times New Roman"/>
                <w:color w:val="000000" w:themeColor="text1"/>
                <w:sz w:val="24"/>
                <w:szCs w:val="24"/>
                <w14:textFill>
                  <w14:solidFill>
                    <w14:schemeClr w14:val="tx1"/>
                  </w14:solidFill>
                </w14:textFill>
              </w:rPr>
              <w:t>HW49，废物代码为900-047-49，由专门的容器收集，分类暂存于厂区内危险废物暂存间，定期交由具有相应处理资质的单位进行处置</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其他危废：</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微生物实验室包括P2实验室、PCR实验室，产生的废物主要为废培养基、废一次性实验用品、废标本、实验用药、多余样品、定期更换的废高效过滤器等</w:t>
            </w:r>
            <w:r>
              <w:rPr>
                <w:rFonts w:hint="eastAsia"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eastAsiaTheme="minorEastAsia"/>
                <w:color w:val="000000" w:themeColor="text1"/>
                <w:sz w:val="24"/>
                <w:lang w:val="en-US" w:eastAsia="zh-CN"/>
                <w14:textFill>
                  <w14:solidFill>
                    <w14:schemeClr w14:val="tx1"/>
                  </w14:solidFill>
                </w14:textFill>
              </w:rPr>
              <w:t>微生物实验室及生物安全柜的排风系统自带的高效过滤器每季度更换一次，每次更换的废高效过滤器重约50kg，年产生量约为0.2t/a；</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废</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培养基、废标本、实验用药、多余样品等生物实验室废物，产生量约为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2t/a</w:t>
            </w:r>
            <w:r>
              <w:rPr>
                <w:rFonts w:hint="default" w:ascii="Times New Roman" w:hAnsi="Times New Roman" w:eastAsia="宋体" w:cs="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4.2国家对固体废物排放控制要求</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项目对工业固体废物的排放控制应符合《中华人民共和国固体废物污染环境防治法》(2020年9月 1日实施)要求，其主要有：</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①国家对固体废物污染环境的防治，实行减少固体废物的产生量和危害性、充分合理利用固体废物和无害化处置固体废物的原则，促进清洁生产和循环经济发展。</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②产生固体废物的单位和个人，应当采取措施，防止或者减少固体废物对环境的污染。</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③收集、贮存、运输、利用、处置固体废物的单位和个人，必须采取防扬散、防流失、防渗漏或者其他防止污染环境的措施;不得擅自倾倒、堆放、丢弃、遗撒固体废物。</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4.3固废临时贮存设施污染控制措施</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项目各项固体废物收集、暂存及处置方式见表4-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8</w:t>
            </w:r>
            <w:r>
              <w:rPr>
                <w:rFonts w:ascii="Times New Roman" w:hAnsi="Times New Roman" w:eastAsia="宋体" w:cs="Times New Roman"/>
                <w:color w:val="000000" w:themeColor="text1"/>
                <w:sz w:val="24"/>
                <w:szCs w:val="24"/>
                <w:lang w:eastAsia="zh-CN"/>
                <w14:textFill>
                  <w14:solidFill>
                    <w14:schemeClr w14:val="tx1"/>
                  </w14:solidFill>
                </w14:textFill>
              </w:rPr>
              <w:t>。</w:t>
            </w:r>
          </w:p>
          <w:p>
            <w:pPr>
              <w:tabs>
                <w:tab w:val="center" w:pos="778"/>
                <w:tab w:val="center" w:pos="4362"/>
              </w:tabs>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表4-</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8</w:t>
            </w:r>
            <w:r>
              <w:rPr>
                <w:rFonts w:ascii="Times New Roman" w:hAnsi="Times New Roman" w:eastAsia="宋体" w:cs="Times New Roman"/>
                <w:b/>
                <w:bCs/>
                <w:color w:val="000000" w:themeColor="text1"/>
                <w:sz w:val="21"/>
                <w:szCs w:val="21"/>
                <w:lang w:eastAsia="zh-CN"/>
                <w14:textFill>
                  <w14:solidFill>
                    <w14:schemeClr w14:val="tx1"/>
                  </w14:solidFill>
                </w14:textFill>
              </w:rPr>
              <w:t xml:space="preserve">   项目固体废物收集、暂存及处方式一览表</w:t>
            </w:r>
          </w:p>
          <w:tbl>
            <w:tblPr>
              <w:tblStyle w:val="28"/>
              <w:tblW w:w="859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65"/>
              <w:gridCol w:w="2454"/>
              <w:gridCol w:w="23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3834" w:type="dxa"/>
                  <w:gridSpan w:val="2"/>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固体废物名称</w:t>
                  </w:r>
                </w:p>
              </w:tc>
              <w:tc>
                <w:tcPr>
                  <w:tcW w:w="2454" w:type="dxa"/>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临时贮存位置</w:t>
                  </w:r>
                </w:p>
              </w:tc>
              <w:tc>
                <w:tcPr>
                  <w:tcW w:w="2310" w:type="dxa"/>
                  <w:tcBorders>
                    <w:tl2br w:val="nil"/>
                    <w:tr2bl w:val="nil"/>
                  </w:tcBorders>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采取的处理处置方式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69" w:type="dxa"/>
                  <w:vMerge w:val="restart"/>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一般固废</w:t>
                  </w:r>
                </w:p>
              </w:tc>
              <w:tc>
                <w:tcPr>
                  <w:tcW w:w="2165" w:type="dxa"/>
                  <w:tcBorders>
                    <w:tl2br w:val="nil"/>
                    <w:tr2bl w:val="nil"/>
                  </w:tcBorders>
                  <w:vAlign w:val="center"/>
                </w:tcPr>
                <w:p>
                  <w:pPr>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生活垃圾</w:t>
                  </w:r>
                </w:p>
              </w:tc>
              <w:tc>
                <w:tcPr>
                  <w:tcW w:w="2454" w:type="dxa"/>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场内暂存</w:t>
                  </w:r>
                </w:p>
              </w:tc>
              <w:tc>
                <w:tcPr>
                  <w:tcW w:w="2310" w:type="dxa"/>
                  <w:tcBorders>
                    <w:tl2br w:val="nil"/>
                    <w:tr2bl w:val="nil"/>
                  </w:tcBorders>
                  <w:vAlign w:val="center"/>
                </w:tcPr>
                <w:p>
                  <w:pPr>
                    <w:jc w:val="center"/>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69" w:type="dxa"/>
                  <w:vMerge w:val="continue"/>
                  <w:tcBorders>
                    <w:tl2br w:val="nil"/>
                    <w:tr2bl w:val="nil"/>
                  </w:tcBorders>
                  <w:vAlign w:val="center"/>
                </w:tcPr>
                <w:p>
                  <w:pPr>
                    <w:jc w:val="center"/>
                    <w:rPr>
                      <w:rFonts w:ascii="Times New Roman" w:hAnsi="Times New Roman" w:eastAsia="宋体" w:cs="Times New Roman"/>
                      <w:color w:val="FF0000"/>
                      <w:sz w:val="21"/>
                      <w:szCs w:val="21"/>
                    </w:rPr>
                  </w:pPr>
                </w:p>
              </w:tc>
              <w:tc>
                <w:tcPr>
                  <w:tcW w:w="2165"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废包装材料</w:t>
                  </w:r>
                </w:p>
              </w:tc>
              <w:tc>
                <w:tcPr>
                  <w:tcW w:w="2454"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w:t>
                  </w:r>
                </w:p>
              </w:tc>
              <w:tc>
                <w:tcPr>
                  <w:tcW w:w="2310"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统一收集后外售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ascii="Times New Roman" w:hAnsi="Times New Roman" w:eastAsia="宋体" w:cs="Times New Roman"/>
                      <w:color w:val="FF0000"/>
                      <w:sz w:val="21"/>
                      <w:szCs w:val="21"/>
                      <w:lang w:eastAsia="zh-CN"/>
                    </w:rPr>
                  </w:pPr>
                </w:p>
              </w:tc>
              <w:tc>
                <w:tcPr>
                  <w:tcW w:w="2165"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污泥</w:t>
                  </w:r>
                </w:p>
              </w:tc>
              <w:tc>
                <w:tcPr>
                  <w:tcW w:w="2454"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场内暂存</w:t>
                  </w:r>
                </w:p>
              </w:tc>
              <w:tc>
                <w:tcPr>
                  <w:tcW w:w="2310" w:type="dxa"/>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拉运至污水处理厂处理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669" w:type="dxa"/>
                  <w:vMerge w:val="restart"/>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危废</w:t>
                  </w:r>
                </w:p>
              </w:tc>
              <w:tc>
                <w:tcPr>
                  <w:tcW w:w="2165" w:type="dxa"/>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过期药剂</w:t>
                  </w:r>
                </w:p>
              </w:tc>
              <w:tc>
                <w:tcPr>
                  <w:tcW w:w="2454" w:type="dxa"/>
                  <w:vMerge w:val="restart"/>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危废间暂存</w:t>
                  </w:r>
                </w:p>
              </w:tc>
              <w:tc>
                <w:tcPr>
                  <w:tcW w:w="2310" w:type="dxa"/>
                  <w:vMerge w:val="restart"/>
                  <w:tcBorders>
                    <w:tl2br w:val="nil"/>
                    <w:tr2bl w:val="nil"/>
                  </w:tcBorders>
                  <w:vAlign w:val="center"/>
                </w:tcPr>
                <w:p>
                  <w:pPr>
                    <w:jc w:val="center"/>
                    <w:rPr>
                      <w:rFonts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交由有资质单位处置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p>
              </w:tc>
              <w:tc>
                <w:tcPr>
                  <w:tcW w:w="2165" w:type="dxa"/>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过滤器</w:t>
                  </w:r>
                </w:p>
              </w:tc>
              <w:tc>
                <w:tcPr>
                  <w:tcW w:w="2454" w:type="dxa"/>
                  <w:vMerge w:val="continue"/>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p>
              </w:tc>
              <w:tc>
                <w:tcPr>
                  <w:tcW w:w="2310" w:type="dxa"/>
                  <w:vMerge w:val="continue"/>
                  <w:tcBorders>
                    <w:tl2br w:val="nil"/>
                    <w:tr2bl w:val="nil"/>
                  </w:tcBorders>
                  <w:vAlign w:val="center"/>
                </w:tcPr>
                <w:p>
                  <w:pPr>
                    <w:jc w:val="center"/>
                    <w:rPr>
                      <w:rFonts w:ascii="Times New Roman" w:hAnsi="Times New Roman" w:eastAsia="宋体" w:cs="Times New Roman"/>
                      <w:color w:val="FF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669" w:type="dxa"/>
                  <w:vMerge w:val="continue"/>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p>
              </w:tc>
              <w:tc>
                <w:tcPr>
                  <w:tcW w:w="2165" w:type="dxa"/>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费培养基、样品</w:t>
                  </w:r>
                </w:p>
              </w:tc>
              <w:tc>
                <w:tcPr>
                  <w:tcW w:w="2454" w:type="dxa"/>
                  <w:vMerge w:val="continue"/>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p>
              </w:tc>
              <w:tc>
                <w:tcPr>
                  <w:tcW w:w="2310" w:type="dxa"/>
                  <w:vMerge w:val="continue"/>
                  <w:tcBorders>
                    <w:tl2br w:val="nil"/>
                    <w:tr2bl w:val="nil"/>
                  </w:tcBorders>
                  <w:vAlign w:val="center"/>
                </w:tcPr>
                <w:p>
                  <w:pPr>
                    <w:jc w:val="center"/>
                    <w:rPr>
                      <w:rFonts w:ascii="Times New Roman" w:hAnsi="Times New Roman" w:eastAsia="宋体" w:cs="Times New Roman"/>
                      <w:color w:val="FF0000"/>
                      <w:sz w:val="21"/>
                      <w:szCs w:val="21"/>
                      <w:lang w:eastAsia="zh-CN"/>
                    </w:rPr>
                  </w:pPr>
                </w:p>
              </w:tc>
            </w:tr>
          </w:tbl>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4.4固体废物对环境影响分析</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固体废物具有两重性，一方面，固体废物长期堆存，占用大量土地，而且垃圾如果处置和管理不当，其所含的有害成分将通过多种途径对生态系统和环境造成多方面的影响，主要表现在对土壤、水域和大气的污染，从而影响人体健康；另一方面，固体废物本身又含有多种有用物质，是一种可再生利用的资源，若不加以回收利用，会造成资源的浪费。固体废物对环境的影响，主要表现在固废的堆放、清运、处理过程对周围卫生环境的影响以及垃圾堆放场对周围环境的影响。固废的堆放、清运过程若管理不当会孽生蚊蝇、产生恶臭，影响环境卫生，进而影响人群健康；若不对这些固废进行处理，任其排放，将严重影响周围的景观和环境卫生。</w:t>
            </w:r>
          </w:p>
          <w:p>
            <w:pPr>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4.5危废暂存间设置要求</w:t>
            </w:r>
          </w:p>
          <w:p>
            <w:pPr>
              <w:spacing w:line="360" w:lineRule="auto"/>
              <w:ind w:firstLine="480" w:firstLineChars="200"/>
              <w:rPr>
                <w:rFonts w:hint="eastAsia"/>
                <w:color w:val="FF0000"/>
                <w:sz w:val="24"/>
                <w:szCs w:val="24"/>
              </w:rPr>
            </w:pPr>
            <w:r>
              <w:rPr>
                <w:color w:val="FF0000"/>
                <w:sz w:val="24"/>
              </w:rPr>
              <w:t>危废暂存间</w:t>
            </w:r>
            <w:r>
              <w:rPr>
                <w:rFonts w:hint="eastAsia"/>
                <w:color w:val="FF0000"/>
                <w:sz w:val="24"/>
              </w:rPr>
              <w:t>地面进行</w:t>
            </w:r>
            <w:r>
              <w:rPr>
                <w:color w:val="FF0000"/>
                <w:sz w:val="24"/>
              </w:rPr>
              <w:t>混凝土防渗，渗透系数不大于1.0×10</w:t>
            </w:r>
            <w:r>
              <w:rPr>
                <w:color w:val="FF0000"/>
                <w:sz w:val="24"/>
                <w:vertAlign w:val="superscript"/>
              </w:rPr>
              <w:t>-</w:t>
            </w:r>
            <w:r>
              <w:rPr>
                <w:rFonts w:hint="eastAsia"/>
                <w:color w:val="FF0000"/>
                <w:sz w:val="24"/>
                <w:vertAlign w:val="superscript"/>
              </w:rPr>
              <w:t>10</w:t>
            </w:r>
            <w:r>
              <w:rPr>
                <w:color w:val="FF0000"/>
                <w:sz w:val="24"/>
              </w:rPr>
              <w:t>cm/s，厚度不小于100mm。</w:t>
            </w:r>
            <w:r>
              <w:rPr>
                <w:color w:val="FF0000"/>
                <w:sz w:val="24"/>
                <w:szCs w:val="24"/>
              </w:rPr>
              <w:t>废机油收集、暂存</w:t>
            </w:r>
            <w:r>
              <w:rPr>
                <w:rFonts w:hint="eastAsia"/>
                <w:color w:val="FF0000"/>
                <w:sz w:val="24"/>
                <w:szCs w:val="24"/>
              </w:rPr>
              <w:t>严格</w:t>
            </w:r>
            <w:r>
              <w:rPr>
                <w:color w:val="FF0000"/>
                <w:sz w:val="24"/>
                <w:szCs w:val="24"/>
              </w:rPr>
              <w:t>执行《危险废物贮存污染控制标准》（GB18597-20</w:t>
            </w:r>
            <w:r>
              <w:rPr>
                <w:rFonts w:hint="eastAsia"/>
                <w:color w:val="FF0000"/>
                <w:sz w:val="24"/>
                <w:szCs w:val="24"/>
                <w:lang w:val="en-US" w:eastAsia="zh-CN"/>
              </w:rPr>
              <w:t>23</w:t>
            </w:r>
            <w:r>
              <w:rPr>
                <w:color w:val="FF0000"/>
                <w:sz w:val="24"/>
                <w:szCs w:val="24"/>
              </w:rPr>
              <w:t>）中的相关规定</w:t>
            </w:r>
            <w:r>
              <w:rPr>
                <w:rFonts w:hint="eastAsia"/>
                <w:color w:val="FF0000"/>
                <w:sz w:val="24"/>
                <w:szCs w:val="24"/>
              </w:rPr>
              <w:t>及要求</w:t>
            </w:r>
            <w:r>
              <w:rPr>
                <w:rFonts w:hint="eastAsia"/>
                <w:color w:val="FF0000"/>
                <w:sz w:val="24"/>
                <w:szCs w:val="24"/>
                <w:lang w:eastAsia="zh-CN"/>
              </w:rPr>
              <w:t>，</w:t>
            </w:r>
            <w:r>
              <w:rPr>
                <w:rFonts w:hint="eastAsia"/>
                <w:color w:val="FF0000"/>
                <w:sz w:val="24"/>
                <w:szCs w:val="24"/>
              </w:rPr>
              <w:t>具体建设要求如下：</w:t>
            </w:r>
          </w:p>
          <w:p>
            <w:pPr>
              <w:spacing w:line="360" w:lineRule="auto"/>
              <w:ind w:firstLine="480" w:firstLineChars="200"/>
              <w:rPr>
                <w:rFonts w:hint="eastAsia"/>
                <w:color w:val="FF0000"/>
                <w:sz w:val="24"/>
                <w:szCs w:val="24"/>
              </w:rPr>
            </w:pPr>
            <w:r>
              <w:rPr>
                <w:rFonts w:hint="eastAsia"/>
                <w:color w:val="FF0000"/>
                <w:sz w:val="24"/>
                <w:szCs w:val="24"/>
              </w:rPr>
              <w:t>⑴基础必须防渗，防渗层渗透系数≤10</w:t>
            </w:r>
            <w:r>
              <w:rPr>
                <w:rFonts w:hint="eastAsia"/>
                <w:color w:val="FF0000"/>
                <w:sz w:val="24"/>
                <w:szCs w:val="24"/>
                <w:vertAlign w:val="superscript"/>
              </w:rPr>
              <w:t>-</w:t>
            </w:r>
            <w:r>
              <w:rPr>
                <w:rFonts w:hint="eastAsia"/>
                <w:color w:val="FF0000"/>
                <w:sz w:val="24"/>
                <w:szCs w:val="24"/>
                <w:vertAlign w:val="superscript"/>
                <w:lang w:val="en-US" w:eastAsia="zh-CN"/>
              </w:rPr>
              <w:t>10</w:t>
            </w:r>
            <w:r>
              <w:rPr>
                <w:rFonts w:hint="eastAsia"/>
                <w:color w:val="FF0000"/>
                <w:sz w:val="24"/>
                <w:szCs w:val="24"/>
              </w:rPr>
              <w:t>cm/s。</w:t>
            </w:r>
          </w:p>
          <w:p>
            <w:pPr>
              <w:spacing w:line="360" w:lineRule="auto"/>
              <w:ind w:firstLine="480" w:firstLineChars="200"/>
              <w:rPr>
                <w:rFonts w:hint="eastAsia"/>
                <w:color w:val="FF0000"/>
                <w:sz w:val="24"/>
                <w:szCs w:val="24"/>
              </w:rPr>
            </w:pPr>
            <w:r>
              <w:rPr>
                <w:rFonts w:hint="eastAsia"/>
                <w:color w:val="FF0000"/>
                <w:sz w:val="24"/>
                <w:szCs w:val="24"/>
              </w:rPr>
              <w:t>⑵堆放危险废物的高度应根据地面承载能力确定。</w:t>
            </w:r>
          </w:p>
          <w:p>
            <w:pPr>
              <w:spacing w:line="360" w:lineRule="auto"/>
              <w:ind w:firstLine="480" w:firstLineChars="200"/>
              <w:rPr>
                <w:rFonts w:hint="eastAsia"/>
                <w:color w:val="FF0000"/>
                <w:sz w:val="24"/>
                <w:szCs w:val="24"/>
              </w:rPr>
            </w:pPr>
            <w:r>
              <w:rPr>
                <w:rFonts w:hint="eastAsia"/>
                <w:color w:val="FF0000"/>
                <w:sz w:val="24"/>
                <w:szCs w:val="24"/>
              </w:rPr>
              <w:t>⑶衬里放在一个基础或底座上。</w:t>
            </w:r>
          </w:p>
          <w:p>
            <w:pPr>
              <w:spacing w:line="360" w:lineRule="auto"/>
              <w:ind w:firstLine="480" w:firstLineChars="200"/>
              <w:rPr>
                <w:rFonts w:hint="eastAsia"/>
                <w:color w:val="FF0000"/>
                <w:sz w:val="24"/>
                <w:szCs w:val="24"/>
              </w:rPr>
            </w:pPr>
            <w:r>
              <w:rPr>
                <w:rFonts w:hint="eastAsia"/>
                <w:color w:val="FF0000"/>
                <w:sz w:val="24"/>
                <w:szCs w:val="24"/>
              </w:rPr>
              <w:t>⑷衬里要能够覆盖危险废物或其溶出物可能涉及到的范围。</w:t>
            </w:r>
          </w:p>
          <w:p>
            <w:pPr>
              <w:spacing w:line="360" w:lineRule="auto"/>
              <w:ind w:firstLine="480" w:firstLineChars="200"/>
              <w:rPr>
                <w:rFonts w:hint="eastAsia"/>
                <w:color w:val="FF0000"/>
                <w:sz w:val="24"/>
                <w:szCs w:val="24"/>
              </w:rPr>
            </w:pPr>
            <w:r>
              <w:rPr>
                <w:rFonts w:hint="eastAsia"/>
                <w:color w:val="FF0000"/>
                <w:sz w:val="24"/>
                <w:szCs w:val="24"/>
              </w:rPr>
              <w:t>⑸衬里材料与堆放危险废物相容。</w:t>
            </w:r>
          </w:p>
          <w:p>
            <w:pPr>
              <w:spacing w:line="360" w:lineRule="auto"/>
              <w:ind w:firstLine="480" w:firstLineChars="200"/>
              <w:rPr>
                <w:rFonts w:hint="eastAsia"/>
                <w:color w:val="FF0000"/>
                <w:sz w:val="24"/>
                <w:szCs w:val="24"/>
              </w:rPr>
            </w:pPr>
            <w:r>
              <w:rPr>
                <w:rFonts w:hint="eastAsia"/>
                <w:color w:val="FF0000"/>
                <w:sz w:val="24"/>
                <w:szCs w:val="24"/>
              </w:rPr>
              <w:t>⑹在衬里上设计、建造浸出液收集清除系统。</w:t>
            </w:r>
          </w:p>
          <w:p>
            <w:pPr>
              <w:spacing w:line="360" w:lineRule="auto"/>
              <w:ind w:firstLine="480" w:firstLineChars="200"/>
              <w:rPr>
                <w:rFonts w:hint="eastAsia"/>
                <w:color w:val="FF0000"/>
                <w:sz w:val="24"/>
                <w:szCs w:val="24"/>
              </w:rPr>
            </w:pPr>
            <w:r>
              <w:rPr>
                <w:rFonts w:hint="eastAsia"/>
                <w:color w:val="FF0000"/>
                <w:sz w:val="24"/>
                <w:szCs w:val="24"/>
              </w:rPr>
              <w:t>⑺应设计建造径流疏导系统，保证能防止25年一遇的暴雨不会流到危险废物堆里。</w:t>
            </w:r>
          </w:p>
          <w:p>
            <w:pPr>
              <w:spacing w:line="360" w:lineRule="auto"/>
              <w:ind w:firstLine="480" w:firstLineChars="200"/>
              <w:rPr>
                <w:rFonts w:hint="eastAsia"/>
                <w:color w:val="FF0000"/>
                <w:sz w:val="24"/>
                <w:szCs w:val="24"/>
              </w:rPr>
            </w:pPr>
            <w:r>
              <w:rPr>
                <w:rFonts w:hint="eastAsia"/>
                <w:color w:val="FF0000"/>
                <w:sz w:val="24"/>
                <w:szCs w:val="24"/>
              </w:rPr>
              <w:t>⑻危险废物堆内设计雨水收集池，并能收集25年一遇的暴雨24小时降水量。</w:t>
            </w:r>
          </w:p>
          <w:p>
            <w:pPr>
              <w:spacing w:line="360" w:lineRule="auto"/>
              <w:ind w:firstLine="480" w:firstLineChars="200"/>
              <w:rPr>
                <w:rFonts w:hint="eastAsia"/>
                <w:color w:val="FF0000"/>
                <w:sz w:val="24"/>
                <w:szCs w:val="24"/>
              </w:rPr>
            </w:pPr>
            <w:r>
              <w:rPr>
                <w:rFonts w:hint="eastAsia"/>
                <w:color w:val="FF0000"/>
                <w:sz w:val="24"/>
                <w:szCs w:val="24"/>
              </w:rPr>
              <w:t>⑼危险废物堆要防风、防雨、防晒。</w:t>
            </w:r>
          </w:p>
          <w:p>
            <w:pPr>
              <w:spacing w:line="360" w:lineRule="auto"/>
              <w:ind w:firstLine="480" w:firstLineChars="200"/>
              <w:rPr>
                <w:rFonts w:hint="eastAsia"/>
                <w:color w:val="FF0000"/>
                <w:sz w:val="24"/>
                <w:szCs w:val="24"/>
              </w:rPr>
            </w:pPr>
            <w:r>
              <w:rPr>
                <w:rFonts w:hint="eastAsia"/>
                <w:color w:val="FF0000"/>
                <w:sz w:val="24"/>
                <w:szCs w:val="24"/>
              </w:rPr>
              <w:t>⑽产生量大危险废物可以散装方式堆放贮存在按上述要求设计的废物堆里。</w:t>
            </w:r>
          </w:p>
          <w:p>
            <w:pPr>
              <w:spacing w:line="360" w:lineRule="auto"/>
              <w:ind w:firstLine="480" w:firstLineChars="200"/>
              <w:rPr>
                <w:rFonts w:hint="eastAsia"/>
                <w:color w:val="FF0000"/>
                <w:sz w:val="24"/>
                <w:szCs w:val="24"/>
              </w:rPr>
            </w:pPr>
            <w:r>
              <w:rPr>
                <w:rFonts w:hint="eastAsia"/>
                <w:color w:val="FF0000"/>
                <w:sz w:val="24"/>
                <w:szCs w:val="24"/>
              </w:rPr>
              <w:t>⑾不相容的危险废物不能堆放在一起。</w:t>
            </w:r>
          </w:p>
          <w:p>
            <w:pPr>
              <w:spacing w:line="360" w:lineRule="auto"/>
              <w:ind w:firstLine="480" w:firstLineChars="200"/>
              <w:rPr>
                <w:rFonts w:hint="eastAsia"/>
                <w:color w:val="FF0000"/>
                <w:sz w:val="24"/>
                <w:szCs w:val="24"/>
              </w:rPr>
            </w:pPr>
            <w:r>
              <w:rPr>
                <w:rFonts w:hint="eastAsia"/>
                <w:color w:val="FF0000"/>
                <w:sz w:val="24"/>
                <w:szCs w:val="24"/>
              </w:rPr>
              <w:t>⑿总贮存量不超过300kg(L)的危险废物要放入符合标准的容器内，加上标签，容器放入坚固的柜或箱中，柜或箱应设多个直径不少于30mm的排气孔。不相容危险废物要分别存放或存放在不渗透间隔分开的区域内，每个部分都应有防漏裙脚或储漏盘，防漏裙脚或储漏盘的材料要与危险废物相容。</w:t>
            </w:r>
          </w:p>
          <w:p>
            <w:pPr>
              <w:spacing w:line="360" w:lineRule="auto"/>
              <w:ind w:firstLine="480" w:firstLineChars="200"/>
              <w:rPr>
                <w:rFonts w:hint="eastAsia"/>
                <w:color w:val="FF0000"/>
                <w:sz w:val="24"/>
                <w:szCs w:val="24"/>
              </w:rPr>
            </w:pPr>
            <w:r>
              <w:rPr>
                <w:rFonts w:hint="eastAsia"/>
                <w:color w:val="FF0000"/>
                <w:sz w:val="24"/>
                <w:szCs w:val="24"/>
              </w:rPr>
              <w:t>建设单位应将各类危险废物装入容器分别堆放，并在容器上粘贴符合《危险废物贮存污染控制标准》(GB18597-2023)所示的标签。拟建项目危险废物经内部收集转运至暂存间时，以及危险废物经暂存间转移出来运输至危废处置单位进行处置时，由危废仓库管理人员填写《危险废物出入库交接记录表》，纳入危废贮存档案进行管理。危废暂存设施应做好严格的防渗措施，防止对地下水产生影响。</w:t>
            </w:r>
          </w:p>
          <w:p>
            <w:pPr>
              <w:spacing w:line="360" w:lineRule="auto"/>
              <w:ind w:firstLine="480" w:firstLineChars="200"/>
              <w:rPr>
                <w:rFonts w:hint="eastAsia"/>
                <w:color w:val="FF0000"/>
                <w:sz w:val="24"/>
                <w:szCs w:val="24"/>
              </w:rPr>
            </w:pPr>
            <w:r>
              <w:rPr>
                <w:rFonts w:hint="eastAsia"/>
                <w:color w:val="FF0000"/>
                <w:sz w:val="24"/>
                <w:szCs w:val="24"/>
                <w:lang w:val="en-US" w:eastAsia="zh-CN"/>
              </w:rPr>
              <w:t>4.6</w:t>
            </w:r>
            <w:r>
              <w:rPr>
                <w:rFonts w:hint="eastAsia"/>
                <w:color w:val="FF0000"/>
                <w:sz w:val="24"/>
                <w:szCs w:val="24"/>
              </w:rPr>
              <w:t>.危险废物运输防治措施</w:t>
            </w:r>
          </w:p>
          <w:p>
            <w:pPr>
              <w:spacing w:line="360" w:lineRule="auto"/>
              <w:ind w:firstLine="480" w:firstLineChars="200"/>
              <w:rPr>
                <w:rFonts w:hint="eastAsia"/>
                <w:color w:val="FF0000"/>
                <w:sz w:val="24"/>
                <w:szCs w:val="24"/>
              </w:rPr>
            </w:pPr>
            <w:r>
              <w:rPr>
                <w:rFonts w:hint="eastAsia"/>
                <w:color w:val="FF0000"/>
                <w:sz w:val="24"/>
                <w:szCs w:val="24"/>
              </w:rPr>
              <w:t>危险废物的厂外运输工作应由持有危险废物经营许可证的单位按照其许可证的经营范围组织实施，承担本项目危险废物运输的单位应获得交通运输部门颁发的危险货物运输资质，运输过程应按照《道路危险货物运输管理规定》执行，具体运输线路应严格按照当地公安部门与交通部门规定的行驶路线和行驶时段行驶，运输路线力求最短、对沿路影响小，避免转运过程中产生二次污染。</w:t>
            </w:r>
          </w:p>
          <w:p>
            <w:pPr>
              <w:spacing w:line="360" w:lineRule="auto"/>
              <w:ind w:firstLine="480" w:firstLineChars="200"/>
              <w:rPr>
                <w:rFonts w:hint="eastAsia"/>
                <w:color w:val="FF0000"/>
                <w:sz w:val="24"/>
                <w:szCs w:val="24"/>
              </w:rPr>
            </w:pPr>
            <w:r>
              <w:rPr>
                <w:rFonts w:hint="eastAsia"/>
                <w:color w:val="FF0000"/>
                <w:sz w:val="24"/>
                <w:szCs w:val="24"/>
              </w:rPr>
              <w:t>危险废物内部转运应综合考虑厂区的实际情况确定转运路线，尽量避开办公区和人员集中区域，并按照《危险废物收集贮存运输技术规范》(HJ2025-2012)要求填写《危险废物厂内转运记录表》，危险废物内部转运结束后，应对转运路线进行检查和清理，确保无危险废物遗失在转运路线上，并对转运工具进行清洗。</w:t>
            </w:r>
          </w:p>
          <w:p>
            <w:pPr>
              <w:spacing w:line="360" w:lineRule="auto"/>
              <w:ind w:firstLine="480" w:firstLineChars="200"/>
              <w:rPr>
                <w:rFonts w:hint="eastAsia"/>
                <w:color w:val="FF0000"/>
                <w:sz w:val="24"/>
                <w:szCs w:val="24"/>
              </w:rPr>
            </w:pPr>
            <w:r>
              <w:rPr>
                <w:rFonts w:hint="eastAsia"/>
                <w:color w:val="FF0000"/>
                <w:sz w:val="24"/>
                <w:szCs w:val="24"/>
                <w:lang w:val="en-US" w:eastAsia="zh-CN"/>
              </w:rPr>
              <w:t>4.7</w:t>
            </w:r>
            <w:r>
              <w:rPr>
                <w:rFonts w:hint="eastAsia"/>
                <w:color w:val="FF0000"/>
                <w:sz w:val="24"/>
                <w:szCs w:val="24"/>
              </w:rPr>
              <w:t>.危险废物转移污染防治措施</w:t>
            </w:r>
          </w:p>
          <w:p>
            <w:pPr>
              <w:spacing w:line="360" w:lineRule="auto"/>
              <w:ind w:firstLine="480" w:firstLineChars="200"/>
              <w:rPr>
                <w:rFonts w:hint="eastAsia"/>
                <w:color w:val="FF0000"/>
                <w:sz w:val="24"/>
                <w:szCs w:val="24"/>
              </w:rPr>
            </w:pPr>
            <w:r>
              <w:rPr>
                <w:rFonts w:hint="eastAsia"/>
                <w:color w:val="FF0000"/>
                <w:sz w:val="24"/>
                <w:szCs w:val="24"/>
              </w:rPr>
              <w:t>危废转移按照国家《危险废物转移管理办法》（2022年1月1日）。相关要求如下：</w:t>
            </w:r>
          </w:p>
          <w:p>
            <w:pPr>
              <w:spacing w:line="360" w:lineRule="auto"/>
              <w:ind w:firstLine="480" w:firstLineChars="200"/>
              <w:rPr>
                <w:rFonts w:hint="eastAsia"/>
                <w:color w:val="FF0000"/>
                <w:sz w:val="24"/>
                <w:szCs w:val="24"/>
              </w:rPr>
            </w:pPr>
            <w:r>
              <w:rPr>
                <w:rFonts w:hint="eastAsia"/>
                <w:color w:val="FF0000"/>
                <w:sz w:val="24"/>
                <w:szCs w:val="24"/>
              </w:rPr>
              <w:t>1、制定危险废物管理责任制</w:t>
            </w:r>
          </w:p>
          <w:p>
            <w:pPr>
              <w:spacing w:line="360" w:lineRule="auto"/>
              <w:ind w:firstLine="480" w:firstLineChars="200"/>
              <w:rPr>
                <w:rFonts w:hint="eastAsia"/>
                <w:color w:val="FF0000"/>
                <w:sz w:val="24"/>
                <w:szCs w:val="24"/>
              </w:rPr>
            </w:pPr>
            <w:r>
              <w:rPr>
                <w:rFonts w:hint="eastAsia"/>
                <w:color w:val="FF0000"/>
                <w:sz w:val="24"/>
                <w:szCs w:val="24"/>
              </w:rPr>
              <w:t>2、制定危险废物污染环境的全过程控制制度</w:t>
            </w:r>
          </w:p>
          <w:p>
            <w:pPr>
              <w:spacing w:line="360" w:lineRule="auto"/>
              <w:ind w:firstLine="480" w:firstLineChars="200"/>
              <w:rPr>
                <w:rFonts w:hint="eastAsia"/>
                <w:color w:val="FF0000"/>
                <w:sz w:val="24"/>
                <w:szCs w:val="24"/>
              </w:rPr>
            </w:pPr>
            <w:r>
              <w:rPr>
                <w:rFonts w:hint="eastAsia"/>
                <w:color w:val="FF0000"/>
                <w:sz w:val="24"/>
                <w:szCs w:val="24"/>
              </w:rPr>
              <w:t>⑴危险废物的收集、贮存、转移活动必须遵守国家和本市的有关规定；</w:t>
            </w:r>
          </w:p>
          <w:p>
            <w:pPr>
              <w:spacing w:line="360" w:lineRule="auto"/>
              <w:ind w:firstLine="480" w:firstLineChars="200"/>
              <w:rPr>
                <w:rFonts w:hint="eastAsia"/>
                <w:color w:val="FF0000"/>
                <w:sz w:val="24"/>
                <w:szCs w:val="24"/>
              </w:rPr>
            </w:pPr>
            <w:r>
              <w:rPr>
                <w:rFonts w:hint="eastAsia"/>
                <w:color w:val="FF0000"/>
                <w:sz w:val="24"/>
                <w:szCs w:val="24"/>
              </w:rPr>
              <w:t>⑵禁止向环境倾倒、堆置危险废物；</w:t>
            </w:r>
          </w:p>
          <w:p>
            <w:pPr>
              <w:spacing w:line="360" w:lineRule="auto"/>
              <w:ind w:firstLine="480" w:firstLineChars="200"/>
              <w:rPr>
                <w:rFonts w:hint="eastAsia"/>
                <w:color w:val="FF0000"/>
                <w:sz w:val="24"/>
                <w:szCs w:val="24"/>
              </w:rPr>
            </w:pPr>
            <w:r>
              <w:rPr>
                <w:rFonts w:hint="eastAsia"/>
                <w:color w:val="FF0000"/>
                <w:sz w:val="24"/>
                <w:szCs w:val="24"/>
              </w:rPr>
              <w:t>⑶禁止将危险废物混入非危险废物中收集、贮存、转移、处置；</w:t>
            </w:r>
          </w:p>
          <w:p>
            <w:pPr>
              <w:spacing w:line="360" w:lineRule="auto"/>
              <w:ind w:firstLine="480" w:firstLineChars="200"/>
              <w:rPr>
                <w:rFonts w:hint="eastAsia"/>
                <w:color w:val="FF0000"/>
                <w:sz w:val="24"/>
                <w:szCs w:val="24"/>
              </w:rPr>
            </w:pPr>
            <w:r>
              <w:rPr>
                <w:rFonts w:hint="eastAsia"/>
                <w:color w:val="FF0000"/>
                <w:sz w:val="24"/>
                <w:szCs w:val="24"/>
              </w:rPr>
              <w:t>⑷危险废物的收集、贮存、转移应当使用符合标准的容器和包装物；</w:t>
            </w:r>
          </w:p>
          <w:p>
            <w:pPr>
              <w:spacing w:line="360" w:lineRule="auto"/>
              <w:ind w:firstLine="480" w:firstLineChars="200"/>
              <w:rPr>
                <w:rFonts w:hint="eastAsia"/>
                <w:color w:val="FF0000"/>
                <w:sz w:val="24"/>
                <w:szCs w:val="24"/>
              </w:rPr>
            </w:pPr>
            <w:r>
              <w:rPr>
                <w:rFonts w:hint="eastAsia"/>
                <w:color w:val="FF0000"/>
                <w:sz w:val="24"/>
                <w:szCs w:val="24"/>
              </w:rPr>
              <w:t>⑸危险废物的容器和包装物以及收集、贮存、转移、处置危险废物的设 施、场所，必须设置危险废物识别标志；</w:t>
            </w:r>
          </w:p>
          <w:p>
            <w:pPr>
              <w:spacing w:line="360" w:lineRule="auto"/>
              <w:ind w:firstLine="480" w:firstLineChars="200"/>
              <w:rPr>
                <w:rFonts w:hint="eastAsia"/>
                <w:color w:val="FF0000"/>
                <w:sz w:val="24"/>
                <w:szCs w:val="24"/>
              </w:rPr>
            </w:pPr>
            <w:r>
              <w:rPr>
                <w:rFonts w:hint="eastAsia"/>
                <w:color w:val="FF0000"/>
                <w:sz w:val="24"/>
                <w:szCs w:val="24"/>
              </w:rPr>
              <w:t>⑹在搬迁、转产、终止之前，必须对已经产生尚没有处置的危险废物和危险废物贮存、处置设施场所按照有关规定进行安全处置。</w:t>
            </w:r>
          </w:p>
          <w:p>
            <w:pPr>
              <w:spacing w:line="360" w:lineRule="auto"/>
              <w:ind w:firstLine="480" w:firstLineChars="200"/>
              <w:rPr>
                <w:rFonts w:hint="eastAsia"/>
                <w:color w:val="FF0000"/>
                <w:sz w:val="24"/>
                <w:szCs w:val="24"/>
              </w:rPr>
            </w:pPr>
            <w:r>
              <w:rPr>
                <w:rFonts w:hint="eastAsia"/>
                <w:color w:val="FF0000"/>
                <w:sz w:val="24"/>
                <w:szCs w:val="24"/>
              </w:rPr>
              <w:t>3、制定危险废物管理台账制度</w:t>
            </w:r>
          </w:p>
          <w:p>
            <w:pPr>
              <w:spacing w:line="360" w:lineRule="auto"/>
              <w:ind w:firstLine="480" w:firstLineChars="200"/>
              <w:rPr>
                <w:rFonts w:hint="eastAsia"/>
                <w:color w:val="FF0000"/>
                <w:sz w:val="24"/>
                <w:szCs w:val="24"/>
              </w:rPr>
            </w:pPr>
            <w:r>
              <w:rPr>
                <w:rFonts w:hint="eastAsia"/>
                <w:color w:val="FF0000"/>
                <w:sz w:val="24"/>
                <w:szCs w:val="24"/>
              </w:rPr>
              <w:t>⑴危险废物产生单位要建立危险废物管理台账；</w:t>
            </w:r>
          </w:p>
          <w:p>
            <w:pPr>
              <w:spacing w:line="360" w:lineRule="auto"/>
              <w:ind w:firstLine="480" w:firstLineChars="200"/>
              <w:rPr>
                <w:rFonts w:hint="eastAsia"/>
                <w:color w:val="FF0000"/>
                <w:sz w:val="24"/>
                <w:szCs w:val="24"/>
              </w:rPr>
            </w:pPr>
            <w:r>
              <w:rPr>
                <w:rFonts w:hint="eastAsia"/>
                <w:color w:val="FF0000"/>
                <w:sz w:val="24"/>
                <w:szCs w:val="24"/>
              </w:rPr>
              <w:t>⑵如实记载产生危险废物的种类、产生量、产生环节、流向、贮存、转移情况等事项，确保危险废物合法处置，杜绝非法流失；</w:t>
            </w:r>
          </w:p>
          <w:p>
            <w:pPr>
              <w:spacing w:line="360" w:lineRule="auto"/>
              <w:ind w:firstLine="480" w:firstLineChars="200"/>
              <w:rPr>
                <w:rFonts w:hint="eastAsia"/>
                <w:color w:val="FF0000"/>
                <w:sz w:val="24"/>
                <w:szCs w:val="24"/>
              </w:rPr>
            </w:pPr>
            <w:r>
              <w:rPr>
                <w:rFonts w:hint="eastAsia"/>
                <w:color w:val="FF0000"/>
                <w:sz w:val="24"/>
                <w:szCs w:val="24"/>
              </w:rPr>
              <w:t>⑶危险废物管理台账内容包括企业产生危险废物的种类、产生量、贮存、转移等情况；</w:t>
            </w:r>
          </w:p>
          <w:p>
            <w:pPr>
              <w:spacing w:line="360" w:lineRule="auto"/>
              <w:ind w:firstLine="480" w:firstLineChars="200"/>
              <w:rPr>
                <w:rFonts w:hint="eastAsia"/>
                <w:color w:val="FF0000"/>
                <w:sz w:val="24"/>
                <w:szCs w:val="24"/>
              </w:rPr>
            </w:pPr>
            <w:r>
              <w:rPr>
                <w:rFonts w:hint="eastAsia"/>
                <w:color w:val="FF0000"/>
                <w:sz w:val="24"/>
                <w:szCs w:val="24"/>
              </w:rPr>
              <w:t>⑷危险废物台账应与生产记录相结合，严禁弄虚作假。危险废物管理台账至少应保存10年。</w:t>
            </w:r>
          </w:p>
          <w:p>
            <w:pPr>
              <w:spacing w:line="360" w:lineRule="auto"/>
              <w:ind w:firstLine="480" w:firstLineChars="200"/>
              <w:rPr>
                <w:rFonts w:hint="eastAsia"/>
                <w:color w:val="FF0000"/>
                <w:sz w:val="24"/>
                <w:szCs w:val="24"/>
              </w:rPr>
            </w:pPr>
            <w:r>
              <w:rPr>
                <w:rFonts w:hint="eastAsia"/>
                <w:color w:val="FF0000"/>
                <w:sz w:val="24"/>
                <w:szCs w:val="24"/>
              </w:rPr>
              <w:t>4、制定危险废物转移联单制度</w:t>
            </w:r>
          </w:p>
          <w:p>
            <w:pPr>
              <w:spacing w:line="360" w:lineRule="auto"/>
              <w:ind w:firstLine="480" w:firstLineChars="200"/>
              <w:rPr>
                <w:rFonts w:hint="eastAsia"/>
                <w:color w:val="FF0000"/>
                <w:sz w:val="24"/>
                <w:szCs w:val="24"/>
              </w:rPr>
            </w:pPr>
            <w:r>
              <w:rPr>
                <w:rFonts w:hint="eastAsia"/>
                <w:color w:val="FF0000"/>
                <w:sz w:val="24"/>
                <w:szCs w:val="24"/>
              </w:rPr>
              <w:t>⑴严格落实危险废物转移联单管理规定，严格执行危险废物转移联单制 度；</w:t>
            </w:r>
          </w:p>
          <w:p>
            <w:pPr>
              <w:spacing w:line="360" w:lineRule="auto"/>
              <w:ind w:firstLine="480" w:firstLineChars="200"/>
              <w:rPr>
                <w:rFonts w:hint="eastAsia"/>
                <w:color w:val="FF0000"/>
                <w:sz w:val="24"/>
                <w:szCs w:val="24"/>
              </w:rPr>
            </w:pPr>
            <w:r>
              <w:rPr>
                <w:rFonts w:hint="eastAsia"/>
                <w:color w:val="FF0000"/>
                <w:sz w:val="24"/>
                <w:szCs w:val="24"/>
              </w:rPr>
              <w:t>⑵危险废物产生单位在转移危险废物前，须按照国家有关规定报批危险废物转移计划。一年内需要多次转移的同种危险废物，应当于每年11月30日前向省或者省辖市生态环境保护主管部门申报次年危险废物转移年度计划。经批准后，向移出地环境保护主管部门申请领取转移联单；</w:t>
            </w:r>
          </w:p>
          <w:p>
            <w:pPr>
              <w:spacing w:line="360" w:lineRule="auto"/>
              <w:ind w:firstLine="480" w:firstLineChars="200"/>
              <w:rPr>
                <w:rFonts w:hint="eastAsia"/>
                <w:color w:val="FF0000"/>
                <w:sz w:val="24"/>
                <w:szCs w:val="24"/>
              </w:rPr>
            </w:pPr>
            <w:r>
              <w:rPr>
                <w:rFonts w:hint="eastAsia"/>
                <w:color w:val="FF0000"/>
                <w:sz w:val="24"/>
                <w:szCs w:val="24"/>
              </w:rPr>
              <w:t>⑶在省辖市行政区域内转移危险废物的，由所在地省辖市环境保护主管部门批准；在省内跨省辖市转移危险废物的，由移出地皆辖市环境保护主管部门商经接收地省辖市环境保护主管部门同意后批准；跨省转移危险废物的，由省环境保护主管部门商经接收地省级环境保护主管部门同意后批准；</w:t>
            </w:r>
          </w:p>
          <w:p>
            <w:pPr>
              <w:spacing w:line="360" w:lineRule="auto"/>
              <w:ind w:firstLine="480" w:firstLineChars="200"/>
              <w:rPr>
                <w:rFonts w:hint="eastAsia"/>
                <w:color w:val="FF0000"/>
                <w:sz w:val="24"/>
                <w:szCs w:val="24"/>
              </w:rPr>
            </w:pPr>
            <w:r>
              <w:rPr>
                <w:rFonts w:hint="eastAsia"/>
                <w:color w:val="FF0000"/>
                <w:sz w:val="24"/>
                <w:szCs w:val="24"/>
              </w:rPr>
              <w:t>⑷当在转移危险废物前三日内报告移出地环境保护主管部门，并同时将预期到达时间报告接受地环境保护主管部门；</w:t>
            </w:r>
          </w:p>
          <w:p>
            <w:pPr>
              <w:spacing w:line="360" w:lineRule="auto"/>
              <w:ind w:firstLine="480" w:firstLineChars="200"/>
              <w:rPr>
                <w:rFonts w:hint="eastAsia"/>
                <w:color w:val="FF0000"/>
                <w:sz w:val="24"/>
                <w:szCs w:val="24"/>
              </w:rPr>
            </w:pPr>
            <w:r>
              <w:rPr>
                <w:rFonts w:hint="eastAsia"/>
                <w:color w:val="FF0000"/>
                <w:sz w:val="24"/>
                <w:szCs w:val="24"/>
              </w:rPr>
              <w:t>⑸危险废物每转移一车同类危险废物，应当填写一份联单；</w:t>
            </w:r>
          </w:p>
          <w:p>
            <w:pPr>
              <w:spacing w:line="360" w:lineRule="auto"/>
              <w:ind w:firstLine="480" w:firstLineChars="200"/>
              <w:rPr>
                <w:rFonts w:hint="eastAsia"/>
                <w:color w:val="FF0000"/>
                <w:sz w:val="24"/>
                <w:szCs w:val="24"/>
              </w:rPr>
            </w:pPr>
            <w:r>
              <w:rPr>
                <w:rFonts w:hint="eastAsia"/>
                <w:color w:val="FF0000"/>
                <w:sz w:val="24"/>
                <w:szCs w:val="24"/>
              </w:rPr>
              <w:t>⑹如实、完整填写危险废物转移联单各栏目内容；</w:t>
            </w:r>
          </w:p>
          <w:p>
            <w:pPr>
              <w:spacing w:line="360" w:lineRule="auto"/>
              <w:ind w:firstLine="480" w:firstLineChars="200"/>
              <w:rPr>
                <w:rFonts w:hint="eastAsia"/>
                <w:color w:val="FF0000"/>
                <w:sz w:val="24"/>
                <w:szCs w:val="24"/>
              </w:rPr>
            </w:pPr>
            <w:r>
              <w:rPr>
                <w:rFonts w:hint="eastAsia"/>
                <w:color w:val="FF0000"/>
                <w:sz w:val="24"/>
                <w:szCs w:val="24"/>
              </w:rPr>
              <w:t>⑺妥善保管转移联单，接受环境保护主管部门对联单运行情况的检查，保存期限为五年；</w:t>
            </w:r>
          </w:p>
          <w:p>
            <w:pPr>
              <w:spacing w:line="360" w:lineRule="auto"/>
              <w:ind w:firstLine="480" w:firstLineChars="200"/>
              <w:rPr>
                <w:rFonts w:hint="eastAsia"/>
                <w:color w:val="FF0000"/>
                <w:sz w:val="24"/>
                <w:szCs w:val="24"/>
              </w:rPr>
            </w:pPr>
            <w:r>
              <w:rPr>
                <w:rFonts w:hint="eastAsia"/>
                <w:color w:val="FF0000"/>
                <w:sz w:val="24"/>
                <w:szCs w:val="24"/>
              </w:rPr>
              <w:t>⑻当自危险废物转移活动完成后两个工作日内将转移联单报送批准转移计划的环境保护主管部门。</w:t>
            </w:r>
          </w:p>
          <w:p>
            <w:pPr>
              <w:spacing w:line="360" w:lineRule="auto"/>
              <w:ind w:firstLine="480" w:firstLineChars="200"/>
              <w:rPr>
                <w:rFonts w:hint="eastAsia"/>
                <w:color w:val="FF0000"/>
                <w:sz w:val="24"/>
                <w:szCs w:val="24"/>
              </w:rPr>
            </w:pPr>
            <w:r>
              <w:rPr>
                <w:rFonts w:hint="eastAsia"/>
                <w:color w:val="FF0000"/>
                <w:sz w:val="24"/>
                <w:szCs w:val="24"/>
              </w:rPr>
              <w:t>5、制定危险废物管理计划编制制度</w:t>
            </w:r>
          </w:p>
          <w:p>
            <w:pPr>
              <w:spacing w:line="360" w:lineRule="auto"/>
              <w:ind w:firstLine="480" w:firstLineChars="200"/>
              <w:rPr>
                <w:rFonts w:hint="eastAsia"/>
                <w:color w:val="FF0000"/>
                <w:sz w:val="24"/>
                <w:szCs w:val="24"/>
              </w:rPr>
            </w:pPr>
            <w:r>
              <w:rPr>
                <w:rFonts w:hint="eastAsia"/>
                <w:color w:val="FF0000"/>
                <w:sz w:val="24"/>
                <w:szCs w:val="24"/>
              </w:rPr>
              <w:t>⑴必须按照国家有关规定制定危险废物管理计划，并报环境保护主管部门备案；</w:t>
            </w:r>
          </w:p>
          <w:p>
            <w:pPr>
              <w:spacing w:line="360" w:lineRule="auto"/>
              <w:ind w:firstLine="480" w:firstLineChars="200"/>
              <w:rPr>
                <w:rFonts w:hint="eastAsia"/>
                <w:color w:val="FF0000"/>
                <w:sz w:val="24"/>
                <w:szCs w:val="24"/>
              </w:rPr>
            </w:pPr>
            <w:r>
              <w:rPr>
                <w:rFonts w:hint="eastAsia"/>
                <w:color w:val="FF0000"/>
                <w:sz w:val="24"/>
                <w:szCs w:val="24"/>
              </w:rPr>
              <w:t>⑵危险废物管理计划的期限一般为1年，鼓励制定中长期的危险废物管理计划，但一般不超过5年；</w:t>
            </w:r>
          </w:p>
          <w:p>
            <w:pPr>
              <w:spacing w:line="360" w:lineRule="auto"/>
              <w:ind w:firstLine="480" w:firstLineChars="200"/>
              <w:rPr>
                <w:rFonts w:hint="eastAsia"/>
                <w:color w:val="FF0000"/>
                <w:sz w:val="24"/>
                <w:szCs w:val="24"/>
              </w:rPr>
            </w:pPr>
            <w:r>
              <w:rPr>
                <w:rFonts w:hint="eastAsia"/>
                <w:color w:val="FF0000"/>
                <w:sz w:val="24"/>
                <w:szCs w:val="24"/>
              </w:rPr>
              <w:t>⑶应于每年12月15日前将下一年度危险废物管理计划报所在地县级以上生态环境主管部门备案。年产生10吨以上的危险废物，还应同时报省级环境保护主管部门备案，并报送电子文本；</w:t>
            </w:r>
          </w:p>
          <w:p>
            <w:pPr>
              <w:spacing w:line="360" w:lineRule="auto"/>
              <w:ind w:firstLine="480" w:firstLineChars="200"/>
              <w:rPr>
                <w:rFonts w:hint="eastAsia"/>
                <w:color w:val="FF0000"/>
                <w:sz w:val="24"/>
                <w:szCs w:val="24"/>
              </w:rPr>
            </w:pPr>
            <w:r>
              <w:rPr>
                <w:rFonts w:hint="eastAsia"/>
                <w:color w:val="FF0000"/>
                <w:sz w:val="24"/>
                <w:szCs w:val="24"/>
              </w:rPr>
              <w:t>⑷当管理计划的内容有下列重大改变时，产生单位应及时以书面形式报告当地环境保护主管部门。包括变更法人名称、法定代表人和住所的；增加或者减少危险废物类别的；危险废物产生量超过原备案量20%以上的；新建、或者改建和拆除原有危险废物贮存、利用和处置设施的；因工艺改进、产品调整或搬迁 而停止产生危险废物的。</w:t>
            </w:r>
          </w:p>
          <w:p>
            <w:pPr>
              <w:spacing w:line="360" w:lineRule="auto"/>
              <w:ind w:firstLine="480" w:firstLineChars="200"/>
              <w:rPr>
                <w:rFonts w:hint="eastAsia"/>
                <w:color w:val="FF0000"/>
                <w:sz w:val="24"/>
                <w:szCs w:val="24"/>
              </w:rPr>
            </w:pPr>
            <w:r>
              <w:rPr>
                <w:rFonts w:hint="eastAsia"/>
                <w:color w:val="FF0000"/>
                <w:sz w:val="24"/>
                <w:szCs w:val="24"/>
              </w:rPr>
              <w:t>6、制定危险废物贮存设施管理制度</w:t>
            </w:r>
          </w:p>
          <w:p>
            <w:pPr>
              <w:spacing w:line="360" w:lineRule="auto"/>
              <w:ind w:firstLine="480" w:firstLineChars="200"/>
              <w:rPr>
                <w:rFonts w:hint="eastAsia"/>
                <w:color w:val="FF0000"/>
                <w:sz w:val="24"/>
                <w:szCs w:val="24"/>
              </w:rPr>
            </w:pPr>
            <w:r>
              <w:rPr>
                <w:rFonts w:hint="eastAsia"/>
                <w:color w:val="FF0000"/>
                <w:sz w:val="24"/>
                <w:szCs w:val="24"/>
              </w:rPr>
              <w:t>⑴危险废物贮存设施应符合《危险废物贮存污染控制标准》(GB18597-2023)要求，依法进行环境影响评价，完成“三同时”验收。</w:t>
            </w:r>
          </w:p>
          <w:p>
            <w:pPr>
              <w:spacing w:line="360" w:lineRule="auto"/>
              <w:ind w:firstLine="480" w:firstLineChars="200"/>
              <w:rPr>
                <w:rFonts w:hint="eastAsia"/>
                <w:color w:val="FF0000"/>
                <w:sz w:val="24"/>
                <w:szCs w:val="24"/>
              </w:rPr>
            </w:pPr>
            <w:r>
              <w:rPr>
                <w:rFonts w:hint="eastAsia"/>
                <w:color w:val="FF0000"/>
                <w:sz w:val="24"/>
                <w:szCs w:val="24"/>
              </w:rPr>
              <w:t>⑵贮有设施应满足防扬散、防流失、防渗漏要求：贮存设施地面须做硬化处理；贮存储罐应加强管理，防止无关人员接触。</w:t>
            </w:r>
          </w:p>
          <w:p>
            <w:pPr>
              <w:spacing w:line="360" w:lineRule="auto"/>
              <w:ind w:firstLine="480" w:firstLineChars="200"/>
              <w:rPr>
                <w:rFonts w:hint="eastAsia"/>
                <w:color w:val="FF0000"/>
                <w:sz w:val="24"/>
                <w:szCs w:val="24"/>
              </w:rPr>
            </w:pPr>
            <w:r>
              <w:rPr>
                <w:rFonts w:hint="eastAsia"/>
                <w:color w:val="FF0000"/>
                <w:sz w:val="24"/>
                <w:szCs w:val="24"/>
              </w:rPr>
              <w:t>7、制定职工培训制度</w:t>
            </w:r>
          </w:p>
          <w:p>
            <w:pPr>
              <w:spacing w:line="360" w:lineRule="auto"/>
              <w:ind w:firstLine="480" w:firstLineChars="200"/>
              <w:rPr>
                <w:rFonts w:hint="eastAsia"/>
                <w:color w:val="FF0000"/>
                <w:sz w:val="24"/>
                <w:szCs w:val="24"/>
              </w:rPr>
            </w:pPr>
            <w:r>
              <w:rPr>
                <w:rFonts w:hint="eastAsia"/>
                <w:color w:val="FF0000"/>
                <w:sz w:val="24"/>
                <w:szCs w:val="24"/>
              </w:rPr>
              <w:t>⑴危险废物产生单位应当对相关管理人员和从事危险废物收集、参与转移等工作的人员进行培训；</w:t>
            </w:r>
          </w:p>
          <w:p>
            <w:pPr>
              <w:spacing w:line="360" w:lineRule="auto"/>
              <w:ind w:firstLine="480" w:firstLineChars="200"/>
              <w:rPr>
                <w:rFonts w:hint="eastAsia"/>
                <w:color w:val="FF0000"/>
                <w:sz w:val="24"/>
                <w:szCs w:val="24"/>
              </w:rPr>
            </w:pPr>
            <w:r>
              <w:rPr>
                <w:rFonts w:hint="eastAsia"/>
                <w:color w:val="FF0000"/>
                <w:sz w:val="24"/>
                <w:szCs w:val="24"/>
              </w:rPr>
              <w:t>⑵培训的内容包括国家相关法律法规、规章和有关规范性文件；建设单位制定的危险废物管理规章制度、工作流程和应急预案等；危险废物分类收集、暂存的方法和操作规程；</w:t>
            </w:r>
          </w:p>
          <w:p>
            <w:pPr>
              <w:spacing w:line="360" w:lineRule="auto"/>
              <w:ind w:firstLine="480" w:firstLineChars="200"/>
              <w:rPr>
                <w:rFonts w:hint="eastAsia"/>
                <w:color w:val="FF0000"/>
                <w:sz w:val="24"/>
                <w:szCs w:val="24"/>
              </w:rPr>
            </w:pPr>
            <w:r>
              <w:rPr>
                <w:rFonts w:hint="eastAsia"/>
                <w:color w:val="FF0000"/>
                <w:sz w:val="24"/>
                <w:szCs w:val="24"/>
              </w:rPr>
              <w:t>⑶培训工作每年不少于两次，并要建立培训档案，档案包括：培训计划、培训。</w:t>
            </w:r>
          </w:p>
          <w:p>
            <w:pPr>
              <w:spacing w:line="360" w:lineRule="auto"/>
              <w:ind w:firstLine="480" w:firstLineChars="200"/>
              <w:rPr>
                <w:rFonts w:hint="eastAsia"/>
                <w:color w:val="FF0000"/>
                <w:sz w:val="24"/>
                <w:szCs w:val="24"/>
              </w:rPr>
            </w:pPr>
            <w:r>
              <w:rPr>
                <w:rFonts w:hint="eastAsia"/>
                <w:color w:val="FF0000"/>
                <w:sz w:val="24"/>
                <w:szCs w:val="24"/>
              </w:rPr>
              <w:t>8、制定危险废物分类管理和贮存管理制度</w:t>
            </w:r>
          </w:p>
          <w:p>
            <w:pPr>
              <w:spacing w:line="360" w:lineRule="auto"/>
              <w:ind w:firstLine="480" w:firstLineChars="200"/>
              <w:rPr>
                <w:rFonts w:hint="eastAsia"/>
                <w:color w:val="FF0000"/>
                <w:sz w:val="24"/>
                <w:szCs w:val="24"/>
              </w:rPr>
            </w:pPr>
            <w:r>
              <w:rPr>
                <w:rFonts w:hint="eastAsia"/>
                <w:color w:val="FF0000"/>
                <w:sz w:val="24"/>
                <w:szCs w:val="24"/>
              </w:rPr>
              <w:t>⑴收集、贮存危险废物，必须按照危险废物的特性分类进行；</w:t>
            </w:r>
          </w:p>
          <w:p>
            <w:pPr>
              <w:spacing w:line="360" w:lineRule="auto"/>
              <w:ind w:firstLine="480" w:firstLineChars="200"/>
              <w:rPr>
                <w:rFonts w:hint="eastAsia"/>
                <w:color w:val="FF0000"/>
                <w:sz w:val="24"/>
                <w:szCs w:val="24"/>
              </w:rPr>
            </w:pPr>
            <w:r>
              <w:rPr>
                <w:rFonts w:hint="eastAsia"/>
                <w:color w:val="FF0000"/>
                <w:sz w:val="24"/>
                <w:szCs w:val="24"/>
              </w:rPr>
              <w:t>⑵贮存时间不得超过一年。确需延长期限的，必须报经所在处县级以上环境保护主管部门批准。本省有相应危险废物经营单位的，延长贮存期限不得超过半年；</w:t>
            </w:r>
          </w:p>
          <w:p>
            <w:pPr>
              <w:spacing w:line="360" w:lineRule="auto"/>
              <w:ind w:firstLine="480" w:firstLineChars="200"/>
              <w:rPr>
                <w:rFonts w:hint="eastAsia"/>
                <w:color w:val="FF0000"/>
                <w:sz w:val="24"/>
                <w:szCs w:val="24"/>
              </w:rPr>
            </w:pPr>
            <w:r>
              <w:rPr>
                <w:rFonts w:hint="eastAsia"/>
                <w:color w:val="FF0000"/>
                <w:sz w:val="24"/>
                <w:szCs w:val="24"/>
              </w:rPr>
              <w:t>⑶危险废物与一般废物分开存放；工业危险废物与办公、生活废物分开存放；固态、液态废物分开存放；性质不相容的废物分开存放。</w:t>
            </w:r>
          </w:p>
          <w:p>
            <w:pPr>
              <w:spacing w:line="360" w:lineRule="auto"/>
              <w:ind w:firstLine="480" w:firstLineChars="200"/>
              <w:rPr>
                <w:rFonts w:hint="eastAsia" w:ascii="Times New Roman" w:hAnsi="Times New Roman" w:eastAsia="宋体" w:cs="Times New Roman"/>
                <w:color w:val="FF0000"/>
                <w:sz w:val="24"/>
                <w:szCs w:val="24"/>
                <w:lang w:eastAsia="zh-CN"/>
              </w:rPr>
            </w:pPr>
            <w:r>
              <w:rPr>
                <w:rFonts w:hint="eastAsia"/>
                <w:color w:val="FF0000"/>
                <w:sz w:val="24"/>
                <w:szCs w:val="24"/>
              </w:rPr>
              <w:t>综上分析，针对项目一般固废和危险废物在严格按照上述规范要求采取相应的防治措施，并加强管理，可保证全厂固废妥善收集和处置，采取的防治措施可行。</w:t>
            </w:r>
          </w:p>
          <w:p>
            <w:pPr>
              <w:adjustRightInd w:val="0"/>
              <w:snapToGrid w:val="0"/>
              <w:spacing w:line="360" w:lineRule="auto"/>
              <w:ind w:firstLine="442" w:firstLineChars="200"/>
              <w:jc w:val="left"/>
              <w:rPr>
                <w:rFonts w:hint="eastAsia"/>
                <w:b/>
                <w:color w:val="000000" w:themeColor="text1"/>
                <w:spacing w:val="-10"/>
                <w:sz w:val="24"/>
                <w14:textFill>
                  <w14:solidFill>
                    <w14:schemeClr w14:val="tx1"/>
                  </w14:solidFill>
                </w14:textFill>
              </w:rPr>
            </w:pPr>
            <w:r>
              <w:rPr>
                <w:rFonts w:hint="eastAsia"/>
                <w:b/>
                <w:color w:val="000000" w:themeColor="text1"/>
                <w:spacing w:val="-10"/>
                <w:sz w:val="24"/>
                <w14:textFill>
                  <w14:solidFill>
                    <w14:schemeClr w14:val="tx1"/>
                  </w14:solidFill>
                </w14:textFill>
              </w:rPr>
              <w:t>例行监测计划：</w:t>
            </w:r>
          </w:p>
          <w:p>
            <w:pPr>
              <w:spacing w:line="360" w:lineRule="auto"/>
              <w:ind w:firstLine="480" w:firstLineChars="200"/>
              <w:rPr>
                <w:rFonts w:hint="eastAsia"/>
                <w:color w:val="000000" w:themeColor="text1"/>
                <w:sz w:val="24"/>
                <w:szCs w:val="24"/>
                <w:lang w:val="en-US" w:eastAsia="zh-CN" w:bidi="ar"/>
                <w14:textFill>
                  <w14:solidFill>
                    <w14:schemeClr w14:val="tx1"/>
                  </w14:solidFill>
                </w14:textFill>
              </w:rPr>
            </w:pPr>
            <w:r>
              <w:rPr>
                <w:color w:val="000000" w:themeColor="text1"/>
                <w:sz w:val="24"/>
                <w:szCs w:val="24"/>
                <w:lang w:bidi="ar"/>
                <w14:textFill>
                  <w14:solidFill>
                    <w14:schemeClr w14:val="tx1"/>
                  </w14:solidFill>
                </w14:textFill>
              </w:rPr>
              <w:t>根据</w:t>
            </w:r>
            <w:r>
              <w:rPr>
                <w:rFonts w:hint="eastAsia"/>
                <w:color w:val="000000" w:themeColor="text1"/>
                <w:sz w:val="24"/>
                <w:szCs w:val="24"/>
                <w:lang w:bidi="ar"/>
                <w14:textFill>
                  <w14:solidFill>
                    <w14:schemeClr w14:val="tx1"/>
                  </w14:solidFill>
                </w14:textFill>
              </w:rPr>
              <w:t>《排污单位自行监测技术指南 总则》（HJ819-2017）</w:t>
            </w:r>
            <w:r>
              <w:rPr>
                <w:color w:val="000000" w:themeColor="text1"/>
                <w:sz w:val="24"/>
                <w:szCs w:val="24"/>
                <w:lang w:bidi="ar"/>
                <w14:textFill>
                  <w14:solidFill>
                    <w14:schemeClr w14:val="tx1"/>
                  </w14:solidFill>
                </w14:textFill>
              </w:rPr>
              <w:t>，结合项目性质和排污特点，</w:t>
            </w:r>
            <w:r>
              <w:rPr>
                <w:rFonts w:hint="eastAsia"/>
                <w:color w:val="000000" w:themeColor="text1"/>
                <w:sz w:val="24"/>
                <w:szCs w:val="24"/>
                <w:lang w:eastAsia="zh-CN" w:bidi="ar"/>
                <w14:textFill>
                  <w14:solidFill>
                    <w14:schemeClr w14:val="tx1"/>
                  </w14:solidFill>
                </w14:textFill>
              </w:rPr>
              <w:t>项目废气</w:t>
            </w:r>
            <w:r>
              <w:rPr>
                <w:color w:val="000000" w:themeColor="text1"/>
                <w:sz w:val="24"/>
                <w:szCs w:val="24"/>
                <w:lang w:bidi="ar"/>
                <w14:textFill>
                  <w14:solidFill>
                    <w14:schemeClr w14:val="tx1"/>
                  </w14:solidFill>
                </w14:textFill>
              </w:rPr>
              <w:t>监控计划见表</w:t>
            </w:r>
            <w:r>
              <w:rPr>
                <w:rFonts w:hint="eastAsia"/>
                <w:color w:val="000000" w:themeColor="text1"/>
                <w:sz w:val="24"/>
                <w:szCs w:val="24"/>
                <w:lang w:val="en-US" w:eastAsia="zh-CN" w:bidi="ar"/>
                <w14:textFill>
                  <w14:solidFill>
                    <w14:schemeClr w14:val="tx1"/>
                  </w14:solidFill>
                </w14:textFill>
              </w:rPr>
              <w:t>4-9。</w:t>
            </w:r>
          </w:p>
          <w:p>
            <w:pPr>
              <w:tabs>
                <w:tab w:val="left" w:pos="7470"/>
              </w:tabs>
              <w:jc w:val="center"/>
              <w:rPr>
                <w:rFonts w:hAnsi="宋体" w:cs="Calibri"/>
                <w:b/>
                <w:color w:val="000000" w:themeColor="text1"/>
                <w:sz w:val="21"/>
                <w:szCs w:val="20"/>
                <w:lang w:eastAsia="zh-CN"/>
                <w14:textFill>
                  <w14:solidFill>
                    <w14:schemeClr w14:val="tx1"/>
                  </w14:solidFill>
                </w14:textFill>
              </w:rPr>
            </w:pPr>
            <w:r>
              <w:rPr>
                <w:rFonts w:hAnsi="宋体" w:cs="Calibri"/>
                <w:b/>
                <w:color w:val="000000" w:themeColor="text1"/>
                <w:sz w:val="21"/>
                <w:szCs w:val="20"/>
                <w:lang w:eastAsia="zh-CN"/>
                <w14:textFill>
                  <w14:solidFill>
                    <w14:schemeClr w14:val="tx1"/>
                  </w14:solidFill>
                </w14:textFill>
              </w:rPr>
              <w:t>表</w:t>
            </w:r>
            <w:r>
              <w:rPr>
                <w:rFonts w:hint="eastAsia" w:hAnsi="宋体" w:cs="Calibri"/>
                <w:b/>
                <w:color w:val="000000" w:themeColor="text1"/>
                <w:sz w:val="21"/>
                <w:szCs w:val="20"/>
                <w:lang w:val="en-US" w:eastAsia="zh-CN"/>
                <w14:textFill>
                  <w14:solidFill>
                    <w14:schemeClr w14:val="tx1"/>
                  </w14:solidFill>
                </w14:textFill>
              </w:rPr>
              <w:t xml:space="preserve">4-9       </w:t>
            </w:r>
            <w:r>
              <w:rPr>
                <w:rFonts w:hint="eastAsia" w:hAnsi="宋体" w:cs="Calibri"/>
                <w:b/>
                <w:color w:val="000000" w:themeColor="text1"/>
                <w:sz w:val="21"/>
                <w:szCs w:val="20"/>
                <w:lang w:eastAsia="zh-CN"/>
                <w14:textFill>
                  <w14:solidFill>
                    <w14:schemeClr w14:val="tx1"/>
                  </w14:solidFill>
                </w14:textFill>
              </w:rPr>
              <w:t>病原微生物实验室固废排放限值</w:t>
            </w:r>
          </w:p>
          <w:tbl>
            <w:tblPr>
              <w:tblStyle w:val="28"/>
              <w:tblW w:w="8777"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
            <w:tblGrid>
              <w:gridCol w:w="1232"/>
              <w:gridCol w:w="1596"/>
              <w:gridCol w:w="1392"/>
              <w:gridCol w:w="1081"/>
              <w:gridCol w:w="1172"/>
              <w:gridCol w:w="230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232"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类型</w:t>
                  </w:r>
                </w:p>
              </w:tc>
              <w:tc>
                <w:tcPr>
                  <w:tcW w:w="1596"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排污节点名称</w:t>
                  </w:r>
                </w:p>
              </w:tc>
              <w:tc>
                <w:tcPr>
                  <w:tcW w:w="1392"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监测项目</w:t>
                  </w:r>
                </w:p>
              </w:tc>
              <w:tc>
                <w:tcPr>
                  <w:tcW w:w="1081"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频次</w:t>
                  </w:r>
                </w:p>
              </w:tc>
              <w:tc>
                <w:tcPr>
                  <w:tcW w:w="1172"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监测方式</w:t>
                  </w:r>
                </w:p>
              </w:tc>
              <w:tc>
                <w:tcPr>
                  <w:tcW w:w="2304" w:type="dxa"/>
                  <w:tcBorders>
                    <w:tl2br w:val="nil"/>
                    <w:tr2bl w:val="nil"/>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1232" w:type="dxa"/>
                  <w:vMerge w:val="restart"/>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固废</w:t>
                  </w:r>
                </w:p>
              </w:tc>
              <w:tc>
                <w:tcPr>
                  <w:tcW w:w="1596"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微生物实验室固废</w:t>
                  </w:r>
                </w:p>
              </w:tc>
              <w:tc>
                <w:tcPr>
                  <w:tcW w:w="1392"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目标微生物</w:t>
                  </w:r>
                </w:p>
              </w:tc>
              <w:tc>
                <w:tcPr>
                  <w:tcW w:w="1081"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1次/半年</w:t>
                  </w:r>
                </w:p>
              </w:tc>
              <w:tc>
                <w:tcPr>
                  <w:tcW w:w="1172" w:type="dxa"/>
                  <w:vMerge w:val="restart"/>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手动</w:t>
                  </w:r>
                </w:p>
              </w:tc>
              <w:tc>
                <w:tcPr>
                  <w:tcW w:w="2304"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参照</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《病源微生物实验室污染物排放标准》（征求意见稿），不得检出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32" w:type="dxa"/>
                  <w:vMerge w:val="continue"/>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596"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化粪池污泥</w:t>
                  </w:r>
                </w:p>
              </w:tc>
              <w:tc>
                <w:tcPr>
                  <w:tcW w:w="1392"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粪大肠菌群</w:t>
                  </w:r>
                </w:p>
              </w:tc>
              <w:tc>
                <w:tcPr>
                  <w:tcW w:w="1081"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1次/半年</w:t>
                  </w:r>
                </w:p>
              </w:tc>
              <w:tc>
                <w:tcPr>
                  <w:tcW w:w="1172" w:type="dxa"/>
                  <w:vMerge w:val="continue"/>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2304" w:type="dxa"/>
                  <w:tcBorders>
                    <w:tl2br w:val="nil"/>
                    <w:tr2bl w:val="nil"/>
                  </w:tcBorders>
                  <w:vAlign w:val="center"/>
                </w:tcPr>
                <w:p>
                  <w:pPr>
                    <w:ind w:left="51"/>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≤100MNP/g</w:t>
                  </w:r>
                </w:p>
              </w:tc>
            </w:tr>
          </w:tbl>
          <w:p>
            <w:pPr>
              <w:keepNext/>
              <w:keepLines/>
              <w:spacing w:line="360" w:lineRule="auto"/>
              <w:outlineLvl w:val="2"/>
              <w:rPr>
                <w:rFonts w:hint="default" w:ascii="Times New Roman" w:hAnsi="Times New Roman" w:cs="Times New Roman"/>
                <w:b/>
                <w:color w:val="FF0000"/>
                <w:kern w:val="2"/>
                <w:sz w:val="24"/>
                <w:szCs w:val="20"/>
                <w:lang w:eastAsia="zh-CN"/>
              </w:rPr>
            </w:pPr>
            <w:r>
              <w:rPr>
                <w:rFonts w:hint="eastAsia" w:ascii="Times New Roman" w:hAnsi="Times New Roman" w:eastAsia="宋体" w:cs="Times New Roman"/>
                <w:b/>
                <w:bCs/>
                <w:color w:val="FF0000"/>
                <w:sz w:val="24"/>
                <w:szCs w:val="24"/>
                <w:lang w:val="en-US" w:eastAsia="zh-CN"/>
              </w:rPr>
              <w:t>5、</w:t>
            </w:r>
            <w:r>
              <w:rPr>
                <w:rFonts w:hint="default" w:ascii="Times New Roman" w:hAnsi="Times New Roman" w:cs="Times New Roman"/>
                <w:b/>
                <w:color w:val="FF0000"/>
                <w:kern w:val="2"/>
                <w:sz w:val="24"/>
                <w:szCs w:val="20"/>
                <w:lang w:eastAsia="zh-CN"/>
              </w:rPr>
              <w:t>地下水</w:t>
            </w:r>
            <w:r>
              <w:rPr>
                <w:rFonts w:hint="default" w:ascii="Times New Roman" w:hAnsi="Times New Roman" w:cs="Times New Roman"/>
                <w:b/>
                <w:color w:val="FF0000"/>
                <w:kern w:val="2"/>
                <w:sz w:val="24"/>
                <w:szCs w:val="20"/>
                <w:lang w:val="en-US" w:eastAsia="zh-CN"/>
              </w:rPr>
              <w:t>和土壤</w:t>
            </w:r>
            <w:r>
              <w:rPr>
                <w:rFonts w:hint="default" w:ascii="Times New Roman" w:hAnsi="Times New Roman" w:cs="Times New Roman"/>
                <w:b/>
                <w:color w:val="FF0000"/>
                <w:kern w:val="2"/>
                <w:sz w:val="24"/>
                <w:szCs w:val="20"/>
                <w:lang w:eastAsia="zh-CN"/>
              </w:rPr>
              <w:t>污染防治措施</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（1）总体原则</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根据项目特点和当地的实际情况，按照“源头控制、分区防治、污染监控、应急响应”的地下水污染防治总体原则，本项目将从污染物的产生、入渗、扩散等采取全方位的控制措施。</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（2）源头控制措施</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本项目选择先进、成熟、可靠的工艺技术，并对产生的废物进行合理的综合利用和治理，尽可能从源头上减少污染物排放；按照国家相关规范要求，对工艺、管道、设备、污水收集构筑物采取相应的措施，以防止和降低污染物的跑、冒、滴、漏，将污染物泄露的环境风险事故降到最低程度。</w:t>
            </w:r>
          </w:p>
          <w:p>
            <w:pPr>
              <w:spacing w:line="360" w:lineRule="auto"/>
              <w:ind w:firstLine="482" w:firstLineChars="200"/>
              <w:rPr>
                <w:rFonts w:hint="default" w:ascii="Times New Roman" w:hAnsi="Times New Roman" w:cs="Times New Roman"/>
                <w:b/>
                <w:color w:val="FF0000"/>
                <w:kern w:val="2"/>
                <w:sz w:val="24"/>
                <w:szCs w:val="24"/>
                <w:lang w:eastAsia="zh-CN"/>
              </w:rPr>
            </w:pPr>
            <w:r>
              <w:rPr>
                <w:rFonts w:hint="default" w:ascii="Times New Roman" w:hAnsi="Times New Roman" w:cs="Times New Roman"/>
                <w:b/>
                <w:color w:val="FF0000"/>
                <w:kern w:val="2"/>
                <w:sz w:val="24"/>
                <w:szCs w:val="24"/>
                <w:lang w:eastAsia="zh-CN"/>
              </w:rPr>
              <w:t>（3）分区防控措施</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对项目可能泄露污染物的污染区地面进行防渗设计，及时的将泄漏、渗漏的污染物进行收集处理，以有效防止洒落地面的污染物渗入地下；</w:t>
            </w:r>
          </w:p>
          <w:p>
            <w:pPr>
              <w:spacing w:line="360" w:lineRule="auto"/>
              <w:ind w:firstLine="480" w:firstLineChars="200"/>
              <w:rPr>
                <w:rFonts w:hint="default" w:ascii="Times New Roman" w:hAnsi="Times New Roman" w:cs="Times New Roman"/>
                <w:color w:val="FF0000"/>
                <w:kern w:val="2"/>
                <w:sz w:val="24"/>
                <w:szCs w:val="24"/>
                <w:lang w:eastAsia="zh-CN"/>
              </w:rPr>
            </w:pPr>
            <w:r>
              <w:rPr>
                <w:rFonts w:hint="default" w:ascii="Times New Roman" w:hAnsi="Times New Roman" w:cs="Times New Roman"/>
                <w:color w:val="FF0000"/>
                <w:kern w:val="2"/>
                <w:sz w:val="24"/>
                <w:szCs w:val="24"/>
                <w:lang w:eastAsia="zh-CN"/>
              </w:rPr>
              <w:t>根据本项目可能泄露至地面区域的污染物性质和生产单元的构筑方式，本项目废水提升池、危废暂存间为重点防渗区；项目实验室为简单污染防治区。施工单位严格按照设计单位重点防渗区和辅助生产区的防渗设计要求施工，严禁渗漏污染地下水。</w:t>
            </w:r>
          </w:p>
          <w:p>
            <w:pPr>
              <w:spacing w:line="360" w:lineRule="auto"/>
              <w:ind w:firstLine="482" w:firstLineChars="200"/>
              <w:rPr>
                <w:rFonts w:hint="default" w:ascii="Times New Roman" w:hAnsi="Times New Roman" w:cs="Times New Roman"/>
                <w:b/>
                <w:bCs/>
                <w:color w:val="FF0000"/>
                <w:kern w:val="2"/>
                <w:sz w:val="24"/>
                <w:szCs w:val="32"/>
                <w:lang w:eastAsia="zh-CN"/>
              </w:rPr>
            </w:pPr>
            <w:bookmarkStart w:id="29" w:name="_Toc489429693"/>
            <w:r>
              <w:rPr>
                <w:rFonts w:hint="default" w:ascii="Times New Roman" w:hAnsi="Times New Roman" w:cs="Times New Roman"/>
                <w:b/>
                <w:bCs/>
                <w:color w:val="FF0000"/>
                <w:kern w:val="2"/>
                <w:sz w:val="24"/>
                <w:szCs w:val="32"/>
                <w:lang w:eastAsia="zh-CN"/>
              </w:rPr>
              <w:t>（4）分区防渗措施</w:t>
            </w:r>
            <w:bookmarkEnd w:id="29"/>
          </w:p>
          <w:p>
            <w:pPr>
              <w:spacing w:line="360" w:lineRule="auto"/>
              <w:ind w:firstLine="480" w:firstLineChars="200"/>
              <w:rPr>
                <w:rFonts w:hint="default" w:ascii="Times New Roman" w:hAnsi="Times New Roman" w:cs="Times New Roman"/>
                <w:color w:val="FF0000"/>
                <w:kern w:val="2"/>
                <w:sz w:val="24"/>
                <w:szCs w:val="32"/>
                <w:lang w:eastAsia="zh-CN"/>
              </w:rPr>
            </w:pPr>
            <w:r>
              <w:rPr>
                <w:rFonts w:hint="default" w:ascii="Times New Roman" w:hAnsi="Times New Roman" w:cs="Times New Roman"/>
                <w:color w:val="FF0000"/>
                <w:kern w:val="2"/>
                <w:sz w:val="24"/>
                <w:szCs w:val="32"/>
                <w:lang w:eastAsia="zh-CN"/>
              </w:rPr>
              <w:t>项目地下水防控应以水平防渗为主，按照《环境影响评价技术导则 地下水环境》（HJ610-2016）11.2.2节要求，可根据建设项目场地天然包气带防污性能、污染控制难易程度和污染物特性，采取不同的分区防渗技术要求。项目场地天然包气带以黄土为主，防污性弱；可能污染地下水的物质主要为粪污，易生化降解。</w:t>
            </w:r>
          </w:p>
          <w:p>
            <w:pPr>
              <w:spacing w:line="360" w:lineRule="auto"/>
              <w:ind w:firstLine="480" w:firstLineChars="200"/>
              <w:rPr>
                <w:rFonts w:hint="default" w:ascii="Times New Roman" w:hAnsi="Times New Roman" w:cs="Times New Roman"/>
                <w:color w:val="FF0000"/>
                <w:kern w:val="2"/>
                <w:sz w:val="24"/>
                <w:szCs w:val="32"/>
                <w:lang w:eastAsia="zh-CN"/>
              </w:rPr>
            </w:pPr>
            <w:r>
              <w:rPr>
                <w:rFonts w:hint="eastAsia" w:ascii="Times New Roman" w:hAnsi="Times New Roman" w:eastAsia="宋体" w:cs="Times New Roman"/>
                <w:color w:val="FF0000"/>
                <w:sz w:val="24"/>
                <w:lang w:val="en-US" w:eastAsia="zh-CN"/>
              </w:rPr>
              <w:t>本项目实验室及试剂间等布设在办公楼三楼，满足一般防渗要求，不会对地下水和土壤造成污染，危废间重点防渗处置，</w:t>
            </w:r>
            <w:r>
              <w:rPr>
                <w:rFonts w:hint="default" w:ascii="Times New Roman" w:hAnsi="Times New Roman" w:cs="Times New Roman"/>
                <w:color w:val="FF0000"/>
                <w:kern w:val="2"/>
                <w:sz w:val="24"/>
                <w:szCs w:val="32"/>
                <w:lang w:eastAsia="zh-CN"/>
              </w:rPr>
              <w:t>项目防渗技术要求见表4-1</w:t>
            </w:r>
            <w:r>
              <w:rPr>
                <w:rFonts w:hint="eastAsia" w:ascii="Times New Roman" w:hAnsi="Times New Roman" w:cs="Times New Roman"/>
                <w:color w:val="FF0000"/>
                <w:kern w:val="2"/>
                <w:sz w:val="24"/>
                <w:szCs w:val="32"/>
                <w:lang w:val="en-US" w:eastAsia="zh-CN"/>
              </w:rPr>
              <w:t>0</w:t>
            </w:r>
            <w:r>
              <w:rPr>
                <w:rFonts w:hint="default" w:ascii="Times New Roman" w:hAnsi="Times New Roman" w:cs="Times New Roman"/>
                <w:color w:val="FF0000"/>
                <w:kern w:val="2"/>
                <w:sz w:val="24"/>
                <w:szCs w:val="32"/>
                <w:lang w:eastAsia="zh-CN"/>
              </w:rPr>
              <w:t>。</w:t>
            </w:r>
          </w:p>
          <w:p>
            <w:pPr>
              <w:jc w:val="center"/>
              <w:rPr>
                <w:rFonts w:hint="default" w:ascii="Times New Roman" w:hAnsi="Times New Roman" w:cs="Times New Roman"/>
                <w:color w:val="FF0000"/>
                <w:kern w:val="2"/>
                <w:sz w:val="21"/>
                <w:szCs w:val="21"/>
                <w:lang w:eastAsia="zh-CN"/>
              </w:rPr>
            </w:pPr>
            <w:r>
              <w:rPr>
                <w:rFonts w:hint="default" w:ascii="Times New Roman" w:hAnsi="Times New Roman" w:cs="Times New Roman"/>
                <w:b/>
                <w:bCs/>
                <w:color w:val="FF0000"/>
                <w:kern w:val="2"/>
                <w:sz w:val="21"/>
                <w:szCs w:val="21"/>
                <w:lang w:eastAsia="zh-CN"/>
              </w:rPr>
              <w:t>表4-1</w:t>
            </w:r>
            <w:r>
              <w:rPr>
                <w:rFonts w:hint="eastAsia" w:ascii="Times New Roman" w:hAnsi="Times New Roman" w:cs="Times New Roman"/>
                <w:b/>
                <w:bCs/>
                <w:color w:val="FF0000"/>
                <w:kern w:val="2"/>
                <w:sz w:val="21"/>
                <w:szCs w:val="21"/>
                <w:lang w:val="en-US" w:eastAsia="zh-CN"/>
              </w:rPr>
              <w:t>0</w:t>
            </w:r>
            <w:r>
              <w:rPr>
                <w:rFonts w:hint="default" w:ascii="Times New Roman" w:hAnsi="Times New Roman" w:cs="Times New Roman"/>
                <w:b/>
                <w:bCs/>
                <w:color w:val="FF0000"/>
                <w:kern w:val="2"/>
                <w:sz w:val="21"/>
                <w:szCs w:val="21"/>
                <w:lang w:eastAsia="zh-CN"/>
              </w:rPr>
              <w:t xml:space="preserve">    防渗工程做法及要求</w:t>
            </w:r>
          </w:p>
          <w:tbl>
            <w:tblPr>
              <w:tblStyle w:val="28"/>
              <w:tblW w:w="845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2762"/>
              <w:gridCol w:w="44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jc w:val="center"/>
              </w:trPr>
              <w:tc>
                <w:tcPr>
                  <w:tcW w:w="1284"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污染区</w:t>
                  </w:r>
                </w:p>
              </w:tc>
              <w:tc>
                <w:tcPr>
                  <w:tcW w:w="2762"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区域</w:t>
                  </w:r>
                </w:p>
              </w:tc>
              <w:tc>
                <w:tcPr>
                  <w:tcW w:w="4412"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防渗结构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jc w:val="center"/>
              </w:trPr>
              <w:tc>
                <w:tcPr>
                  <w:tcW w:w="1284"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重点防渗区</w:t>
                  </w:r>
                </w:p>
              </w:tc>
              <w:tc>
                <w:tcPr>
                  <w:tcW w:w="2762" w:type="dxa"/>
                  <w:vAlign w:val="center"/>
                </w:tcPr>
                <w:p>
                  <w:pPr>
                    <w:jc w:val="center"/>
                    <w:rPr>
                      <w:rFonts w:hint="default" w:ascii="Times New Roman" w:hAnsi="Times New Roman" w:cs="Times New Roman"/>
                      <w:color w:val="FF0000"/>
                      <w:kern w:val="2"/>
                      <w:sz w:val="21"/>
                      <w:szCs w:val="24"/>
                      <w:lang w:val="en-US" w:eastAsia="zh-CN"/>
                    </w:rPr>
                  </w:pPr>
                  <w:r>
                    <w:rPr>
                      <w:rFonts w:hint="default" w:ascii="Times New Roman" w:hAnsi="Times New Roman" w:cs="Times New Roman"/>
                      <w:color w:val="FF0000"/>
                      <w:kern w:val="2"/>
                      <w:sz w:val="21"/>
                      <w:szCs w:val="24"/>
                      <w:lang w:eastAsia="zh-CN"/>
                    </w:rPr>
                    <w:t>危废暂存间</w:t>
                  </w:r>
                  <w:r>
                    <w:rPr>
                      <w:rFonts w:hint="eastAsia" w:ascii="Times New Roman" w:hAnsi="Times New Roman" w:cs="Times New Roman"/>
                      <w:color w:val="FF0000"/>
                      <w:kern w:val="2"/>
                      <w:sz w:val="21"/>
                      <w:szCs w:val="24"/>
                      <w:lang w:eastAsia="zh-CN"/>
                    </w:rPr>
                    <w:t>、</w:t>
                  </w:r>
                  <w:r>
                    <w:rPr>
                      <w:rFonts w:hint="eastAsia" w:ascii="Times New Roman" w:hAnsi="Times New Roman" w:cs="Times New Roman"/>
                      <w:color w:val="FF0000"/>
                      <w:kern w:val="2"/>
                      <w:sz w:val="21"/>
                      <w:szCs w:val="24"/>
                      <w:lang w:val="en-US" w:eastAsia="zh-CN"/>
                    </w:rPr>
                    <w:t>微生物实验区</w:t>
                  </w:r>
                </w:p>
              </w:tc>
              <w:tc>
                <w:tcPr>
                  <w:tcW w:w="4412"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可采取防渗混凝土+2mm厚HDPE防渗层进行防渗、防腐处理，确保防渗性能与6.0m厚黏土防渗层等效，防渗系数K≤1×10</w:t>
                  </w:r>
                  <w:r>
                    <w:rPr>
                      <w:rFonts w:hint="default" w:ascii="Times New Roman" w:hAnsi="Times New Roman" w:cs="Times New Roman"/>
                      <w:color w:val="FF0000"/>
                      <w:kern w:val="2"/>
                      <w:sz w:val="21"/>
                      <w:szCs w:val="24"/>
                      <w:vertAlign w:val="superscript"/>
                      <w:lang w:eastAsia="zh-CN"/>
                    </w:rPr>
                    <w:t>-10</w:t>
                  </w:r>
                  <w:r>
                    <w:rPr>
                      <w:rFonts w:hint="default" w:ascii="Times New Roman" w:hAnsi="Times New Roman" w:cs="Times New Roman"/>
                      <w:color w:val="FF0000"/>
                      <w:kern w:val="2"/>
                      <w:sz w:val="21"/>
                      <w:szCs w:val="24"/>
                      <w:lang w:eastAsia="zh-CN"/>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jc w:val="center"/>
              </w:trPr>
              <w:tc>
                <w:tcPr>
                  <w:tcW w:w="1284" w:type="dxa"/>
                  <w:vAlign w:val="center"/>
                </w:tcPr>
                <w:p>
                  <w:pPr>
                    <w:jc w:val="center"/>
                    <w:rPr>
                      <w:rFonts w:hint="default" w:ascii="Times New Roman" w:hAnsi="Times New Roman" w:cs="Times New Roman"/>
                      <w:color w:val="FF0000"/>
                      <w:kern w:val="2"/>
                      <w:sz w:val="21"/>
                      <w:szCs w:val="24"/>
                      <w:lang w:val="en-US" w:eastAsia="zh-CN"/>
                    </w:rPr>
                  </w:pPr>
                  <w:r>
                    <w:rPr>
                      <w:rFonts w:hint="eastAsia" w:ascii="Times New Roman" w:hAnsi="Times New Roman" w:cs="Times New Roman"/>
                      <w:color w:val="FF0000"/>
                      <w:kern w:val="2"/>
                      <w:sz w:val="21"/>
                      <w:szCs w:val="24"/>
                      <w:lang w:val="en-US" w:eastAsia="zh-CN"/>
                    </w:rPr>
                    <w:t>一般防渗区</w:t>
                  </w:r>
                </w:p>
              </w:tc>
              <w:tc>
                <w:tcPr>
                  <w:tcW w:w="2762" w:type="dxa"/>
                  <w:vAlign w:val="center"/>
                </w:tcPr>
                <w:p>
                  <w:pPr>
                    <w:jc w:val="center"/>
                    <w:rPr>
                      <w:rFonts w:hint="default" w:ascii="Times New Roman" w:hAnsi="Times New Roman" w:cs="Times New Roman"/>
                      <w:color w:val="FF0000"/>
                      <w:kern w:val="2"/>
                      <w:sz w:val="21"/>
                      <w:szCs w:val="24"/>
                      <w:lang w:eastAsia="zh-CN"/>
                    </w:rPr>
                  </w:pPr>
                  <w:r>
                    <w:rPr>
                      <w:rFonts w:hint="eastAsia" w:ascii="Times New Roman" w:hAnsi="Times New Roman" w:cs="Times New Roman"/>
                      <w:color w:val="FF0000"/>
                      <w:kern w:val="2"/>
                      <w:sz w:val="21"/>
                      <w:szCs w:val="24"/>
                      <w:lang w:val="en-US" w:eastAsia="zh-CN"/>
                    </w:rPr>
                    <w:t>室外</w:t>
                  </w:r>
                  <w:r>
                    <w:rPr>
                      <w:rFonts w:hint="default" w:ascii="Times New Roman" w:hAnsi="Times New Roman" w:cs="Times New Roman"/>
                      <w:color w:val="FF0000"/>
                      <w:kern w:val="2"/>
                      <w:sz w:val="21"/>
                      <w:szCs w:val="24"/>
                      <w:lang w:eastAsia="zh-CN"/>
                    </w:rPr>
                    <w:t>污水管道沿线区域</w:t>
                  </w:r>
                </w:p>
              </w:tc>
              <w:tc>
                <w:tcPr>
                  <w:tcW w:w="4412"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可采取防渗混凝土防渗层进行防渗、防腐处理，防渗系数K≤1×10</w:t>
                  </w:r>
                  <w:r>
                    <w:rPr>
                      <w:rFonts w:hint="default" w:ascii="Times New Roman" w:hAnsi="Times New Roman" w:cs="Times New Roman"/>
                      <w:color w:val="FF0000"/>
                      <w:kern w:val="2"/>
                      <w:sz w:val="21"/>
                      <w:szCs w:val="24"/>
                      <w:vertAlign w:val="superscript"/>
                      <w:lang w:eastAsia="zh-CN"/>
                    </w:rPr>
                    <w:t>-</w:t>
                  </w:r>
                  <w:r>
                    <w:rPr>
                      <w:rFonts w:hint="eastAsia" w:ascii="Times New Roman" w:hAnsi="Times New Roman" w:cs="Times New Roman"/>
                      <w:color w:val="FF0000"/>
                      <w:kern w:val="2"/>
                      <w:sz w:val="21"/>
                      <w:szCs w:val="24"/>
                      <w:vertAlign w:val="superscript"/>
                      <w:lang w:val="en-US" w:eastAsia="zh-CN"/>
                    </w:rPr>
                    <w:t>7</w:t>
                  </w:r>
                  <w:r>
                    <w:rPr>
                      <w:rFonts w:hint="default" w:ascii="Times New Roman" w:hAnsi="Times New Roman" w:cs="Times New Roman"/>
                      <w:color w:val="FF0000"/>
                      <w:kern w:val="2"/>
                      <w:sz w:val="21"/>
                      <w:szCs w:val="24"/>
                      <w:lang w:eastAsia="zh-CN"/>
                    </w:rPr>
                    <w:t>cm/s；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1284"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简单防渗区</w:t>
                  </w:r>
                </w:p>
              </w:tc>
              <w:tc>
                <w:tcPr>
                  <w:tcW w:w="2762" w:type="dxa"/>
                  <w:vAlign w:val="center"/>
                </w:tcPr>
                <w:p>
                  <w:pPr>
                    <w:jc w:val="center"/>
                    <w:rPr>
                      <w:rFonts w:hint="default" w:ascii="Times New Roman" w:hAnsi="Times New Roman" w:cs="Times New Roman"/>
                      <w:color w:val="FF0000"/>
                      <w:kern w:val="2"/>
                      <w:sz w:val="21"/>
                      <w:szCs w:val="24"/>
                      <w:lang w:eastAsia="zh-CN"/>
                    </w:rPr>
                  </w:pPr>
                  <w:r>
                    <w:rPr>
                      <w:rFonts w:hint="eastAsia" w:ascii="Times New Roman" w:hAnsi="Times New Roman" w:cs="Times New Roman"/>
                      <w:color w:val="FF0000"/>
                      <w:kern w:val="2"/>
                      <w:sz w:val="21"/>
                      <w:szCs w:val="24"/>
                      <w:lang w:val="en-US" w:eastAsia="zh-CN"/>
                    </w:rPr>
                    <w:t>其他区域</w:t>
                  </w:r>
                </w:p>
              </w:tc>
              <w:tc>
                <w:tcPr>
                  <w:tcW w:w="4412" w:type="dxa"/>
                  <w:vAlign w:val="center"/>
                </w:tcPr>
                <w:p>
                  <w:pPr>
                    <w:jc w:val="center"/>
                    <w:rPr>
                      <w:rFonts w:hint="default" w:ascii="Times New Roman" w:hAnsi="Times New Roman" w:cs="Times New Roman"/>
                      <w:color w:val="FF0000"/>
                      <w:kern w:val="2"/>
                      <w:sz w:val="21"/>
                      <w:szCs w:val="24"/>
                      <w:lang w:eastAsia="zh-CN"/>
                    </w:rPr>
                  </w:pPr>
                  <w:r>
                    <w:rPr>
                      <w:rFonts w:hint="default" w:ascii="Times New Roman" w:hAnsi="Times New Roman" w:cs="Times New Roman"/>
                      <w:color w:val="FF0000"/>
                      <w:kern w:val="2"/>
                      <w:sz w:val="21"/>
                      <w:szCs w:val="24"/>
                      <w:lang w:eastAsia="zh-CN"/>
                    </w:rPr>
                    <w:t>一般地面硬化</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6</w:t>
            </w:r>
            <w:r>
              <w:rPr>
                <w:rFonts w:ascii="Times New Roman" w:hAnsi="Times New Roman" w:eastAsia="宋体" w:cs="Times New Roman"/>
                <w:b/>
                <w:bCs/>
                <w:color w:val="000000" w:themeColor="text1"/>
                <w:sz w:val="24"/>
                <w:szCs w:val="24"/>
                <w:lang w:eastAsia="zh-CN"/>
                <w14:textFill>
                  <w14:solidFill>
                    <w14:schemeClr w14:val="tx1"/>
                  </w14:solidFill>
                </w14:textFill>
              </w:rPr>
              <w:t>、环境风险</w:t>
            </w:r>
          </w:p>
          <w:p>
            <w:pPr>
              <w:pStyle w:val="39"/>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（1）风险调查</w:t>
            </w:r>
          </w:p>
          <w:p>
            <w:pPr>
              <w:keepNext w:val="0"/>
              <w:keepLines w:val="0"/>
              <w:pageBreakBefore w:val="0"/>
              <w:widowControl w:val="0"/>
              <w:kinsoku/>
              <w:wordWrap/>
              <w:overflowPunct/>
              <w:topLinePunct w:val="0"/>
              <w:autoSpaceDE/>
              <w:autoSpaceDN/>
              <w:bidi w:val="0"/>
              <w:adjustRightInd/>
              <w:snapToGrid/>
              <w:spacing w:line="360" w:lineRule="auto"/>
              <w:ind w:left="0" w:firstLine="504" w:firstLineChars="200"/>
              <w:textAlignment w:val="auto"/>
              <w:rPr>
                <w:rFonts w:hint="default" w:ascii="Times New Roman" w:hAnsi="Times New Roman" w:eastAsia="宋体" w:cs="Times New Roman"/>
                <w:color w:val="000000" w:themeColor="text1"/>
                <w:spacing w:val="6"/>
                <w:sz w:val="24"/>
                <w:szCs w:val="22"/>
                <w14:textFill>
                  <w14:solidFill>
                    <w14:schemeClr w14:val="tx1"/>
                  </w14:solidFill>
                </w14:textFill>
              </w:rPr>
            </w:pPr>
            <w:r>
              <w:rPr>
                <w:rFonts w:hint="default" w:ascii="Times New Roman" w:hAnsi="Times New Roman" w:eastAsia="宋体" w:cs="Times New Roman"/>
                <w:color w:val="000000" w:themeColor="text1"/>
                <w:spacing w:val="6"/>
                <w:sz w:val="24"/>
                <w:szCs w:val="22"/>
                <w14:textFill>
                  <w14:solidFill>
                    <w14:schemeClr w14:val="tx1"/>
                  </w14:solidFill>
                </w14:textFill>
              </w:rPr>
              <w:t>依据《建设项目环境风险评价技术导则》（HJ169-2018）表 B.1可知，本项目在生产过程中涉及的主要风险物质为75%医用酒精。主要分布在实验室、试剂室内，这些物质在储存、使用过程中具有一定的环境风险。本项目涉及的主要危险物质及其临界量见下表。</w:t>
            </w:r>
          </w:p>
          <w:p>
            <w:pPr>
              <w:pStyle w:val="30"/>
              <w:jc w:val="center"/>
              <w:rPr>
                <w:rFonts w:hint="default"/>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表</w:t>
            </w:r>
            <w:r>
              <w:rPr>
                <w:rFonts w:hint="eastAsia"/>
                <w:b/>
                <w:bCs/>
                <w:color w:val="000000" w:themeColor="text1"/>
                <w:lang w:val="en-US" w:eastAsia="zh-CN"/>
                <w14:textFill>
                  <w14:solidFill>
                    <w14:schemeClr w14:val="tx1"/>
                  </w14:solidFill>
                </w14:textFill>
              </w:rPr>
              <w:t xml:space="preserve">4-11    </w:t>
            </w:r>
            <w:r>
              <w:rPr>
                <w:rFonts w:hint="default"/>
                <w:b/>
                <w:bCs/>
                <w:color w:val="000000" w:themeColor="text1"/>
                <w14:textFill>
                  <w14:solidFill>
                    <w14:schemeClr w14:val="tx1"/>
                  </w14:solidFill>
                </w14:textFill>
              </w:rPr>
              <w:t>项目主要危险物质特性一览表</w:t>
            </w:r>
          </w:p>
          <w:tbl>
            <w:tblPr>
              <w:tblStyle w:val="29"/>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20"/>
              <w:gridCol w:w="3531"/>
              <w:gridCol w:w="178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96" w:type="dxa"/>
                  <w:vAlign w:val="center"/>
                </w:tcPr>
                <w:p>
                  <w:pPr>
                    <w:adjustRightInd w:val="0"/>
                    <w:snapToGrid w:val="0"/>
                    <w:jc w:val="cente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eastAsia="zh-CN"/>
                      <w14:textFill>
                        <w14:solidFill>
                          <w14:schemeClr w14:val="tx1"/>
                        </w14:solidFill>
                      </w14:textFill>
                    </w:rPr>
                    <w:t>物料名称</w:t>
                  </w:r>
                </w:p>
              </w:tc>
              <w:tc>
                <w:tcPr>
                  <w:tcW w:w="720" w:type="dxa"/>
                  <w:vAlign w:val="center"/>
                </w:tcPr>
                <w:p>
                  <w:pPr>
                    <w:adjustRightInd w:val="0"/>
                    <w:snapToGrid w:val="0"/>
                    <w:jc w:val="center"/>
                    <w:rPr>
                      <w:rFonts w:hint="default" w:ascii="Times New Roman" w:hAnsi="Times New Roman" w:cs="Times New Roman" w:eastAsiaTheme="minorEastAsia"/>
                      <w:snapToGrid w:val="0"/>
                      <w:color w:val="000000" w:themeColor="text1"/>
                      <w:kern w:val="0"/>
                      <w:sz w:val="21"/>
                      <w:szCs w:val="20"/>
                      <w:lang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eastAsia="zh-CN"/>
                      <w14:textFill>
                        <w14:solidFill>
                          <w14:schemeClr w14:val="tx1"/>
                        </w14:solidFill>
                      </w14:textFill>
                    </w:rPr>
                    <w:t>用途</w:t>
                  </w:r>
                </w:p>
              </w:tc>
              <w:tc>
                <w:tcPr>
                  <w:tcW w:w="3531"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eastAsia="zh-CN"/>
                      <w14:textFill>
                        <w14:solidFill>
                          <w14:schemeClr w14:val="tx1"/>
                        </w14:solidFill>
                      </w14:textFill>
                    </w:rPr>
                    <w:t>健康危害</w:t>
                  </w:r>
                </w:p>
              </w:tc>
              <w:tc>
                <w:tcPr>
                  <w:tcW w:w="1788"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eastAsia="zh-CN"/>
                      <w14:textFill>
                        <w14:solidFill>
                          <w14:schemeClr w14:val="tx1"/>
                        </w14:solidFill>
                      </w14:textFill>
                    </w:rPr>
                    <w:t>危险特性</w:t>
                  </w:r>
                </w:p>
              </w:tc>
              <w:tc>
                <w:tcPr>
                  <w:tcW w:w="1782"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毒物危害程度分段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7" w:hRule="atLeast"/>
                <w:jc w:val="center"/>
              </w:trPr>
              <w:tc>
                <w:tcPr>
                  <w:tcW w:w="796" w:type="dxa"/>
                  <w:vAlign w:val="center"/>
                </w:tcPr>
                <w:p>
                  <w:pPr>
                    <w:adjustRightInd w:val="0"/>
                    <w:snapToGrid w:val="0"/>
                    <w:jc w:val="center"/>
                    <w:rPr>
                      <w:rFonts w:hint="default" w:ascii="Times New Roman" w:hAnsi="Times New Roman" w:cs="Times New Roman" w:eastAsiaTheme="minorEastAsia"/>
                      <w:snapToGrid w:val="0"/>
                      <w:color w:val="000000" w:themeColor="text1"/>
                      <w:kern w:val="0"/>
                      <w:sz w:val="21"/>
                      <w:szCs w:val="20"/>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酒精</w:t>
                  </w:r>
                </w:p>
              </w:tc>
              <w:tc>
                <w:tcPr>
                  <w:tcW w:w="720" w:type="dxa"/>
                  <w:vAlign w:val="center"/>
                </w:tcPr>
                <w:p>
                  <w:pPr>
                    <w:adjustRightInd w:val="0"/>
                    <w:snapToGrid w:val="0"/>
                    <w:jc w:val="center"/>
                    <w:rPr>
                      <w:rFonts w:hint="default" w:ascii="Times New Roman" w:hAnsi="Times New Roman" w:cs="Times New Roman" w:eastAsiaTheme="minorEastAsia"/>
                      <w:snapToGrid w:val="0"/>
                      <w:color w:val="000000" w:themeColor="text1"/>
                      <w:kern w:val="0"/>
                      <w:sz w:val="21"/>
                      <w:szCs w:val="20"/>
                      <w14:textFill>
                        <w14:solidFill>
                          <w14:schemeClr w14:val="tx1"/>
                        </w14:solidFill>
                      </w14:textFill>
                    </w:rPr>
                  </w:pPr>
                  <w:r>
                    <w:rPr>
                      <w:rFonts w:hint="eastAsia" w:ascii="Times New Roman" w:hAnsi="Times New Roman" w:cs="Times New Roman"/>
                      <w:snapToGrid w:val="0"/>
                      <w:color w:val="000000" w:themeColor="text1"/>
                      <w:kern w:val="0"/>
                      <w:sz w:val="21"/>
                      <w:szCs w:val="20"/>
                      <w:lang w:val="en-US" w:eastAsia="zh-CN"/>
                      <w14:textFill>
                        <w14:solidFill>
                          <w14:schemeClr w14:val="tx1"/>
                        </w14:solidFill>
                      </w14:textFill>
                    </w:rPr>
                    <w:t>实验</w:t>
                  </w:r>
                </w:p>
              </w:tc>
              <w:tc>
                <w:tcPr>
                  <w:tcW w:w="3531"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本品为中枢神经系统抑制剂。首先引起兴奋，随后抑制。急性中毒：急性中毒多发生于口服。一般可分为兴奋、催眠、麻醉、窒息四阶段。患者进入第三或第四阶段，出现意识丧失、瞳孔扩大、呼吸不规律、休克、心力循环衰竭及呼吸停止。慢性影响：在生产中长期接触高浓度本品可引起鼻、眼、粘膜刺激症状，以及头痛、头晕、疲乏、易激动、震颤、恶心等。长期酗酒可引起多发性神经病、慢性胃炎、脂肪肝、肝硬化、心肌损害及器质性精神病等。皮肤长期接触可引起干燥、脱屑、皲裂和皮炎。</w:t>
                  </w:r>
                </w:p>
              </w:tc>
              <w:tc>
                <w:tcPr>
                  <w:tcW w:w="1788"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易燃，其蒸气与空气可形成爆炸性混合物。遇明火、高热能引起燃烧爆炸。与氧化剂接触发生化学反应或引起燃烧。在火场中，受热的容器有爆炸危险。其蒸气比空气重，能在较低处扩散到相当远的地方，遇明火会引着回燃。</w:t>
                  </w:r>
                </w:p>
              </w:tc>
              <w:tc>
                <w:tcPr>
                  <w:tcW w:w="1782" w:type="dxa"/>
                  <w:vAlign w:val="top"/>
                </w:tcPr>
                <w:p>
                  <w:pPr>
                    <w:adjustRightInd w:val="0"/>
                    <w:snapToGrid w:val="0"/>
                    <w:jc w:val="cente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pP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LD50：7060mg/kg（兔经口）；7340mg/kg（兔经皮）；LC50：37620mg/m</w:t>
                  </w:r>
                  <w:r>
                    <w:rPr>
                      <w:rFonts w:hint="default" w:ascii="Times New Roman" w:hAnsi="Times New Roman" w:cs="Times New Roman" w:eastAsiaTheme="minorEastAsia"/>
                      <w:snapToGrid w:val="0"/>
                      <w:color w:val="000000" w:themeColor="text1"/>
                      <w:kern w:val="0"/>
                      <w:sz w:val="21"/>
                      <w:szCs w:val="20"/>
                      <w:vertAlign w:val="superscript"/>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kern w:val="0"/>
                      <w:sz w:val="21"/>
                      <w:szCs w:val="20"/>
                      <w:lang w:val="en-US" w:eastAsia="zh-CN"/>
                      <w14:textFill>
                        <w14:solidFill>
                          <w14:schemeClr w14:val="tx1"/>
                        </w14:solidFill>
                      </w14:textFill>
                    </w:rPr>
                    <w:t>，10小时（大鼠吸入）；人吸入4.3mg/L×50分钟，头面部发热，四肢发凉，头痛；人吸入2.6mg/L×39分钟，头痛，无后作用。</w:t>
                  </w:r>
                </w:p>
              </w:tc>
            </w:tr>
          </w:tbl>
          <w:p>
            <w:pPr>
              <w:pStyle w:val="39"/>
              <w:spacing w:line="360" w:lineRule="auto"/>
              <w:ind w:firstLine="480" w:firstLineChars="200"/>
              <w:rPr>
                <w:rFonts w:hint="default"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lang w:val="en-US" w:eastAsia="zh-CN"/>
              </w:rPr>
              <w:t>根据调查，本项目风险源主要为试剂间、生物实验室、危废间。</w:t>
            </w:r>
            <w:r>
              <w:rPr>
                <w:rFonts w:hint="default" w:ascii="Times New Roman" w:hAnsi="Times New Roman" w:eastAsia="宋体" w:cs="Times New Roman"/>
                <w:color w:val="FF0000"/>
                <w:sz w:val="24"/>
                <w:szCs w:val="24"/>
              </w:rPr>
              <w:t>本项目环境风险识别情况详见下表。</w:t>
            </w:r>
          </w:p>
          <w:p>
            <w:pPr>
              <w:keepNext w:val="0"/>
              <w:keepLines w:val="0"/>
              <w:pageBreakBefore w:val="0"/>
              <w:widowControl w:val="0"/>
              <w:tabs>
                <w:tab w:val="left" w:pos="4235"/>
              </w:tabs>
              <w:kinsoku/>
              <w:wordWrap/>
              <w:overflowPunct/>
              <w:topLinePunct w:val="0"/>
              <w:autoSpaceDE/>
              <w:autoSpaceDN/>
              <w:bidi w:val="0"/>
              <w:adjustRightInd/>
              <w:snapToGrid/>
              <w:jc w:val="center"/>
              <w:textAlignment w:val="auto"/>
              <w:rPr>
                <w:rFonts w:hint="default" w:ascii="Times New Roman" w:hAnsi="Times New Roman" w:eastAsia="宋体" w:cs="Times New Roman"/>
                <w:b/>
                <w:color w:val="FF0000"/>
                <w:sz w:val="21"/>
              </w:rPr>
            </w:pPr>
            <w:r>
              <w:rPr>
                <w:rFonts w:hint="default" w:ascii="Times New Roman" w:hAnsi="Times New Roman" w:eastAsia="宋体" w:cs="Times New Roman"/>
                <w:b/>
                <w:color w:val="FF0000"/>
                <w:sz w:val="21"/>
              </w:rPr>
              <w:t>表</w:t>
            </w:r>
            <w:r>
              <w:rPr>
                <w:rFonts w:hint="default" w:ascii="Times New Roman" w:hAnsi="Times New Roman" w:eastAsia="宋体" w:cs="Times New Roman"/>
                <w:b/>
                <w:color w:val="FF0000"/>
                <w:sz w:val="21"/>
                <w:lang w:eastAsia="zh-CN"/>
              </w:rPr>
              <w:t>4-1</w:t>
            </w:r>
            <w:r>
              <w:rPr>
                <w:rFonts w:hint="eastAsia" w:ascii="Times New Roman" w:hAnsi="Times New Roman" w:eastAsia="宋体" w:cs="Times New Roman"/>
                <w:b/>
                <w:color w:val="FF0000"/>
                <w:sz w:val="21"/>
                <w:lang w:val="en-US" w:eastAsia="zh-CN"/>
              </w:rPr>
              <w:t>6</w:t>
            </w:r>
            <w:r>
              <w:rPr>
                <w:rFonts w:hint="default" w:ascii="Times New Roman" w:hAnsi="Times New Roman" w:eastAsia="宋体" w:cs="Times New Roman"/>
                <w:b/>
                <w:color w:val="FF0000"/>
                <w:sz w:val="21"/>
                <w:lang w:eastAsia="zh-CN"/>
              </w:rPr>
              <w:t xml:space="preserve">      </w:t>
            </w:r>
            <w:r>
              <w:rPr>
                <w:rFonts w:hint="default" w:ascii="Times New Roman" w:hAnsi="Times New Roman" w:eastAsia="宋体" w:cs="Times New Roman"/>
                <w:b/>
                <w:color w:val="FF0000"/>
                <w:sz w:val="21"/>
              </w:rPr>
              <w:t>本项目环境风险识别情况一览表</w:t>
            </w:r>
          </w:p>
          <w:tbl>
            <w:tblPr>
              <w:tblStyle w:val="28"/>
              <w:tblW w:w="8558"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95"/>
              <w:gridCol w:w="1859"/>
              <w:gridCol w:w="2056"/>
              <w:gridCol w:w="1331"/>
              <w:gridCol w:w="221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jc w:val="center"/>
              </w:trPr>
              <w:tc>
                <w:tcPr>
                  <w:tcW w:w="109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风险源项</w:t>
                  </w:r>
                </w:p>
              </w:tc>
              <w:tc>
                <w:tcPr>
                  <w:tcW w:w="1859"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主要危险物质</w:t>
                  </w:r>
                </w:p>
              </w:tc>
              <w:tc>
                <w:tcPr>
                  <w:tcW w:w="205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事故类型</w:t>
                  </w:r>
                </w:p>
              </w:tc>
              <w:tc>
                <w:tcPr>
                  <w:tcW w:w="1331"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事故原因</w:t>
                  </w:r>
                </w:p>
              </w:tc>
              <w:tc>
                <w:tcPr>
                  <w:tcW w:w="2217"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环境影响途径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71" w:hRule="atLeast"/>
                <w:jc w:val="center"/>
              </w:trPr>
              <w:tc>
                <w:tcPr>
                  <w:tcW w:w="109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试剂间</w:t>
                  </w:r>
                </w:p>
              </w:tc>
              <w:tc>
                <w:tcPr>
                  <w:tcW w:w="1859" w:type="dxa"/>
                  <w:tcBorders>
                    <w:tl2br w:val="nil"/>
                    <w:tr2bl w:val="nil"/>
                  </w:tcBorders>
                  <w:vAlign w:val="center"/>
                </w:tcPr>
                <w:p>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抗原、酒精</w:t>
                  </w:r>
                </w:p>
              </w:tc>
              <w:tc>
                <w:tcPr>
                  <w:tcW w:w="205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试剂间易燃化学品泄</w:t>
                  </w:r>
                </w:p>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露，遇明火发生火灾、爆炸</w:t>
                  </w:r>
                </w:p>
              </w:tc>
              <w:tc>
                <w:tcPr>
                  <w:tcW w:w="1331"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误操作、设</w:t>
                  </w:r>
                </w:p>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备、容器破损</w:t>
                  </w:r>
                </w:p>
              </w:tc>
              <w:tc>
                <w:tcPr>
                  <w:tcW w:w="2217"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泄露后溢流、无组织挥发，火灾后有毒烟雾扩散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09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废气处理</w:t>
                  </w:r>
                </w:p>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系统</w:t>
                  </w:r>
                  <w:r>
                    <w:commentReference w:id="11"/>
                  </w:r>
                </w:p>
              </w:tc>
              <w:tc>
                <w:tcPr>
                  <w:tcW w:w="1859" w:type="dxa"/>
                  <w:tcBorders>
                    <w:tl2br w:val="nil"/>
                    <w:tr2bl w:val="nil"/>
                  </w:tcBorders>
                  <w:vAlign w:val="center"/>
                </w:tcPr>
                <w:p>
                  <w:pPr>
                    <w:jc w:val="center"/>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病原微生物</w:t>
                  </w:r>
                </w:p>
              </w:tc>
              <w:tc>
                <w:tcPr>
                  <w:tcW w:w="205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事故排放</w:t>
                  </w:r>
                </w:p>
              </w:tc>
              <w:tc>
                <w:tcPr>
                  <w:tcW w:w="1331"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处理装置失</w:t>
                  </w:r>
                </w:p>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效</w:t>
                  </w:r>
                </w:p>
              </w:tc>
              <w:tc>
                <w:tcPr>
                  <w:tcW w:w="2217"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无组织排放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jc w:val="center"/>
              </w:trPr>
              <w:tc>
                <w:tcPr>
                  <w:tcW w:w="1095"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实验废水管道、消毒罐</w:t>
                  </w:r>
                </w:p>
              </w:tc>
              <w:tc>
                <w:tcPr>
                  <w:tcW w:w="1859"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试验废水</w:t>
                  </w:r>
                </w:p>
              </w:tc>
              <w:tc>
                <w:tcPr>
                  <w:tcW w:w="2056"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泄露、事故排放</w:t>
                  </w:r>
                </w:p>
              </w:tc>
              <w:tc>
                <w:tcPr>
                  <w:tcW w:w="1331"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操作失误，管道消毒罐破损</w:t>
                  </w:r>
                </w:p>
              </w:tc>
              <w:tc>
                <w:tcPr>
                  <w:tcW w:w="2217" w:type="dxa"/>
                  <w:tcBorders>
                    <w:tl2br w:val="nil"/>
                    <w:tr2bl w:val="nil"/>
                  </w:tcBorders>
                  <w:vAlign w:val="center"/>
                </w:tcPr>
                <w:p>
                  <w:pPr>
                    <w:jc w:val="center"/>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泄露后溢流、渗透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jc w:val="center"/>
              </w:trPr>
              <w:tc>
                <w:tcPr>
                  <w:tcW w:w="1095"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危险废物暂存间</w:t>
                  </w:r>
                </w:p>
              </w:tc>
              <w:tc>
                <w:tcPr>
                  <w:tcW w:w="1859" w:type="dxa"/>
                  <w:tcBorders>
                    <w:tl2br w:val="nil"/>
                    <w:tr2bl w:val="nil"/>
                  </w:tcBorders>
                  <w:vAlign w:val="center"/>
                </w:tcPr>
                <w:p>
                  <w:pPr>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病原微生物</w:t>
                  </w:r>
                </w:p>
              </w:tc>
              <w:tc>
                <w:tcPr>
                  <w:tcW w:w="2056"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泄露</w:t>
                  </w:r>
                </w:p>
              </w:tc>
              <w:tc>
                <w:tcPr>
                  <w:tcW w:w="1331"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误操作、盛装桶破损</w:t>
                  </w:r>
                </w:p>
              </w:tc>
              <w:tc>
                <w:tcPr>
                  <w:tcW w:w="2217" w:type="dxa"/>
                  <w:tcBorders>
                    <w:tl2br w:val="nil"/>
                    <w:tr2bl w:val="nil"/>
                  </w:tcBorders>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泄露后溢流、渗透</w:t>
                  </w:r>
                </w:p>
              </w:tc>
            </w:tr>
          </w:tbl>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z w:val="24"/>
                <w:szCs w:val="24"/>
                <w:lang w:val="en-US" w:eastAsia="zh-CN"/>
              </w:rPr>
            </w:pP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试剂间管理要求：</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项目实验室用的化学试剂包括有机试剂盒无机试剂两大类，试剂形态以固体、液体试剂为主，试剂包装方式均为瓶装。项目化学试剂均从市场固定商家订购，购买后由商家负责运输，运输到项目场地后按照试剂分配单，由后勤人员搬运至各实验科室，实验试剂主要存放在试剂存放室和消洗间。按照实验室相关规范，实验室试剂根据试剂形态和试剂种类采取分区分类存放，有机、无机试剂分类存放，固体、液体试剂分柜、分区存放。</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t>另外，项目各实验室均配有专人看管，并对进出实验的试剂进行登记备案，杜绝了化学试剂发生遗失的可能。</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危废间管理要求：</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rPr>
              <w:t>建设单位应将各类危险废物装入容器分别堆放，并在容器上粘贴符合《危险废物贮存污染控制标准》(GB18597-2023)所示的标签。拟建项目危险废物经内部收集转运至暂存间时，以及危险废物经暂存间转移出来运输至危废处置单位进行处置时，由危废仓库管理人员填写《危险废物出入库交接记录表》，纳入危废贮存档案进行管理。</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（2）风险潜势初判</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48"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8"/>
                <w:sz w:val="24"/>
                <w:szCs w:val="24"/>
                <w14:textFill>
                  <w14:solidFill>
                    <w14:schemeClr w14:val="tx1"/>
                  </w14:solidFill>
                </w14:textFill>
              </w:rPr>
              <w:t>根据《建设项目环境风险评价技术导则》</w:t>
            </w:r>
            <w:r>
              <w:rPr>
                <w:rFonts w:hint="default" w:ascii="Times New Roman" w:hAnsi="Times New Roman" w:eastAsia="宋体" w:cs="Times New Roman"/>
                <w:color w:val="000000" w:themeColor="text1"/>
                <w:sz w:val="24"/>
                <w:szCs w:val="24"/>
                <w14:textFill>
                  <w14:solidFill>
                    <w14:schemeClr w14:val="tx1"/>
                  </w14:solidFill>
                </w14:textFill>
              </w:rPr>
              <w:t>（HJ169-2018）</w:t>
            </w:r>
            <w:r>
              <w:rPr>
                <w:rFonts w:hint="default" w:ascii="Times New Roman" w:hAnsi="Times New Roman" w:eastAsia="宋体" w:cs="Times New Roman"/>
                <w:color w:val="000000" w:themeColor="text1"/>
                <w:spacing w:val="-2"/>
                <w:sz w:val="24"/>
                <w:szCs w:val="24"/>
                <w14:textFill>
                  <w14:solidFill>
                    <w14:schemeClr w14:val="tx1"/>
                  </w14:solidFill>
                </w14:textFill>
              </w:rPr>
              <w:t xml:space="preserve">当存在多种危险物质时， </w:t>
            </w:r>
            <w:r>
              <w:rPr>
                <w:rFonts w:hint="default" w:ascii="Times New Roman" w:hAnsi="Times New Roman" w:eastAsia="宋体" w:cs="Times New Roman"/>
                <w:color w:val="000000" w:themeColor="text1"/>
                <w:sz w:val="24"/>
                <w:szCs w:val="24"/>
                <w14:textFill>
                  <w14:solidFill>
                    <w14:schemeClr w14:val="tx1"/>
                  </w14:solidFill>
                </w14:textFill>
              </w:rPr>
              <w:t>则按式（C.1）计算物质总量与其临界量比值（Q）：</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drawing>
                <wp:inline distT="0" distB="0" distL="114300" distR="114300">
                  <wp:extent cx="1083310" cy="285750"/>
                  <wp:effectExtent l="0" t="0" r="254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8"/>
                          <a:stretch>
                            <a:fillRect/>
                          </a:stretch>
                        </pic:blipFill>
                        <pic:spPr>
                          <a:xfrm>
                            <a:off x="0" y="0"/>
                            <a:ext cx="1083310" cy="285750"/>
                          </a:xfrm>
                          <a:prstGeom prst="rect">
                            <a:avLst/>
                          </a:prstGeom>
                          <a:noFill/>
                          <a:ln>
                            <a:noFill/>
                          </a:ln>
                        </pic:spPr>
                      </pic:pic>
                    </a:graphicData>
                  </a:graphic>
                </wp:inline>
              </w:drawing>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式中：q1、q2……qn——每种危险物质的最大存在总量，t；</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Q1、Q2……Qn——每种危险物质的临界量，t。当 Q＜1 时，该项目环境风险潜势为Ⅰ。</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356"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31"/>
                <w:sz w:val="24"/>
                <w:szCs w:val="24"/>
                <w14:textFill>
                  <w14:solidFill>
                    <w14:schemeClr w14:val="tx1"/>
                  </w14:solidFill>
                </w14:textFill>
              </w:rPr>
              <w:t xml:space="preserve">当 </w:t>
            </w:r>
            <w:r>
              <w:rPr>
                <w:rFonts w:hint="default" w:ascii="Times New Roman" w:hAnsi="Times New Roman" w:eastAsia="宋体" w:cs="Times New Roman"/>
                <w:color w:val="000000" w:themeColor="text1"/>
                <w:sz w:val="24"/>
                <w:szCs w:val="24"/>
                <w14:textFill>
                  <w14:solidFill>
                    <w14:schemeClr w14:val="tx1"/>
                  </w14:solidFill>
                </w14:textFill>
              </w:rPr>
              <w:t xml:space="preserve">Q≥1 </w:t>
            </w:r>
            <w:r>
              <w:rPr>
                <w:rFonts w:hint="default" w:ascii="Times New Roman" w:hAnsi="Times New Roman" w:eastAsia="宋体" w:cs="Times New Roman"/>
                <w:color w:val="000000" w:themeColor="text1"/>
                <w:spacing w:val="-16"/>
                <w:sz w:val="24"/>
                <w:szCs w:val="24"/>
                <w14:textFill>
                  <w14:solidFill>
                    <w14:schemeClr w14:val="tx1"/>
                  </w14:solidFill>
                </w14:textFill>
              </w:rPr>
              <w:t xml:space="preserve">时，将 </w:t>
            </w:r>
            <w:r>
              <w:rPr>
                <w:rFonts w:hint="default" w:ascii="Times New Roman" w:hAnsi="Times New Roman" w:eastAsia="宋体" w:cs="Times New Roman"/>
                <w:color w:val="000000" w:themeColor="text1"/>
                <w:sz w:val="24"/>
                <w:szCs w:val="24"/>
                <w14:textFill>
                  <w14:solidFill>
                    <w14:schemeClr w14:val="tx1"/>
                  </w14:solidFill>
                </w14:textFill>
              </w:rPr>
              <w:t>Q 值划分为：（1）1≤Q＜10；（2）10≤Q＜100；（3）Q≥100。</w:t>
            </w:r>
            <w:r>
              <w:rPr>
                <w:rFonts w:hint="default" w:ascii="Times New Roman" w:hAnsi="Times New Roman" w:eastAsia="宋体" w:cs="Times New Roman"/>
                <w:color w:val="000000" w:themeColor="text1"/>
                <w:spacing w:val="-13"/>
                <w:sz w:val="24"/>
                <w:szCs w:val="24"/>
                <w14:textFill>
                  <w14:solidFill>
                    <w14:schemeClr w14:val="tx1"/>
                  </w14:solidFill>
                </w14:textFill>
              </w:rPr>
              <w:t xml:space="preserve">” </w:t>
            </w:r>
            <w:r>
              <w:rPr>
                <w:rFonts w:hint="default" w:ascii="Times New Roman" w:hAnsi="Times New Roman" w:eastAsia="宋体" w:cs="Times New Roman"/>
                <w:color w:val="000000" w:themeColor="text1"/>
                <w:spacing w:val="-5"/>
                <w:sz w:val="24"/>
                <w:szCs w:val="24"/>
                <w14:textFill>
                  <w14:solidFill>
                    <w14:schemeClr w14:val="tx1"/>
                  </w14:solidFill>
                </w14:textFill>
              </w:rPr>
              <w:t xml:space="preserve">根据项目风险源调查，项目 </w:t>
            </w:r>
            <w:r>
              <w:rPr>
                <w:rFonts w:hint="default" w:ascii="Times New Roman" w:hAnsi="Times New Roman" w:eastAsia="宋体" w:cs="Times New Roman"/>
                <w:color w:val="000000" w:themeColor="text1"/>
                <w:sz w:val="24"/>
                <w:szCs w:val="24"/>
                <w14:textFill>
                  <w14:solidFill>
                    <w14:schemeClr w14:val="tx1"/>
                  </w14:solidFill>
                </w14:textFill>
              </w:rPr>
              <w:t>Q 值计算结果如下表：</w:t>
            </w:r>
          </w:p>
          <w:p>
            <w:pPr>
              <w:pStyle w:val="25"/>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pacing w:val="0"/>
                <w:sz w:val="21"/>
                <w14:textFill>
                  <w14:solidFill>
                    <w14:schemeClr w14:val="tx1"/>
                  </w14:solidFill>
                </w14:textFill>
              </w:rPr>
              <w:t>表</w:t>
            </w:r>
            <w:r>
              <w:rPr>
                <w:rFonts w:hint="eastAsia" w:ascii="Times New Roman" w:hAnsi="Times New Roman" w:eastAsia="宋体" w:cs="Times New Roman"/>
                <w:b/>
                <w:bCs/>
                <w:color w:val="000000" w:themeColor="text1"/>
                <w:spacing w:val="0"/>
                <w:sz w:val="21"/>
                <w:lang w:val="en-US" w:eastAsia="zh-CN"/>
                <w14:textFill>
                  <w14:solidFill>
                    <w14:schemeClr w14:val="tx1"/>
                  </w14:solidFill>
                </w14:textFill>
              </w:rPr>
              <w:t>4-12</w:t>
            </w:r>
            <w:r>
              <w:rPr>
                <w:rFonts w:hint="default" w:ascii="Times New Roman" w:hAnsi="Times New Roman" w:eastAsia="宋体" w:cs="Times New Roman"/>
                <w:b/>
                <w:bCs/>
                <w:color w:val="000000" w:themeColor="text1"/>
                <w:spacing w:val="0"/>
                <w:sz w:val="21"/>
                <w:lang w:val="en-US" w:eastAsia="zh-CN"/>
                <w14:textFill>
                  <w14:solidFill>
                    <w14:schemeClr w14:val="tx1"/>
                  </w14:solidFill>
                </w14:textFill>
              </w:rPr>
              <w:t xml:space="preserve">     危险</w:t>
            </w:r>
            <w:r>
              <w:rPr>
                <w:rFonts w:hint="default" w:ascii="Times New Roman" w:hAnsi="Times New Roman" w:eastAsia="宋体" w:cs="Times New Roman"/>
                <w:b/>
                <w:color w:val="000000" w:themeColor="text1"/>
                <w:sz w:val="21"/>
                <w:lang w:val="en-US" w:eastAsia="zh-CN"/>
                <w14:textFill>
                  <w14:solidFill>
                    <w14:schemeClr w14:val="tx1"/>
                  </w14:solidFill>
                </w14:textFill>
              </w:rPr>
              <w:t>物质数量与临界量比值（Q）计算结果一览表</w:t>
            </w:r>
          </w:p>
          <w:tbl>
            <w:tblPr>
              <w:tblStyle w:val="29"/>
              <w:tblW w:w="8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61"/>
              <w:gridCol w:w="1739"/>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917"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序号</w:t>
                  </w:r>
                </w:p>
              </w:tc>
              <w:tc>
                <w:tcPr>
                  <w:tcW w:w="2561"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名称</w:t>
                  </w:r>
                </w:p>
              </w:tc>
              <w:tc>
                <w:tcPr>
                  <w:tcW w:w="1739"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highlight w:val="none"/>
                      <w:lang w:val="en-US" w:eastAsia="zh-CN"/>
                      <w14:textFill>
                        <w14:solidFill>
                          <w14:schemeClr w14:val="tx1"/>
                        </w14:solidFill>
                      </w14:textFill>
                    </w:rPr>
                    <w:t>最大储量（t）</w:t>
                  </w:r>
                </w:p>
              </w:tc>
              <w:tc>
                <w:tcPr>
                  <w:tcW w:w="1740"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临界量（t）</w:t>
                  </w:r>
                </w:p>
              </w:tc>
              <w:tc>
                <w:tcPr>
                  <w:tcW w:w="1740"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917"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1</w:t>
                  </w:r>
                </w:p>
              </w:tc>
              <w:tc>
                <w:tcPr>
                  <w:tcW w:w="2561" w:type="dxa"/>
                  <w:vAlign w:val="top"/>
                </w:tcPr>
                <w:p>
                  <w:pPr>
                    <w:adjustRightInd w:val="0"/>
                    <w:snapToGrid w:val="0"/>
                    <w:jc w:val="cente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酒精</w:t>
                  </w:r>
                </w:p>
              </w:tc>
              <w:tc>
                <w:tcPr>
                  <w:tcW w:w="1739" w:type="dxa"/>
                  <w:vAlign w:val="top"/>
                </w:tcPr>
                <w:p>
                  <w:pPr>
                    <w:adjustRightInd w:val="0"/>
                    <w:snapToGrid w:val="0"/>
                    <w:jc w:val="center"/>
                    <w:rPr>
                      <w:rFonts w:hint="default"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0.002</w:t>
                  </w:r>
                </w:p>
              </w:tc>
              <w:tc>
                <w:tcPr>
                  <w:tcW w:w="1740" w:type="dxa"/>
                  <w:vAlign w:val="top"/>
                </w:tcPr>
                <w:p>
                  <w:pPr>
                    <w:adjustRightInd w:val="0"/>
                    <w:snapToGrid w:val="0"/>
                    <w:jc w:val="center"/>
                    <w:rPr>
                      <w:rFonts w:hint="default"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500</w:t>
                  </w:r>
                </w:p>
              </w:tc>
              <w:tc>
                <w:tcPr>
                  <w:tcW w:w="1740" w:type="dxa"/>
                  <w:vAlign w:val="top"/>
                </w:tcPr>
                <w:p>
                  <w:pPr>
                    <w:adjustRightInd w:val="0"/>
                    <w:snapToGrid w:val="0"/>
                    <w:jc w:val="center"/>
                    <w:rPr>
                      <w:rFonts w:hint="default" w:ascii="Times New Roman" w:hAnsi="Times New Roman" w:eastAsia="仿宋"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仿宋" w:cs="Times New Roman"/>
                      <w:snapToGrid w:val="0"/>
                      <w:color w:val="000000" w:themeColor="text1"/>
                      <w:kern w:val="0"/>
                      <w:szCs w:val="21"/>
                      <w:lang w:val="en-US" w:eastAsia="zh-CN"/>
                      <w14:textFill>
                        <w14:solidFill>
                          <w14:schemeClr w14:val="tx1"/>
                        </w14:solidFill>
                      </w14:textFill>
                    </w:rPr>
                    <w:t>0.000004</w:t>
                  </w:r>
                </w:p>
              </w:tc>
            </w:tr>
          </w:tbl>
          <w:p>
            <w:pPr>
              <w:spacing w:line="360" w:lineRule="auto"/>
              <w:ind w:firstLine="480" w:firstLineChars="200"/>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本项目所涉及的危险物质总量与其临界量比值Q=0.000004，根据《建设项目环境风险评价技术导则》（HJ169-2018），Q&lt;1时，本项目环境风险潜势为I。</w:t>
            </w:r>
          </w:p>
          <w:p>
            <w:pPr>
              <w:spacing w:line="360" w:lineRule="auto"/>
              <w:ind w:firstLine="480" w:firstLineChars="20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（3）风险受体</w:t>
            </w:r>
          </w:p>
          <w:p>
            <w:pPr>
              <w:spacing w:line="360" w:lineRule="auto"/>
              <w:ind w:firstLine="480" w:firstLineChars="200"/>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按照《建设项目环境风险评价技术导则》(HJ/T169-2018)要求，风险评价工作等级为“简单分析”的项目，不需要设定评价范围。本项目参考大气评价范围，以项目边长取 500m 作为本次的风险评价范围，具体环境风险保护目标及敏感特征见下表。</w:t>
            </w:r>
          </w:p>
          <w:p>
            <w:pPr>
              <w:pStyle w:val="2"/>
              <w:ind w:left="0" w:leftChars="0" w:firstLine="0" w:firstLineChars="0"/>
              <w:jc w:val="center"/>
              <w:rPr>
                <w:rFonts w:hint="default"/>
                <w:b/>
                <w:bCs/>
                <w:color w:val="FF0000"/>
                <w:lang w:val="en-US" w:eastAsia="zh-CN"/>
              </w:rPr>
            </w:pPr>
            <w:r>
              <w:rPr>
                <w:rFonts w:hint="eastAsia" w:ascii="Times New Roman" w:hAnsi="Times New Roman" w:eastAsia="宋体" w:cs="Times New Roman"/>
                <w:b/>
                <w:bCs/>
                <w:color w:val="FF0000"/>
                <w:sz w:val="24"/>
                <w:szCs w:val="24"/>
                <w:lang w:val="en-US" w:eastAsia="zh-CN"/>
              </w:rPr>
              <w:t>表4-13   项目风险受体一览表</w:t>
            </w:r>
          </w:p>
          <w:tbl>
            <w:tblPr>
              <w:tblStyle w:val="28"/>
              <w:tblW w:w="845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73"/>
              <w:gridCol w:w="1501"/>
              <w:gridCol w:w="740"/>
              <w:gridCol w:w="874"/>
              <w:gridCol w:w="879"/>
              <w:gridCol w:w="1248"/>
              <w:gridCol w:w="9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72" w:type="dxa"/>
                  <w:vMerge w:val="restart"/>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名称</w:t>
                  </w:r>
                </w:p>
              </w:tc>
              <w:tc>
                <w:tcPr>
                  <w:tcW w:w="2874" w:type="dxa"/>
                  <w:gridSpan w:val="2"/>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坐标</w:t>
                  </w:r>
                </w:p>
              </w:tc>
              <w:tc>
                <w:tcPr>
                  <w:tcW w:w="740" w:type="dxa"/>
                  <w:vMerge w:val="restart"/>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保护内容</w:t>
                  </w:r>
                </w:p>
              </w:tc>
              <w:tc>
                <w:tcPr>
                  <w:tcW w:w="874"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环境功能区</w:t>
                  </w:r>
                </w:p>
              </w:tc>
              <w:tc>
                <w:tcPr>
                  <w:tcW w:w="879"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相对</w:t>
                  </w:r>
                  <w:r>
                    <w:rPr>
                      <w:rFonts w:hint="eastAsia"/>
                      <w:color w:val="FF0000"/>
                      <w:sz w:val="21"/>
                      <w:szCs w:val="21"/>
                      <w:lang w:eastAsia="zh-CN"/>
                    </w:rPr>
                    <w:t>边界</w:t>
                  </w:r>
                  <w:r>
                    <w:rPr>
                      <w:color w:val="FF0000"/>
                      <w:sz w:val="21"/>
                      <w:szCs w:val="21"/>
                      <w:lang w:eastAsia="zh-CN"/>
                    </w:rPr>
                    <w:t>方位</w:t>
                  </w:r>
                </w:p>
              </w:tc>
              <w:tc>
                <w:tcPr>
                  <w:tcW w:w="1248"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相对</w:t>
                  </w:r>
                  <w:r>
                    <w:rPr>
                      <w:rFonts w:hint="eastAsia"/>
                      <w:color w:val="FF0000"/>
                      <w:sz w:val="21"/>
                      <w:szCs w:val="21"/>
                      <w:lang w:eastAsia="zh-CN"/>
                    </w:rPr>
                    <w:t>边界</w:t>
                  </w:r>
                  <w:r>
                    <w:rPr>
                      <w:color w:val="FF0000"/>
                      <w:sz w:val="21"/>
                      <w:szCs w:val="21"/>
                      <w:lang w:eastAsia="zh-CN"/>
                    </w:rPr>
                    <w:t>距离/m</w:t>
                  </w:r>
                </w:p>
              </w:tc>
              <w:tc>
                <w:tcPr>
                  <w:tcW w:w="971"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872"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1373"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经度</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color w:val="FF0000"/>
                      <w:sz w:val="21"/>
                      <w:szCs w:val="21"/>
                      <w:lang w:eastAsia="zh-CN"/>
                    </w:rPr>
                    <w:t>纬度</w:t>
                  </w:r>
                </w:p>
              </w:tc>
              <w:tc>
                <w:tcPr>
                  <w:tcW w:w="740"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874"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879"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1248"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c>
                <w:tcPr>
                  <w:tcW w:w="971" w:type="dxa"/>
                  <w:vMerge w:val="continue"/>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872"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优山美地小区</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default"/>
                      <w:color w:val="FF0000"/>
                      <w:sz w:val="21"/>
                      <w:szCs w:val="21"/>
                      <w:lang w:val="en-US" w:eastAsia="zh-CN"/>
                    </w:rPr>
                  </w:pPr>
                  <w:r>
                    <w:rPr>
                      <w:rFonts w:hint="eastAsia"/>
                      <w:color w:val="FF0000"/>
                      <w:sz w:val="21"/>
                      <w:szCs w:val="21"/>
                      <w:lang w:eastAsia="zh-CN"/>
                    </w:rPr>
                    <w:t>107.91295</w:t>
                  </w:r>
                  <w:r>
                    <w:rPr>
                      <w:rFonts w:hint="eastAsia"/>
                      <w:color w:val="FF0000"/>
                      <w:sz w:val="21"/>
                      <w:szCs w:val="21"/>
                      <w:lang w:val="en-US" w:eastAsia="zh-CN"/>
                    </w:rPr>
                    <w:t>1</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rFonts w:hint="eastAsia"/>
                      <w:color w:val="FF0000"/>
                      <w:sz w:val="21"/>
                      <w:szCs w:val="21"/>
                      <w:lang w:eastAsia="zh-CN"/>
                    </w:rPr>
                    <w:t>35.511047</w:t>
                  </w:r>
                </w:p>
              </w:tc>
              <w:tc>
                <w:tcPr>
                  <w:tcW w:w="740"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人群</w:t>
                  </w:r>
                </w:p>
              </w:tc>
              <w:tc>
                <w:tcPr>
                  <w:tcW w:w="874" w:type="dxa"/>
                  <w:vMerge w:val="restart"/>
                  <w:tcBorders>
                    <w:tl2br w:val="nil"/>
                    <w:tr2bl w:val="nil"/>
                  </w:tcBorders>
                  <w:vAlign w:val="center"/>
                </w:tcPr>
                <w:p>
                  <w:pPr>
                    <w:adjustRightInd w:val="0"/>
                    <w:snapToGrid w:val="0"/>
                    <w:jc w:val="center"/>
                    <w:rPr>
                      <w:color w:val="FF0000"/>
                      <w:sz w:val="21"/>
                      <w:szCs w:val="21"/>
                      <w:lang w:eastAsia="zh-CN"/>
                    </w:rPr>
                  </w:pPr>
                  <w:r>
                    <w:rPr>
                      <w:color w:val="FF0000"/>
                      <w:sz w:val="21"/>
                      <w:szCs w:val="21"/>
                      <w:lang w:eastAsia="zh-CN"/>
                    </w:rPr>
                    <w:t>二类区</w:t>
                  </w:r>
                </w:p>
              </w:tc>
              <w:tc>
                <w:tcPr>
                  <w:tcW w:w="879" w:type="dxa"/>
                  <w:tcBorders>
                    <w:tl2br w:val="nil"/>
                    <w:tr2bl w:val="nil"/>
                  </w:tcBorders>
                  <w:vAlign w:val="center"/>
                </w:tcPr>
                <w:p>
                  <w:pPr>
                    <w:adjustRightInd w:val="0"/>
                    <w:snapToGrid w:val="0"/>
                    <w:jc w:val="center"/>
                    <w:rPr>
                      <w:rFonts w:hint="default"/>
                      <w:color w:val="FF0000"/>
                      <w:sz w:val="21"/>
                      <w:szCs w:val="21"/>
                      <w:lang w:val="en-US" w:eastAsia="zh-CN"/>
                    </w:rPr>
                  </w:pPr>
                  <w:r>
                    <w:rPr>
                      <w:rFonts w:hint="eastAsia"/>
                      <w:color w:val="FF0000"/>
                      <w:sz w:val="21"/>
                      <w:szCs w:val="21"/>
                      <w:lang w:val="en-US" w:eastAsia="zh-CN"/>
                    </w:rPr>
                    <w:t>N</w:t>
                  </w:r>
                </w:p>
              </w:tc>
              <w:tc>
                <w:tcPr>
                  <w:tcW w:w="1248"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70~400</w:t>
                  </w:r>
                </w:p>
              </w:tc>
              <w:tc>
                <w:tcPr>
                  <w:tcW w:w="971"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500人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72"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马坪小区</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default"/>
                      <w:color w:val="FF0000"/>
                      <w:sz w:val="21"/>
                      <w:szCs w:val="21"/>
                      <w:lang w:val="en-US" w:eastAsia="zh-CN"/>
                    </w:rPr>
                  </w:pPr>
                  <w:r>
                    <w:rPr>
                      <w:rFonts w:hint="eastAsia"/>
                      <w:color w:val="FF0000"/>
                      <w:sz w:val="21"/>
                      <w:szCs w:val="21"/>
                      <w:lang w:eastAsia="zh-CN"/>
                    </w:rPr>
                    <w:t>107.911614</w:t>
                  </w:r>
                </w:p>
              </w:tc>
              <w:tc>
                <w:tcPr>
                  <w:tcW w:w="1501" w:type="dxa"/>
                  <w:tcBorders>
                    <w:tl2br w:val="nil"/>
                    <w:tr2bl w:val="nil"/>
                  </w:tcBorders>
                  <w:vAlign w:val="center"/>
                </w:tcPr>
                <w:p>
                  <w:pPr>
                    <w:tabs>
                      <w:tab w:val="left" w:pos="4757"/>
                      <w:tab w:val="left" w:pos="5802"/>
                      <w:tab w:val="left" w:pos="6847"/>
                    </w:tabs>
                    <w:adjustRightInd w:val="0"/>
                    <w:snapToGrid w:val="0"/>
                    <w:jc w:val="center"/>
                    <w:rPr>
                      <w:color w:val="FF0000"/>
                      <w:sz w:val="21"/>
                      <w:szCs w:val="21"/>
                      <w:lang w:eastAsia="zh-CN"/>
                    </w:rPr>
                  </w:pPr>
                  <w:r>
                    <w:rPr>
                      <w:rFonts w:hint="eastAsia"/>
                      <w:color w:val="FF0000"/>
                      <w:sz w:val="21"/>
                      <w:szCs w:val="21"/>
                      <w:lang w:eastAsia="zh-CN"/>
                    </w:rPr>
                    <w:t>35.505720</w:t>
                  </w:r>
                </w:p>
              </w:tc>
              <w:tc>
                <w:tcPr>
                  <w:tcW w:w="740" w:type="dxa"/>
                  <w:vMerge w:val="continue"/>
                  <w:tcBorders>
                    <w:tl2br w:val="nil"/>
                    <w:tr2bl w:val="nil"/>
                  </w:tcBorders>
                  <w:vAlign w:val="center"/>
                </w:tcPr>
                <w:p>
                  <w:pPr>
                    <w:adjustRightInd w:val="0"/>
                    <w:snapToGrid w:val="0"/>
                    <w:jc w:val="center"/>
                    <w:rPr>
                      <w:color w:val="FF0000"/>
                      <w:sz w:val="21"/>
                      <w:szCs w:val="21"/>
                      <w:lang w:eastAsia="zh-CN"/>
                    </w:rPr>
                  </w:pPr>
                </w:p>
              </w:tc>
              <w:tc>
                <w:tcPr>
                  <w:tcW w:w="874" w:type="dxa"/>
                  <w:vMerge w:val="continue"/>
                  <w:tcBorders>
                    <w:tl2br w:val="nil"/>
                    <w:tr2bl w:val="nil"/>
                  </w:tcBorders>
                  <w:vAlign w:val="center"/>
                </w:tcPr>
                <w:p>
                  <w:pPr>
                    <w:adjustRightInd w:val="0"/>
                    <w:snapToGrid w:val="0"/>
                    <w:jc w:val="center"/>
                    <w:rPr>
                      <w:color w:val="FF0000"/>
                      <w:sz w:val="21"/>
                      <w:szCs w:val="21"/>
                      <w:lang w:eastAsia="zh-CN"/>
                    </w:rPr>
                  </w:pPr>
                </w:p>
              </w:tc>
              <w:tc>
                <w:tcPr>
                  <w:tcW w:w="879" w:type="dxa"/>
                  <w:tcBorders>
                    <w:tl2br w:val="nil"/>
                    <w:tr2bl w:val="nil"/>
                  </w:tcBorders>
                  <w:vAlign w:val="center"/>
                </w:tcPr>
                <w:p>
                  <w:pPr>
                    <w:adjustRightInd w:val="0"/>
                    <w:snapToGrid w:val="0"/>
                    <w:jc w:val="center"/>
                    <w:rPr>
                      <w:rFonts w:eastAsia="宋体"/>
                      <w:color w:val="FF0000"/>
                      <w:sz w:val="21"/>
                      <w:szCs w:val="21"/>
                      <w:lang w:eastAsia="zh-CN"/>
                    </w:rPr>
                  </w:pPr>
                  <w:r>
                    <w:rPr>
                      <w:rFonts w:hint="eastAsia" w:eastAsia="宋体"/>
                      <w:color w:val="FF0000"/>
                      <w:sz w:val="21"/>
                      <w:szCs w:val="21"/>
                      <w:lang w:eastAsia="zh-CN"/>
                    </w:rPr>
                    <w:t>S</w:t>
                  </w:r>
                </w:p>
              </w:tc>
              <w:tc>
                <w:tcPr>
                  <w:tcW w:w="1248"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290~500</w:t>
                  </w:r>
                </w:p>
              </w:tc>
              <w:tc>
                <w:tcPr>
                  <w:tcW w:w="971"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350人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72" w:type="dxa"/>
                  <w:tcBorders>
                    <w:tl2br w:val="nil"/>
                    <w:tr2bl w:val="nil"/>
                  </w:tcBorders>
                  <w:vAlign w:val="center"/>
                </w:tcPr>
                <w:p>
                  <w:pPr>
                    <w:adjustRightInd w:val="0"/>
                    <w:snapToGrid w:val="0"/>
                    <w:jc w:val="center"/>
                    <w:rPr>
                      <w:rFonts w:hint="eastAsia" w:eastAsia="宋体"/>
                      <w:color w:val="FF0000"/>
                      <w:sz w:val="21"/>
                      <w:szCs w:val="21"/>
                      <w:lang w:val="en-US" w:eastAsia="zh-CN"/>
                    </w:rPr>
                  </w:pPr>
                  <w:r>
                    <w:rPr>
                      <w:rFonts w:hint="eastAsia" w:eastAsia="宋体"/>
                      <w:color w:val="FF0000"/>
                      <w:sz w:val="21"/>
                      <w:szCs w:val="21"/>
                      <w:lang w:val="en-US" w:eastAsia="zh-CN"/>
                    </w:rPr>
                    <w:t>宁县畜牧兽医站</w:t>
                  </w:r>
                </w:p>
              </w:tc>
              <w:tc>
                <w:tcPr>
                  <w:tcW w:w="1373"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107.912666</w:t>
                  </w:r>
                </w:p>
              </w:tc>
              <w:tc>
                <w:tcPr>
                  <w:tcW w:w="1501" w:type="dxa"/>
                  <w:tcBorders>
                    <w:tl2br w:val="nil"/>
                    <w:tr2bl w:val="nil"/>
                  </w:tcBorders>
                  <w:vAlign w:val="center"/>
                </w:tcPr>
                <w:p>
                  <w:pPr>
                    <w:tabs>
                      <w:tab w:val="left" w:pos="4757"/>
                      <w:tab w:val="left" w:pos="5802"/>
                      <w:tab w:val="left" w:pos="6847"/>
                    </w:tabs>
                    <w:adjustRightInd w:val="0"/>
                    <w:snapToGrid w:val="0"/>
                    <w:jc w:val="center"/>
                    <w:rPr>
                      <w:rFonts w:hint="eastAsia"/>
                      <w:color w:val="FF0000"/>
                      <w:sz w:val="21"/>
                      <w:szCs w:val="21"/>
                      <w:lang w:eastAsia="zh-CN"/>
                    </w:rPr>
                  </w:pPr>
                  <w:r>
                    <w:rPr>
                      <w:rFonts w:hint="eastAsia"/>
                      <w:color w:val="FF0000"/>
                      <w:sz w:val="21"/>
                      <w:szCs w:val="21"/>
                      <w:lang w:eastAsia="zh-CN"/>
                    </w:rPr>
                    <w:t>35.509545</w:t>
                  </w:r>
                </w:p>
              </w:tc>
              <w:tc>
                <w:tcPr>
                  <w:tcW w:w="740" w:type="dxa"/>
                  <w:vMerge w:val="continue"/>
                  <w:tcBorders>
                    <w:tl2br w:val="nil"/>
                    <w:tr2bl w:val="nil"/>
                  </w:tcBorders>
                  <w:vAlign w:val="center"/>
                </w:tcPr>
                <w:p>
                  <w:pPr>
                    <w:adjustRightInd w:val="0"/>
                    <w:snapToGrid w:val="0"/>
                    <w:jc w:val="center"/>
                    <w:rPr>
                      <w:color w:val="FF0000"/>
                      <w:sz w:val="21"/>
                      <w:szCs w:val="21"/>
                      <w:lang w:eastAsia="zh-CN"/>
                    </w:rPr>
                  </w:pPr>
                </w:p>
              </w:tc>
              <w:tc>
                <w:tcPr>
                  <w:tcW w:w="874" w:type="dxa"/>
                  <w:vMerge w:val="continue"/>
                  <w:tcBorders>
                    <w:tl2br w:val="nil"/>
                    <w:tr2bl w:val="nil"/>
                  </w:tcBorders>
                  <w:vAlign w:val="center"/>
                </w:tcPr>
                <w:p>
                  <w:pPr>
                    <w:adjustRightInd w:val="0"/>
                    <w:snapToGrid w:val="0"/>
                    <w:jc w:val="center"/>
                    <w:rPr>
                      <w:color w:val="FF0000"/>
                      <w:sz w:val="21"/>
                      <w:szCs w:val="21"/>
                      <w:lang w:eastAsia="zh-CN"/>
                    </w:rPr>
                  </w:pPr>
                </w:p>
              </w:tc>
              <w:tc>
                <w:tcPr>
                  <w:tcW w:w="2127" w:type="dxa"/>
                  <w:gridSpan w:val="2"/>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项目区</w:t>
                  </w:r>
                </w:p>
              </w:tc>
              <w:tc>
                <w:tcPr>
                  <w:tcW w:w="971" w:type="dxa"/>
                  <w:tcBorders>
                    <w:tl2br w:val="nil"/>
                    <w:tr2bl w:val="nil"/>
                  </w:tcBorders>
                  <w:vAlign w:val="center"/>
                </w:tcPr>
                <w:p>
                  <w:pPr>
                    <w:adjustRightInd w:val="0"/>
                    <w:snapToGrid w:val="0"/>
                    <w:jc w:val="center"/>
                    <w:rPr>
                      <w:rFonts w:hint="default" w:eastAsia="宋体"/>
                      <w:color w:val="FF0000"/>
                      <w:sz w:val="21"/>
                      <w:szCs w:val="21"/>
                      <w:lang w:val="en-US" w:eastAsia="zh-CN"/>
                    </w:rPr>
                  </w:pPr>
                  <w:r>
                    <w:rPr>
                      <w:rFonts w:hint="eastAsia" w:eastAsia="宋体"/>
                      <w:color w:val="FF0000"/>
                      <w:sz w:val="21"/>
                      <w:szCs w:val="21"/>
                      <w:lang w:val="en-US" w:eastAsia="zh-CN"/>
                    </w:rPr>
                    <w:t>40</w:t>
                  </w:r>
                </w:p>
              </w:tc>
            </w:tr>
          </w:tbl>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（4）风险分析</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instrText xml:space="preserve"> = 1 \* GB3 \* MERGEFORMAT </w:instrTex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color w:val="000000" w:themeColor="text1"/>
                <w14:textFill>
                  <w14:solidFill>
                    <w14:schemeClr w14:val="tx1"/>
                  </w14:solidFill>
                </w14:textFill>
              </w:rPr>
              <w:t>①</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气溶胶风险分析</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微生物气溶胶是一种特殊的气溶胶，是由悬浮于空气中的微生物所形成的胶体体系，包括病毒、细菌、真菌以及它们的副产物。病毒是最小的微生物，直径在0.02-0.3μm，虽然只能在寄主细胞内繁殖，但在没有寄主细胞的条件下仍可附着在如呼吸道分泌物等液滴上形成病毒气溶胶而通过空气传播，能导致传染病的发生，如流感、腮腺炎、麻疹等；细菌气溶胶通常是单独存在或由其他粒子所携带，病原性细菌易对人体健康造成危害；真菌气溶胶常在潮湿的环境中发生，室内环境中的霉菌等易导致哮喘、过敏性鼻炎等。微生物气溶胶可如细颗粒物一样，进入人体呼吸系统，在呼吸道甚至肺部中阻留或沉降，其生物活性又使得微生物气溶胶较普通气溶胶对人类威胁更大。</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 2 \* GB3 \* MERGEFORMAT </w:instrText>
            </w:r>
            <w:r>
              <w:rPr>
                <w:rFonts w:hint="eastAsia" w:ascii="Times New Roman" w:hAnsi="Times New Roman" w:eastAsia="宋体" w:cs="Times New Roman"/>
                <w:color w:val="auto"/>
                <w:sz w:val="24"/>
                <w:szCs w:val="24"/>
                <w:lang w:val="en-US" w:eastAsia="zh-CN"/>
              </w:rPr>
              <w:fldChar w:fldCharType="separate"/>
            </w:r>
            <w:r>
              <w:rPr>
                <w:color w:val="auto"/>
              </w:rPr>
              <w:t>②</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细菌风险分析</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病原微生物实验室涉及常见细菌包括动物布鲁氏菌病、阳性菌、结核杆菌。各种细菌生存性很强且均能侵入人体。</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病（brucellosis）又称地中海弛张热，马耳他热，波浪热或波状热，是由布鲁氏菌引起的人畜共患性全身传染病，其临床特点为长期发热、多汗、关节痛及肝脾肿大等。该病进入慢性期可能引发多器官和系统损害。中国流行的主要是羊（Br.melitensis）、牛(Br.bovis)、猪(Br.suis)三种布氏杆菌，其中以羊布氏杆菌病最为多见，其次是牛种布鲁氏菌。</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布鲁氏菌为小球杆状菌，革兰氏染色阴性，无鞭毛，不形成芽孢，一般无荚膜，毒力菌株可有菲薄的荚膜。初次分离时多呈球状，球杆状和卵圆形，该菌传代培养后渐呈短小杆状。</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布鲁氏菌细胞膜是一个三层膜的结构，最内层的膜称为细胞质膜、外层膜称为外周胞质膜，最外层膜称为外膜。外膜与聚肽糖（peptidoglycan，PG）层紧密结合组成细胞壁，外膜含有脂多糖（lipolpolysaccharide，LPS）、蛋白质和磷脂层。</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结核分枝杆菌（M.tuberculosis），俗称结核杆菌，为细长略带弯曲的杆菌，大小1～4X0.4μm。结核分枝杆菌可通过呼吸道、消化道或皮肤损伤侵入易感机体，引起多种组织器官的结核病，其中以通过呼吸道引起肺结核为最多。因肠道中有大量正常菌群寄居，结核分枝杆菌必须通过竞争才能生存并和易感细胞粘附。肺泡中无正常菌群，结核分枝杆菌可通过飞沫微滴或含菌尘埃的吸入，故肺结核较为多见。 </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大肠杆菌与人和其他温血动物的关系十分密切，它常生存在肠道的后段。人或动物一出生，就有大肠杆菌从口腔进入消化道，并在后段繁殖生存。它能够随粪便传播，因此大肠杆菌在土壤、植物等周围环境中也广泛存在。由于大肠杆菌的存在说明有粪便污染的可能，所以大肠杆菌的多少是卫生检验的重要指标之一。</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大肠杆菌在肠道内一般不致病，但如果移位侵入肠道外组织或器官，则可引起肠外感染。以泌尿系统感染最常见，如尿道炎、膀胱炎、肾盂肾炎。亦可引起腹膜炎、肺炎等。婴儿、老年人或免疫力极度低下的人可引起败血症，对新生儿可引起新生儿脑膜炎。某些血清型大肠杆菌可引起腹泻。大肠杆菌在自然界水中可存活数周至数月。最适温度 37℃，pH 7.2～7.4，与体内环境相似。抵抗力中等，可以用巴氏消毒法或一般的消毒药液杀死。</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实验室大肠杆菌如果未经灭活流出实验室，则可能造成以上感染。在适宜条件下，大肠杆菌能在水体中较长时间存活，因此流行发生的几率高于病毒，特别是如果进入地表水中，则会扩大疾病流行范围。</w:t>
            </w:r>
          </w:p>
          <w:p>
            <w:pPr>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在常规操作中，病原微生物实验室已对微生物的使用和后处理制定了完备的操作要求，对操作人员实行严格保护措施，并且各种含微生物的污染物经高温高压和酸碱处理后，已消灭了微生物活性，确保流出实验室的微生物已经灭活，对水环境、大气环境和工作人员影响均较小。因此，在操作要求下使用微生物，病原微生物对实验室人员和周围环境产生不利影响的风险较小。</w:t>
            </w:r>
          </w:p>
          <w:p>
            <w:pPr>
              <w:spacing w:line="360" w:lineRule="auto"/>
              <w:ind w:firstLine="480" w:firstLineChars="20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fldChar w:fldCharType="begin"/>
            </w:r>
            <w:r>
              <w:rPr>
                <w:rFonts w:hint="eastAsia" w:ascii="Times New Roman" w:hAnsi="Times New Roman" w:eastAsia="宋体" w:cs="Times New Roman"/>
                <w:color w:val="FF0000"/>
                <w:sz w:val="24"/>
                <w:szCs w:val="24"/>
                <w:lang w:val="en-US" w:eastAsia="zh-CN"/>
              </w:rPr>
              <w:instrText xml:space="preserve"> = 3 \* GB3 \* MERGEFORMAT </w:instrText>
            </w:r>
            <w:r>
              <w:rPr>
                <w:rFonts w:hint="eastAsia" w:ascii="Times New Roman" w:hAnsi="Times New Roman" w:eastAsia="宋体" w:cs="Times New Roman"/>
                <w:color w:val="FF0000"/>
                <w:sz w:val="24"/>
                <w:szCs w:val="24"/>
                <w:lang w:val="en-US" w:eastAsia="zh-CN"/>
              </w:rPr>
              <w:fldChar w:fldCharType="separate"/>
            </w:r>
            <w:r>
              <w:rPr>
                <w:color w:val="FF0000"/>
              </w:rPr>
              <w:t>③</w:t>
            </w:r>
            <w:r>
              <w:rPr>
                <w:rFonts w:hint="eastAsia" w:ascii="Times New Roman" w:hAnsi="Times New Roman" w:eastAsia="宋体" w:cs="Times New Roman"/>
                <w:color w:val="FF0000"/>
                <w:sz w:val="24"/>
                <w:szCs w:val="24"/>
                <w:lang w:val="en-US" w:eastAsia="zh-CN"/>
              </w:rPr>
              <w:fldChar w:fldCharType="end"/>
            </w:r>
            <w:r>
              <w:rPr>
                <w:rFonts w:hint="eastAsia" w:ascii="Times New Roman" w:hAnsi="Times New Roman" w:eastAsia="宋体" w:cs="Times New Roman"/>
                <w:color w:val="FF0000"/>
                <w:sz w:val="24"/>
                <w:szCs w:val="24"/>
                <w:lang w:val="en-US" w:eastAsia="zh-CN"/>
              </w:rPr>
              <w:t>危废泄露风险分析</w:t>
            </w:r>
          </w:p>
          <w:p>
            <w:pPr>
              <w:spacing w:line="360" w:lineRule="auto"/>
              <w:ind w:firstLine="480" w:firstLineChars="200"/>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本项目危废主要为含微生物危废泄露事故，根据统计调查的生物安全事故，随着高等级生物安全实验室的建设，生物安全事故的发生主要是由于实验内部管理疏忽，实验人员没有严格执行危废间管理规范所致。其中，带来负面影响最大的事故主要是实验人员意外感染，在不知情的情况下将病原微生物带出实验室，导致传染性疾病的流行。至今，还未发生过设备因素和环境因素导致的生物安全事件。综合分析来看，正常情况下基本上不存在高致病病毒经废水、废气和固废进入环境。</w:t>
            </w:r>
            <w:r>
              <w:commentReference w:id="12"/>
            </w:r>
          </w:p>
          <w:p>
            <w:pPr>
              <w:spacing w:line="360" w:lineRule="auto"/>
              <w:ind w:firstLine="480" w:firstLineChars="200"/>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fldChar w:fldCharType="begin"/>
            </w:r>
            <w:r>
              <w:rPr>
                <w:rFonts w:hint="eastAsia" w:ascii="Times New Roman" w:hAnsi="Times New Roman" w:eastAsia="宋体" w:cs="Times New Roman"/>
                <w:color w:val="0000FF"/>
                <w:sz w:val="24"/>
                <w:szCs w:val="24"/>
                <w:lang w:val="en-US" w:eastAsia="zh-CN"/>
              </w:rPr>
              <w:instrText xml:space="preserve"> = 4 \* GB3 \* MERGEFORMAT </w:instrText>
            </w:r>
            <w:r>
              <w:rPr>
                <w:rFonts w:hint="eastAsia" w:ascii="Times New Roman" w:hAnsi="Times New Roman" w:eastAsia="宋体" w:cs="Times New Roman"/>
                <w:color w:val="0000FF"/>
                <w:sz w:val="24"/>
                <w:szCs w:val="24"/>
                <w:lang w:val="en-US" w:eastAsia="zh-CN"/>
              </w:rPr>
              <w:fldChar w:fldCharType="separate"/>
            </w:r>
            <w:r>
              <w:rPr>
                <w:color w:val="0000FF"/>
              </w:rPr>
              <w:t>④</w:t>
            </w:r>
            <w:r>
              <w:rPr>
                <w:rFonts w:hint="eastAsia" w:ascii="Times New Roman" w:hAnsi="Times New Roman" w:eastAsia="宋体" w:cs="Times New Roman"/>
                <w:color w:val="0000FF"/>
                <w:sz w:val="24"/>
                <w:szCs w:val="24"/>
                <w:lang w:val="en-US" w:eastAsia="zh-CN"/>
              </w:rPr>
              <w:fldChar w:fldCharType="end"/>
            </w:r>
            <w:r>
              <w:rPr>
                <w:rFonts w:hint="eastAsia" w:ascii="Times New Roman" w:hAnsi="Times New Roman" w:eastAsia="宋体" w:cs="Times New Roman"/>
                <w:color w:val="0000FF"/>
                <w:sz w:val="24"/>
                <w:szCs w:val="24"/>
                <w:lang w:val="en-US" w:eastAsia="zh-CN"/>
              </w:rPr>
              <w:t>试验废水事故排放风险分析</w:t>
            </w:r>
          </w:p>
          <w:p>
            <w:pPr>
              <w:spacing w:line="360" w:lineRule="auto"/>
              <w:ind w:firstLine="480" w:firstLineChars="200"/>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项目实验室废水事故排放对环境造成影响主要是其中包含病原微生物传播影响，主要包括由于人员操作失误，未对实验室废水进行预处理直接排入下水道，废水中携带大量病原微生物进入环境，通过大气扩散等对周边居民及生物造成影响，以及实验废水处理不达标，通过管道、消毒罐泄露进入土壤、地下水，甚至溢流进入旁边马莲河，对环境造成影响。实验室病原微生物如果未经灭活流出实验室，则可能造成周边居民和其他生物感染。在适宜条件下，病原微生物能在水体中较长时间存活，因此流行发生的几率高于病毒，特别是如果进入地表水中，则会扩大疾病流行范围。</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（4）风险防范措施</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生物实验室致病微生物的传播风险防范措施：</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室环境管理规定实验室必须按照《病原微生物实验室生物安全环境管理办法》（原国家环境保护总局令第32号）的有关规定和国家环境保护法律、行政法规和规章有关危险废物管理的其他要求，妥善收集、贮存和处置其实验活动产生的危险废物，防止环境污染。</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①建立危险废物登记制度，对其产生的危险废物进行登记。登记内容应当包括危险废物的来源、种类、重量或者数量、处置方法、最终去向以及经办人签名等项目。登记资料至少保存3年。</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②及时收集其实验活动中产生的危险废物，并按照类别分别置于防渗漏、防 锐器穿透等符合国家有关环境保护要求的专用包装物、容器内，并按国家规定要 求设置明显的危险废物警示标识和说明；</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③配备符合国家法律、行政法规和有关技术规范要求的危险废物暂时贮存柜（箱）或者其他设施、设备；</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④按照国家有关规定对危险废物就地进行无害化处理，并根据就近集中处置的原则，及时将经无害化处理后的危险废物交由依法取得危险废物经营许可证的单位集中处置。</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⑤转移危险废物的，应当按照《固体废物污染环境防治法》和国家环境保护总局的有关规定，执行危险废物转移联单制度。</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⑥不得随意丢弃、倾倒、堆放危险废物，不得将危险废物混入其他废物和生 活垃圾中。</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实验室有害微生物灭活措施 实验室有害微生物灭活可以采用以下措施：</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①压力蒸汽消毒，121℃，保持15～20min；</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②干燥空气烘箱消毒（干烤消毒），140℃，保持2～3h。</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③最常用的化学消毒剂是含氯消毒剂（次氯酸钠，含有效氯2000～5000mg/L）、75%乙醇和2%戊二醛，保持10～30min。</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有害微生物泄漏控制在日常操作中，除对产生的各种含有害微生物的废物进行高温高压处理外，为保护操作人员和避免有害微生物流出实验室，造成或者可能造成严重环境污染 或者生态破坏，应采取以下措施：</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①P2级实验室、缓冲间为负压区，相邻房间的压力梯度为20Pa。P2级实验室由缓冲间与普通环境隔开。实验人员在缓冲间更衣后进出P2级实验室；</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②为防止将致病病原体、微生物带出P2级实验室，实验室内设置高压消毒设备，实验室废弃物在实验室内部消毒；未经消毒的物品不得从实验室拿出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 3 \* GB3 \* MERGEFORMAT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color w:val="000000" w:themeColor="text1"/>
                <w14:textFill>
                  <w14:solidFill>
                    <w14:schemeClr w14:val="tx1"/>
                  </w14:solidFill>
                </w14:textFill>
              </w:rPr>
              <w:t>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生物实验室产生的废水经高温高压灭菌灭活处理后排入院内化粪池进行处理；</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lang w:val="en-US" w:eastAsia="zh-CN"/>
                <w14:textFill>
                  <w14:solidFill>
                    <w14:schemeClr w14:val="tx1"/>
                  </w14:solidFill>
                </w14:textFill>
              </w:rPr>
              <w:instrText xml:space="preserve"> = 4 \* GB3 \* MERGEFORMAT </w:instrTex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separate"/>
            </w:r>
            <w:r>
              <w:rPr>
                <w:color w:val="000000" w:themeColor="text1"/>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项目生物实验室产生的固废废培养基、剩余样品、生物柜过滤器和剩余血清等经过高温高压灭菌灭火消毒处理后危废间暂存，最终交由有资质单位处理</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实验室发生泄露或者扩散，造成或者可能造成严重环境污染或者生态破坏的，应当立即采取应急措施，通报可能受到危害的单位和居民，并向当地人民政府环境保护行政主管部门和有关部门报告，接受调查处理，并及时从以下几个方面采取控制：</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①无关人员立即撤离受污染地区；</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②立即对接触污染物的人员进行眼与皮肤的消毒，如发现感染者立即就医。</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③确定泄漏的有害微生物的性质；</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④封锁污染地区，切断传播途径：</w:t>
            </w:r>
          </w:p>
          <w:p>
            <w:pPr>
              <w:spacing w:line="360" w:lineRule="auto"/>
              <w:ind w:firstLine="480" w:firstLineChars="200"/>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⑤封锁发生泄漏的现场，禁止无关人员进入，将现场可能感染人员隔离，避免更大范围的污染。如有害微生物已进入下水管道，对可能被污染的污水管道采取紧急措施，停止排放污水，对管道内污水进行消毒，确认无危险后再行排放。如有害微生物可能扩散到空气中，则根据其传播特性和危险程度，选择适当方法在可能传播范围内进行空气消毒；</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⑥收集所有的泄漏物和受污染的物品；</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⑦受污染的锋利物应使用刷子与盘子或其它合适的工具收集，绝对不可用手捡拾，泄漏物与一次性的受污染物品应该放置在合适的废弃物袋或容器中；</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⑧事故现场的消毒:对现场进行严格消毒，可针对不同的病毒选择相应的消毒 方法，如使用大量的消毒液或采用紫外消毒，确保完全灭活病毒；消毒污染地区，用有吸收作用的布来擦。此布在消毒过程中不应反复使用，消毒工作应从污染最轻地区往最重地区进行，第一阶段都应更换吸收布；</w:t>
            </w:r>
          </w:p>
          <w:p>
            <w:pPr>
              <w:spacing w:line="360" w:lineRule="auto"/>
              <w:ind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⑨参加清理工作的人员应有充足的防护衣物；</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⑩消毒任何用过的工具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生物通过水环境排放的风险防范措施</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微生物实验室主实验区（P2实验室）不设置下水管道，主试验区产生的少量废液经高压灭菌器消毒后作为危险废物处理</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eastAsia="zh-CN"/>
                <w14:textFill>
                  <w14:solidFill>
                    <w14:schemeClr w14:val="tx1"/>
                  </w14:solidFill>
                </w14:textFill>
              </w:rPr>
              <w:t>有效防止排放废水中病原微生物的逃逸。采用专用灭菌化学指示卡定期检验灭菌器材的有效性，确认细菌微生物有效灭活。发生管道破裂时，立即向</w:t>
            </w:r>
            <w:r>
              <w:rPr>
                <w:rFonts w:hint="eastAsia" w:ascii="Times New Roman" w:hAnsi="Times New Roman" w:eastAsia="宋体" w:cs="Times New Roman"/>
                <w:color w:val="000000" w:themeColor="text1"/>
                <w:sz w:val="24"/>
                <w:szCs w:val="24"/>
                <w:lang w:eastAsia="zh-CN"/>
                <w14:textFill>
                  <w14:solidFill>
                    <w14:schemeClr w14:val="tx1"/>
                  </w14:solidFill>
                </w14:textFill>
              </w:rPr>
              <w:t>办公室</w:t>
            </w:r>
            <w:r>
              <w:rPr>
                <w:rFonts w:hint="default" w:ascii="Times New Roman" w:hAnsi="Times New Roman" w:eastAsia="宋体" w:cs="Times New Roman"/>
                <w:color w:val="000000" w:themeColor="text1"/>
                <w:sz w:val="24"/>
                <w:szCs w:val="24"/>
                <w:lang w:eastAsia="zh-CN"/>
                <w14:textFill>
                  <w14:solidFill>
                    <w14:schemeClr w14:val="tx1"/>
                  </w14:solidFill>
                </w14:textFill>
              </w:rPr>
              <w:t>报告并关闭水源，向科室负责人或安全负责人报告后由</w:t>
            </w:r>
            <w:r>
              <w:rPr>
                <w:rFonts w:hint="eastAsia" w:ascii="Times New Roman" w:hAnsi="Times New Roman" w:eastAsia="宋体" w:cs="Times New Roman"/>
                <w:color w:val="000000" w:themeColor="text1"/>
                <w:sz w:val="24"/>
                <w:szCs w:val="24"/>
                <w:lang w:eastAsia="zh-CN"/>
                <w14:textFill>
                  <w14:solidFill>
                    <w14:schemeClr w14:val="tx1"/>
                  </w14:solidFill>
                </w14:textFill>
              </w:rPr>
              <w:t>办公室</w:t>
            </w:r>
            <w:r>
              <w:rPr>
                <w:rFonts w:hint="default" w:ascii="Times New Roman" w:hAnsi="Times New Roman" w:eastAsia="宋体" w:cs="Times New Roman"/>
                <w:color w:val="000000" w:themeColor="text1"/>
                <w:sz w:val="24"/>
                <w:szCs w:val="24"/>
                <w:lang w:eastAsia="zh-CN"/>
                <w14:textFill>
                  <w14:solidFill>
                    <w14:schemeClr w14:val="tx1"/>
                  </w14:solidFill>
                </w14:textFill>
              </w:rPr>
              <w:t>组织有关人员尽快维修。事后检查现场有毒、有害和感染性材料的情况和环境影响。并制定有效的预防措施。下水管道破裂或下水堵塞时，立即停止排放下水，并立即报告安全负责人科室主任。将污染的设备放置安全地点，感染性物质收集在防漏的盒子内或结实的一次性袋子中，并按照《废弃物的处置程序》（FJCDCBF2801-2005）处理。防止传播，同时注意工作人员自身防护，所有操作要戴手套。事后检查现场有毒、有害和感染性材料的情况和环境影响，写出报告及事故原因。科室负责人立即召集安全相关人员对可能 潜在的危险进行评估，并制定纠正预防措施，防止类似事件生。事态严重时报告 中心安全领导小组或生物安全管理委员会。污水处理系统发生故障时，排放下水进入应急池消毒处理。</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生物通过大气环境排放的风险防范：为防止</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生物实验室病原微生物逃逸，整个</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P2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实验室设为负压状态，保证整个实验室气流组织流向固定，其压力梯度差严格遵守《生物安全实验室建筑技术规范》（</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GB50345-2004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）的要求。安全柜安装有高效空气过滤器（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HEPA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过滤器），安全柜排气筒内置的高效过滤器对粒径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μ</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以上的气溶胶去除效率达到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99.97%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，排气中的病原微生物可被彻底去除，达到空气洁净度</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级。实验室内各入口处显著位置均设置室内压力显示装置，实验室内的压力状况，当负压值偏离控制区间时，则通过声、光等手段向实验室内外的人员发出警报。为防止断电引起排风净化系统不工作，实验室供电由市政电网双回路供应，并依托应急电源，保证所有实验室不断电。为防止生物安全实验室病原微生物通过实验室排气泄露，本实验室排风系统设置扫描检漏排风高效过滤装置，实现排风效果的及时扫描监测，确保达到净化效果后方可排入大气，排风系统一用一备，一旦运行系统出现问题，可自动切换，高效过滤装置同时进行定期检测。生物安全柜、实验室中高效过滤器的更换依据室内压差的变化来确定，通过监控系统监视高效过滤器的过滤效率，并对异常情况发出报警，提醒工作人员及时更换。避免在更换高效过滤器时造成实验室生物因子的泄漏，必须根据高效过滤器更换操作规程进行作业。在更换前，废弃的过滤器均先进行在线消毒后，再拆除。废弃的过滤器经消毒剂消毒后封闭在塑料袋中，统一委托有资质的单位进行无害化处置。</w:t>
            </w:r>
          </w:p>
          <w:p>
            <w:pPr>
              <w:spacing w:line="360" w:lineRule="auto"/>
              <w:ind w:firstLine="480" w:firstLineChars="200"/>
              <w:rPr>
                <w:rFonts w:ascii="Times New Roman" w:hAnsi="Times New Roman" w:eastAsia="宋体" w:cs="Times New Roman"/>
                <w:color w:val="FF0000"/>
                <w:sz w:val="24"/>
                <w:szCs w:val="24"/>
                <w:lang w:eastAsia="zh-CN"/>
              </w:rPr>
            </w:pPr>
            <w:r>
              <w:rPr>
                <w:rFonts w:hint="eastAsia" w:ascii="Times New Roman" w:hAnsi="Times New Roman" w:eastAsia="宋体" w:cs="Times New Roman"/>
                <w:color w:val="FF0000"/>
                <w:sz w:val="24"/>
                <w:szCs w:val="24"/>
                <w:lang w:val="en-US" w:eastAsia="zh-CN"/>
              </w:rPr>
              <w:t>生物通过固体废物排放的风险防范：在污染区和半污染物集中收集，并及时用高压灭菌器和双扉高温高压锅两次消毒后传出实验室。然后采用高密度塑料袋再次密封包装，表面化学消毒，放入危废暂存箱，存放在危废暂存间，委托有资质的单位清运处理。所有记录一律通过电脑和电传机数字化传送，手写记录纸不准携带出实验室。</w:t>
            </w:r>
          </w:p>
          <w:p>
            <w:pPr>
              <w:spacing w:line="360" w:lineRule="auto"/>
              <w:ind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实验室人员携带病毒的风险防范：①加强人员培训。实验人员、辅助人员、后勤保障人员上岗前均须接受严格的生物安全以及相关操作的技术培训，包括实验室设施、设备、个体防护、操作等培训。熟悉并和严格遵守实验室的管理要求。②严格准入制度。未经培训并获得实验室安全负责人的许可，任何人员严禁进入实验室。对从事实验活动的人员，必须在身体状况良好的情况下，才能进入微生物实验室工作。出现下列情况，不能进入：身体出现开放性损伤；患发热性疾病；感冒、上呼吸道感染、或其他导致抵抗力下降的情况；妊娠、已经在实验室控制区域内连续工作</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4h</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上，或其他原因造成的疲劳状态。③严格按照标准操作程序开展工作。本实验室从事的下列实验活动，必须在微生物实验室中的生物安全柜中操作：病毒标本的分装、病毒分离、病毒分离物的鉴定、病毒核酸的提取等。实验操作应当按良好的实验室操作规范操作，尽量避免产生气溶胶。实验室严格遵守人流、物流分开的原则，未经许可，任何人不得将病毒标本、病毒分离物等带出实验室。④开展实验活动或实验室后勤维护等人员进出实验室，严格进行个人防护。⑤严格实验室消毒措施。对病毒、细菌标本、分离物、可能被污染的实验耗材等进行二次消毒处理。可在污染区先进行高压预消毒后，再经双扉高压锅消毒才可退出实验室，任何从实验室退出的物品均应消毒处理。实验操作完成后，对实验室设备等，应及时使用化学消毒剂进行消毒处理后清洁。⑥建立人员的健康监测档案。对实验操作人员，后勤辅助人员等均进行健康监测。实验活动结束后进行一段时间的症状监测。⑦实验室内部配备应急设备和设施，如洗眼器、喷淋装置等。确保实验室应急逃生通道能正常使用。⑧实验室储备一定量的预防性药物，如盐酸金刚烷胺、达菲等，并经常检查、更换，保证药物的有效期。进入实验室工作人员应当注射流感疫苗。⑨意外事故的处理。对各种实验室意外事故的处理方法进行了规定，任何人员进入实验室前，应当熟悉意外事故的处理方法。⑩封闭被病原微生物污染的实验室或者可能造成病原微生物扩散的场所。</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eastAsia" w:ascii="Times New Roman" w:hAnsi="Times New Roman" w:eastAsia="宋体" w:cs="Times New Roman"/>
                <w:color w:val="FF0000"/>
                <w:spacing w:val="0"/>
                <w:sz w:val="24"/>
                <w:szCs w:val="24"/>
                <w:lang w:val="en-US" w:eastAsia="zh-CN"/>
              </w:rPr>
              <w:t>（5）</w:t>
            </w:r>
            <w:r>
              <w:rPr>
                <w:rFonts w:hint="default" w:ascii="Times New Roman" w:hAnsi="Times New Roman" w:eastAsia="宋体" w:cs="Times New Roman"/>
                <w:color w:val="FF0000"/>
                <w:spacing w:val="0"/>
                <w:sz w:val="24"/>
                <w:szCs w:val="24"/>
                <w:lang w:eastAsia="zh-CN"/>
              </w:rPr>
              <w:t>环境应急预案</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根据环发[2015]4号《企业事业单位突发环境事件应急预案备案管理办法》（试行）要求，本项目应编制应急预案，建设单位制定的环境应急预案应当在建设项目投入生产或者使用前，按照本办法第十五条的要求，向建设项目所在地受理部门备案。</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本项目应在应急预案中明确以下几个方面：</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人员紧急疏散、撤离方案，依据对可能发生事故的分析结果，确定事故现场人员撤离的方式和方法、非事故现场人员紧急疏散的方式和方法、抢救人员在撤离前、撤离后的报告以及周边区域的单位和社区人员疏散的方式和方法；</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检测、抢险、救援及控制措施。明确以下几个方面：①检测方式、方法，检测人员防护、监护措施；②抢险、救援方式、方法及人员防护、监护措施；③现场实时监测及异常情况下抢险人员的撤离条件和方法；④应急救援队伍的调度；⑤控制事故扩大的措施；⑥ 事故可能扩大后的应急措施；</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危险区的隔离方案。明确以下内容：危险区的设定；事故现场隔离区的划定方法； 事故现场隔离方法；事故现场周边区域的道路隔离及交通疏导方法；</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现场保护与现场洗消方案，明确事故现场的保护措施和事故现场洗消工作的负责人和专业队伍；</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应急救援保障，包括以下内容：确定应急队伍，包括抢修、现场救护、医疗、治安、消防、交通管理、通讯、供应、运输、后勤等人员；消防设施配置图、工艺流程图、现场平面布置图和周边地区图、气象资料、危险化学品安全技术说明书、互救信息等存放地点、保管人；应急通讯系统；应急电源、照明，应急救援设备、物资、药品等，危险化学品运输车辆的安全，消防设备、器材及人员防护设备。外部救援单位互助的方式；请求政府协调应急救援力量；应急救援信息咨询；</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预案分级响应条件和事故应急救援终止程序，确定事故应急救援工作结束，通知本单位相关部门、周边社区及人员事故危险已解除；</w:t>
            </w:r>
          </w:p>
          <w:p>
            <w:pPr>
              <w:pStyle w:val="3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FF0000"/>
                <w:spacing w:val="0"/>
                <w:sz w:val="24"/>
                <w:szCs w:val="24"/>
                <w:lang w:eastAsia="zh-CN"/>
              </w:rPr>
            </w:pPr>
            <w:r>
              <w:rPr>
                <w:rFonts w:hint="default" w:ascii="Times New Roman" w:hAnsi="Times New Roman" w:eastAsia="宋体" w:cs="Times New Roman"/>
                <w:color w:val="FF0000"/>
                <w:spacing w:val="0"/>
                <w:sz w:val="24"/>
                <w:szCs w:val="24"/>
                <w:lang w:eastAsia="zh-CN"/>
              </w:rPr>
              <w:t>制定详细可行的应急培训计划和演练计划。</w:t>
            </w:r>
          </w:p>
          <w:p>
            <w:pPr>
              <w:spacing w:line="360" w:lineRule="auto"/>
              <w:ind w:firstLine="480" w:firstLineChars="200"/>
              <w:rPr>
                <w:rFonts w:hint="default"/>
                <w:color w:val="FF0000"/>
                <w:lang w:eastAsia="zh-CN"/>
              </w:rPr>
            </w:pPr>
            <w:r>
              <w:rPr>
                <w:rFonts w:hint="default" w:ascii="Times New Roman" w:hAnsi="Times New Roman" w:eastAsia="宋体" w:cs="Times New Roman"/>
                <w:color w:val="FF0000"/>
                <w:spacing w:val="0"/>
                <w:sz w:val="24"/>
                <w:szCs w:val="24"/>
                <w:lang w:eastAsia="zh-CN"/>
              </w:rPr>
              <w:t>同时，应急预案在编制过程中应注意与地方政府应急预案的对接与联动，并保证在事故状态下环境监测计划的实施</w:t>
            </w:r>
            <w:r>
              <w:rPr>
                <w:rFonts w:hint="eastAsia" w:ascii="Times New Roman" w:hAnsi="Times New Roman" w:eastAsia="宋体" w:cs="Times New Roman"/>
                <w:color w:val="FF0000"/>
                <w:sz w:val="24"/>
                <w:szCs w:val="24"/>
                <w:lang w:val="en-US" w:eastAsia="zh-CN"/>
              </w:rPr>
              <w:t>。</w:t>
            </w:r>
          </w:p>
          <w:p>
            <w:pPr>
              <w:spacing w:line="360" w:lineRule="auto"/>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9</w:t>
            </w:r>
            <w:r>
              <w:rPr>
                <w:rFonts w:ascii="Times New Roman" w:hAnsi="Times New Roman" w:eastAsia="宋体" w:cs="Times New Roman"/>
                <w:b/>
                <w:bCs/>
                <w:color w:val="000000" w:themeColor="text1"/>
                <w:sz w:val="24"/>
                <w:szCs w:val="24"/>
                <w:lang w:eastAsia="zh-CN"/>
                <w14:textFill>
                  <w14:solidFill>
                    <w14:schemeClr w14:val="tx1"/>
                  </w14:solidFill>
                </w14:textFill>
              </w:rPr>
              <w:t>、环保投资</w:t>
            </w:r>
          </w:p>
          <w:p>
            <w:pPr>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本项目总投资</w:t>
            </w:r>
            <w:r>
              <w:rPr>
                <w:rFonts w:hint="eastAsia" w:ascii="Times New Roman" w:hAnsi="Times New Roman" w:eastAsia="宋体"/>
                <w:color w:val="000000" w:themeColor="text1"/>
                <w:sz w:val="24"/>
                <w:szCs w:val="24"/>
                <w:lang w:val="en-US" w:eastAsia="zh-CN"/>
                <w14:textFill>
                  <w14:solidFill>
                    <w14:schemeClr w14:val="tx1"/>
                  </w14:solidFill>
                </w14:textFill>
              </w:rPr>
              <w:t>49.07</w:t>
            </w:r>
            <w:r>
              <w:rPr>
                <w:rFonts w:ascii="Times New Roman" w:hAnsi="Times New Roman" w:eastAsia="宋体" w:cs="Times New Roman"/>
                <w:color w:val="000000" w:themeColor="text1"/>
                <w:sz w:val="24"/>
                <w:szCs w:val="24"/>
                <w:lang w:eastAsia="zh-CN"/>
                <w14:textFill>
                  <w14:solidFill>
                    <w14:schemeClr w14:val="tx1"/>
                  </w14:solidFill>
                </w14:textFill>
              </w:rPr>
              <w:t>万元，环保投资费用为</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24.3</w:t>
            </w:r>
            <w:r>
              <w:rPr>
                <w:rFonts w:ascii="Times New Roman" w:hAnsi="Times New Roman" w:eastAsia="宋体" w:cs="Times New Roman"/>
                <w:color w:val="000000" w:themeColor="text1"/>
                <w:sz w:val="24"/>
                <w:szCs w:val="24"/>
                <w:lang w:eastAsia="zh-CN"/>
                <w14:textFill>
                  <w14:solidFill>
                    <w14:schemeClr w14:val="tx1"/>
                  </w14:solidFill>
                </w14:textFill>
              </w:rPr>
              <w:t>万元，占项目总投资的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49.5</w:t>
            </w:r>
            <w:r>
              <w:rPr>
                <w:rFonts w:ascii="Times New Roman" w:hAnsi="Times New Roman" w:eastAsia="宋体" w:cs="Times New Roman"/>
                <w:color w:val="000000" w:themeColor="text1"/>
                <w:sz w:val="24"/>
                <w:szCs w:val="24"/>
                <w:lang w:eastAsia="zh-CN"/>
                <w14:textFill>
                  <w14:solidFill>
                    <w14:schemeClr w14:val="tx1"/>
                  </w14:solidFill>
                </w14:textFill>
              </w:rPr>
              <w:t>%。本项目运营期主要环保投资情况见表4-1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3</w:t>
            </w:r>
            <w:r>
              <w:rPr>
                <w:rFonts w:ascii="Times New Roman" w:hAnsi="Times New Roman" w:eastAsia="宋体" w:cs="Times New Roman"/>
                <w:color w:val="000000" w:themeColor="text1"/>
                <w:sz w:val="24"/>
                <w:szCs w:val="24"/>
                <w:lang w:eastAsia="zh-CN"/>
                <w14:textFill>
                  <w14:solidFill>
                    <w14:schemeClr w14:val="tx1"/>
                  </w14:solidFill>
                </w14:textFill>
              </w:rPr>
              <w:t>。</w:t>
            </w:r>
          </w:p>
          <w:p>
            <w:pPr>
              <w:tabs>
                <w:tab w:val="center" w:pos="778"/>
                <w:tab w:val="center" w:pos="4362"/>
              </w:tabs>
              <w:jc w:val="center"/>
              <w:rPr>
                <w:rFonts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lang w:eastAsia="zh-CN"/>
                <w14:textFill>
                  <w14:solidFill>
                    <w14:schemeClr w14:val="tx1"/>
                  </w14:solidFill>
                </w14:textFill>
              </w:rPr>
              <w:tab/>
            </w:r>
            <w:r>
              <w:rPr>
                <w:rFonts w:ascii="Times New Roman" w:hAnsi="Times New Roman" w:eastAsia="宋体" w:cs="Times New Roman"/>
                <w:b/>
                <w:bCs/>
                <w:color w:val="000000" w:themeColor="text1"/>
                <w:sz w:val="21"/>
                <w:szCs w:val="21"/>
                <w:lang w:eastAsia="zh-CN"/>
                <w14:textFill>
                  <w14:solidFill>
                    <w14:schemeClr w14:val="tx1"/>
                  </w14:solidFill>
                </w14:textFill>
              </w:rPr>
              <w:t>表 4-1</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3</w:t>
            </w:r>
            <w:r>
              <w:rPr>
                <w:rFonts w:ascii="Times New Roman" w:hAnsi="Times New Roman" w:eastAsia="宋体" w:cs="Times New Roman"/>
                <w:b/>
                <w:bCs/>
                <w:color w:val="000000" w:themeColor="text1"/>
                <w:sz w:val="21"/>
                <w:szCs w:val="21"/>
                <w:lang w:eastAsia="zh-CN"/>
                <w14:textFill>
                  <w14:solidFill>
                    <w14:schemeClr w14:val="tx1"/>
                  </w14:solidFill>
                </w14:textFill>
              </w:rPr>
              <w:t xml:space="preserve">    本项目环保投资一览表</w:t>
            </w:r>
          </w:p>
          <w:tbl>
            <w:tblPr>
              <w:tblStyle w:val="28"/>
              <w:tblW w:w="867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4"/>
              <w:gridCol w:w="405"/>
              <w:gridCol w:w="1322"/>
              <w:gridCol w:w="4464"/>
              <w:gridCol w:w="15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90" w:hRule="atLeast"/>
                <w:jc w:val="center"/>
              </w:trPr>
              <w:tc>
                <w:tcPr>
                  <w:tcW w:w="974" w:type="dxa"/>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阶段</w:t>
                  </w:r>
                </w:p>
              </w:tc>
              <w:tc>
                <w:tcPr>
                  <w:tcW w:w="1727" w:type="dxa"/>
                  <w:gridSpan w:val="2"/>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治理项目</w:t>
                  </w:r>
                </w:p>
              </w:tc>
              <w:tc>
                <w:tcPr>
                  <w:tcW w:w="4464" w:type="dxa"/>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主要措施</w:t>
                  </w:r>
                </w:p>
              </w:tc>
              <w:tc>
                <w:tcPr>
                  <w:tcW w:w="1513" w:type="dxa"/>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530" w:hRule="atLeast"/>
                <w:jc w:val="center"/>
              </w:trPr>
              <w:tc>
                <w:tcPr>
                  <w:tcW w:w="974" w:type="dxa"/>
                  <w:vMerge w:val="restar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施工期</w:t>
                  </w:r>
                </w:p>
              </w:tc>
              <w:tc>
                <w:tcPr>
                  <w:tcW w:w="1727" w:type="dxa"/>
                  <w:gridSpan w:val="2"/>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环境保护措施</w:t>
                  </w:r>
                </w:p>
              </w:tc>
              <w:tc>
                <w:tcPr>
                  <w:tcW w:w="4464"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en-US"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扬尘、噪声等防治</w:t>
                  </w:r>
                </w:p>
              </w:tc>
              <w:tc>
                <w:tcPr>
                  <w:tcW w:w="1513" w:type="dxa"/>
                  <w:tcBorders>
                    <w:tl2br w:val="nil"/>
                    <w:tr2bl w:val="nil"/>
                  </w:tcBorders>
                  <w:vAlign w:val="center"/>
                </w:tcPr>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4" w:type="dxa"/>
                  <w:vMerge w:val="restart"/>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运营期</w:t>
                  </w:r>
                </w:p>
              </w:tc>
              <w:tc>
                <w:tcPr>
                  <w:tcW w:w="1727" w:type="dxa"/>
                  <w:gridSpan w:val="2"/>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噪声防治</w:t>
                  </w:r>
                </w:p>
              </w:tc>
              <w:tc>
                <w:tcPr>
                  <w:tcW w:w="4464" w:type="dxa"/>
                  <w:tcBorders>
                    <w:tl2br w:val="nil"/>
                    <w:tr2bl w:val="nil"/>
                  </w:tcBorders>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减震、隔音、消声等措施</w:t>
                  </w:r>
                </w:p>
              </w:tc>
              <w:tc>
                <w:tcPr>
                  <w:tcW w:w="1513" w:type="dxa"/>
                  <w:tcBorders>
                    <w:tl2br w:val="nil"/>
                    <w:tr2bl w:val="nil"/>
                  </w:tcBorders>
                  <w:vAlign w:val="center"/>
                </w:tcPr>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974"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1727" w:type="dxa"/>
                  <w:gridSpan w:val="2"/>
                  <w:tcBorders>
                    <w:tl2br w:val="nil"/>
                    <w:tr2bl w:val="nil"/>
                  </w:tcBorders>
                  <w:vAlign w:val="center"/>
                </w:tcPr>
                <w:p>
                  <w:pPr>
                    <w:jc w:val="center"/>
                    <w:rPr>
                      <w:rFonts w:hint="eastAsia" w:eastAsiaTheme="minorEastAsia"/>
                      <w:color w:val="FF0000"/>
                      <w:sz w:val="21"/>
                      <w:szCs w:val="21"/>
                      <w:lang w:eastAsia="zh-CN"/>
                    </w:rPr>
                  </w:pPr>
                  <w:r>
                    <w:rPr>
                      <w:rFonts w:hint="eastAsia"/>
                      <w:color w:val="FF0000"/>
                      <w:sz w:val="21"/>
                      <w:szCs w:val="21"/>
                      <w:lang w:eastAsia="zh-CN"/>
                    </w:rPr>
                    <w:t>废气</w:t>
                  </w:r>
                </w:p>
              </w:tc>
              <w:tc>
                <w:tcPr>
                  <w:tcW w:w="4464" w:type="dxa"/>
                  <w:tcBorders>
                    <w:tl2br w:val="nil"/>
                    <w:tr2bl w:val="nil"/>
                  </w:tcBorders>
                  <w:vAlign w:val="center"/>
                </w:tcPr>
                <w:p>
                  <w:pPr>
                    <w:jc w:val="center"/>
                    <w:rPr>
                      <w:rFonts w:hint="default"/>
                      <w:color w:val="FF0000"/>
                      <w:sz w:val="21"/>
                      <w:szCs w:val="21"/>
                      <w:lang w:val="en-US" w:eastAsia="zh-CN"/>
                    </w:rPr>
                  </w:pPr>
                  <w:r>
                    <w:rPr>
                      <w:rFonts w:hint="eastAsia"/>
                      <w:color w:val="FF0000"/>
                      <w:sz w:val="21"/>
                      <w:szCs w:val="21"/>
                      <w:lang w:eastAsia="zh-CN"/>
                    </w:rPr>
                    <w:t>微生物实验室安装带有高效过滤器的生物安全柜、高压灭菌器、辅助消毒装</w:t>
                  </w:r>
                  <w:r>
                    <w:rPr>
                      <w:rFonts w:hint="eastAsia"/>
                      <w:color w:val="FF0000"/>
                      <w:sz w:val="21"/>
                      <w:szCs w:val="21"/>
                      <w:lang w:val="en-US" w:eastAsia="zh-CN"/>
                    </w:rPr>
                    <w:t>置，排风管道引至楼顶排放，两套二级生物安全柜，共用一个排气口，排气口高出楼顶4m，距离地面15m</w:t>
                  </w:r>
                </w:p>
              </w:tc>
              <w:tc>
                <w:tcPr>
                  <w:tcW w:w="1513" w:type="dxa"/>
                  <w:tcBorders>
                    <w:tl2br w:val="nil"/>
                    <w:tr2bl w:val="nil"/>
                  </w:tcBorders>
                  <w:vAlign w:val="center"/>
                </w:tcPr>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974"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405" w:type="dxa"/>
                  <w:vMerge w:val="restart"/>
                  <w:tcBorders>
                    <w:right w:val="single" w:color="000000" w:sz="6" w:space="0"/>
                    <w:tl2br w:val="nil"/>
                    <w:tr2bl w:val="nil"/>
                  </w:tcBorders>
                  <w:vAlign w:val="center"/>
                </w:tcPr>
                <w:p>
                  <w:pPr>
                    <w:jc w:val="center"/>
                    <w:rPr>
                      <w:rFonts w:hint="eastAsia" w:eastAsiaTheme="minorEastAsia"/>
                      <w:color w:val="FF0000"/>
                      <w:sz w:val="21"/>
                      <w:szCs w:val="21"/>
                      <w:lang w:eastAsia="zh-CN"/>
                    </w:rPr>
                  </w:pPr>
                  <w:r>
                    <w:rPr>
                      <w:rFonts w:hint="eastAsia"/>
                      <w:color w:val="FF0000"/>
                      <w:sz w:val="21"/>
                      <w:szCs w:val="21"/>
                      <w:lang w:eastAsia="zh-CN"/>
                    </w:rPr>
                    <w:t>废水</w:t>
                  </w:r>
                </w:p>
              </w:tc>
              <w:tc>
                <w:tcPr>
                  <w:tcW w:w="1322" w:type="dxa"/>
                  <w:tcBorders>
                    <w:left w:val="single" w:color="000000" w:sz="6" w:space="0"/>
                    <w:bottom w:val="single" w:color="000000" w:sz="6" w:space="0"/>
                    <w:tl2br w:val="nil"/>
                    <w:tr2bl w:val="nil"/>
                  </w:tcBorders>
                  <w:vAlign w:val="center"/>
                </w:tcPr>
                <w:p>
                  <w:pPr>
                    <w:jc w:val="center"/>
                    <w:rPr>
                      <w:rFonts w:hint="eastAsia"/>
                      <w:color w:val="FF0000"/>
                      <w:sz w:val="21"/>
                      <w:szCs w:val="21"/>
                      <w:lang w:eastAsia="zh-CN"/>
                    </w:rPr>
                  </w:pPr>
                  <w:r>
                    <w:rPr>
                      <w:rFonts w:hint="eastAsia"/>
                      <w:color w:val="FF0000"/>
                      <w:sz w:val="21"/>
                      <w:szCs w:val="21"/>
                      <w:lang w:eastAsia="zh-CN"/>
                    </w:rPr>
                    <w:t>生活污水</w:t>
                  </w:r>
                </w:p>
              </w:tc>
              <w:tc>
                <w:tcPr>
                  <w:tcW w:w="4464" w:type="dxa"/>
                  <w:tcBorders>
                    <w:bottom w:val="single" w:color="000000" w:sz="6" w:space="0"/>
                    <w:tl2br w:val="nil"/>
                    <w:tr2bl w:val="nil"/>
                  </w:tcBorders>
                  <w:vAlign w:val="center"/>
                </w:tcPr>
                <w:p>
                  <w:pPr>
                    <w:jc w:val="center"/>
                    <w:rPr>
                      <w:color w:val="FF0000"/>
                      <w:sz w:val="21"/>
                      <w:szCs w:val="21"/>
                      <w:lang w:eastAsia="zh-CN"/>
                    </w:rPr>
                  </w:pPr>
                  <w:r>
                    <w:rPr>
                      <w:rFonts w:hint="eastAsia"/>
                      <w:color w:val="FF0000"/>
                      <w:sz w:val="21"/>
                      <w:szCs w:val="21"/>
                      <w:lang w:eastAsia="zh-CN"/>
                    </w:rPr>
                    <w:t>化粪池（</w:t>
                  </w:r>
                  <w:r>
                    <w:rPr>
                      <w:rFonts w:hint="eastAsia"/>
                      <w:color w:val="FF0000"/>
                      <w:sz w:val="21"/>
                      <w:szCs w:val="21"/>
                      <w:lang w:val="en-US" w:eastAsia="zh-CN"/>
                    </w:rPr>
                    <w:t>30m</w:t>
                  </w:r>
                  <w:r>
                    <w:rPr>
                      <w:rFonts w:hint="eastAsia"/>
                      <w:color w:val="FF0000"/>
                      <w:sz w:val="21"/>
                      <w:szCs w:val="21"/>
                      <w:vertAlign w:val="superscript"/>
                      <w:lang w:val="en-US" w:eastAsia="zh-CN"/>
                    </w:rPr>
                    <w:t>3</w:t>
                  </w:r>
                  <w:r>
                    <w:rPr>
                      <w:rFonts w:hint="eastAsia"/>
                      <w:color w:val="FF0000"/>
                      <w:sz w:val="21"/>
                      <w:szCs w:val="21"/>
                      <w:lang w:eastAsia="zh-CN"/>
                    </w:rPr>
                    <w:t>）处理后排入</w:t>
                  </w:r>
                  <w:r>
                    <w:rPr>
                      <w:rFonts w:hint="eastAsia"/>
                      <w:color w:val="FF0000"/>
                      <w:sz w:val="21"/>
                      <w:szCs w:val="21"/>
                      <w:lang w:val="en-US" w:eastAsia="zh-CN"/>
                    </w:rPr>
                    <w:t>宁县生活污水处理厂</w:t>
                  </w:r>
                  <w:r>
                    <w:rPr>
                      <w:rFonts w:hint="eastAsia"/>
                      <w:color w:val="FF0000"/>
                      <w:sz w:val="21"/>
                      <w:szCs w:val="21"/>
                      <w:lang w:eastAsia="zh-CN"/>
                    </w:rPr>
                    <w:t>进行处理</w:t>
                  </w:r>
                </w:p>
              </w:tc>
              <w:tc>
                <w:tcPr>
                  <w:tcW w:w="1513" w:type="dxa"/>
                  <w:tcBorders>
                    <w:bottom w:val="single" w:color="000000" w:sz="6" w:space="0"/>
                    <w:tl2br w:val="nil"/>
                    <w:tr2bl w:val="nil"/>
                  </w:tcBorders>
                  <w:vAlign w:val="center"/>
                </w:tcPr>
                <w:p>
                  <w:pPr>
                    <w:jc w:val="center"/>
                    <w:rPr>
                      <w:rFonts w:hint="eastAsia" w:eastAsiaTheme="minorEastAsia"/>
                      <w:color w:val="FF0000"/>
                      <w:sz w:val="21"/>
                      <w:szCs w:val="21"/>
                      <w:lang w:val="en-US" w:eastAsia="zh-CN"/>
                    </w:rPr>
                  </w:pPr>
                  <w:r>
                    <w:rPr>
                      <w:rFonts w:hint="eastAsia"/>
                      <w:color w:val="FF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jc w:val="center"/>
              </w:trPr>
              <w:tc>
                <w:tcPr>
                  <w:tcW w:w="974"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405" w:type="dxa"/>
                  <w:vMerge w:val="continue"/>
                  <w:tcBorders>
                    <w:right w:val="single" w:color="000000" w:sz="6" w:space="0"/>
                    <w:tl2br w:val="nil"/>
                    <w:tr2bl w:val="nil"/>
                  </w:tcBorders>
                  <w:vAlign w:val="center"/>
                </w:tcPr>
                <w:p>
                  <w:pPr>
                    <w:jc w:val="center"/>
                    <w:rPr>
                      <w:rFonts w:hint="eastAsia"/>
                      <w:color w:val="FF0000"/>
                      <w:sz w:val="21"/>
                      <w:szCs w:val="21"/>
                      <w:lang w:eastAsia="zh-CN"/>
                    </w:rPr>
                  </w:pPr>
                </w:p>
              </w:tc>
              <w:tc>
                <w:tcPr>
                  <w:tcW w:w="1322" w:type="dxa"/>
                  <w:tcBorders>
                    <w:top w:val="single" w:color="000000" w:sz="6" w:space="0"/>
                    <w:left w:val="single" w:color="000000" w:sz="6" w:space="0"/>
                    <w:tl2br w:val="nil"/>
                    <w:tr2bl w:val="nil"/>
                  </w:tcBorders>
                  <w:vAlign w:val="center"/>
                </w:tcPr>
                <w:p>
                  <w:pPr>
                    <w:jc w:val="center"/>
                    <w:rPr>
                      <w:rFonts w:hint="eastAsia"/>
                      <w:color w:val="FF0000"/>
                      <w:sz w:val="21"/>
                      <w:szCs w:val="21"/>
                      <w:lang w:eastAsia="zh-CN"/>
                    </w:rPr>
                  </w:pPr>
                  <w:r>
                    <w:rPr>
                      <w:rFonts w:hint="eastAsia"/>
                      <w:color w:val="FF0000"/>
                      <w:sz w:val="21"/>
                      <w:szCs w:val="21"/>
                      <w:lang w:eastAsia="zh-CN"/>
                    </w:rPr>
                    <w:t>实验室废水</w:t>
                  </w:r>
                </w:p>
              </w:tc>
              <w:tc>
                <w:tcPr>
                  <w:tcW w:w="4464" w:type="dxa"/>
                  <w:tcBorders>
                    <w:top w:val="single" w:color="000000" w:sz="6" w:space="0"/>
                    <w:tl2br w:val="nil"/>
                    <w:tr2bl w:val="nil"/>
                  </w:tcBorders>
                  <w:vAlign w:val="center"/>
                </w:tcPr>
                <w:p>
                  <w:pPr>
                    <w:jc w:val="center"/>
                    <w:rPr>
                      <w:rFonts w:hint="default"/>
                      <w:color w:val="FF0000"/>
                      <w:sz w:val="21"/>
                      <w:szCs w:val="21"/>
                      <w:vertAlign w:val="baseline"/>
                      <w:lang w:val="en-US" w:eastAsia="zh-CN"/>
                    </w:rPr>
                  </w:pPr>
                  <w:r>
                    <w:rPr>
                      <w:rFonts w:hint="eastAsia"/>
                      <w:color w:val="FF0000"/>
                      <w:sz w:val="21"/>
                      <w:szCs w:val="21"/>
                      <w:lang w:eastAsia="zh-CN"/>
                    </w:rPr>
                    <w:t>消毒、高温高压灭菌，</w:t>
                  </w:r>
                  <w:r>
                    <w:rPr>
                      <w:rFonts w:hint="eastAsia"/>
                      <w:color w:val="FF0000"/>
                      <w:sz w:val="21"/>
                      <w:szCs w:val="21"/>
                      <w:lang w:val="en-US" w:eastAsia="zh-CN"/>
                    </w:rPr>
                    <w:t>室外设置</w:t>
                  </w:r>
                  <w:r>
                    <w:rPr>
                      <w:rFonts w:hint="eastAsia"/>
                      <w:color w:val="0000FF"/>
                      <w:sz w:val="21"/>
                      <w:szCs w:val="21"/>
                      <w:lang w:val="en-US" w:eastAsia="zh-CN"/>
                    </w:rPr>
                    <w:t>1.</w:t>
                  </w:r>
                  <w:commentRangeStart w:id="13"/>
                  <w:r>
                    <w:rPr>
                      <w:rFonts w:hint="eastAsia"/>
                      <w:color w:val="0000FF"/>
                      <w:sz w:val="21"/>
                      <w:szCs w:val="21"/>
                      <w:lang w:val="en-US" w:eastAsia="zh-CN"/>
                    </w:rPr>
                    <w:t>5</w:t>
                  </w:r>
                  <w:commentRangeEnd w:id="13"/>
                  <w:r>
                    <w:rPr>
                      <w:color w:val="0000FF"/>
                    </w:rPr>
                    <w:commentReference w:id="13"/>
                  </w:r>
                  <w:r>
                    <w:rPr>
                      <w:rFonts w:hint="eastAsia"/>
                      <w:color w:val="0000FF"/>
                      <w:sz w:val="21"/>
                      <w:szCs w:val="21"/>
                      <w:lang w:val="en-US" w:eastAsia="zh-CN"/>
                    </w:rPr>
                    <w:t>m</w:t>
                  </w:r>
                  <w:r>
                    <w:rPr>
                      <w:rFonts w:hint="eastAsia"/>
                      <w:color w:val="0000FF"/>
                      <w:sz w:val="21"/>
                      <w:szCs w:val="21"/>
                      <w:vertAlign w:val="superscript"/>
                      <w:lang w:val="en-US" w:eastAsia="zh-CN"/>
                    </w:rPr>
                    <w:t>3</w:t>
                  </w:r>
                  <w:r>
                    <w:rPr>
                      <w:rFonts w:hint="eastAsia"/>
                      <w:color w:val="0000FF"/>
                      <w:sz w:val="21"/>
                      <w:szCs w:val="21"/>
                      <w:vertAlign w:val="baseline"/>
                      <w:lang w:val="en-US" w:eastAsia="zh-CN"/>
                    </w:rPr>
                    <w:t>消毒罐</w:t>
                  </w:r>
                </w:p>
              </w:tc>
              <w:tc>
                <w:tcPr>
                  <w:tcW w:w="1513" w:type="dxa"/>
                  <w:tcBorders>
                    <w:top w:val="single" w:color="000000" w:sz="6" w:space="0"/>
                    <w:tl2br w:val="nil"/>
                    <w:tr2bl w:val="nil"/>
                  </w:tcBorders>
                  <w:vAlign w:val="center"/>
                </w:tcPr>
                <w:p>
                  <w:pPr>
                    <w:jc w:val="center"/>
                    <w:rPr>
                      <w:rFonts w:hint="default" w:eastAsiaTheme="minorEastAsia"/>
                      <w:color w:val="FF0000"/>
                      <w:sz w:val="21"/>
                      <w:szCs w:val="21"/>
                      <w:lang w:val="en-US" w:eastAsia="zh-CN"/>
                    </w:rPr>
                  </w:pPr>
                  <w:r>
                    <w:rPr>
                      <w:rFonts w:hint="eastAsia"/>
                      <w:color w:val="FF0000"/>
                      <w:sz w:val="21"/>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974"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405" w:type="dxa"/>
                  <w:vMerge w:val="restart"/>
                  <w:tcBorders>
                    <w:tl2br w:val="nil"/>
                    <w:tr2bl w:val="nil"/>
                  </w:tcBorders>
                  <w:vAlign w:val="center"/>
                </w:tcPr>
                <w:p>
                  <w:pPr>
                    <w:jc w:val="center"/>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固废</w:t>
                  </w:r>
                </w:p>
              </w:tc>
              <w:tc>
                <w:tcPr>
                  <w:tcW w:w="1322" w:type="dxa"/>
                  <w:tcBorders>
                    <w:tl2br w:val="nil"/>
                    <w:tr2bl w:val="nil"/>
                  </w:tcBorders>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一般固废</w:t>
                  </w:r>
                </w:p>
              </w:tc>
              <w:tc>
                <w:tcPr>
                  <w:tcW w:w="4464" w:type="dxa"/>
                  <w:tcBorders>
                    <w:tl2br w:val="nil"/>
                    <w:tr2bl w:val="nil"/>
                  </w:tcBorders>
                  <w:vAlign w:val="center"/>
                </w:tcPr>
                <w:p>
                  <w:pPr>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4个垃圾箱</w:t>
                  </w:r>
                </w:p>
              </w:tc>
              <w:tc>
                <w:tcPr>
                  <w:tcW w:w="1513" w:type="dxa"/>
                  <w:tcBorders>
                    <w:tl2br w:val="nil"/>
                    <w:tr2bl w:val="nil"/>
                  </w:tcBorders>
                  <w:vAlign w:val="center"/>
                </w:tcPr>
                <w:p>
                  <w:pPr>
                    <w:jc w:val="center"/>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974" w:type="dxa"/>
                  <w:vMerge w:val="continue"/>
                  <w:tcBorders>
                    <w:tl2br w:val="nil"/>
                    <w:tr2bl w:val="nil"/>
                  </w:tcBorders>
                  <w:vAlign w:val="center"/>
                </w:tcPr>
                <w:p>
                  <w:pPr>
                    <w:jc w:val="center"/>
                    <w:rPr>
                      <w:color w:val="000000" w:themeColor="text1"/>
                      <w:sz w:val="21"/>
                      <w:szCs w:val="21"/>
                      <w14:textFill>
                        <w14:solidFill>
                          <w14:schemeClr w14:val="tx1"/>
                        </w14:solidFill>
                      </w14:textFill>
                    </w:rPr>
                  </w:pPr>
                </w:p>
              </w:tc>
              <w:tc>
                <w:tcPr>
                  <w:tcW w:w="405" w:type="dxa"/>
                  <w:vMerge w:val="continue"/>
                  <w:tcBorders>
                    <w:tl2br w:val="nil"/>
                    <w:tr2bl w:val="nil"/>
                  </w:tcBorders>
                  <w:vAlign w:val="center"/>
                </w:tcPr>
                <w:p>
                  <w:pPr>
                    <w:jc w:val="center"/>
                    <w:rPr>
                      <w:rFonts w:hint="eastAsia"/>
                      <w:color w:val="000000" w:themeColor="text1"/>
                      <w:sz w:val="21"/>
                      <w:szCs w:val="21"/>
                      <w:lang w:eastAsia="zh-CN"/>
                      <w14:textFill>
                        <w14:solidFill>
                          <w14:schemeClr w14:val="tx1"/>
                        </w14:solidFill>
                      </w14:textFill>
                    </w:rPr>
                  </w:pPr>
                </w:p>
              </w:tc>
              <w:tc>
                <w:tcPr>
                  <w:tcW w:w="1322" w:type="dxa"/>
                  <w:tcBorders>
                    <w:tl2br w:val="nil"/>
                    <w:tr2bl w:val="nil"/>
                  </w:tcBorders>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危废</w:t>
                  </w:r>
                </w:p>
              </w:tc>
              <w:tc>
                <w:tcPr>
                  <w:tcW w:w="4464" w:type="dxa"/>
                  <w:tcBorders>
                    <w:tl2br w:val="nil"/>
                    <w:tr2bl w:val="nil"/>
                  </w:tcBorders>
                  <w:vAlign w:val="center"/>
                </w:tcPr>
                <w:p>
                  <w:pPr>
                    <w:jc w:val="center"/>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危废暂存间一间</w:t>
                  </w:r>
                  <w:r>
                    <w:rPr>
                      <w:rFonts w:hint="eastAsia"/>
                      <w:color w:val="000000" w:themeColor="text1"/>
                      <w:sz w:val="21"/>
                      <w:szCs w:val="21"/>
                      <w:lang w:val="en-US" w:eastAsia="zh-CN"/>
                      <w14:textFill>
                        <w14:solidFill>
                          <w14:schemeClr w14:val="tx1"/>
                        </w14:solidFill>
                      </w14:textFill>
                    </w:rPr>
                    <w:t>10m</w:t>
                  </w:r>
                  <w:r>
                    <w:rPr>
                      <w:rFonts w:hint="eastAsia"/>
                      <w:color w:val="000000" w:themeColor="text1"/>
                      <w:sz w:val="21"/>
                      <w:szCs w:val="21"/>
                      <w:vertAlign w:val="superscript"/>
                      <w:lang w:val="en-US" w:eastAsia="zh-CN"/>
                      <w14:textFill>
                        <w14:solidFill>
                          <w14:schemeClr w14:val="tx1"/>
                        </w14:solidFill>
                      </w14:textFill>
                    </w:rPr>
                    <w:t>2</w:t>
                  </w:r>
                </w:p>
              </w:tc>
              <w:tc>
                <w:tcPr>
                  <w:tcW w:w="1513" w:type="dxa"/>
                  <w:tcBorders>
                    <w:tl2br w:val="nil"/>
                    <w:tr2bl w:val="nil"/>
                  </w:tcBorders>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701" w:type="dxa"/>
                  <w:gridSpan w:val="3"/>
                  <w:tcBorders>
                    <w:tl2br w:val="nil"/>
                    <w:tr2bl w:val="nil"/>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4464" w:type="dxa"/>
                  <w:tcBorders>
                    <w:tl2br w:val="nil"/>
                    <w:tr2bl w:val="nil"/>
                  </w:tcBorders>
                  <w:vAlign w:val="center"/>
                </w:tcPr>
                <w:p>
                  <w:pPr>
                    <w:jc w:val="center"/>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513" w:type="dxa"/>
                  <w:tcBorders>
                    <w:tl2br w:val="nil"/>
                    <w:tr2bl w:val="nil"/>
                  </w:tcBorders>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24.3</w:t>
                  </w:r>
                </w:p>
              </w:tc>
            </w:tr>
          </w:tbl>
          <w:p>
            <w:pPr>
              <w:pStyle w:val="15"/>
              <w:ind w:left="0" w:leftChars="0"/>
              <w:rPr>
                <w:rFonts w:ascii="Times New Roman" w:hAnsi="Times New Roman" w:eastAsia="宋体" w:cs="Times New Roman"/>
                <w:bCs/>
                <w:color w:val="000000" w:themeColor="text1"/>
                <w:spacing w:val="-10"/>
                <w:sz w:val="24"/>
                <w:szCs w:val="24"/>
                <w:lang w:eastAsia="zh-CN"/>
                <w14:textFill>
                  <w14:solidFill>
                    <w14:schemeClr w14:val="tx1"/>
                  </w14:solidFill>
                </w14:textFill>
              </w:rPr>
            </w:pPr>
          </w:p>
        </w:tc>
      </w:tr>
    </w:tbl>
    <w:p>
      <w:pPr>
        <w:pStyle w:val="36"/>
        <w:jc w:val="center"/>
        <w:outlineLvl w:val="0"/>
        <w:rPr>
          <w:rFonts w:ascii="Times New Roman" w:hAnsi="Times New Roman" w:eastAsia="宋体"/>
          <w:b/>
          <w:color w:val="000000" w:themeColor="text1"/>
          <w:lang w:eastAsia="zh-CN"/>
          <w14:textFill>
            <w14:solidFill>
              <w14:schemeClr w14:val="tx1"/>
            </w14:solidFill>
          </w14:textFill>
        </w:rPr>
      </w:pPr>
      <w:bookmarkStart w:id="30" w:name="_Toc26773"/>
      <w:r>
        <w:rPr>
          <w:rFonts w:ascii="Times New Roman" w:hAnsi="Times New Roman" w:eastAsia="宋体"/>
          <w:b/>
          <w:color w:val="000000" w:themeColor="text1"/>
          <w:lang w:eastAsia="zh-CN"/>
          <w14:textFill>
            <w14:solidFill>
              <w14:schemeClr w14:val="tx1"/>
            </w14:solidFill>
          </w14:textFill>
        </w:rPr>
        <w:t>五、环境保护措施监督检查清单</w:t>
      </w:r>
      <w:bookmarkEnd w:id="30"/>
    </w:p>
    <w:p>
      <w:pPr>
        <w:tabs>
          <w:tab w:val="left" w:pos="238"/>
        </w:tabs>
        <w:rPr>
          <w:rFonts w:ascii="Times New Roman" w:hAnsi="Times New Roman" w:eastAsia="宋体" w:cs="仿宋"/>
          <w:color w:val="000000" w:themeColor="text1"/>
          <w:sz w:val="21"/>
          <w:szCs w:val="21"/>
          <w:lang w:eastAsia="zh-CN"/>
          <w14:textFill>
            <w14:solidFill>
              <w14:schemeClr w14:val="tx1"/>
            </w14:solidFill>
          </w14:textFill>
        </w:rPr>
      </w:pPr>
    </w:p>
    <w:tbl>
      <w:tblPr>
        <w:tblStyle w:val="28"/>
        <w:tblW w:w="96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679"/>
        <w:gridCol w:w="1480"/>
        <w:gridCol w:w="2167"/>
        <w:gridCol w:w="2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tcBorders>
              <w:tl2br w:val="single" w:color="auto" w:sz="4" w:space="0"/>
            </w:tcBorders>
          </w:tcPr>
          <w:p>
            <w:pPr>
              <w:adjustRightInd w:val="0"/>
              <w:snapToGrid w:val="0"/>
              <w:ind w:firstLine="600" w:firstLineChars="25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内容</w:t>
            </w:r>
          </w:p>
          <w:p>
            <w:pPr>
              <w:adjustRightInd w:val="0"/>
              <w:snapToGrid w:val="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要素</w:t>
            </w:r>
          </w:p>
        </w:tc>
        <w:tc>
          <w:tcPr>
            <w:tcW w:w="1679" w:type="dxa"/>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排放口(编号、名称)/污染源</w:t>
            </w:r>
          </w:p>
        </w:tc>
        <w:tc>
          <w:tcPr>
            <w:tcW w:w="1480"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污染物项目</w:t>
            </w:r>
          </w:p>
        </w:tc>
        <w:tc>
          <w:tcPr>
            <w:tcW w:w="2167"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环境保护措施</w:t>
            </w:r>
          </w:p>
        </w:tc>
        <w:tc>
          <w:tcPr>
            <w:tcW w:w="2717"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大气环境</w:t>
            </w:r>
          </w:p>
        </w:tc>
        <w:tc>
          <w:tcPr>
            <w:tcW w:w="1679" w:type="dxa"/>
            <w:vAlign w:val="center"/>
          </w:tcPr>
          <w:p>
            <w:pPr>
              <w:adjustRightInd w:val="0"/>
              <w:snapToGrid w:val="0"/>
              <w:ind w:left="-26" w:right="36"/>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微生物实验室</w:t>
            </w:r>
          </w:p>
        </w:tc>
        <w:tc>
          <w:tcPr>
            <w:tcW w:w="1480" w:type="dxa"/>
            <w:vAlign w:val="center"/>
          </w:tcPr>
          <w:p>
            <w:pPr>
              <w:adjustRightInd w:val="0"/>
              <w:snapToGrid w:val="0"/>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病原微生物（气溶胶）</w:t>
            </w:r>
            <w:r>
              <w:rPr>
                <w:rFonts w:hint="eastAsia" w:ascii="Times New Roman" w:hAnsi="Times New Roman" w:eastAsia="宋体" w:cs="Times New Roman"/>
                <w:color w:val="000000" w:themeColor="text1"/>
                <w:sz w:val="24"/>
                <w:szCs w:val="24"/>
                <w:lang w:eastAsia="zh-CN"/>
                <w14:textFill>
                  <w14:solidFill>
                    <w14:schemeClr w14:val="tx1"/>
                  </w14:solidFill>
                </w14:textFill>
              </w:rPr>
              <w:t>、目标为生物</w:t>
            </w:r>
          </w:p>
        </w:tc>
        <w:tc>
          <w:tcPr>
            <w:tcW w:w="2167" w:type="dxa"/>
            <w:vAlign w:val="center"/>
          </w:tcPr>
          <w:p>
            <w:pPr>
              <w:adjustRightInd w:val="0"/>
              <w:snapToGrid w:val="0"/>
              <w:ind w:left="-26" w:right="36"/>
              <w:jc w:val="cente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pPr>
            <w:r>
              <w:rPr>
                <w:rFonts w:hint="eastAsia"/>
                <w:bCs/>
                <w:color w:val="FF0000"/>
                <w:sz w:val="24"/>
                <w:szCs w:val="24"/>
                <w:lang w:eastAsia="zh-CN"/>
              </w:rPr>
              <w:t>含有病原微生物的气体不外排。生物实验室废气采用负压方式经高效空气过滤器净化后通过排风管道引至楼顶</w:t>
            </w:r>
            <w:r>
              <w:rPr>
                <w:rFonts w:hint="eastAsia"/>
                <w:bCs/>
                <w:color w:val="FF0000"/>
                <w:sz w:val="24"/>
                <w:szCs w:val="24"/>
                <w:lang w:val="en-US" w:eastAsia="zh-CN"/>
              </w:rPr>
              <w:t>4</w:t>
            </w:r>
            <w:r>
              <w:rPr>
                <w:rFonts w:hint="eastAsia"/>
                <w:bCs/>
                <w:color w:val="FF0000"/>
                <w:sz w:val="24"/>
                <w:szCs w:val="24"/>
                <w:lang w:eastAsia="zh-CN"/>
              </w:rPr>
              <w:t>m高的排气筒排放</w:t>
            </w:r>
            <w:r>
              <w:rPr>
                <w:rFonts w:hint="eastAsia"/>
                <w:color w:val="FF0000"/>
                <w:lang w:eastAsia="zh-CN"/>
              </w:rPr>
              <w:t>，</w:t>
            </w:r>
            <w:r>
              <w:rPr>
                <w:rFonts w:hint="eastAsia"/>
                <w:color w:val="FF0000"/>
                <w:lang w:val="en-US" w:eastAsia="zh-CN"/>
              </w:rPr>
              <w:t>排气筒高度距离地面15m</w:t>
            </w:r>
          </w:p>
        </w:tc>
        <w:tc>
          <w:tcPr>
            <w:tcW w:w="2717" w:type="dxa"/>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参照《病源微生物实验室污染物排放标准》（征求意见稿），不得检出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vMerge w:val="restart"/>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地表水环境</w:t>
            </w:r>
          </w:p>
        </w:tc>
        <w:tc>
          <w:tcPr>
            <w:tcW w:w="1679" w:type="dxa"/>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生活污水</w:t>
            </w:r>
          </w:p>
        </w:tc>
        <w:tc>
          <w:tcPr>
            <w:tcW w:w="1480" w:type="dxa"/>
            <w:vMerge w:val="restart"/>
            <w:vAlign w:val="center"/>
          </w:tcPr>
          <w:p>
            <w:pPr>
              <w:adjustRightInd w:val="0"/>
              <w:snapToGrid w:val="0"/>
              <w:ind w:left="-26" w:right="36"/>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CODcr、BOD</w:t>
            </w:r>
            <w:r>
              <w:rPr>
                <w:rFonts w:ascii="Times New Roman" w:hAnsi="Times New Roman" w:eastAsia="宋体" w:cs="Times New Roman"/>
                <w:color w:val="000000" w:themeColor="text1"/>
                <w:sz w:val="24"/>
                <w:vertAlign w:val="subscript"/>
                <w14:textFill>
                  <w14:solidFill>
                    <w14:schemeClr w14:val="tx1"/>
                  </w14:solidFill>
                </w14:textFill>
              </w:rPr>
              <w:t>5</w:t>
            </w:r>
            <w:r>
              <w:rPr>
                <w:rFonts w:ascii="Times New Roman" w:hAnsi="Times New Roman" w:eastAsia="宋体" w:cs="Times New Roman"/>
                <w:color w:val="000000" w:themeColor="text1"/>
                <w:sz w:val="24"/>
                <w14:textFill>
                  <w14:solidFill>
                    <w14:schemeClr w14:val="tx1"/>
                  </w14:solidFill>
                </w14:textFill>
              </w:rPr>
              <w:t>、SS</w:t>
            </w:r>
            <w:r>
              <w:rPr>
                <w:rFonts w:hint="eastAsia" w:ascii="Times New Roman" w:hAnsi="Times New Roman" w:eastAsia="宋体" w:cs="Times New Roman"/>
                <w:color w:val="000000" w:themeColor="text1"/>
                <w:sz w:val="24"/>
                <w:lang w:eastAsia="zh-CN"/>
                <w14:textFill>
                  <w14:solidFill>
                    <w14:schemeClr w14:val="tx1"/>
                  </w14:solidFill>
                </w14:textFill>
              </w:rPr>
              <w:t>、氨氮、粪大肠菌群、目标微生物</w:t>
            </w:r>
            <w:r>
              <w:rPr>
                <w:rFonts w:ascii="Times New Roman" w:hAnsi="Times New Roman" w:eastAsia="宋体" w:cs="Times New Roman"/>
                <w:color w:val="000000" w:themeColor="text1"/>
                <w:sz w:val="24"/>
                <w14:textFill>
                  <w14:solidFill>
                    <w14:schemeClr w14:val="tx1"/>
                  </w14:solidFill>
                </w14:textFill>
              </w:rPr>
              <w:t>等</w:t>
            </w:r>
          </w:p>
        </w:tc>
        <w:tc>
          <w:tcPr>
            <w:tcW w:w="2167" w:type="dxa"/>
            <w:tcBorders>
              <w:bottom w:val="single" w:color="000000" w:sz="6" w:space="0"/>
            </w:tcBorders>
            <w:vAlign w:val="center"/>
          </w:tcPr>
          <w:p>
            <w:pPr>
              <w:adjustRightInd w:val="0"/>
              <w:snapToGrid w:val="0"/>
              <w:ind w:left="-26" w:right="36"/>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化粪池处理后排入市政管网，最终进入</w:t>
            </w:r>
            <w:r>
              <w:rPr>
                <w:rFonts w:hint="eastAsia" w:ascii="Times New Roman" w:hAnsi="Times New Roman" w:eastAsia="宋体" w:cs="Times New Roman"/>
                <w:color w:val="000000" w:themeColor="text1"/>
                <w:sz w:val="24"/>
                <w:lang w:val="en-US" w:eastAsia="zh-CN"/>
                <w14:textFill>
                  <w14:solidFill>
                    <w14:schemeClr w14:val="tx1"/>
                  </w14:solidFill>
                </w14:textFill>
              </w:rPr>
              <w:t>宁县生活污水处理厂</w:t>
            </w:r>
          </w:p>
        </w:tc>
        <w:tc>
          <w:tcPr>
            <w:tcW w:w="2717" w:type="dxa"/>
            <w:vMerge w:val="restart"/>
            <w:vAlign w:val="center"/>
          </w:tcPr>
          <w:p>
            <w:pPr>
              <w:adjustRightInd w:val="0"/>
              <w:snapToGrid w:val="0"/>
              <w:ind w:left="-26" w:right="36"/>
              <w:jc w:val="center"/>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FF0000"/>
                <w:sz w:val="24"/>
                <w:lang w:eastAsia="zh-CN"/>
              </w:rPr>
              <w:t>《污水综合排放标准》（GB8978-1996）中三级标准，目标微生物参照</w:t>
            </w:r>
            <w:r>
              <w:rPr>
                <w:rFonts w:hint="eastAsia" w:ascii="Times New Roman" w:hAnsi="Times New Roman" w:eastAsia="宋体" w:cs="Times New Roman"/>
                <w:color w:val="FF0000"/>
                <w:sz w:val="24"/>
                <w:lang w:val="en-US" w:eastAsia="zh-CN"/>
              </w:rPr>
              <w:t>《病源微生物实验室污染物排放标准》（征求意见稿），不得检出；实验室废水检测口废水参照《医疗机构水污染排放标准》（GB18466-2005）</w:t>
            </w:r>
            <w:commentRangeStart w:id="14"/>
            <w:r>
              <w:rPr>
                <w:rFonts w:hint="eastAsia" w:ascii="Times New Roman" w:hAnsi="Times New Roman" w:eastAsia="宋体" w:cs="Times New Roman"/>
                <w:color w:val="0000FF"/>
                <w:sz w:val="24"/>
                <w:lang w:val="en-US" w:eastAsia="zh-CN"/>
              </w:rPr>
              <w:t>预处理排放</w:t>
            </w:r>
            <w:commentRangeEnd w:id="14"/>
            <w:r>
              <w:rPr>
                <w:color w:val="0000FF"/>
                <w:sz w:val="24"/>
                <w:szCs w:val="24"/>
              </w:rPr>
              <w:commentReference w:id="14"/>
            </w:r>
            <w:r>
              <w:rPr>
                <w:rFonts w:hint="eastAsia"/>
                <w:color w:val="0000FF"/>
                <w:sz w:val="24"/>
                <w:szCs w:val="24"/>
                <w:lang w:val="en-US" w:eastAsia="zh-CN"/>
              </w:rPr>
              <w:t>标准</w:t>
            </w:r>
            <w:r>
              <w:rPr>
                <w:rFonts w:hint="eastAsia" w:ascii="Times New Roman" w:hAnsi="Times New Roman" w:eastAsia="宋体" w:cs="Times New Roman"/>
                <w:color w:val="0000FF"/>
                <w:sz w:val="24"/>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实验室废水</w:t>
            </w:r>
          </w:p>
        </w:tc>
        <w:tc>
          <w:tcPr>
            <w:tcW w:w="1480" w:type="dxa"/>
            <w:vMerge w:val="continue"/>
            <w:vAlign w:val="center"/>
          </w:tcPr>
          <w:p>
            <w:pPr>
              <w:adjustRightInd w:val="0"/>
              <w:snapToGrid w:val="0"/>
              <w:rPr>
                <w:rFonts w:ascii="Times New Roman" w:hAnsi="Times New Roman" w:eastAsia="宋体" w:cs="Times New Roman"/>
                <w:color w:val="000000" w:themeColor="text1"/>
                <w:sz w:val="24"/>
                <w14:textFill>
                  <w14:solidFill>
                    <w14:schemeClr w14:val="tx1"/>
                  </w14:solidFill>
                </w14:textFill>
              </w:rPr>
            </w:pPr>
          </w:p>
        </w:tc>
        <w:tc>
          <w:tcPr>
            <w:tcW w:w="2167" w:type="dxa"/>
            <w:tcBorders>
              <w:top w:val="single" w:color="000000" w:sz="6" w:space="0"/>
            </w:tcBorders>
            <w:vAlign w:val="center"/>
          </w:tcPr>
          <w:p>
            <w:pPr>
              <w:adjustRightInd w:val="0"/>
              <w:snapToGrid w:val="0"/>
              <w:jc w:val="center"/>
              <w:rPr>
                <w:rFonts w:hint="default" w:ascii="Times New Roman" w:hAnsi="Times New Roman" w:eastAsia="宋体" w:cs="Times New Roman"/>
                <w:color w:val="000000" w:themeColor="text1"/>
                <w:sz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消毒、高温高压灭菌处理后进入化粪池预处理后排入市政管网，最终排入宁县生活污水处理厂；</w:t>
            </w:r>
            <w:r>
              <w:rPr>
                <w:rFonts w:hint="eastAsia" w:ascii="Times New Roman" w:hAnsi="Times New Roman" w:eastAsia="宋体" w:cs="Times New Roman"/>
                <w:color w:val="000000" w:themeColor="text1"/>
                <w:sz w:val="24"/>
                <w:lang w:val="en-US" w:eastAsia="zh-CN"/>
                <w14:textFill>
                  <w14:solidFill>
                    <w14:schemeClr w14:val="tx1"/>
                  </w14:solidFill>
                </w14:textFill>
              </w:rPr>
              <w:t>化粪池前设置消毒罐1具1.</w:t>
            </w:r>
            <w:commentRangeStart w:id="15"/>
            <w:r>
              <w:rPr>
                <w:rFonts w:hint="eastAsia" w:ascii="Times New Roman" w:hAnsi="Times New Roman" w:eastAsia="宋体" w:cs="Times New Roman"/>
                <w:color w:val="000000" w:themeColor="text1"/>
                <w:sz w:val="24"/>
                <w:lang w:val="en-US" w:eastAsia="zh-CN"/>
                <w14:textFill>
                  <w14:solidFill>
                    <w14:schemeClr w14:val="tx1"/>
                  </w14:solidFill>
                </w14:textFill>
              </w:rPr>
              <w:t>5</w:t>
            </w:r>
            <w:commentRangeEnd w:id="15"/>
            <w:r>
              <w:commentReference w:id="15"/>
            </w:r>
            <w:r>
              <w:rPr>
                <w:rFonts w:hint="eastAsia" w:ascii="Times New Roman" w:hAnsi="Times New Roman" w:eastAsia="宋体" w:cs="Times New Roman"/>
                <w:color w:val="000000" w:themeColor="text1"/>
                <w:sz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vertAlign w:val="superscript"/>
                <w:lang w:val="en-US" w:eastAsia="zh-CN"/>
                <w14:textFill>
                  <w14:solidFill>
                    <w14:schemeClr w14:val="tx1"/>
                  </w14:solidFill>
                </w14:textFill>
              </w:rPr>
              <w:t>3</w:t>
            </w: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tcBorders>
              <w:bottom w:val="single" w:color="auto" w:sz="4" w:space="0"/>
            </w:tcBorders>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声环境</w:t>
            </w:r>
          </w:p>
        </w:tc>
        <w:tc>
          <w:tcPr>
            <w:tcW w:w="1679" w:type="dxa"/>
            <w:tcBorders>
              <w:bottom w:val="single" w:color="auto" w:sz="4" w:space="0"/>
            </w:tcBorders>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设备噪声</w:t>
            </w:r>
          </w:p>
        </w:tc>
        <w:tc>
          <w:tcPr>
            <w:tcW w:w="1480" w:type="dxa"/>
            <w:tcBorders>
              <w:bottom w:val="single" w:color="auto" w:sz="4" w:space="0"/>
            </w:tcBorders>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噪声</w:t>
            </w:r>
          </w:p>
        </w:tc>
        <w:tc>
          <w:tcPr>
            <w:tcW w:w="2167" w:type="dxa"/>
            <w:vAlign w:val="center"/>
          </w:tcPr>
          <w:p>
            <w:pPr>
              <w:jc w:val="center"/>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隔声门窗、选用低噪声设备、减震基座、挠性连接等</w:t>
            </w:r>
          </w:p>
        </w:tc>
        <w:tc>
          <w:tcPr>
            <w:tcW w:w="2717" w:type="dxa"/>
            <w:tcBorders>
              <w:bottom w:val="single" w:color="auto" w:sz="4" w:space="0"/>
            </w:tcBorders>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满足</w:t>
            </w:r>
            <w:r>
              <w:rPr>
                <w:bCs/>
                <w:color w:val="000000" w:themeColor="text1"/>
                <w:kern w:val="44"/>
                <w:sz w:val="24"/>
                <w:szCs w:val="24"/>
                <w:lang w:eastAsia="zh-CN"/>
                <w14:textFill>
                  <w14:solidFill>
                    <w14:schemeClr w14:val="tx1"/>
                  </w14:solidFill>
                </w14:textFill>
              </w:rPr>
              <w:t>《</w:t>
            </w:r>
            <w:r>
              <w:rPr>
                <w:rFonts w:hint="eastAsia"/>
                <w:bCs/>
                <w:color w:val="000000" w:themeColor="text1"/>
                <w:kern w:val="44"/>
                <w:sz w:val="24"/>
                <w:szCs w:val="24"/>
                <w:lang w:eastAsia="zh-CN"/>
                <w14:textFill>
                  <w14:solidFill>
                    <w14:schemeClr w14:val="tx1"/>
                  </w14:solidFill>
                </w14:textFill>
              </w:rPr>
              <w:t>社会生活</w:t>
            </w:r>
            <w:r>
              <w:rPr>
                <w:bCs/>
                <w:color w:val="000000" w:themeColor="text1"/>
                <w:kern w:val="44"/>
                <w:sz w:val="24"/>
                <w:szCs w:val="24"/>
                <w:lang w:eastAsia="zh-CN"/>
                <w14:textFill>
                  <w14:solidFill>
                    <w14:schemeClr w14:val="tx1"/>
                  </w14:solidFill>
                </w14:textFill>
              </w:rPr>
              <w:t>环境噪声排放标准》（GB</w:t>
            </w:r>
            <w:r>
              <w:rPr>
                <w:rFonts w:hint="eastAsia"/>
                <w:bCs/>
                <w:color w:val="000000" w:themeColor="text1"/>
                <w:kern w:val="44"/>
                <w:sz w:val="24"/>
                <w:szCs w:val="24"/>
                <w:lang w:eastAsia="zh-CN"/>
                <w14:textFill>
                  <w14:solidFill>
                    <w14:schemeClr w14:val="tx1"/>
                  </w14:solidFill>
                </w14:textFill>
              </w:rPr>
              <w:t>22337</w:t>
            </w:r>
            <w:r>
              <w:rPr>
                <w:bCs/>
                <w:color w:val="000000" w:themeColor="text1"/>
                <w:kern w:val="44"/>
                <w:sz w:val="24"/>
                <w:szCs w:val="24"/>
                <w:lang w:eastAsia="zh-CN"/>
                <w14:textFill>
                  <w14:solidFill>
                    <w14:schemeClr w14:val="tx1"/>
                  </w14:solidFill>
                </w14:textFill>
              </w:rPr>
              <w:t>-2008）</w:t>
            </w:r>
            <w:r>
              <w:rPr>
                <w:rFonts w:hint="eastAsia" w:ascii="Times New Roman" w:hAnsi="Times New Roman" w:eastAsia="宋体" w:cs="Times New Roman"/>
                <w:color w:val="000000" w:themeColor="text1"/>
                <w:sz w:val="24"/>
                <w:lang w:val="en-US" w:eastAsia="zh-CN"/>
                <w14:textFill>
                  <w14:solidFill>
                    <w14:schemeClr w14:val="tx1"/>
                  </w14:solidFill>
                </w14:textFill>
              </w:rPr>
              <w:t>2</w:t>
            </w:r>
            <w:r>
              <w:rPr>
                <w:rFonts w:ascii="Times New Roman" w:hAnsi="Times New Roman" w:eastAsia="宋体" w:cs="Times New Roman"/>
                <w:color w:val="000000" w:themeColor="text1"/>
                <w:sz w:val="24"/>
                <w:lang w:eastAsia="zh-CN"/>
                <w14:textFill>
                  <w14:solidFill>
                    <w14:schemeClr w14:val="tx1"/>
                  </w14:solidFill>
                </w14:textFill>
              </w:rPr>
              <w:t>类声环境功能区标准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1617" w:type="dxa"/>
            <w:vMerge w:val="restart"/>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固体废物</w:t>
            </w:r>
          </w:p>
        </w:tc>
        <w:tc>
          <w:tcPr>
            <w:tcW w:w="3159" w:type="dxa"/>
            <w:gridSpan w:val="2"/>
            <w:tcBorders>
              <w:bottom w:val="single" w:color="auto" w:sz="4" w:space="0"/>
            </w:tcBorders>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生活垃圾</w:t>
            </w:r>
          </w:p>
        </w:tc>
        <w:tc>
          <w:tcPr>
            <w:tcW w:w="2167" w:type="dxa"/>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垃圾收集箱收集后交由环卫部门处理</w:t>
            </w:r>
          </w:p>
        </w:tc>
        <w:tc>
          <w:tcPr>
            <w:tcW w:w="2717" w:type="dxa"/>
            <w:vMerge w:val="restart"/>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合理处置</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ascii="Times New Roman" w:hAnsi="Times New Roman" w:eastAsia="宋体" w:cs="Times New Roman"/>
                <w:color w:val="000000" w:themeColor="text1"/>
                <w:sz w:val="24"/>
                <w:lang w:eastAsia="zh-CN"/>
                <w14:textFill>
                  <w14:solidFill>
                    <w14:schemeClr w14:val="tx1"/>
                  </w14:solidFill>
                </w14:textFill>
              </w:rPr>
              <w:t>执行《一般工业固体废物贮存和填埋污染控制标准》（GB18599-2020）要求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tcBorders>
              <w:bottom w:val="single" w:color="000000" w:sz="6" w:space="0"/>
            </w:tcBorders>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r>
              <w:rPr>
                <w:rFonts w:ascii="Times New Roman" w:hAnsi="Times New Roman" w:eastAsia="宋体" w:cs="Times New Roman"/>
                <w:color w:val="000000" w:themeColor="text1"/>
                <w:sz w:val="24"/>
                <w:lang w:val="zh-CN"/>
                <w14:textFill>
                  <w14:solidFill>
                    <w14:schemeClr w14:val="tx1"/>
                  </w14:solidFill>
                </w14:textFill>
              </w:rPr>
              <w:t>软水设备</w:t>
            </w:r>
          </w:p>
        </w:tc>
        <w:tc>
          <w:tcPr>
            <w:tcW w:w="1480" w:type="dxa"/>
            <w:tcBorders>
              <w:bottom w:val="single" w:color="000000" w:sz="6" w:space="0"/>
            </w:tcBorders>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废旧离子交换树脂</w:t>
            </w:r>
          </w:p>
        </w:tc>
        <w:tc>
          <w:tcPr>
            <w:tcW w:w="2167" w:type="dxa"/>
            <w:tcBorders>
              <w:bottom w:val="single" w:color="000000" w:sz="6" w:space="0"/>
            </w:tcBorders>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交由厂家回收处置</w:t>
            </w: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tcBorders>
              <w:top w:val="single" w:color="000000" w:sz="6" w:space="0"/>
              <w:bottom w:val="single" w:color="000000" w:sz="6" w:space="0"/>
            </w:tcBorders>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r>
              <w:rPr>
                <w:rFonts w:hint="eastAsia" w:ascii="Times New Roman" w:hAnsi="Times New Roman" w:eastAsia="宋体" w:cs="Times New Roman"/>
                <w:color w:val="000000" w:themeColor="text1"/>
                <w:sz w:val="24"/>
                <w:lang w:val="zh-CN"/>
                <w14:textFill>
                  <w14:solidFill>
                    <w14:schemeClr w14:val="tx1"/>
                  </w14:solidFill>
                </w14:textFill>
              </w:rPr>
              <w:t>化粪池</w:t>
            </w:r>
          </w:p>
        </w:tc>
        <w:tc>
          <w:tcPr>
            <w:tcW w:w="1480" w:type="dxa"/>
            <w:tcBorders>
              <w:top w:val="single" w:color="000000" w:sz="6" w:space="0"/>
              <w:bottom w:val="single" w:color="000000" w:sz="6" w:space="0"/>
            </w:tcBorders>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污泥</w:t>
            </w:r>
          </w:p>
        </w:tc>
        <w:tc>
          <w:tcPr>
            <w:tcW w:w="2167" w:type="dxa"/>
            <w:tcBorders>
              <w:top w:val="single" w:color="000000" w:sz="6" w:space="0"/>
              <w:bottom w:val="single" w:color="000000" w:sz="6" w:space="0"/>
            </w:tcBorders>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拉运至宁县生活污水处理厂进行处理</w:t>
            </w: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vMerge w:val="restart"/>
            <w:tcBorders>
              <w:top w:val="single" w:color="000000" w:sz="6" w:space="0"/>
            </w:tcBorders>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r>
              <w:rPr>
                <w:rFonts w:hint="eastAsia" w:ascii="Times New Roman" w:hAnsi="Times New Roman" w:eastAsia="宋体" w:cs="Times New Roman"/>
                <w:color w:val="000000" w:themeColor="text1"/>
                <w:sz w:val="24"/>
                <w:lang w:val="zh-CN"/>
                <w14:textFill>
                  <w14:solidFill>
                    <w14:schemeClr w14:val="tx1"/>
                  </w14:solidFill>
                </w14:textFill>
              </w:rPr>
              <w:t>实验室</w:t>
            </w:r>
          </w:p>
        </w:tc>
        <w:tc>
          <w:tcPr>
            <w:tcW w:w="1480" w:type="dxa"/>
            <w:tcBorders>
              <w:top w:val="single" w:color="000000" w:sz="6" w:space="0"/>
              <w:bottom w:val="single" w:color="auto" w:sz="4" w:space="0"/>
            </w:tcBorders>
            <w:vAlign w:val="center"/>
          </w:tcPr>
          <w:p>
            <w:pPr>
              <w:autoSpaceDE w:val="0"/>
              <w:autoSpaceDN w:val="0"/>
              <w:adjustRightInd w:val="0"/>
              <w:jc w:val="center"/>
              <w:rPr>
                <w:rFonts w:hint="eastAsia" w:ascii="Times New Roman" w:hAnsi="Times New Roman" w:eastAsia="宋体" w:cs="Times New Roman"/>
                <w:color w:val="000000" w:themeColor="text1"/>
                <w:sz w:val="24"/>
                <w:lang w:val="zh-CN"/>
                <w14:textFill>
                  <w14:solidFill>
                    <w14:schemeClr w14:val="tx1"/>
                  </w14:solidFill>
                </w14:textFill>
              </w:rPr>
            </w:pPr>
            <w:r>
              <w:rPr>
                <w:rFonts w:hint="eastAsia" w:ascii="Times New Roman" w:hAnsi="Times New Roman" w:eastAsia="宋体" w:cs="Times New Roman"/>
                <w:color w:val="000000" w:themeColor="text1"/>
                <w:sz w:val="24"/>
                <w:lang w:val="zh-CN"/>
                <w14:textFill>
                  <w14:solidFill>
                    <w14:schemeClr w14:val="tx1"/>
                  </w14:solidFill>
                </w14:textFill>
              </w:rPr>
              <w:t>一次性实验用品</w:t>
            </w:r>
          </w:p>
        </w:tc>
        <w:tc>
          <w:tcPr>
            <w:tcW w:w="2167" w:type="dxa"/>
            <w:tcBorders>
              <w:top w:val="single" w:color="000000" w:sz="6" w:space="0"/>
            </w:tcBorders>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高温高压灭菌灭活处理后作为一般固废处里</w:t>
            </w: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vMerge w:val="continue"/>
            <w:vAlign w:val="center"/>
          </w:tcPr>
          <w:p>
            <w:pPr>
              <w:autoSpaceDE w:val="0"/>
              <w:autoSpaceDN w:val="0"/>
              <w:adjustRightInd w:val="0"/>
              <w:jc w:val="center"/>
              <w:rPr>
                <w:rFonts w:hint="eastAsia" w:ascii="Times New Roman" w:hAnsi="Times New Roman" w:eastAsia="宋体" w:cs="Times New Roman"/>
                <w:color w:val="000000" w:themeColor="text1"/>
                <w:sz w:val="24"/>
                <w:lang w:val="zh-CN"/>
                <w14:textFill>
                  <w14:solidFill>
                    <w14:schemeClr w14:val="tx1"/>
                  </w14:solidFill>
                </w14:textFill>
              </w:rPr>
            </w:pPr>
          </w:p>
        </w:tc>
        <w:tc>
          <w:tcPr>
            <w:tcW w:w="1480" w:type="dxa"/>
            <w:tcBorders>
              <w:top w:val="single" w:color="auto" w:sz="4" w:space="0"/>
              <w:bottom w:val="single" w:color="000000" w:sz="6" w:space="0"/>
            </w:tcBorders>
            <w:vAlign w:val="center"/>
          </w:tcPr>
          <w:p>
            <w:pPr>
              <w:autoSpaceDE w:val="0"/>
              <w:autoSpaceDN w:val="0"/>
              <w:adjustRightInd w:val="0"/>
              <w:jc w:val="center"/>
              <w:rPr>
                <w:rFonts w:hint="eastAsia" w:ascii="Times New Roman" w:hAnsi="Times New Roman" w:eastAsia="宋体" w:cs="Times New Roman"/>
                <w:color w:val="000000" w:themeColor="text1"/>
                <w:sz w:val="24"/>
                <w:lang w:val="zh-CN" w:eastAsia="zh-CN"/>
                <w14:textFill>
                  <w14:solidFill>
                    <w14:schemeClr w14:val="tx1"/>
                  </w14:solidFill>
                </w14:textFill>
              </w:rPr>
            </w:pPr>
            <w:r>
              <w:rPr>
                <w:rFonts w:hint="eastAsia" w:ascii="Times New Roman" w:hAnsi="Times New Roman" w:eastAsia="宋体" w:cs="Times New Roman"/>
                <w:color w:val="000000" w:themeColor="text1"/>
                <w:sz w:val="24"/>
                <w:lang w:val="zh-CN" w:eastAsia="zh-CN"/>
                <w14:textFill>
                  <w14:solidFill>
                    <w14:schemeClr w14:val="tx1"/>
                  </w14:solidFill>
                </w14:textFill>
              </w:rPr>
              <w:t>过期药剂</w:t>
            </w:r>
          </w:p>
        </w:tc>
        <w:tc>
          <w:tcPr>
            <w:tcW w:w="2167" w:type="dxa"/>
            <w:vMerge w:val="restart"/>
            <w:vAlign w:val="center"/>
          </w:tcPr>
          <w:p>
            <w:pPr>
              <w:adjustRightInd w:val="0"/>
              <w:snapToGrid w:val="0"/>
              <w:jc w:val="center"/>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lang w:eastAsia="zh-CN"/>
                <w14:textFill>
                  <w14:solidFill>
                    <w14:schemeClr w14:val="tx1"/>
                  </w14:solidFill>
                </w14:textFill>
              </w:rPr>
              <w:t>高温高压灭菌灭活处理后危废间暂存，最终交由有资质单位处理</w:t>
            </w:r>
          </w:p>
        </w:tc>
        <w:tc>
          <w:tcPr>
            <w:tcW w:w="2717" w:type="dxa"/>
            <w:vMerge w:val="restart"/>
            <w:vAlign w:val="center"/>
          </w:tcPr>
          <w:p>
            <w:pPr>
              <w:adjustRightInd w:val="0"/>
              <w:snapToGrid w:val="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《危险废物贮存污染控制标准》（GB18597-20</w:t>
            </w:r>
            <w:r>
              <w:rPr>
                <w:rFonts w:hint="eastAsia" w:ascii="Times New Roman" w:hAnsi="Times New Roman" w:eastAsia="宋体" w:cs="Times New Roman"/>
                <w:color w:val="000000" w:themeColor="text1"/>
                <w:sz w:val="24"/>
                <w:lang w:val="en-US" w:eastAsia="zh-CN"/>
                <w14:textFill>
                  <w14:solidFill>
                    <w14:schemeClr w14:val="tx1"/>
                  </w14:solidFill>
                </w14:textFill>
              </w:rPr>
              <w:t>23</w:t>
            </w:r>
            <w:r>
              <w:rPr>
                <w:rFonts w:hint="eastAsia" w:ascii="Times New Roman" w:hAnsi="Times New Roman" w:eastAsia="宋体" w:cs="Times New Roman"/>
                <w:color w:val="000000" w:themeColor="text1"/>
                <w:sz w:val="24"/>
                <w14:textFill>
                  <w14:solidFill>
                    <w14:schemeClr w14:val="tx1"/>
                  </w14:solidFill>
                </w14:textFill>
              </w:rPr>
              <w:t>）和《危险废物收集贮存运输技术规范》（HJ2025-2012）的要求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vMerge w:val="continue"/>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p>
        </w:tc>
        <w:tc>
          <w:tcPr>
            <w:tcW w:w="1480" w:type="dxa"/>
            <w:tcBorders>
              <w:top w:val="single" w:color="000000" w:sz="6" w:space="0"/>
              <w:bottom w:val="single" w:color="000000" w:sz="6" w:space="0"/>
            </w:tcBorders>
            <w:vAlign w:val="center"/>
          </w:tcPr>
          <w:p>
            <w:pPr>
              <w:autoSpaceDE w:val="0"/>
              <w:autoSpaceDN w:val="0"/>
              <w:adjustRightInd w:val="0"/>
              <w:jc w:val="center"/>
              <w:rPr>
                <w:rFonts w:hint="eastAsia" w:ascii="Times New Roman" w:hAnsi="Times New Roman" w:eastAsia="宋体" w:cs="Times New Roman"/>
                <w:color w:val="000000" w:themeColor="text1"/>
                <w:sz w:val="24"/>
                <w:lang w:val="zh-CN"/>
                <w14:textFill>
                  <w14:solidFill>
                    <w14:schemeClr w14:val="tx1"/>
                  </w14:solidFill>
                </w14:textFill>
              </w:rPr>
            </w:pPr>
            <w:r>
              <w:rPr>
                <w:rFonts w:hint="eastAsia" w:ascii="Times New Roman" w:hAnsi="Times New Roman" w:eastAsia="宋体" w:cs="Times New Roman"/>
                <w:color w:val="000000" w:themeColor="text1"/>
                <w:sz w:val="24"/>
                <w:lang w:val="zh-CN" w:eastAsia="zh-CN"/>
                <w14:textFill>
                  <w14:solidFill>
                    <w14:schemeClr w14:val="tx1"/>
                  </w14:solidFill>
                </w14:textFill>
              </w:rPr>
              <w:t>过滤器</w:t>
            </w:r>
          </w:p>
        </w:tc>
        <w:tc>
          <w:tcPr>
            <w:tcW w:w="216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1617" w:type="dxa"/>
            <w:vMerge w:val="continue"/>
            <w:vAlign w:val="center"/>
          </w:tcPr>
          <w:p>
            <w:pPr>
              <w:adjustRightInd w:val="0"/>
              <w:snapToGrid w:val="0"/>
              <w:jc w:val="center"/>
              <w:rPr>
                <w:rFonts w:ascii="Times New Roman" w:hAnsi="Times New Roman" w:eastAsia="宋体" w:cs="Times New Roman"/>
                <w:color w:val="000000" w:themeColor="text1"/>
                <w:sz w:val="24"/>
                <w:lang w:eastAsia="zh-CN"/>
                <w14:textFill>
                  <w14:solidFill>
                    <w14:schemeClr w14:val="tx1"/>
                  </w14:solidFill>
                </w14:textFill>
              </w:rPr>
            </w:pPr>
          </w:p>
        </w:tc>
        <w:tc>
          <w:tcPr>
            <w:tcW w:w="1679" w:type="dxa"/>
            <w:vMerge w:val="continue"/>
            <w:vAlign w:val="center"/>
          </w:tcPr>
          <w:p>
            <w:pPr>
              <w:autoSpaceDE w:val="0"/>
              <w:autoSpaceDN w:val="0"/>
              <w:adjustRightInd w:val="0"/>
              <w:jc w:val="center"/>
              <w:rPr>
                <w:rFonts w:ascii="Times New Roman" w:hAnsi="Times New Roman" w:eastAsia="宋体" w:cs="Times New Roman"/>
                <w:color w:val="000000" w:themeColor="text1"/>
                <w:sz w:val="24"/>
                <w:lang w:val="zh-CN"/>
                <w14:textFill>
                  <w14:solidFill>
                    <w14:schemeClr w14:val="tx1"/>
                  </w14:solidFill>
                </w14:textFill>
              </w:rPr>
            </w:pPr>
          </w:p>
        </w:tc>
        <w:tc>
          <w:tcPr>
            <w:tcW w:w="1480" w:type="dxa"/>
            <w:tcBorders>
              <w:top w:val="single" w:color="000000" w:sz="6" w:space="0"/>
            </w:tcBorders>
            <w:vAlign w:val="center"/>
          </w:tcPr>
          <w:p>
            <w:pPr>
              <w:autoSpaceDE w:val="0"/>
              <w:autoSpaceDN w:val="0"/>
              <w:adjustRightInd w:val="0"/>
              <w:jc w:val="center"/>
              <w:rPr>
                <w:rFonts w:hint="eastAsia" w:ascii="Times New Roman" w:hAnsi="Times New Roman" w:eastAsia="宋体" w:cs="Times New Roman"/>
                <w:color w:val="000000" w:themeColor="text1"/>
                <w:sz w:val="24"/>
                <w:lang w:val="zh-CN"/>
                <w14:textFill>
                  <w14:solidFill>
                    <w14:schemeClr w14:val="tx1"/>
                  </w14:solidFill>
                </w14:textFill>
              </w:rPr>
            </w:pPr>
            <w:r>
              <w:rPr>
                <w:rFonts w:hint="eastAsia" w:ascii="Times New Roman" w:hAnsi="Times New Roman" w:eastAsia="宋体" w:cs="Times New Roman"/>
                <w:color w:val="000000" w:themeColor="text1"/>
                <w:sz w:val="24"/>
                <w:lang w:val="zh-CN" w:eastAsia="zh-CN"/>
                <w14:textFill>
                  <w14:solidFill>
                    <w14:schemeClr w14:val="tx1"/>
                  </w14:solidFill>
                </w14:textFill>
              </w:rPr>
              <w:t>费培养基、样品</w:t>
            </w:r>
          </w:p>
        </w:tc>
        <w:tc>
          <w:tcPr>
            <w:tcW w:w="216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c>
          <w:tcPr>
            <w:tcW w:w="2717" w:type="dxa"/>
            <w:vMerge w:val="continue"/>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617"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电磁辐射</w:t>
            </w:r>
          </w:p>
        </w:tc>
        <w:tc>
          <w:tcPr>
            <w:tcW w:w="8043" w:type="dxa"/>
            <w:gridSpan w:val="4"/>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617" w:type="dxa"/>
            <w:vAlign w:val="center"/>
          </w:tcPr>
          <w:p>
            <w:pPr>
              <w:adjustRightInd w:val="0"/>
              <w:snapToGrid w:val="0"/>
              <w:jc w:val="center"/>
              <w:rPr>
                <w:rFonts w:ascii="Times New Roman" w:hAnsi="Times New Roman" w:eastAsia="宋体" w:cs="Times New Roman"/>
                <w:color w:val="FF0000"/>
                <w:sz w:val="24"/>
              </w:rPr>
            </w:pPr>
            <w:r>
              <w:rPr>
                <w:rFonts w:hint="eastAsia" w:ascii="Times New Roman" w:hAnsi="Times New Roman" w:eastAsia="宋体" w:cs="Times New Roman"/>
                <w:color w:val="FF0000"/>
                <w:sz w:val="24"/>
                <w:lang w:eastAsia="zh-CN"/>
              </w:rPr>
              <w:t>防渗</w:t>
            </w:r>
          </w:p>
        </w:tc>
        <w:tc>
          <w:tcPr>
            <w:tcW w:w="8043" w:type="dxa"/>
            <w:gridSpan w:val="4"/>
            <w:vAlign w:val="center"/>
          </w:tcPr>
          <w:p>
            <w:pPr>
              <w:jc w:val="center"/>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微生物实验室地面、危废暂存间进行重点防渗区。防渗要求：等效黏土防渗层Mb≥6.0m，K≤1×10</w:t>
            </w:r>
            <w:r>
              <w:rPr>
                <w:rFonts w:hint="default" w:ascii="Times New Roman" w:hAnsi="Times New Roman" w:eastAsia="宋体" w:cs="Times New Roman"/>
                <w:color w:val="FF0000"/>
                <w:sz w:val="24"/>
                <w:szCs w:val="24"/>
                <w:vertAlign w:val="superscript"/>
                <w:lang w:val="en-US" w:eastAsia="zh-CN"/>
              </w:rPr>
              <w:t>-</w:t>
            </w:r>
            <w:r>
              <w:rPr>
                <w:rFonts w:hint="eastAsia" w:ascii="Times New Roman" w:hAnsi="Times New Roman" w:eastAsia="宋体" w:cs="Times New Roman"/>
                <w:color w:val="FF0000"/>
                <w:sz w:val="24"/>
                <w:szCs w:val="24"/>
                <w:vertAlign w:val="superscript"/>
                <w:lang w:val="en-US" w:eastAsia="zh-CN"/>
              </w:rPr>
              <w:t>10</w:t>
            </w:r>
            <w:r>
              <w:rPr>
                <w:rFonts w:hint="default" w:ascii="Times New Roman" w:hAnsi="Times New Roman" w:eastAsia="宋体" w:cs="Times New Roman"/>
                <w:color w:val="FF0000"/>
                <w:sz w:val="24"/>
                <w:szCs w:val="24"/>
                <w:lang w:val="en-US" w:eastAsia="zh-CN"/>
              </w:rPr>
              <w:t>cm/s。</w:t>
            </w:r>
          </w:p>
          <w:p>
            <w:pPr>
              <w:keepNext w:val="0"/>
              <w:keepLines w:val="0"/>
              <w:pageBreakBefore w:val="0"/>
              <w:widowControl w:val="0"/>
              <w:kinsoku/>
              <w:wordWrap/>
              <w:overflowPunct/>
              <w:topLinePunct w:val="0"/>
              <w:autoSpaceDE/>
              <w:autoSpaceDN/>
              <w:bidi w:val="0"/>
              <w:adjustRightInd/>
              <w:snapToGrid/>
              <w:ind w:left="-110" w:leftChars="-50" w:right="-110" w:rightChars="-50"/>
              <w:jc w:val="center"/>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污水管道沿线区域设定为一般防渗区。防渗要求：Mb≥1.5m，K≤1×10</w:t>
            </w:r>
            <w:r>
              <w:rPr>
                <w:rFonts w:hint="default" w:ascii="Times New Roman" w:hAnsi="Times New Roman" w:eastAsia="宋体" w:cs="Times New Roman"/>
                <w:color w:val="FF0000"/>
                <w:sz w:val="24"/>
                <w:szCs w:val="24"/>
                <w:vertAlign w:val="superscript"/>
                <w:lang w:val="en-US" w:eastAsia="zh-CN"/>
              </w:rPr>
              <w:t>-7</w:t>
            </w:r>
            <w:r>
              <w:rPr>
                <w:rFonts w:hint="default" w:ascii="Times New Roman" w:hAnsi="Times New Roman" w:eastAsia="宋体" w:cs="Times New Roman"/>
                <w:color w:val="FF0000"/>
                <w:sz w:val="24"/>
                <w:szCs w:val="24"/>
                <w:lang w:val="en-US" w:eastAsia="zh-CN"/>
              </w:rPr>
              <w:t>cm/s</w:t>
            </w:r>
          </w:p>
          <w:p>
            <w:pPr>
              <w:jc w:val="center"/>
              <w:rPr>
                <w:rFonts w:ascii="Times New Roman" w:hAnsi="Times New Roman" w:eastAsia="宋体" w:cs="Times New Roman"/>
                <w:color w:val="FF0000"/>
                <w:sz w:val="24"/>
                <w:lang w:eastAsia="zh-CN"/>
              </w:rPr>
            </w:pPr>
            <w:r>
              <w:rPr>
                <w:rFonts w:hint="default" w:ascii="Times New Roman" w:hAnsi="Times New Roman" w:eastAsia="宋体" w:cs="Times New Roman"/>
                <w:color w:val="FF0000"/>
                <w:sz w:val="24"/>
                <w:szCs w:val="24"/>
                <w:lang w:val="en-US" w:eastAsia="zh-CN"/>
              </w:rPr>
              <w:t>简单防渗区，其他区域设定为简单防渗区。防渗要求：进行一般地面硬化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617" w:type="dxa"/>
            <w:vAlign w:val="center"/>
          </w:tcPr>
          <w:p>
            <w:pPr>
              <w:adjustRightInd w:val="0"/>
              <w:snapToGrid w:val="0"/>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生态保护措施</w:t>
            </w:r>
          </w:p>
        </w:tc>
        <w:tc>
          <w:tcPr>
            <w:tcW w:w="8043" w:type="dxa"/>
            <w:gridSpan w:val="4"/>
            <w:vAlign w:val="center"/>
          </w:tcPr>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adjustRightInd w:val="0"/>
              <w:snapToGrid w:val="0"/>
              <w:jc w:val="center"/>
              <w:rPr>
                <w:rFonts w:ascii="Times New Roman" w:hAnsi="Times New Roman" w:eastAsia="宋体" w:cs="Times New Roman"/>
                <w:color w:val="000000" w:themeColor="text1"/>
                <w:spacing w:val="-8"/>
                <w:sz w:val="24"/>
                <w14:textFill>
                  <w14:solidFill>
                    <w14:schemeClr w14:val="tx1"/>
                  </w14:solidFill>
                </w14:textFill>
              </w:rPr>
            </w:pPr>
            <w:r>
              <w:rPr>
                <w:rFonts w:ascii="Times New Roman" w:hAnsi="Times New Roman" w:eastAsia="宋体" w:cs="Times New Roman"/>
                <w:color w:val="000000" w:themeColor="text1"/>
                <w:spacing w:val="-8"/>
                <w:sz w:val="24"/>
                <w14:textFill>
                  <w14:solidFill>
                    <w14:schemeClr w14:val="tx1"/>
                  </w14:solidFill>
                </w14:textFill>
              </w:rPr>
              <w:t>环境风险防范措施</w:t>
            </w:r>
          </w:p>
        </w:tc>
        <w:tc>
          <w:tcPr>
            <w:tcW w:w="8043" w:type="dxa"/>
            <w:gridSpan w:val="4"/>
            <w:vAlign w:val="center"/>
          </w:tcPr>
          <w:p>
            <w:pPr>
              <w:jc w:val="center"/>
              <w:rPr>
                <w:rFonts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FF0000"/>
                <w:sz w:val="24"/>
                <w:lang w:eastAsia="zh-CN"/>
              </w:rPr>
              <w:t>应急演练、编制应急预案</w:t>
            </w:r>
            <w:r>
              <w:rPr>
                <w:rFonts w:hint="eastAsia" w:ascii="Times New Roman" w:hAnsi="Times New Roman" w:eastAsia="宋体" w:cs="Times New Roman"/>
                <w:color w:val="FF0000"/>
                <w:sz w:val="24"/>
                <w:lang w:val="en-US" w:eastAsia="zh-CN"/>
              </w:rPr>
              <w:t>并备案</w:t>
            </w:r>
            <w:r>
              <w:rPr>
                <w:rFonts w:hint="eastAsia" w:ascii="Times New Roman" w:hAnsi="Times New Roman" w:eastAsia="宋体" w:cs="Times New Roman"/>
                <w:color w:val="FF0000"/>
                <w:sz w:val="24"/>
                <w:lang w:eastAsia="zh-CN"/>
              </w:rPr>
              <w:t>等</w:t>
            </w:r>
            <w:r>
              <w:rPr>
                <w:rFonts w:ascii="Times New Roman" w:hAnsi="Times New Roman" w:eastAsia="宋体" w:cs="Times New Roman"/>
                <w:color w:val="FF0000"/>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adjustRightInd w:val="0"/>
              <w:snapToGrid w:val="0"/>
              <w:jc w:val="center"/>
              <w:rPr>
                <w:rFonts w:ascii="Times New Roman" w:hAnsi="Times New Roman" w:eastAsia="宋体" w:cs="Times New Roman"/>
                <w:color w:val="000000" w:themeColor="text1"/>
                <w:spacing w:val="-8"/>
                <w:sz w:val="24"/>
                <w14:textFill>
                  <w14:solidFill>
                    <w14:schemeClr w14:val="tx1"/>
                  </w14:solidFill>
                </w14:textFill>
              </w:rPr>
            </w:pPr>
            <w:r>
              <w:rPr>
                <w:rFonts w:ascii="Times New Roman" w:hAnsi="Times New Roman" w:eastAsia="宋体" w:cs="Times New Roman"/>
                <w:color w:val="000000" w:themeColor="text1"/>
                <w:spacing w:val="-8"/>
                <w:sz w:val="24"/>
                <w14:textFill>
                  <w14:solidFill>
                    <w14:schemeClr w14:val="tx1"/>
                  </w14:solidFill>
                </w14:textFill>
              </w:rPr>
              <w:t>其他环境管理要求</w:t>
            </w:r>
          </w:p>
        </w:tc>
        <w:tc>
          <w:tcPr>
            <w:tcW w:w="8043" w:type="dxa"/>
            <w:gridSpan w:val="4"/>
            <w:vAlign w:val="center"/>
          </w:tcPr>
          <w:p>
            <w:pPr>
              <w:jc w:val="center"/>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制定项目环境保护制度，按照监控计划定期对污染物进行监测，建立污染 情况台账记录</w:t>
            </w:r>
            <w:r>
              <w:rPr>
                <w:rFonts w:hint="eastAsia" w:ascii="Times New Roman" w:hAnsi="Times New Roman" w:eastAsia="宋体" w:cs="Times New Roman"/>
                <w:color w:val="000000" w:themeColor="text1"/>
                <w:sz w:val="24"/>
                <w:lang w:eastAsia="zh-CN"/>
                <w14:textFill>
                  <w14:solidFill>
                    <w14:schemeClr w14:val="tx1"/>
                  </w14:solidFill>
                </w14:textFill>
              </w:rPr>
              <w:t>。</w:t>
            </w:r>
          </w:p>
        </w:tc>
      </w:tr>
    </w:tbl>
    <w:p>
      <w:pPr>
        <w:bidi w:val="0"/>
        <w:rPr>
          <w:color w:val="000000" w:themeColor="text1"/>
          <w14:textFill>
            <w14:solidFill>
              <w14:schemeClr w14:val="tx1"/>
            </w14:solidFill>
          </w14:textFill>
        </w:rPr>
      </w:pPr>
      <w:bookmarkStart w:id="31" w:name="_Toc27663"/>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pStyle w:val="30"/>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pStyle w:val="31"/>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spacing w:line="360" w:lineRule="auto"/>
        <w:jc w:val="center"/>
        <w:outlineLvl w:val="0"/>
        <w:rPr>
          <w:rFonts w:ascii="Times New Roman" w:hAnsi="Times New Roman" w:eastAsia="宋体" w:cs="黑体"/>
          <w:b/>
          <w:color w:val="000000" w:themeColor="text1"/>
          <w:sz w:val="30"/>
          <w:szCs w:val="30"/>
          <w:lang w:eastAsia="zh-CN"/>
          <w14:textFill>
            <w14:solidFill>
              <w14:schemeClr w14:val="tx1"/>
            </w14:solidFill>
          </w14:textFill>
        </w:rPr>
      </w:pPr>
      <w:r>
        <w:rPr>
          <w:rFonts w:ascii="Times New Roman" w:hAnsi="Times New Roman" w:eastAsia="宋体" w:cs="黑体"/>
          <w:b/>
          <w:color w:val="000000" w:themeColor="text1"/>
          <w:sz w:val="30"/>
          <w:szCs w:val="30"/>
          <w14:textFill>
            <w14:solidFill>
              <w14:schemeClr w14:val="tx1"/>
            </w14:solidFill>
          </w14:textFill>
        </w:rPr>
        <w:t>六、结论</w:t>
      </w:r>
      <w:bookmarkEnd w:id="31"/>
    </w:p>
    <w:tbl>
      <w:tblPr>
        <w:tblStyle w:val="29"/>
        <w:tblW w:w="9636" w:type="dxa"/>
        <w:tblInd w:w="11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636" w:type="dxa"/>
          </w:tcPr>
          <w:p>
            <w:pPr>
              <w:pStyle w:val="14"/>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本项目建设符合国家及地方的产业政策，选址基本合理。采取的</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三废</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及噪声治理措施经济技术可行，措施有效，工程实施后满足当地环保质量要求。评价认为，在确保项目执行环境保护</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三同时</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制度和外排污染物达标的前提下，从环境保护角度而言本项目的建设是可行的。</w:t>
            </w:r>
          </w:p>
          <w:p>
            <w:pPr>
              <w:pStyle w:val="14"/>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因</w:t>
            </w:r>
            <w:r>
              <w:rPr>
                <w:rFonts w:hint="eastAsia"/>
                <w:color w:val="000000" w:themeColor="text1"/>
                <w:sz w:val="24"/>
                <w14:textFill>
                  <w14:solidFill>
                    <w14:schemeClr w14:val="tx1"/>
                  </w14:solidFill>
                </w14:textFill>
              </w:rPr>
              <w:t>此，</w:t>
            </w:r>
            <w:r>
              <w:rPr>
                <w:color w:val="000000" w:themeColor="text1"/>
                <w:sz w:val="24"/>
                <w14:textFill>
                  <w14:solidFill>
                    <w14:schemeClr w14:val="tx1"/>
                  </w14:solidFill>
                </w14:textFill>
              </w:rPr>
              <w:t>本环评认为从环保角度</w:t>
            </w:r>
            <w:r>
              <w:rPr>
                <w:rFonts w:hint="eastAsia"/>
                <w:color w:val="000000" w:themeColor="text1"/>
                <w:sz w:val="24"/>
                <w14:textFill>
                  <w14:solidFill>
                    <w14:schemeClr w14:val="tx1"/>
                  </w14:solidFill>
                </w14:textFill>
              </w:rPr>
              <w:t>出发，</w:t>
            </w:r>
            <w:r>
              <w:rPr>
                <w:color w:val="000000" w:themeColor="text1"/>
                <w:sz w:val="24"/>
                <w14:textFill>
                  <w14:solidFill>
                    <w14:schemeClr w14:val="tx1"/>
                  </w14:solidFill>
                </w14:textFill>
              </w:rPr>
              <w:t>项目的建设是可行的。</w:t>
            </w:r>
          </w:p>
          <w:p>
            <w:pPr>
              <w:pStyle w:val="47"/>
              <w:framePr w:hSpace="0" w:wrap="auto" w:vAnchor="margin" w:hAnchor="text" w:xAlign="left" w:yAlign="inline"/>
              <w:spacing w:line="360" w:lineRule="auto"/>
              <w:ind w:firstLine="480"/>
              <w:rPr>
                <w:rFonts w:eastAsia="宋体"/>
                <w:color w:val="000000" w:themeColor="text1"/>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both"/>
              <w:rPr>
                <w:rFonts w:ascii="Times New Roman" w:hAnsi="Times New Roman" w:eastAsia="宋体" w:cs="黑体"/>
                <w:b/>
                <w:color w:val="000000" w:themeColor="text1"/>
                <w:sz w:val="30"/>
                <w:szCs w:val="30"/>
                <w:lang w:eastAsia="zh-CN"/>
                <w14:textFill>
                  <w14:solidFill>
                    <w14:schemeClr w14:val="tx1"/>
                  </w14:solidFill>
                </w14:textFill>
              </w:rPr>
            </w:pPr>
          </w:p>
        </w:tc>
      </w:tr>
    </w:tbl>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pPr>
    </w:p>
    <w:p>
      <w:pPr>
        <w:spacing w:line="360" w:lineRule="auto"/>
        <w:jc w:val="center"/>
        <w:rPr>
          <w:rFonts w:ascii="Times New Roman" w:hAnsi="Times New Roman" w:eastAsia="宋体" w:cs="黑体"/>
          <w:b/>
          <w:color w:val="000000" w:themeColor="text1"/>
          <w:sz w:val="30"/>
          <w:szCs w:val="30"/>
          <w:lang w:eastAsia="zh-CN"/>
          <w14:textFill>
            <w14:solidFill>
              <w14:schemeClr w14:val="tx1"/>
            </w14:solidFill>
          </w14:textFill>
        </w:rPr>
        <w:sectPr>
          <w:footerReference r:id="rId8" w:type="default"/>
          <w:pgSz w:w="11910" w:h="16840"/>
          <w:pgMar w:top="1134" w:right="1134" w:bottom="1134" w:left="1134" w:header="0" w:footer="567" w:gutter="0"/>
          <w:pgBorders>
            <w:top w:val="none" w:color="auto" w:sz="0" w:space="0"/>
            <w:left w:val="none" w:color="auto" w:sz="0" w:space="0"/>
            <w:bottom w:val="none" w:color="auto" w:sz="0" w:space="0"/>
            <w:right w:val="none" w:color="auto" w:sz="0" w:space="0"/>
          </w:pgBorders>
          <w:pgNumType w:fmt="decimal" w:start="1"/>
          <w:cols w:space="720" w:num="1"/>
          <w:docGrid w:linePitch="299" w:charSpace="0"/>
        </w:sectPr>
      </w:pPr>
    </w:p>
    <w:p>
      <w:pPr>
        <w:spacing w:line="360" w:lineRule="auto"/>
        <w:jc w:val="both"/>
        <w:outlineLvl w:val="0"/>
        <w:rPr>
          <w:rFonts w:ascii="Times New Roman" w:hAnsi="Times New Roman" w:eastAsia="宋体" w:cs="黑体"/>
          <w:b/>
          <w:color w:val="000000" w:themeColor="text1"/>
          <w:sz w:val="32"/>
          <w:szCs w:val="32"/>
          <w:lang w:eastAsia="zh-CN"/>
          <w14:textFill>
            <w14:solidFill>
              <w14:schemeClr w14:val="tx1"/>
            </w14:solidFill>
          </w14:textFill>
        </w:rPr>
      </w:pPr>
      <w:bookmarkStart w:id="32" w:name="_Toc20470"/>
      <w:r>
        <w:rPr>
          <w:rFonts w:ascii="Times New Roman" w:hAnsi="Times New Roman" w:eastAsia="宋体" w:cs="黑体"/>
          <w:b/>
          <w:color w:val="000000" w:themeColor="text1"/>
          <w:sz w:val="32"/>
          <w:szCs w:val="32"/>
          <w:lang w:eastAsia="zh-CN"/>
          <w14:textFill>
            <w14:solidFill>
              <w14:schemeClr w14:val="tx1"/>
            </w14:solidFill>
          </w14:textFill>
        </w:rPr>
        <w:t>附表</w:t>
      </w:r>
      <w:bookmarkEnd w:id="32"/>
    </w:p>
    <w:p>
      <w:pPr>
        <w:jc w:val="center"/>
        <w:rPr>
          <w:rFonts w:ascii="Times New Roman" w:hAnsi="Times New Roman" w:eastAsia="宋体" w:cs="微软雅黑"/>
          <w:b/>
          <w:color w:val="000000" w:themeColor="text1"/>
          <w:szCs w:val="38"/>
          <w:lang w:eastAsia="zh-CN"/>
          <w14:textFill>
            <w14:solidFill>
              <w14:schemeClr w14:val="tx1"/>
            </w14:solidFill>
          </w14:textFill>
        </w:rPr>
      </w:pPr>
      <w:r>
        <w:rPr>
          <w:color w:val="000000" w:themeColor="text1"/>
          <w:sz w:val="36"/>
          <w:szCs w:val="36"/>
          <w:lang w:eastAsia="zh-CN"/>
          <w14:textFill>
            <w14:solidFill>
              <w14:schemeClr w14:val="tx1"/>
            </w14:solidFill>
          </w14:textFill>
        </w:rPr>
        <w:t>建设项目污染物排放量汇总表</w:t>
      </w:r>
    </w:p>
    <w:p>
      <w:pPr>
        <w:spacing w:before="6"/>
        <w:rPr>
          <w:rFonts w:ascii="Times New Roman" w:hAnsi="Times New Roman" w:eastAsia="宋体" w:cs="微软雅黑"/>
          <w:color w:val="000000" w:themeColor="text1"/>
          <w:sz w:val="4"/>
          <w:szCs w:val="4"/>
          <w:lang w:eastAsia="zh-CN"/>
          <w14:textFill>
            <w14:solidFill>
              <w14:schemeClr w14:val="tx1"/>
            </w14:solidFill>
          </w14:textFill>
        </w:rPr>
      </w:pPr>
    </w:p>
    <w:tbl>
      <w:tblPr>
        <w:tblStyle w:val="28"/>
        <w:tblW w:w="1469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510"/>
        <w:gridCol w:w="1813"/>
        <w:gridCol w:w="1360"/>
        <w:gridCol w:w="1813"/>
        <w:gridCol w:w="1662"/>
        <w:gridCol w:w="1877"/>
        <w:gridCol w:w="1531"/>
        <w:gridCol w:w="14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693" w:type="dxa"/>
            <w:tcBorders>
              <w:tl2br w:val="single" w:color="auto" w:sz="4" w:space="0"/>
            </w:tcBorders>
            <w:tcMar>
              <w:left w:w="28" w:type="dxa"/>
              <w:right w:w="28" w:type="dxa"/>
            </w:tcMar>
            <w:vAlign w:val="center"/>
          </w:tcPr>
          <w:p>
            <w:pPr>
              <w:pStyle w:val="82"/>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 xml:space="preserve">        项目</w:t>
            </w:r>
          </w:p>
          <w:p>
            <w:pPr>
              <w:pStyle w:val="82"/>
              <w:ind w:firstLine="228" w:firstLineChars="100"/>
              <w:jc w:val="both"/>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分类</w:t>
            </w:r>
          </w:p>
        </w:tc>
        <w:tc>
          <w:tcPr>
            <w:tcW w:w="1510" w:type="dxa"/>
            <w:tcMar>
              <w:left w:w="28" w:type="dxa"/>
              <w:right w:w="28" w:type="dxa"/>
            </w:tcMar>
            <w:vAlign w:val="center"/>
          </w:tcPr>
          <w:p>
            <w:pPr>
              <w:pStyle w:val="82"/>
              <w:rPr>
                <w:rFonts w:ascii="黑体" w:hAnsi="黑体" w:eastAsia="黑体" w:cs="宋体"/>
                <w:snapToGrid w:val="0"/>
                <w:color w:val="000000" w:themeColor="text1"/>
                <w:spacing w:val="-6"/>
                <w:kern w:val="21"/>
                <w:szCs w:val="21"/>
                <w14:textFill>
                  <w14:solidFill>
                    <w14:schemeClr w14:val="tx1"/>
                  </w14:solidFill>
                </w14:textFill>
              </w:rPr>
            </w:pPr>
            <w:r>
              <w:rPr>
                <w:rFonts w:hint="eastAsia" w:ascii="黑体" w:hAnsi="黑体" w:eastAsia="黑体" w:cs="宋体"/>
                <w:snapToGrid w:val="0"/>
                <w:color w:val="000000" w:themeColor="text1"/>
                <w:spacing w:val="-6"/>
                <w:kern w:val="21"/>
                <w:szCs w:val="21"/>
                <w14:textFill>
                  <w14:solidFill>
                    <w14:schemeClr w14:val="tx1"/>
                  </w14:solidFill>
                </w14:textFill>
              </w:rPr>
              <w:t>污染物名称</w:t>
            </w:r>
          </w:p>
        </w:tc>
        <w:tc>
          <w:tcPr>
            <w:tcW w:w="1813" w:type="dxa"/>
            <w:tcMar>
              <w:left w:w="28" w:type="dxa"/>
              <w:right w:w="28" w:type="dxa"/>
            </w:tcMar>
            <w:vAlign w:val="center"/>
          </w:tcPr>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1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①</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360" w:type="dxa"/>
            <w:tcMar>
              <w:left w:w="28" w:type="dxa"/>
              <w:right w:w="28" w:type="dxa"/>
            </w:tcMar>
            <w:vAlign w:val="center"/>
          </w:tcPr>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现有工程</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许可排放量</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2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snapToGrid w:val="0"/>
                <w:color w:val="000000" w:themeColor="text1"/>
                <w:spacing w:val="-6"/>
                <w:kern w:val="21"/>
                <w:szCs w:val="21"/>
                <w14:textFill>
                  <w14:solidFill>
                    <w14:schemeClr w14:val="tx1"/>
                  </w14:solidFill>
                </w14:textFill>
              </w:rPr>
              <w:t>②</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813" w:type="dxa"/>
            <w:tcMar>
              <w:left w:w="28" w:type="dxa"/>
              <w:right w:w="28" w:type="dxa"/>
            </w:tcMar>
            <w:vAlign w:val="center"/>
          </w:tcPr>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在建工程</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3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③</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662" w:type="dxa"/>
            <w:tcMar>
              <w:left w:w="28" w:type="dxa"/>
              <w:right w:w="28" w:type="dxa"/>
            </w:tcMar>
            <w:vAlign w:val="center"/>
          </w:tcPr>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本项目</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排放量（固</w:t>
            </w:r>
            <w:r>
              <w:rPr>
                <w:rFonts w:hint="eastAsia" w:ascii="黑体" w:hAnsi="黑体" w:eastAsia="黑体"/>
                <w:snapToGrid w:val="0"/>
                <w:color w:val="000000" w:themeColor="text1"/>
                <w:spacing w:val="-6"/>
                <w:kern w:val="21"/>
                <w:szCs w:val="21"/>
                <w14:textFill>
                  <w14:solidFill>
                    <w14:schemeClr w14:val="tx1"/>
                  </w14:solidFill>
                </w14:textFill>
              </w:rPr>
              <w:t>体</w:t>
            </w:r>
            <w:r>
              <w:rPr>
                <w:rFonts w:ascii="黑体" w:hAnsi="黑体" w:eastAsia="黑体"/>
                <w:snapToGrid w:val="0"/>
                <w:color w:val="000000" w:themeColor="text1"/>
                <w:spacing w:val="-6"/>
                <w:kern w:val="21"/>
                <w:szCs w:val="21"/>
                <w14:textFill>
                  <w14:solidFill>
                    <w14:schemeClr w14:val="tx1"/>
                  </w14:solidFill>
                </w14:textFill>
              </w:rPr>
              <w:t>废</w:t>
            </w:r>
            <w:r>
              <w:rPr>
                <w:rFonts w:hint="eastAsia" w:ascii="黑体" w:hAnsi="黑体" w:eastAsia="黑体"/>
                <w:snapToGrid w:val="0"/>
                <w:color w:val="000000" w:themeColor="text1"/>
                <w:spacing w:val="-6"/>
                <w:kern w:val="21"/>
                <w:szCs w:val="21"/>
                <w14:textFill>
                  <w14:solidFill>
                    <w14:schemeClr w14:val="tx1"/>
                  </w14:solidFill>
                </w14:textFill>
              </w:rPr>
              <w:t>物</w:t>
            </w:r>
            <w:r>
              <w:rPr>
                <w:rFonts w:ascii="黑体" w:hAnsi="黑体" w:eastAsia="黑体"/>
                <w:snapToGrid w:val="0"/>
                <w:color w:val="000000" w:themeColor="text1"/>
                <w:spacing w:val="-6"/>
                <w:kern w:val="21"/>
                <w:szCs w:val="21"/>
                <w14:textFill>
                  <w14:solidFill>
                    <w14:schemeClr w14:val="tx1"/>
                  </w14:solidFill>
                </w14:textFill>
              </w:rPr>
              <w:t>产生量）</w:t>
            </w: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4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④</w:t>
            </w:r>
            <w:r>
              <w:rPr>
                <w:rFonts w:ascii="黑体" w:hAnsi="黑体" w:eastAsia="黑体"/>
                <w:snapToGrid w:val="0"/>
                <w:color w:val="000000" w:themeColor="text1"/>
                <w:spacing w:val="-6"/>
                <w:kern w:val="21"/>
                <w:szCs w:val="21"/>
                <w14:textFill>
                  <w14:solidFill>
                    <w14:schemeClr w14:val="tx1"/>
                  </w14:solidFill>
                </w14:textFill>
              </w:rPr>
              <w:fldChar w:fldCharType="end"/>
            </w:r>
          </w:p>
        </w:tc>
        <w:tc>
          <w:tcPr>
            <w:tcW w:w="1877" w:type="dxa"/>
            <w:tcMar>
              <w:left w:w="28" w:type="dxa"/>
              <w:right w:w="28" w:type="dxa"/>
            </w:tcMar>
            <w:vAlign w:val="center"/>
          </w:tcPr>
          <w:p>
            <w:pPr>
              <w:pStyle w:val="82"/>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以新带老削减量</w:t>
            </w:r>
          </w:p>
          <w:p>
            <w:pPr>
              <w:pStyle w:val="82"/>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（新建项目不填）</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5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⑤</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531" w:type="dxa"/>
            <w:tcMar>
              <w:left w:w="28" w:type="dxa"/>
              <w:right w:w="28" w:type="dxa"/>
            </w:tcMar>
            <w:vAlign w:val="center"/>
          </w:tcPr>
          <w:p>
            <w:pPr>
              <w:pStyle w:val="82"/>
              <w:rPr>
                <w:rFonts w:ascii="黑体" w:hAnsi="黑体" w:eastAsia="黑体"/>
                <w:snapToGrid w:val="0"/>
                <w:color w:val="000000" w:themeColor="text1"/>
                <w:spacing w:val="-16"/>
                <w:kern w:val="21"/>
                <w:szCs w:val="21"/>
                <w14:textFill>
                  <w14:solidFill>
                    <w14:schemeClr w14:val="tx1"/>
                  </w14:solidFill>
                </w14:textFill>
              </w:rPr>
            </w:pPr>
            <w:r>
              <w:rPr>
                <w:rFonts w:ascii="黑体" w:hAnsi="黑体" w:eastAsia="黑体"/>
                <w:snapToGrid w:val="0"/>
                <w:color w:val="000000" w:themeColor="text1"/>
                <w:spacing w:val="-16"/>
                <w:kern w:val="21"/>
                <w:szCs w:val="21"/>
                <w14:textFill>
                  <w14:solidFill>
                    <w14:schemeClr w14:val="tx1"/>
                  </w14:solidFill>
                </w14:textFill>
              </w:rPr>
              <w:t>本项目建成后</w:t>
            </w:r>
          </w:p>
          <w:p>
            <w:pPr>
              <w:pStyle w:val="82"/>
              <w:rPr>
                <w:rFonts w:ascii="黑体" w:hAnsi="黑体" w:eastAsia="黑体"/>
                <w:snapToGrid w:val="0"/>
                <w:color w:val="000000" w:themeColor="text1"/>
                <w:spacing w:val="-16"/>
                <w:kern w:val="21"/>
                <w:szCs w:val="21"/>
                <w14:textFill>
                  <w14:solidFill>
                    <w14:schemeClr w14:val="tx1"/>
                  </w14:solidFill>
                </w14:textFill>
              </w:rPr>
            </w:pPr>
            <w:r>
              <w:rPr>
                <w:rFonts w:hint="eastAsia" w:ascii="黑体" w:hAnsi="黑体" w:eastAsia="黑体"/>
                <w:snapToGrid w:val="0"/>
                <w:color w:val="000000" w:themeColor="text1"/>
                <w:spacing w:val="-16"/>
                <w:kern w:val="21"/>
                <w:szCs w:val="21"/>
                <w14:textFill>
                  <w14:solidFill>
                    <w14:schemeClr w14:val="tx1"/>
                  </w14:solidFill>
                </w14:textFill>
              </w:rPr>
              <w:t>全厂</w:t>
            </w:r>
            <w:r>
              <w:rPr>
                <w:rFonts w:ascii="黑体" w:hAnsi="黑体" w:eastAsia="黑体"/>
                <w:snapToGrid w:val="0"/>
                <w:color w:val="000000" w:themeColor="text1"/>
                <w:spacing w:val="-16"/>
                <w:kern w:val="21"/>
                <w:szCs w:val="21"/>
                <w14:textFill>
                  <w14:solidFill>
                    <w14:schemeClr w14:val="tx1"/>
                  </w14:solidFill>
                </w14:textFill>
              </w:rPr>
              <w:t>排放量（固</w:t>
            </w:r>
            <w:r>
              <w:rPr>
                <w:rFonts w:hint="eastAsia" w:ascii="黑体" w:hAnsi="黑体" w:eastAsia="黑体"/>
                <w:snapToGrid w:val="0"/>
                <w:color w:val="000000" w:themeColor="text1"/>
                <w:spacing w:val="-16"/>
                <w:kern w:val="21"/>
                <w:szCs w:val="21"/>
                <w14:textFill>
                  <w14:solidFill>
                    <w14:schemeClr w14:val="tx1"/>
                  </w14:solidFill>
                </w14:textFill>
              </w:rPr>
              <w:t>体</w:t>
            </w:r>
            <w:r>
              <w:rPr>
                <w:rFonts w:ascii="黑体" w:hAnsi="黑体" w:eastAsia="黑体"/>
                <w:snapToGrid w:val="0"/>
                <w:color w:val="000000" w:themeColor="text1"/>
                <w:spacing w:val="-16"/>
                <w:kern w:val="21"/>
                <w:szCs w:val="21"/>
                <w14:textFill>
                  <w14:solidFill>
                    <w14:schemeClr w14:val="tx1"/>
                  </w14:solidFill>
                </w14:textFill>
              </w:rPr>
              <w:t>废</w:t>
            </w:r>
            <w:r>
              <w:rPr>
                <w:rFonts w:hint="eastAsia" w:ascii="黑体" w:hAnsi="黑体" w:eastAsia="黑体"/>
                <w:snapToGrid w:val="0"/>
                <w:color w:val="000000" w:themeColor="text1"/>
                <w:spacing w:val="-16"/>
                <w:kern w:val="21"/>
                <w:szCs w:val="21"/>
                <w14:textFill>
                  <w14:solidFill>
                    <w14:schemeClr w14:val="tx1"/>
                  </w14:solidFill>
                </w14:textFill>
              </w:rPr>
              <w:t>物</w:t>
            </w:r>
            <w:r>
              <w:rPr>
                <w:rFonts w:ascii="黑体" w:hAnsi="黑体" w:eastAsia="黑体"/>
                <w:snapToGrid w:val="0"/>
                <w:color w:val="000000" w:themeColor="text1"/>
                <w:spacing w:val="-16"/>
                <w:kern w:val="21"/>
                <w:szCs w:val="21"/>
                <w14:textFill>
                  <w14:solidFill>
                    <w14:schemeClr w14:val="tx1"/>
                  </w14:solidFill>
                </w14:textFill>
              </w:rPr>
              <w:t>产生量）</w:t>
            </w:r>
            <w:r>
              <w:rPr>
                <w:rFonts w:ascii="黑体" w:hAnsi="黑体" w:eastAsia="黑体"/>
                <w:snapToGrid w:val="0"/>
                <w:color w:val="000000" w:themeColor="text1"/>
                <w:spacing w:val="-16"/>
                <w:kern w:val="21"/>
                <w:szCs w:val="21"/>
                <w14:textFill>
                  <w14:solidFill>
                    <w14:schemeClr w14:val="tx1"/>
                  </w14:solidFill>
                </w14:textFill>
              </w:rPr>
              <w:fldChar w:fldCharType="begin"/>
            </w:r>
            <w:r>
              <w:rPr>
                <w:rFonts w:ascii="黑体" w:hAnsi="黑体" w:eastAsia="黑体"/>
                <w:snapToGrid w:val="0"/>
                <w:color w:val="000000" w:themeColor="text1"/>
                <w:spacing w:val="-16"/>
                <w:kern w:val="21"/>
                <w:szCs w:val="21"/>
                <w14:textFill>
                  <w14:solidFill>
                    <w14:schemeClr w14:val="tx1"/>
                  </w14:solidFill>
                </w14:textFill>
              </w:rPr>
              <w:instrText xml:space="preserve"> = 6 \* GB3 \* MERGEFORMAT </w:instrText>
            </w:r>
            <w:r>
              <w:rPr>
                <w:rFonts w:ascii="黑体" w:hAnsi="黑体" w:eastAsia="黑体"/>
                <w:snapToGrid w:val="0"/>
                <w:color w:val="000000" w:themeColor="text1"/>
                <w:spacing w:val="-1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⑥</w:t>
            </w:r>
            <w:r>
              <w:rPr>
                <w:rFonts w:ascii="黑体" w:hAnsi="黑体" w:eastAsia="黑体"/>
                <w:snapToGrid w:val="0"/>
                <w:color w:val="000000" w:themeColor="text1"/>
                <w:spacing w:val="-16"/>
                <w:kern w:val="21"/>
                <w:szCs w:val="21"/>
                <w14:textFill>
                  <w14:solidFill>
                    <w14:schemeClr w14:val="tx1"/>
                  </w14:solidFill>
                </w14:textFill>
              </w:rPr>
              <w:fldChar w:fldCharType="end"/>
            </w:r>
          </w:p>
        </w:tc>
        <w:tc>
          <w:tcPr>
            <w:tcW w:w="1437" w:type="dxa"/>
            <w:tcMar>
              <w:left w:w="28" w:type="dxa"/>
              <w:right w:w="28" w:type="dxa"/>
            </w:tcMar>
            <w:vAlign w:val="center"/>
          </w:tcPr>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t>变化量</w:t>
            </w:r>
          </w:p>
          <w:p>
            <w:pPr>
              <w:pStyle w:val="82"/>
              <w:rPr>
                <w:rFonts w:ascii="黑体" w:hAnsi="黑体" w:eastAsia="黑体"/>
                <w:snapToGrid w:val="0"/>
                <w:color w:val="000000" w:themeColor="text1"/>
                <w:spacing w:val="-6"/>
                <w:kern w:val="21"/>
                <w:szCs w:val="21"/>
                <w14:textFill>
                  <w14:solidFill>
                    <w14:schemeClr w14:val="tx1"/>
                  </w14:solidFill>
                </w14:textFill>
              </w:rPr>
            </w:pPr>
            <w:r>
              <w:rPr>
                <w:rFonts w:ascii="黑体" w:hAnsi="黑体" w:eastAsia="黑体"/>
                <w:snapToGrid w:val="0"/>
                <w:color w:val="000000" w:themeColor="text1"/>
                <w:spacing w:val="-6"/>
                <w:kern w:val="21"/>
                <w:szCs w:val="21"/>
                <w14:textFill>
                  <w14:solidFill>
                    <w14:schemeClr w14:val="tx1"/>
                  </w14:solidFill>
                </w14:textFill>
              </w:rPr>
              <w:fldChar w:fldCharType="begin"/>
            </w:r>
            <w:r>
              <w:rPr>
                <w:rFonts w:ascii="黑体" w:hAnsi="黑体" w:eastAsia="黑体"/>
                <w:snapToGrid w:val="0"/>
                <w:color w:val="000000" w:themeColor="text1"/>
                <w:spacing w:val="-6"/>
                <w:kern w:val="21"/>
                <w:szCs w:val="21"/>
                <w14:textFill>
                  <w14:solidFill>
                    <w14:schemeClr w14:val="tx1"/>
                  </w14:solidFill>
                </w14:textFill>
              </w:rPr>
              <w:instrText xml:space="preserve"> = 7 \* GB3 \* MERGEFORMAT </w:instrText>
            </w:r>
            <w:r>
              <w:rPr>
                <w:rFonts w:ascii="黑体" w:hAnsi="黑体" w:eastAsia="黑体"/>
                <w:snapToGrid w:val="0"/>
                <w:color w:val="000000" w:themeColor="text1"/>
                <w:spacing w:val="-6"/>
                <w:kern w:val="21"/>
                <w:szCs w:val="21"/>
                <w14:textFill>
                  <w14:solidFill>
                    <w14:schemeClr w14:val="tx1"/>
                  </w14:solidFill>
                </w14:textFill>
              </w:rPr>
              <w:fldChar w:fldCharType="separate"/>
            </w:r>
            <w:r>
              <w:rPr>
                <w:rFonts w:hint="eastAsia" w:ascii="黑体" w:hAnsi="黑体" w:eastAsia="黑体" w:cs="宋体"/>
                <w:color w:val="000000" w:themeColor="text1"/>
                <w:szCs w:val="21"/>
                <w14:textFill>
                  <w14:solidFill>
                    <w14:schemeClr w14:val="tx1"/>
                  </w14:solidFill>
                </w14:textFill>
              </w:rPr>
              <w:t>⑦</w:t>
            </w:r>
            <w:r>
              <w:rPr>
                <w:rFonts w:ascii="黑体" w:hAnsi="黑体" w:eastAsia="黑体"/>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废气</w:t>
            </w: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病原微生物（气溶胶）</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360"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662" w:type="dxa"/>
            <w:vAlign w:val="center"/>
          </w:tcPr>
          <w:p>
            <w:pPr>
              <w:pStyle w:val="7"/>
              <w:jc w:val="center"/>
              <w:rPr>
                <w:rFonts w:hint="eastAsia" w:eastAsiaTheme="minor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7"/>
              <w:jc w:val="center"/>
              <w:rPr>
                <w:rFonts w:hint="eastAsia" w:eastAsiaTheme="minor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w:t>
            </w:r>
          </w:p>
        </w:tc>
        <w:tc>
          <w:tcPr>
            <w:tcW w:w="143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restart"/>
            <w:vAlign w:val="center"/>
          </w:tcPr>
          <w:p>
            <w:pPr>
              <w:pStyle w:val="82"/>
              <w:rPr>
                <w:rFonts w:hint="eastAsia" w:hAnsi="宋体" w:eastAsia="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实验室废水</w:t>
            </w: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粪大肠菌群</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360"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662"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eastAsia"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w:t>
            </w:r>
          </w:p>
        </w:tc>
        <w:tc>
          <w:tcPr>
            <w:tcW w:w="1877"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eastAsia"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w:t>
            </w:r>
          </w:p>
        </w:tc>
        <w:tc>
          <w:tcPr>
            <w:tcW w:w="1437"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0.1</w:t>
            </w:r>
            <w:r>
              <w:rPr>
                <w:rFonts w:hint="default" w:ascii="Times New Roman" w:hAnsi="Times New Roman" w:eastAsia="宋体" w:cs="Times New Roman"/>
                <w:color w:val="000000" w:themeColor="text1"/>
                <w:sz w:val="21"/>
                <w:szCs w:val="21"/>
                <w14:textFill>
                  <w14:solidFill>
                    <w14:schemeClr w14:val="tx1"/>
                  </w14:solidFill>
                </w14:textFill>
              </w:rPr>
              <w:t>×10</w:t>
            </w:r>
            <w:r>
              <w:rPr>
                <w:rFonts w:hint="eastAsia" w:cs="Times New Roman"/>
                <w:color w:val="000000" w:themeColor="text1"/>
                <w:sz w:val="21"/>
                <w:szCs w:val="21"/>
                <w:vertAlign w:val="superscript"/>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default" w:hAnsi="宋体" w:cs="宋体"/>
                <w:snapToGrid w:val="0"/>
                <w:color w:val="000000" w:themeColor="text1"/>
                <w:kern w:val="21"/>
                <w:szCs w:val="21"/>
                <w:lang w:val="en-US" w:eastAsia="zh-CN"/>
                <w14:textFill>
                  <w14:solidFill>
                    <w14:schemeClr w14:val="tx1"/>
                  </w14:solidFill>
                </w14:textFill>
              </w:rPr>
            </w:pPr>
            <w:r>
              <w:rPr>
                <w:rFonts w:hint="eastAsia" w:hAnsi="宋体" w:cs="宋体"/>
                <w:snapToGrid w:val="0"/>
                <w:color w:val="000000" w:themeColor="text1"/>
                <w:kern w:val="21"/>
                <w:szCs w:val="21"/>
                <w:lang w:val="en-US" w:eastAsia="zh-CN"/>
                <w14:textFill>
                  <w14:solidFill>
                    <w14:schemeClr w14:val="tx1"/>
                  </w14:solidFill>
                </w14:textFill>
              </w:rPr>
              <w:t>COD</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360"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813"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0.0147</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0.0147</w:t>
            </w:r>
          </w:p>
        </w:tc>
        <w:tc>
          <w:tcPr>
            <w:tcW w:w="1437"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restart"/>
            <w:vAlign w:val="center"/>
          </w:tcPr>
          <w:p>
            <w:pPr>
              <w:pStyle w:val="82"/>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生活污水</w:t>
            </w:r>
          </w:p>
        </w:tc>
        <w:tc>
          <w:tcPr>
            <w:tcW w:w="1510" w:type="dxa"/>
            <w:vAlign w:val="center"/>
          </w:tcPr>
          <w:p>
            <w:pPr>
              <w:pStyle w:val="82"/>
              <w:rPr>
                <w:rFonts w:hint="default" w:hAnsi="宋体" w:cs="宋体"/>
                <w:snapToGrid w:val="0"/>
                <w:color w:val="000000" w:themeColor="text1"/>
                <w:kern w:val="21"/>
                <w:szCs w:val="21"/>
                <w:lang w:val="en-US" w:eastAsia="zh-CN"/>
                <w14:textFill>
                  <w14:solidFill>
                    <w14:schemeClr w14:val="tx1"/>
                  </w14:solidFill>
                </w14:textFill>
              </w:rPr>
            </w:pPr>
            <w:r>
              <w:rPr>
                <w:rFonts w:hint="eastAsia" w:hAnsi="宋体" w:cs="宋体"/>
                <w:snapToGrid w:val="0"/>
                <w:color w:val="000000" w:themeColor="text1"/>
                <w:kern w:val="21"/>
                <w:szCs w:val="21"/>
                <w:lang w:val="en-US" w:eastAsia="zh-CN"/>
                <w14:textFill>
                  <w14:solidFill>
                    <w14:schemeClr w14:val="tx1"/>
                  </w14:solidFill>
                </w14:textFill>
              </w:rPr>
              <w:t>COD</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0.0098</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0.0098</w:t>
            </w:r>
          </w:p>
        </w:tc>
        <w:tc>
          <w:tcPr>
            <w:tcW w:w="1437"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氨氮</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0.0017</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0.0017</w:t>
            </w:r>
          </w:p>
        </w:tc>
        <w:tc>
          <w:tcPr>
            <w:tcW w:w="1437"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restart"/>
            <w:vAlign w:val="center"/>
          </w:tcPr>
          <w:p>
            <w:pPr>
              <w:pStyle w:val="82"/>
              <w:rPr>
                <w:rFonts w:hAnsi="宋体" w:cs="宋体"/>
                <w:snapToGrid w:val="0"/>
                <w:color w:val="000000" w:themeColor="text1"/>
                <w:kern w:val="21"/>
                <w:szCs w:val="21"/>
                <w14:textFill>
                  <w14:solidFill>
                    <w14:schemeClr w14:val="tx1"/>
                  </w14:solidFill>
                </w14:textFill>
              </w:rPr>
            </w:pPr>
            <w:r>
              <w:rPr>
                <w:rFonts w:hint="eastAsia" w:hAnsi="宋体" w:cs="宋体"/>
                <w:snapToGrid w:val="0"/>
                <w:color w:val="000000" w:themeColor="text1"/>
                <w:kern w:val="21"/>
                <w:szCs w:val="21"/>
                <w14:textFill>
                  <w14:solidFill>
                    <w14:schemeClr w14:val="tx1"/>
                  </w14:solidFill>
                </w14:textFill>
              </w:rPr>
              <w:t>一般固废</w:t>
            </w: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生活垃圾</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0.6</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0.6</w:t>
            </w:r>
          </w:p>
        </w:tc>
        <w:tc>
          <w:tcPr>
            <w:tcW w:w="1437"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continue"/>
            <w:vAlign w:val="center"/>
          </w:tcPr>
          <w:p>
            <w:pPr>
              <w:pStyle w:val="82"/>
              <w:rPr>
                <w:rFonts w:hint="eastAsia"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污泥</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0.077</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0.077</w:t>
            </w:r>
          </w:p>
        </w:tc>
        <w:tc>
          <w:tcPr>
            <w:tcW w:w="1437" w:type="dxa"/>
            <w:vAlign w:val="center"/>
          </w:tcPr>
          <w:p>
            <w:pPr>
              <w:pStyle w:val="82"/>
              <w:rPr>
                <w:rFonts w:hint="default" w:hAnsi="宋体" w:cs="宋体"/>
                <w:snapToGrid w:val="0"/>
                <w:color w:val="000000" w:themeColor="text1"/>
                <w:kern w:val="21"/>
                <w:sz w:val="20"/>
                <w:lang w:val="en-US"/>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废旧离子交换树脂</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eastAsia="宋体"/>
                <w:bCs/>
                <w:color w:val="000000" w:themeColor="text1"/>
                <w:sz w:val="20"/>
                <w:lang w:val="en-US" w:eastAsia="zh-CN"/>
                <w14:textFill>
                  <w14:solidFill>
                    <w14:schemeClr w14:val="tx1"/>
                  </w14:solidFill>
                </w14:textFill>
              </w:rPr>
            </w:pPr>
            <w:r>
              <w:rPr>
                <w:rFonts w:hint="eastAsia"/>
                <w:bCs/>
                <w:color w:val="000000" w:themeColor="text1"/>
                <w:sz w:val="20"/>
                <w:lang w:val="en-US" w:eastAsia="zh-CN"/>
                <w14:textFill>
                  <w14:solidFill>
                    <w14:schemeClr w14:val="tx1"/>
                  </w14:solidFill>
                </w14:textFill>
              </w:rPr>
              <w:t>0.05</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bCs/>
                <w:color w:val="000000" w:themeColor="text1"/>
                <w:sz w:val="20"/>
                <w14:textFill>
                  <w14:solidFill>
                    <w14:schemeClr w14:val="tx1"/>
                  </w14:solidFill>
                </w14:textFill>
              </w:rPr>
            </w:pPr>
            <w:r>
              <w:rPr>
                <w:rFonts w:hint="eastAsia"/>
                <w:bCs/>
                <w:color w:val="000000" w:themeColor="text1"/>
                <w:sz w:val="20"/>
                <w:lang w:val="en-US" w:eastAsia="zh-CN"/>
                <w14:textFill>
                  <w14:solidFill>
                    <w14:schemeClr w14:val="tx1"/>
                  </w14:solidFill>
                </w14:textFill>
              </w:rPr>
              <w:t>0.05</w:t>
            </w:r>
          </w:p>
        </w:tc>
        <w:tc>
          <w:tcPr>
            <w:tcW w:w="1437"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bCs/>
                <w:color w:val="000000" w:themeColor="text1"/>
                <w:sz w:val="20"/>
                <w:lang w:val="en-US" w:eastAsia="zh-CN"/>
                <w14:textFill>
                  <w14:solidFill>
                    <w14:schemeClr w14:val="tx1"/>
                  </w14:solidFill>
                </w14:textFill>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eastAsia="zh-CN"/>
                <w14:textFill>
                  <w14:solidFill>
                    <w14:schemeClr w14:val="tx1"/>
                  </w14:solidFill>
                </w14:textFill>
              </w:rPr>
              <w:t>过期药品</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eastAsia="宋体"/>
                <w:bCs/>
                <w:color w:val="000000" w:themeColor="text1"/>
                <w:sz w:val="20"/>
                <w:lang w:val="en-US" w:eastAsia="zh-CN"/>
                <w14:textFill>
                  <w14:solidFill>
                    <w14:schemeClr w14:val="tx1"/>
                  </w14:solidFill>
                </w14:textFill>
              </w:rPr>
            </w:pPr>
            <w:r>
              <w:rPr>
                <w:rFonts w:hint="eastAsia"/>
                <w:bCs/>
                <w:color w:val="000000" w:themeColor="text1"/>
                <w:sz w:val="20"/>
                <w:lang w:val="en-US" w:eastAsia="zh-CN"/>
                <w14:textFill>
                  <w14:solidFill>
                    <w14:schemeClr w14:val="tx1"/>
                  </w14:solidFill>
                </w14:textFill>
              </w:rPr>
              <w:t>0.01</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bCs/>
                <w:color w:val="000000" w:themeColor="text1"/>
                <w:sz w:val="20"/>
                <w14:textFill>
                  <w14:solidFill>
                    <w14:schemeClr w14:val="tx1"/>
                  </w14:solidFill>
                </w14:textFill>
              </w:rPr>
            </w:pPr>
            <w:r>
              <w:rPr>
                <w:rFonts w:hint="eastAsia"/>
                <w:bCs/>
                <w:color w:val="000000" w:themeColor="text1"/>
                <w:sz w:val="20"/>
                <w:lang w:val="en-US" w:eastAsia="zh-CN"/>
                <w14:textFill>
                  <w14:solidFill>
                    <w14:schemeClr w14:val="tx1"/>
                  </w14:solidFill>
                </w14:textFill>
              </w:rPr>
              <w:t>0.01</w:t>
            </w:r>
          </w:p>
        </w:tc>
        <w:tc>
          <w:tcPr>
            <w:tcW w:w="1437"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bCs/>
                <w:color w:val="000000" w:themeColor="text1"/>
                <w:sz w:val="20"/>
                <w:lang w:val="en-US" w:eastAsia="zh-CN"/>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eastAsia="zh-CN"/>
                <w14:textFill>
                  <w14:solidFill>
                    <w14:schemeClr w14:val="tx1"/>
                  </w14:solidFill>
                </w14:textFill>
              </w:rPr>
            </w:pPr>
            <w:r>
              <w:rPr>
                <w:rFonts w:hint="eastAsia" w:hAnsi="宋体" w:cs="宋体"/>
                <w:snapToGrid w:val="0"/>
                <w:color w:val="000000" w:themeColor="text1"/>
                <w:kern w:val="21"/>
                <w:szCs w:val="21"/>
                <w:lang w:val="zh-CN" w:eastAsia="zh-CN"/>
                <w14:textFill>
                  <w14:solidFill>
                    <w14:schemeClr w14:val="tx1"/>
                  </w14:solidFill>
                </w14:textFill>
              </w:rPr>
              <w:t>费培养基、样品</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0.2</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0.2</w:t>
            </w:r>
          </w:p>
        </w:tc>
        <w:tc>
          <w:tcPr>
            <w:tcW w:w="1437"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693" w:type="dxa"/>
            <w:vMerge w:val="continue"/>
            <w:vAlign w:val="center"/>
          </w:tcPr>
          <w:p>
            <w:pPr>
              <w:pStyle w:val="82"/>
              <w:rPr>
                <w:rFonts w:hAnsi="宋体" w:cs="宋体"/>
                <w:snapToGrid w:val="0"/>
                <w:color w:val="000000" w:themeColor="text1"/>
                <w:kern w:val="21"/>
                <w:szCs w:val="21"/>
                <w14:textFill>
                  <w14:solidFill>
                    <w14:schemeClr w14:val="tx1"/>
                  </w14:solidFill>
                </w14:textFill>
              </w:rPr>
            </w:pPr>
          </w:p>
        </w:tc>
        <w:tc>
          <w:tcPr>
            <w:tcW w:w="1510" w:type="dxa"/>
            <w:vAlign w:val="center"/>
          </w:tcPr>
          <w:p>
            <w:pPr>
              <w:pStyle w:val="82"/>
              <w:rPr>
                <w:rFonts w:hint="eastAsia" w:hAnsi="宋体" w:cs="宋体"/>
                <w:snapToGrid w:val="0"/>
                <w:color w:val="000000" w:themeColor="text1"/>
                <w:kern w:val="21"/>
                <w:szCs w:val="21"/>
                <w:lang w:val="zh-CN"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废包装材料</w:t>
            </w: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360" w:type="dxa"/>
            <w:vAlign w:val="center"/>
          </w:tcPr>
          <w:p>
            <w:pPr>
              <w:pStyle w:val="82"/>
              <w:rPr>
                <w:rFonts w:hAnsi="宋体" w:cs="宋体"/>
                <w:snapToGrid w:val="0"/>
                <w:color w:val="000000" w:themeColor="text1"/>
                <w:kern w:val="21"/>
                <w:sz w:val="20"/>
                <w14:textFill>
                  <w14:solidFill>
                    <w14:schemeClr w14:val="tx1"/>
                  </w14:solidFill>
                </w14:textFill>
              </w:rPr>
            </w:pPr>
          </w:p>
        </w:tc>
        <w:tc>
          <w:tcPr>
            <w:tcW w:w="1813" w:type="dxa"/>
            <w:vAlign w:val="center"/>
          </w:tcPr>
          <w:p>
            <w:pPr>
              <w:pStyle w:val="82"/>
              <w:rPr>
                <w:rFonts w:hAnsi="宋体" w:cs="宋体"/>
                <w:snapToGrid w:val="0"/>
                <w:color w:val="000000" w:themeColor="text1"/>
                <w:kern w:val="21"/>
                <w:sz w:val="20"/>
                <w14:textFill>
                  <w14:solidFill>
                    <w14:schemeClr w14:val="tx1"/>
                  </w14:solidFill>
                </w14:textFill>
              </w:rPr>
            </w:pPr>
          </w:p>
        </w:tc>
        <w:tc>
          <w:tcPr>
            <w:tcW w:w="1662" w:type="dxa"/>
            <w:vAlign w:val="center"/>
          </w:tcPr>
          <w:p>
            <w:pPr>
              <w:pStyle w:val="82"/>
              <w:rPr>
                <w:rFonts w:hint="default" w:hAnsi="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0.05</w:t>
            </w:r>
          </w:p>
        </w:tc>
        <w:tc>
          <w:tcPr>
            <w:tcW w:w="1877" w:type="dxa"/>
            <w:vAlign w:val="center"/>
          </w:tcPr>
          <w:p>
            <w:pPr>
              <w:pStyle w:val="82"/>
              <w:rPr>
                <w:rFonts w:hint="eastAsia" w:hAnsi="宋体" w:eastAsia="宋体" w:cs="宋体"/>
                <w:snapToGrid w:val="0"/>
                <w:color w:val="000000" w:themeColor="text1"/>
                <w:kern w:val="21"/>
                <w:sz w:val="20"/>
                <w:lang w:val="en-US" w:eastAsia="zh-CN"/>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w:t>
            </w:r>
          </w:p>
        </w:tc>
        <w:tc>
          <w:tcPr>
            <w:tcW w:w="1531"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0.05</w:t>
            </w:r>
          </w:p>
        </w:tc>
        <w:tc>
          <w:tcPr>
            <w:tcW w:w="1437" w:type="dxa"/>
            <w:vAlign w:val="center"/>
          </w:tcPr>
          <w:p>
            <w:pPr>
              <w:pStyle w:val="82"/>
              <w:rPr>
                <w:rFonts w:hAnsi="宋体" w:cs="宋体"/>
                <w:snapToGrid w:val="0"/>
                <w:color w:val="000000" w:themeColor="text1"/>
                <w:kern w:val="21"/>
                <w:sz w:val="20"/>
                <w14:textFill>
                  <w14:solidFill>
                    <w14:schemeClr w14:val="tx1"/>
                  </w14:solidFill>
                </w14:textFill>
              </w:rPr>
            </w:pPr>
            <w:r>
              <w:rPr>
                <w:rFonts w:hint="eastAsia" w:hAnsi="宋体" w:cs="宋体"/>
                <w:snapToGrid w:val="0"/>
                <w:color w:val="000000" w:themeColor="text1"/>
                <w:kern w:val="21"/>
                <w:sz w:val="20"/>
                <w:lang w:val="en-US" w:eastAsia="zh-CN"/>
                <w14:textFill>
                  <w14:solidFill>
                    <w14:schemeClr w14:val="tx1"/>
                  </w14:solidFill>
                </w14:textFill>
              </w:rPr>
              <w:t>+0.05</w:t>
            </w:r>
          </w:p>
        </w:tc>
      </w:tr>
    </w:tbl>
    <w:p>
      <w:pPr>
        <w:spacing w:before="17"/>
        <w:rPr>
          <w:rFonts w:ascii="Times New Roman" w:hAnsi="Times New Roman" w:eastAsia="宋体" w:cs="微软雅黑"/>
          <w:color w:val="000000" w:themeColor="text1"/>
          <w:sz w:val="6"/>
          <w:szCs w:val="6"/>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注：</w:t>
      </w:r>
      <w:r>
        <w:rPr>
          <w:rFonts w:hint="eastAsia" w:ascii="Times New Roman" w:hAnsi="Times New Roman" w:cs="宋体"/>
          <w:color w:val="000000" w:themeColor="text1"/>
          <w:spacing w:val="-3"/>
          <w14:textFill>
            <w14:solidFill>
              <w14:schemeClr w14:val="tx1"/>
            </w14:solidFill>
          </w14:textFill>
        </w:rPr>
        <w:t>⑥</w:t>
      </w:r>
      <w:r>
        <w:rPr>
          <w:rFonts w:ascii="Times New Roman" w:hAnsi="Times New Roman" w:cs="Times New Roman"/>
          <w:color w:val="000000" w:themeColor="text1"/>
          <w:spacing w:val="-16"/>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①</w:t>
      </w:r>
      <w:r>
        <w:rPr>
          <w:rFonts w:ascii="Times New Roman" w:hAnsi="Times New Roman" w:cs="Times New Roman"/>
          <w:color w:val="000000" w:themeColor="text1"/>
          <w:spacing w:val="-9"/>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③</w:t>
      </w:r>
      <w:r>
        <w:rPr>
          <w:rFonts w:ascii="Times New Roman" w:hAnsi="Times New Roman" w:cs="Times New Roman"/>
          <w:color w:val="000000" w:themeColor="text1"/>
          <w:spacing w:val="-9"/>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④</w:t>
      </w:r>
      <w:r>
        <w:rPr>
          <w:rFonts w:ascii="Times New Roman" w:hAnsi="Times New Roman" w:cs="Times New Roman"/>
          <w:color w:val="000000" w:themeColor="text1"/>
          <w:spacing w:val="-8"/>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⑤</w:t>
      </w:r>
      <w:r>
        <w:rPr>
          <w:rFonts w:ascii="Times New Roman" w:hAnsi="Times New Roman"/>
          <w:color w:val="000000" w:themeColor="text1"/>
          <w:spacing w:val="-34"/>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⑦</w:t>
      </w:r>
      <w:r>
        <w:rPr>
          <w:rFonts w:ascii="Times New Roman" w:hAnsi="Times New Roman" w:cs="Times New Roman"/>
          <w:color w:val="000000" w:themeColor="text1"/>
          <w:spacing w:val="-9"/>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⑥</w:t>
      </w:r>
      <w:r>
        <w:rPr>
          <w:rFonts w:ascii="Times New Roman" w:hAnsi="Times New Roman" w:cs="Times New Roman"/>
          <w:color w:val="000000" w:themeColor="text1"/>
          <w:spacing w:val="-18"/>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①</w:t>
      </w:r>
    </w:p>
    <w:p>
      <w:pPr>
        <w:rPr>
          <w:rFonts w:ascii="Times New Roman" w:hAnsi="Times New Roman" w:eastAsia="宋体" w:cs="宋体"/>
          <w:color w:val="000000" w:themeColor="text1"/>
          <w:sz w:val="20"/>
          <w:szCs w:val="20"/>
          <w14:textFill>
            <w14:solidFill>
              <w14:schemeClr w14:val="tx1"/>
            </w14:solidFill>
          </w14:textFill>
        </w:rPr>
      </w:pPr>
    </w:p>
    <w:sectPr>
      <w:footerReference r:id="rId9" w:type="default"/>
      <w:pgSz w:w="16840" w:h="11910" w:orient="landscape"/>
      <w:pgMar w:top="1134" w:right="1134" w:bottom="1134" w:left="1134" w:header="0" w:footer="567" w:gutter="0"/>
      <w:pgBorders>
        <w:top w:val="none" w:color="auto" w:sz="0" w:space="0"/>
        <w:left w:val="none" w:color="auto" w:sz="0" w:space="0"/>
        <w:bottom w:val="none" w:color="auto" w:sz="0" w:space="0"/>
        <w:right w:val="none" w:color="auto" w:sz="0" w:space="0"/>
      </w:pgBorders>
      <w:pgNumType w:fmt="decimal"/>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刘先生" w:date="2024-02-03T20:35:53Z" w:initials="">
    <w:p>
      <w:pPr>
        <w:pStyle w:val="7"/>
        <w:rPr>
          <w:rFonts w:hint="default" w:eastAsiaTheme="minorEastAsia"/>
          <w:lang w:val="en-US" w:eastAsia="zh-CN"/>
        </w:rPr>
      </w:pPr>
      <w:r>
        <w:rPr>
          <w:rFonts w:hint="eastAsia"/>
          <w:lang w:val="en-US" w:eastAsia="zh-CN"/>
        </w:rPr>
        <w:t>一一</w:t>
      </w:r>
    </w:p>
  </w:comment>
  <w:comment w:id="1" w:author="刘先生" w:date="2024-02-03T20:37:46Z" w:initials="">
    <w:p>
      <w:pPr>
        <w:pStyle w:val="7"/>
        <w:rPr>
          <w:rFonts w:hint="default" w:eastAsiaTheme="minorEastAsia"/>
          <w:lang w:val="en-US" w:eastAsia="zh-CN"/>
        </w:rPr>
      </w:pPr>
      <w:r>
        <w:rPr>
          <w:rFonts w:hint="eastAsia"/>
          <w:lang w:val="en-US" w:eastAsia="zh-CN"/>
        </w:rPr>
        <w:t>说明达到XX标准</w:t>
      </w:r>
    </w:p>
  </w:comment>
  <w:comment w:id="2" w:author="刘先生" w:date="2024-01-23T15:29:15Z" w:initials="">
    <w:p>
      <w:pPr>
        <w:pStyle w:val="7"/>
        <w:rPr>
          <w:rFonts w:hint="default" w:eastAsiaTheme="minorEastAsia"/>
          <w:lang w:val="en-US" w:eastAsia="zh-CN"/>
        </w:rPr>
      </w:pPr>
      <w:r>
        <w:rPr>
          <w:rFonts w:hint="eastAsia"/>
          <w:lang w:val="en-US" w:eastAsia="zh-CN"/>
        </w:rPr>
        <w:t>明确达到XX标准</w:t>
      </w:r>
    </w:p>
  </w:comment>
  <w:comment w:id="3" w:author="刘先生" w:date="2024-02-03T20:40:13Z" w:initials="">
    <w:p>
      <w:pPr>
        <w:pStyle w:val="7"/>
        <w:rPr>
          <w:rFonts w:hint="default" w:eastAsiaTheme="minorEastAsia"/>
          <w:lang w:val="en-US" w:eastAsia="zh-CN"/>
        </w:rPr>
      </w:pPr>
      <w:r>
        <w:rPr>
          <w:rFonts w:hint="eastAsia"/>
          <w:lang w:val="en-US" w:eastAsia="zh-CN"/>
        </w:rPr>
        <w:t>与建设单位沟通，核定1/2及一个标准的实验室的门洞宽度及高度，并说明应该补加到多少</w:t>
      </w:r>
    </w:p>
  </w:comment>
  <w:comment w:id="4" w:author="刘先生" w:date="2024-02-03T20:41:55Z" w:initials="">
    <w:p>
      <w:pPr>
        <w:pStyle w:val="7"/>
        <w:rPr>
          <w:rFonts w:hint="default" w:eastAsiaTheme="minorEastAsia"/>
          <w:lang w:val="en-US" w:eastAsia="zh-CN"/>
        </w:rPr>
      </w:pPr>
      <w:r>
        <w:rPr>
          <w:rFonts w:hint="eastAsia"/>
          <w:lang w:val="en-US" w:eastAsia="zh-CN"/>
        </w:rPr>
        <w:t>排气筒高度？实际？</w:t>
      </w:r>
    </w:p>
  </w:comment>
  <w:comment w:id="5" w:author="刘先生" w:date="2024-02-03T20:44:05Z" w:initials="">
    <w:p>
      <w:pPr>
        <w:pStyle w:val="7"/>
        <w:rPr>
          <w:rFonts w:hint="default" w:eastAsiaTheme="minorEastAsia"/>
          <w:lang w:val="en-US" w:eastAsia="zh-CN"/>
        </w:rPr>
      </w:pPr>
      <w:r>
        <w:rPr>
          <w:rFonts w:hint="eastAsia"/>
          <w:lang w:val="en-US" w:eastAsia="zh-CN"/>
        </w:rPr>
        <w:t>化粪池污泥</w:t>
      </w:r>
    </w:p>
  </w:comment>
  <w:comment w:id="6" w:author="刘先生" w:date="2024-01-23T15:36:30Z" w:initials="">
    <w:p>
      <w:pPr>
        <w:pStyle w:val="7"/>
      </w:pPr>
      <w:r>
        <w:rPr>
          <w:rFonts w:hint="default" w:ascii="Times New Roman" w:hAnsi="Times New Roman" w:eastAsia="宋体" w:cs="Times New Roman"/>
          <w:color w:val="000000" w:themeColor="text1"/>
          <w:sz w:val="24"/>
          <w:lang w:val="en-US" w:eastAsia="zh-CN"/>
          <w14:textFill>
            <w14:solidFill>
              <w14:schemeClr w14:val="tx1"/>
            </w14:solidFill>
          </w14:textFill>
        </w:rPr>
        <w:t>µm</w:t>
      </w:r>
    </w:p>
  </w:comment>
  <w:comment w:id="7" w:author="刘先生" w:date="2024-02-03T20:46:15Z" w:initials="">
    <w:p>
      <w:pPr>
        <w:pStyle w:val="7"/>
        <w:rPr>
          <w:rFonts w:hint="default" w:eastAsiaTheme="minorEastAsia"/>
          <w:lang w:val="en-US" w:eastAsia="zh-CN"/>
        </w:rPr>
      </w:pPr>
      <w:r>
        <w:rPr>
          <w:rFonts w:hint="eastAsia"/>
          <w:lang w:val="en-US" w:eastAsia="zh-CN"/>
        </w:rPr>
        <w:t>排放标准</w:t>
      </w:r>
    </w:p>
  </w:comment>
  <w:comment w:id="8" w:author="刘先生" w:date="2024-02-03T20:46:53Z" w:initials="">
    <w:p>
      <w:pPr>
        <w:pStyle w:val="7"/>
        <w:rPr>
          <w:rFonts w:hint="eastAsia" w:eastAsiaTheme="minorEastAsia"/>
          <w:lang w:val="en-US" w:eastAsia="zh-CN"/>
        </w:rPr>
      </w:pPr>
      <w:r>
        <w:rPr>
          <w:rFonts w:hint="eastAsia"/>
          <w:lang w:val="en-US" w:eastAsia="zh-CN"/>
        </w:rPr>
        <w:t>核</w:t>
      </w:r>
    </w:p>
  </w:comment>
  <w:comment w:id="9" w:author="刘先生" w:date="2024-02-03T20:47:29Z" w:initials="">
    <w:p>
      <w:pPr>
        <w:pStyle w:val="7"/>
        <w:rPr>
          <w:rFonts w:hint="default" w:eastAsiaTheme="minorEastAsia"/>
          <w:lang w:val="en-US" w:eastAsia="zh-CN"/>
        </w:rPr>
      </w:pPr>
      <w:r>
        <w:rPr>
          <w:rFonts w:hint="eastAsia"/>
          <w:lang w:val="en-US" w:eastAsia="zh-CN"/>
        </w:rPr>
        <w:t>排放标准</w:t>
      </w:r>
    </w:p>
  </w:comment>
  <w:comment w:id="10" w:author="刘先生" w:date="2024-02-03T20:48:17Z" w:initials="">
    <w:p>
      <w:pPr>
        <w:pStyle w:val="7"/>
        <w:rPr>
          <w:rFonts w:hint="eastAsia" w:eastAsiaTheme="minorEastAsia"/>
          <w:lang w:val="en-US" w:eastAsia="zh-CN"/>
        </w:rPr>
      </w:pPr>
      <w:r>
        <w:rPr>
          <w:rFonts w:hint="eastAsia"/>
          <w:lang w:val="en-US" w:eastAsia="zh-CN"/>
        </w:rPr>
        <w:t>排放</w:t>
      </w:r>
    </w:p>
  </w:comment>
  <w:comment w:id="11" w:author="刘先生" w:date="2024-02-03T20:49:57Z" w:initials="">
    <w:p>
      <w:pPr>
        <w:pStyle w:val="7"/>
        <w:rPr>
          <w:rFonts w:hint="default" w:eastAsiaTheme="minorEastAsia"/>
          <w:lang w:val="en-US" w:eastAsia="zh-CN"/>
        </w:rPr>
      </w:pPr>
      <w:r>
        <w:rPr>
          <w:rFonts w:hint="eastAsia"/>
          <w:lang w:val="en-US" w:eastAsia="zh-CN"/>
        </w:rPr>
        <w:t>补充实验废水</w:t>
      </w:r>
    </w:p>
  </w:comment>
  <w:comment w:id="12" w:author="刘先生" w:date="2024-02-03T20:50:39Z" w:initials="">
    <w:p>
      <w:pPr>
        <w:pStyle w:val="7"/>
        <w:rPr>
          <w:rFonts w:hint="default" w:eastAsiaTheme="minorEastAsia"/>
          <w:lang w:val="en-US" w:eastAsia="zh-CN"/>
        </w:rPr>
      </w:pPr>
      <w:r>
        <w:rPr>
          <w:rFonts w:hint="eastAsia"/>
          <w:lang w:val="en-US" w:eastAsia="zh-CN"/>
        </w:rPr>
        <w:t>补充实验废水</w:t>
      </w:r>
    </w:p>
  </w:comment>
  <w:comment w:id="13" w:author="刘先生" w:date="2024-02-03T20:51:27Z" w:initials="">
    <w:p>
      <w:pPr>
        <w:pStyle w:val="7"/>
        <w:rPr>
          <w:rFonts w:hint="default" w:eastAsiaTheme="minorEastAsia"/>
          <w:lang w:val="en-US" w:eastAsia="zh-CN"/>
        </w:rPr>
      </w:pPr>
      <w:r>
        <w:rPr>
          <w:rFonts w:hint="eastAsia"/>
          <w:lang w:val="en-US" w:eastAsia="zh-CN"/>
        </w:rPr>
        <w:t>与建设单位沟通</w:t>
      </w:r>
    </w:p>
  </w:comment>
  <w:comment w:id="14" w:author="刘先生" w:date="2024-02-03T20:52:10Z" w:initials="">
    <w:p>
      <w:pPr>
        <w:pStyle w:val="7"/>
        <w:rPr>
          <w:rFonts w:hint="default" w:eastAsiaTheme="minorEastAsia"/>
          <w:lang w:val="en-US" w:eastAsia="zh-CN"/>
        </w:rPr>
      </w:pPr>
      <w:r>
        <w:rPr>
          <w:rFonts w:hint="eastAsia"/>
          <w:lang w:val="en-US" w:eastAsia="zh-CN"/>
        </w:rPr>
        <w:t>排放标准呀求</w:t>
      </w:r>
    </w:p>
  </w:comment>
  <w:comment w:id="15" w:author="刘先生" w:date="2024-02-03T20:52:22Z" w:initials="">
    <w:p>
      <w:pPr>
        <w:pStyle w:val="7"/>
        <w:rPr>
          <w:rFonts w:hint="eastAsia" w:eastAsiaTheme="minorEastAsia"/>
          <w:lang w:val="en-US" w:eastAsia="zh-CN"/>
        </w:rPr>
      </w:pPr>
      <w:r>
        <w:rPr>
          <w:rFonts w:hint="eastAsia"/>
          <w:lang w:val="en-US" w:eastAsia="zh-CN"/>
        </w:rPr>
        <w:t>核</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宋体胧....">
    <w:altName w:val="宋体"/>
    <w:panose1 w:val="00000000000000000000"/>
    <w:charset w:val="86"/>
    <w:family w:val="modern"/>
    <w:pitch w:val="default"/>
    <w:sig w:usb0="00000000" w:usb1="00000000" w:usb2="0000001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Arial Black">
    <w:panose1 w:val="020B0A04020102020204"/>
    <w:charset w:val="00"/>
    <w:family w:val="decorative"/>
    <w:pitch w:val="default"/>
    <w:sig w:usb0="00000287" w:usb1="00000000" w:usb2="00000000" w:usb3="00000000" w:csb0="2000009F" w:csb1="DFD70000"/>
  </w:font>
  <w:font w:name="楷体_GB2312">
    <w:panose1 w:val="02010609030101010101"/>
    <w:charset w:val="86"/>
    <w:family w:val="swiss"/>
    <w:pitch w:val="default"/>
    <w:sig w:usb0="00000001" w:usb1="080E0000" w:usb2="00000000" w:usb3="00000000" w:csb0="00040000" w:csb1="00000000"/>
  </w:font>
  <w:font w:name="仿宋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Wingdings 2">
    <w:altName w:val="Wingdings"/>
    <w:panose1 w:val="05020102010507070707"/>
    <w:charset w:val="02"/>
    <w:family w:val="modern"/>
    <w:pitch w:val="default"/>
    <w:sig w:usb0="00000000" w:usb1="00000000" w:usb2="00000000" w:usb3="00000000" w:csb0="80000000" w:csb1="00000000"/>
  </w:font>
  <w:font w:name="新宋体">
    <w:panose1 w:val="02010609030101010101"/>
    <w:charset w:val="86"/>
    <w:family w:val="swiss"/>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Meiryo UI">
    <w:panose1 w:val="020B0604030504040204"/>
    <w:charset w:val="0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p>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p>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17141116">
    <w:nsid w:val="36AA767C"/>
    <w:multiLevelType w:val="singleLevel"/>
    <w:tmpl w:val="36AA767C"/>
    <w:lvl w:ilvl="0" w:tentative="1">
      <w:start w:val="3"/>
      <w:numFmt w:val="decimal"/>
      <w:suff w:val="nothing"/>
      <w:lvlText w:val="%1、"/>
      <w:lvlJc w:val="left"/>
    </w:lvl>
  </w:abstractNum>
  <w:abstractNum w:abstractNumId="630487510">
    <w:nsid w:val="259479D6"/>
    <w:multiLevelType w:val="singleLevel"/>
    <w:tmpl w:val="259479D6"/>
    <w:lvl w:ilvl="0" w:tentative="1">
      <w:start w:val="5"/>
      <w:numFmt w:val="decimal"/>
      <w:suff w:val="nothing"/>
      <w:lvlText w:val="%1、"/>
      <w:lvlJc w:val="left"/>
    </w:lvl>
  </w:abstractNum>
  <w:abstractNum w:abstractNumId="380532784">
    <w:nsid w:val="16AE7830"/>
    <w:multiLevelType w:val="singleLevel"/>
    <w:tmpl w:val="16AE7830"/>
    <w:lvl w:ilvl="0" w:tentative="1">
      <w:start w:val="4"/>
      <w:numFmt w:val="decimal"/>
      <w:suff w:val="nothing"/>
      <w:lvlText w:val="%1、"/>
      <w:lvlJc w:val="left"/>
    </w:lvl>
  </w:abstractNum>
  <w:abstractNum w:abstractNumId="1046184532">
    <w:nsid w:val="3E5B8254"/>
    <w:multiLevelType w:val="singleLevel"/>
    <w:tmpl w:val="3E5B8254"/>
    <w:lvl w:ilvl="0" w:tentative="1">
      <w:start w:val="6"/>
      <w:numFmt w:val="decimal"/>
      <w:suff w:val="nothing"/>
      <w:lvlText w:val="%1、"/>
      <w:lvlJc w:val="left"/>
    </w:lvl>
  </w:abstractNum>
  <w:abstractNum w:abstractNumId="810614606">
    <w:nsid w:val="3050FF4E"/>
    <w:multiLevelType w:val="singleLevel"/>
    <w:tmpl w:val="3050FF4E"/>
    <w:lvl w:ilvl="0" w:tentative="1">
      <w:start w:val="1"/>
      <w:numFmt w:val="decimal"/>
      <w:suff w:val="nothing"/>
      <w:lvlText w:val="（%1）"/>
      <w:lvlJc w:val="left"/>
    </w:lvl>
  </w:abstractNum>
  <w:abstractNum w:abstractNumId="2220833121">
    <w:nsid w:val="845F3961"/>
    <w:multiLevelType w:val="singleLevel"/>
    <w:tmpl w:val="845F3961"/>
    <w:lvl w:ilvl="0" w:tentative="1">
      <w:start w:val="1"/>
      <w:numFmt w:val="decimal"/>
      <w:suff w:val="nothing"/>
      <w:lvlText w:val="（%1）"/>
      <w:lvlJc w:val="left"/>
    </w:lvl>
  </w:abstractNum>
  <w:num w:numId="1">
    <w:abstractNumId w:val="630487510"/>
  </w:num>
  <w:num w:numId="2">
    <w:abstractNumId w:val="380532784"/>
  </w:num>
  <w:num w:numId="3">
    <w:abstractNumId w:val="1046184532"/>
  </w:num>
  <w:num w:numId="4">
    <w:abstractNumId w:val="810614606"/>
  </w:num>
  <w:num w:numId="5">
    <w:abstractNumId w:val="2220833121"/>
  </w:num>
  <w:num w:numId="6">
    <w:abstractNumId w:val="917141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TgwMWRlM2JhMmM1OWYyNTIzYmQ5MDEyOTQ3NTMifQ=="/>
  </w:docVars>
  <w:rsids>
    <w:rsidRoot w:val="00DA311B"/>
    <w:rsid w:val="000312E6"/>
    <w:rsid w:val="00040E99"/>
    <w:rsid w:val="0005477A"/>
    <w:rsid w:val="0006350C"/>
    <w:rsid w:val="00064E2D"/>
    <w:rsid w:val="000A2B5B"/>
    <w:rsid w:val="000A744C"/>
    <w:rsid w:val="000B2287"/>
    <w:rsid w:val="000C557E"/>
    <w:rsid w:val="000C66C4"/>
    <w:rsid w:val="000D3C1C"/>
    <w:rsid w:val="000F22D8"/>
    <w:rsid w:val="000F2A6C"/>
    <w:rsid w:val="001037C5"/>
    <w:rsid w:val="0011064B"/>
    <w:rsid w:val="00114C00"/>
    <w:rsid w:val="00134A44"/>
    <w:rsid w:val="00144CD1"/>
    <w:rsid w:val="001826CB"/>
    <w:rsid w:val="00190015"/>
    <w:rsid w:val="00191B2A"/>
    <w:rsid w:val="00197EAB"/>
    <w:rsid w:val="001A076D"/>
    <w:rsid w:val="001B2EC6"/>
    <w:rsid w:val="001E27D6"/>
    <w:rsid w:val="00214FB9"/>
    <w:rsid w:val="0023114C"/>
    <w:rsid w:val="00240603"/>
    <w:rsid w:val="0024679D"/>
    <w:rsid w:val="00264BA6"/>
    <w:rsid w:val="002667A3"/>
    <w:rsid w:val="00270407"/>
    <w:rsid w:val="00280590"/>
    <w:rsid w:val="00283E1E"/>
    <w:rsid w:val="00287212"/>
    <w:rsid w:val="0029631D"/>
    <w:rsid w:val="002C0D03"/>
    <w:rsid w:val="002C3359"/>
    <w:rsid w:val="002C43EE"/>
    <w:rsid w:val="002D3FF6"/>
    <w:rsid w:val="002D70F1"/>
    <w:rsid w:val="002E49D3"/>
    <w:rsid w:val="00321EBC"/>
    <w:rsid w:val="0032426D"/>
    <w:rsid w:val="0035730D"/>
    <w:rsid w:val="003615E4"/>
    <w:rsid w:val="00367B9F"/>
    <w:rsid w:val="00376159"/>
    <w:rsid w:val="00383915"/>
    <w:rsid w:val="00385128"/>
    <w:rsid w:val="00393CAA"/>
    <w:rsid w:val="003A0193"/>
    <w:rsid w:val="003A19C9"/>
    <w:rsid w:val="003A19E9"/>
    <w:rsid w:val="003A4572"/>
    <w:rsid w:val="003B3F13"/>
    <w:rsid w:val="003B564F"/>
    <w:rsid w:val="003C228D"/>
    <w:rsid w:val="003D0400"/>
    <w:rsid w:val="003D1095"/>
    <w:rsid w:val="003E642D"/>
    <w:rsid w:val="003F1488"/>
    <w:rsid w:val="0040373A"/>
    <w:rsid w:val="00425C2A"/>
    <w:rsid w:val="004319F2"/>
    <w:rsid w:val="00434446"/>
    <w:rsid w:val="004365C5"/>
    <w:rsid w:val="0044267F"/>
    <w:rsid w:val="0045677A"/>
    <w:rsid w:val="0047138E"/>
    <w:rsid w:val="004812CE"/>
    <w:rsid w:val="004A0FC0"/>
    <w:rsid w:val="004E6811"/>
    <w:rsid w:val="004F5792"/>
    <w:rsid w:val="005221FE"/>
    <w:rsid w:val="00523F80"/>
    <w:rsid w:val="005434D5"/>
    <w:rsid w:val="00545099"/>
    <w:rsid w:val="005631D1"/>
    <w:rsid w:val="005671C0"/>
    <w:rsid w:val="00583A21"/>
    <w:rsid w:val="00584441"/>
    <w:rsid w:val="0059399A"/>
    <w:rsid w:val="00594C6F"/>
    <w:rsid w:val="005C3423"/>
    <w:rsid w:val="005C486B"/>
    <w:rsid w:val="005C5B42"/>
    <w:rsid w:val="005D3B39"/>
    <w:rsid w:val="005E0511"/>
    <w:rsid w:val="005E5D52"/>
    <w:rsid w:val="006038C4"/>
    <w:rsid w:val="006047AE"/>
    <w:rsid w:val="00606A08"/>
    <w:rsid w:val="006106AF"/>
    <w:rsid w:val="00636CC6"/>
    <w:rsid w:val="00652465"/>
    <w:rsid w:val="006551B1"/>
    <w:rsid w:val="006744AF"/>
    <w:rsid w:val="006A147B"/>
    <w:rsid w:val="006A5BCB"/>
    <w:rsid w:val="006B006B"/>
    <w:rsid w:val="006B25B0"/>
    <w:rsid w:val="006C003D"/>
    <w:rsid w:val="006C3257"/>
    <w:rsid w:val="006C55C3"/>
    <w:rsid w:val="006D09F9"/>
    <w:rsid w:val="006D1D21"/>
    <w:rsid w:val="006D67B4"/>
    <w:rsid w:val="006E006D"/>
    <w:rsid w:val="006E1520"/>
    <w:rsid w:val="00702EFE"/>
    <w:rsid w:val="00705191"/>
    <w:rsid w:val="007078C7"/>
    <w:rsid w:val="00710587"/>
    <w:rsid w:val="00717251"/>
    <w:rsid w:val="00717908"/>
    <w:rsid w:val="00717A59"/>
    <w:rsid w:val="00717E4C"/>
    <w:rsid w:val="007218D9"/>
    <w:rsid w:val="0073212E"/>
    <w:rsid w:val="0074209D"/>
    <w:rsid w:val="00744C12"/>
    <w:rsid w:val="00745F4A"/>
    <w:rsid w:val="007508D5"/>
    <w:rsid w:val="00751FC6"/>
    <w:rsid w:val="00760DFA"/>
    <w:rsid w:val="00762EDE"/>
    <w:rsid w:val="00773C06"/>
    <w:rsid w:val="00777465"/>
    <w:rsid w:val="007804CF"/>
    <w:rsid w:val="00780889"/>
    <w:rsid w:val="00785915"/>
    <w:rsid w:val="007969A9"/>
    <w:rsid w:val="007C33F2"/>
    <w:rsid w:val="007F3B25"/>
    <w:rsid w:val="007F6EC7"/>
    <w:rsid w:val="00852CED"/>
    <w:rsid w:val="008573D5"/>
    <w:rsid w:val="0086545F"/>
    <w:rsid w:val="00873251"/>
    <w:rsid w:val="00877220"/>
    <w:rsid w:val="00886B88"/>
    <w:rsid w:val="008A780D"/>
    <w:rsid w:val="008B7924"/>
    <w:rsid w:val="008C54DF"/>
    <w:rsid w:val="008D3EF4"/>
    <w:rsid w:val="008F56D6"/>
    <w:rsid w:val="008F5E38"/>
    <w:rsid w:val="009067E3"/>
    <w:rsid w:val="009170C6"/>
    <w:rsid w:val="00917745"/>
    <w:rsid w:val="009235A3"/>
    <w:rsid w:val="00924788"/>
    <w:rsid w:val="009452A7"/>
    <w:rsid w:val="00946E90"/>
    <w:rsid w:val="00950C9B"/>
    <w:rsid w:val="009620F2"/>
    <w:rsid w:val="0096654E"/>
    <w:rsid w:val="00975811"/>
    <w:rsid w:val="0098414A"/>
    <w:rsid w:val="0098479B"/>
    <w:rsid w:val="00992B65"/>
    <w:rsid w:val="009948D3"/>
    <w:rsid w:val="00995B35"/>
    <w:rsid w:val="009A446A"/>
    <w:rsid w:val="009B50E2"/>
    <w:rsid w:val="009B7052"/>
    <w:rsid w:val="009C0AF3"/>
    <w:rsid w:val="009C5D26"/>
    <w:rsid w:val="009C7B21"/>
    <w:rsid w:val="009D0543"/>
    <w:rsid w:val="00A03E23"/>
    <w:rsid w:val="00A05107"/>
    <w:rsid w:val="00A0632D"/>
    <w:rsid w:val="00A10CD7"/>
    <w:rsid w:val="00A15742"/>
    <w:rsid w:val="00A203F1"/>
    <w:rsid w:val="00A332E7"/>
    <w:rsid w:val="00A3399F"/>
    <w:rsid w:val="00A36CC8"/>
    <w:rsid w:val="00A442D2"/>
    <w:rsid w:val="00A508CB"/>
    <w:rsid w:val="00A53FD2"/>
    <w:rsid w:val="00A6115F"/>
    <w:rsid w:val="00A74281"/>
    <w:rsid w:val="00A75CD5"/>
    <w:rsid w:val="00A90E3B"/>
    <w:rsid w:val="00A93F34"/>
    <w:rsid w:val="00A94654"/>
    <w:rsid w:val="00AA143D"/>
    <w:rsid w:val="00AB6720"/>
    <w:rsid w:val="00AB7672"/>
    <w:rsid w:val="00AC0246"/>
    <w:rsid w:val="00AD1AD3"/>
    <w:rsid w:val="00AE0DEB"/>
    <w:rsid w:val="00AE0EA9"/>
    <w:rsid w:val="00AE2F08"/>
    <w:rsid w:val="00AF08A3"/>
    <w:rsid w:val="00AF21E4"/>
    <w:rsid w:val="00B23219"/>
    <w:rsid w:val="00B23E1A"/>
    <w:rsid w:val="00B2758D"/>
    <w:rsid w:val="00B36D3E"/>
    <w:rsid w:val="00B47E90"/>
    <w:rsid w:val="00B546DD"/>
    <w:rsid w:val="00B67B5C"/>
    <w:rsid w:val="00B75A7E"/>
    <w:rsid w:val="00B77134"/>
    <w:rsid w:val="00B87946"/>
    <w:rsid w:val="00BA4310"/>
    <w:rsid w:val="00BE00FE"/>
    <w:rsid w:val="00C020F7"/>
    <w:rsid w:val="00C163D7"/>
    <w:rsid w:val="00C46C2B"/>
    <w:rsid w:val="00C810F1"/>
    <w:rsid w:val="00C8617F"/>
    <w:rsid w:val="00C92B05"/>
    <w:rsid w:val="00C948D3"/>
    <w:rsid w:val="00C95590"/>
    <w:rsid w:val="00C971F3"/>
    <w:rsid w:val="00CA06F6"/>
    <w:rsid w:val="00CA46C6"/>
    <w:rsid w:val="00CC49CF"/>
    <w:rsid w:val="00CC5823"/>
    <w:rsid w:val="00CE7D24"/>
    <w:rsid w:val="00CF438A"/>
    <w:rsid w:val="00CF47D2"/>
    <w:rsid w:val="00CF67D0"/>
    <w:rsid w:val="00D1739A"/>
    <w:rsid w:val="00D268C6"/>
    <w:rsid w:val="00D27F2F"/>
    <w:rsid w:val="00D32AB7"/>
    <w:rsid w:val="00D36AFF"/>
    <w:rsid w:val="00D441AA"/>
    <w:rsid w:val="00D60A6A"/>
    <w:rsid w:val="00D67B61"/>
    <w:rsid w:val="00D85423"/>
    <w:rsid w:val="00D86569"/>
    <w:rsid w:val="00DA0E19"/>
    <w:rsid w:val="00DA1F04"/>
    <w:rsid w:val="00DA311B"/>
    <w:rsid w:val="00DA69F4"/>
    <w:rsid w:val="00DA7A91"/>
    <w:rsid w:val="00DC0157"/>
    <w:rsid w:val="00DD00C3"/>
    <w:rsid w:val="00DF1AAC"/>
    <w:rsid w:val="00DF26ED"/>
    <w:rsid w:val="00DF422F"/>
    <w:rsid w:val="00DF731E"/>
    <w:rsid w:val="00E05F41"/>
    <w:rsid w:val="00E07C20"/>
    <w:rsid w:val="00E11A95"/>
    <w:rsid w:val="00E17692"/>
    <w:rsid w:val="00E20FC6"/>
    <w:rsid w:val="00E41A3D"/>
    <w:rsid w:val="00E5735E"/>
    <w:rsid w:val="00E74A9E"/>
    <w:rsid w:val="00E91AAC"/>
    <w:rsid w:val="00E962FB"/>
    <w:rsid w:val="00EA7C8B"/>
    <w:rsid w:val="00EB53FE"/>
    <w:rsid w:val="00EC211B"/>
    <w:rsid w:val="00EC4C59"/>
    <w:rsid w:val="00ED0E4E"/>
    <w:rsid w:val="00EE3972"/>
    <w:rsid w:val="00EF3D47"/>
    <w:rsid w:val="00F23133"/>
    <w:rsid w:val="00F35C89"/>
    <w:rsid w:val="00F35CAA"/>
    <w:rsid w:val="00F37412"/>
    <w:rsid w:val="00F41E0B"/>
    <w:rsid w:val="00F52770"/>
    <w:rsid w:val="00F54420"/>
    <w:rsid w:val="00F56153"/>
    <w:rsid w:val="00F627A4"/>
    <w:rsid w:val="00F72B86"/>
    <w:rsid w:val="00F8428E"/>
    <w:rsid w:val="00F97626"/>
    <w:rsid w:val="00FC07C6"/>
    <w:rsid w:val="00FD5473"/>
    <w:rsid w:val="00FE01EE"/>
    <w:rsid w:val="00FE3C28"/>
    <w:rsid w:val="045D2E23"/>
    <w:rsid w:val="045E3173"/>
    <w:rsid w:val="04A611CA"/>
    <w:rsid w:val="07B80AB3"/>
    <w:rsid w:val="08CF2C10"/>
    <w:rsid w:val="09055D59"/>
    <w:rsid w:val="0997496F"/>
    <w:rsid w:val="0A91318E"/>
    <w:rsid w:val="0CB832EC"/>
    <w:rsid w:val="0E340BA1"/>
    <w:rsid w:val="0E3D5C59"/>
    <w:rsid w:val="0EB13197"/>
    <w:rsid w:val="0FBE3AF8"/>
    <w:rsid w:val="138B4CDA"/>
    <w:rsid w:val="13913EC7"/>
    <w:rsid w:val="15467FB3"/>
    <w:rsid w:val="172C0DE2"/>
    <w:rsid w:val="18BF3091"/>
    <w:rsid w:val="1C1223D6"/>
    <w:rsid w:val="1C211715"/>
    <w:rsid w:val="1C9F501D"/>
    <w:rsid w:val="1D351898"/>
    <w:rsid w:val="210260DD"/>
    <w:rsid w:val="219C011C"/>
    <w:rsid w:val="22466D75"/>
    <w:rsid w:val="2308746D"/>
    <w:rsid w:val="23404381"/>
    <w:rsid w:val="237413B1"/>
    <w:rsid w:val="242E4DAF"/>
    <w:rsid w:val="24C373AE"/>
    <w:rsid w:val="250D631C"/>
    <w:rsid w:val="25A959B3"/>
    <w:rsid w:val="266F5F1E"/>
    <w:rsid w:val="27497A20"/>
    <w:rsid w:val="282C05B8"/>
    <w:rsid w:val="2840426D"/>
    <w:rsid w:val="2973549C"/>
    <w:rsid w:val="2AB074A6"/>
    <w:rsid w:val="2ADC19C1"/>
    <w:rsid w:val="2CB318CE"/>
    <w:rsid w:val="2E8D44B9"/>
    <w:rsid w:val="30C64700"/>
    <w:rsid w:val="31394AEF"/>
    <w:rsid w:val="31794E91"/>
    <w:rsid w:val="31B449EF"/>
    <w:rsid w:val="322F30F3"/>
    <w:rsid w:val="32B76BB0"/>
    <w:rsid w:val="33494272"/>
    <w:rsid w:val="348B1B64"/>
    <w:rsid w:val="34FE7637"/>
    <w:rsid w:val="35533649"/>
    <w:rsid w:val="365D0A79"/>
    <w:rsid w:val="381F31CA"/>
    <w:rsid w:val="39EA165B"/>
    <w:rsid w:val="3A1566CB"/>
    <w:rsid w:val="3A252995"/>
    <w:rsid w:val="3A705511"/>
    <w:rsid w:val="3AA6694C"/>
    <w:rsid w:val="3B5871C6"/>
    <w:rsid w:val="3E94330A"/>
    <w:rsid w:val="3F7D0953"/>
    <w:rsid w:val="3FCF7A03"/>
    <w:rsid w:val="40322DDA"/>
    <w:rsid w:val="40917126"/>
    <w:rsid w:val="418B5A98"/>
    <w:rsid w:val="43C734DC"/>
    <w:rsid w:val="442314B8"/>
    <w:rsid w:val="44F71EFD"/>
    <w:rsid w:val="457D7878"/>
    <w:rsid w:val="49C50CD9"/>
    <w:rsid w:val="4B297416"/>
    <w:rsid w:val="4C654B61"/>
    <w:rsid w:val="4D607CAC"/>
    <w:rsid w:val="4E3C4470"/>
    <w:rsid w:val="4E7E10F4"/>
    <w:rsid w:val="4E9545FB"/>
    <w:rsid w:val="521F0B30"/>
    <w:rsid w:val="524D100A"/>
    <w:rsid w:val="551B3B56"/>
    <w:rsid w:val="58565AB0"/>
    <w:rsid w:val="5AA04037"/>
    <w:rsid w:val="5AB96BB9"/>
    <w:rsid w:val="5B2E4A4F"/>
    <w:rsid w:val="5B4C33D1"/>
    <w:rsid w:val="5BE33A63"/>
    <w:rsid w:val="5ED44E25"/>
    <w:rsid w:val="5FE71F4C"/>
    <w:rsid w:val="60F25E2C"/>
    <w:rsid w:val="64617E7E"/>
    <w:rsid w:val="64A5335B"/>
    <w:rsid w:val="6A136C3A"/>
    <w:rsid w:val="6A2D02A5"/>
    <w:rsid w:val="6AFE622C"/>
    <w:rsid w:val="6CF66937"/>
    <w:rsid w:val="6FA25F1F"/>
    <w:rsid w:val="71CC2471"/>
    <w:rsid w:val="722A2C12"/>
    <w:rsid w:val="751E2B22"/>
    <w:rsid w:val="75593E27"/>
    <w:rsid w:val="75BE4328"/>
    <w:rsid w:val="76191A2E"/>
    <w:rsid w:val="778E6B25"/>
    <w:rsid w:val="788554ED"/>
    <w:rsid w:val="78D35025"/>
    <w:rsid w:val="79317125"/>
    <w:rsid w:val="7CD77BD9"/>
    <w:rsid w:val="7D193058"/>
    <w:rsid w:val="7D9507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9"/>
    <w:pPr>
      <w:keepNext/>
      <w:keepLines/>
      <w:spacing w:before="260" w:after="260" w:line="413" w:lineRule="auto"/>
      <w:outlineLvl w:val="2"/>
    </w:pPr>
    <w:rPr>
      <w:b/>
      <w:sz w:val="32"/>
    </w:rPr>
  </w:style>
  <w:style w:type="paragraph" w:styleId="5">
    <w:name w:val="heading 4"/>
    <w:basedOn w:val="1"/>
    <w:next w:val="1"/>
    <w:link w:val="63"/>
    <w:qFormat/>
    <w:uiPriority w:val="0"/>
    <w:pPr>
      <w:keepNext/>
      <w:keepLines/>
      <w:spacing w:before="280" w:after="290" w:line="376" w:lineRule="auto"/>
      <w:jc w:val="both"/>
      <w:outlineLvl w:val="3"/>
    </w:pPr>
    <w:rPr>
      <w:rFonts w:ascii="Arial" w:hAnsi="Arial" w:eastAsia="黑体" w:cs="Times New Roman"/>
      <w:b/>
      <w:bCs/>
      <w:sz w:val="28"/>
      <w:szCs w:val="28"/>
      <w:lang w:eastAsia="zh-CN"/>
    </w:rPr>
  </w:style>
  <w:style w:type="character" w:default="1" w:styleId="26">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link w:val="78"/>
    <w:unhideWhenUsed/>
    <w:qFormat/>
    <w:uiPriority w:val="0"/>
    <w:pPr>
      <w:ind w:firstLine="420" w:firstLineChars="200"/>
      <w:jc w:val="left"/>
    </w:pPr>
    <w:rPr>
      <w:rFonts w:asciiTheme="minorHAnsi" w:hAnsiTheme="minorHAnsi" w:eastAsiaTheme="minorEastAsia" w:cstheme="minorBidi"/>
      <w:kern w:val="0"/>
      <w:sz w:val="22"/>
      <w:szCs w:val="22"/>
      <w:lang w:eastAsia="en-US"/>
    </w:rPr>
  </w:style>
  <w:style w:type="paragraph" w:styleId="6">
    <w:name w:val="annotation subject"/>
    <w:basedOn w:val="7"/>
    <w:next w:val="7"/>
    <w:link w:val="57"/>
    <w:unhideWhenUsed/>
    <w:qFormat/>
    <w:uiPriority w:val="99"/>
    <w:rPr>
      <w:rFonts w:ascii="Times New Roman" w:hAnsi="Times New Roman" w:eastAsia="宋体" w:cs="Times New Roman"/>
      <w:b/>
      <w:bCs/>
      <w:sz w:val="20"/>
      <w:szCs w:val="24"/>
      <w:lang w:eastAsia="zh-CN"/>
    </w:rPr>
  </w:style>
  <w:style w:type="paragraph" w:styleId="7">
    <w:name w:val="annotation text"/>
    <w:basedOn w:val="1"/>
    <w:link w:val="55"/>
    <w:unhideWhenUsed/>
    <w:qFormat/>
    <w:uiPriority w:val="99"/>
  </w:style>
  <w:style w:type="paragraph" w:styleId="8">
    <w:name w:val="Body Text First Indent"/>
    <w:basedOn w:val="9"/>
    <w:next w:val="1"/>
    <w:link w:val="75"/>
    <w:unhideWhenUsed/>
    <w:qFormat/>
    <w:uiPriority w:val="99"/>
    <w:pPr>
      <w:spacing w:after="120"/>
      <w:ind w:firstLine="420" w:firstLineChars="100"/>
    </w:pPr>
    <w:rPr>
      <w:rFonts w:asciiTheme="minorHAnsi" w:hAnsiTheme="minorHAnsi" w:eastAsiaTheme="minorEastAsia"/>
      <w:sz w:val="22"/>
      <w:szCs w:val="22"/>
    </w:rPr>
  </w:style>
  <w:style w:type="paragraph" w:styleId="9">
    <w:name w:val="Body Text"/>
    <w:basedOn w:val="1"/>
    <w:next w:val="10"/>
    <w:link w:val="74"/>
    <w:qFormat/>
    <w:uiPriority w:val="1"/>
    <w:rPr>
      <w:rFonts w:ascii="宋体" w:hAnsi="宋体" w:eastAsia="宋体"/>
      <w:sz w:val="21"/>
      <w:szCs w:val="21"/>
    </w:rPr>
  </w:style>
  <w:style w:type="paragraph" w:styleId="10">
    <w:name w:val="Body Text Indent"/>
    <w:basedOn w:val="1"/>
    <w:link w:val="46"/>
    <w:unhideWhenUsed/>
    <w:qFormat/>
    <w:uiPriority w:val="99"/>
    <w:pPr>
      <w:spacing w:after="120"/>
      <w:ind w:left="420" w:leftChars="200"/>
      <w:jc w:val="both"/>
    </w:pPr>
    <w:rPr>
      <w:rFonts w:ascii="Times New Roman" w:hAnsi="Times New Roman" w:eastAsia="宋体" w:cs="Times New Roman"/>
      <w:kern w:val="2"/>
      <w:sz w:val="21"/>
      <w:szCs w:val="24"/>
      <w:lang w:eastAsia="zh-CN"/>
    </w:rPr>
  </w:style>
  <w:style w:type="paragraph" w:styleId="11">
    <w:name w:val="Normal Indent"/>
    <w:basedOn w:val="1"/>
    <w:next w:val="2"/>
    <w:link w:val="95"/>
    <w:qFormat/>
    <w:uiPriority w:val="0"/>
    <w:pPr>
      <w:ind w:firstLine="420" w:firstLineChars="200"/>
      <w:jc w:val="both"/>
    </w:pPr>
    <w:rPr>
      <w:rFonts w:eastAsia="宋体"/>
      <w:kern w:val="2"/>
      <w:sz w:val="21"/>
      <w:szCs w:val="24"/>
      <w:lang w:eastAsia="zh-CN"/>
    </w:rPr>
  </w:style>
  <w:style w:type="paragraph" w:styleId="12">
    <w:name w:val="caption"/>
    <w:basedOn w:val="1"/>
    <w:next w:val="1"/>
    <w:link w:val="88"/>
    <w:qFormat/>
    <w:uiPriority w:val="99"/>
    <w:pPr>
      <w:keepNext/>
      <w:spacing w:beforeLines="50" w:afterLines="50"/>
      <w:jc w:val="center"/>
    </w:pPr>
    <w:rPr>
      <w:rFonts w:eastAsia="仿宋_GB2312" w:cs="Arial"/>
      <w:kern w:val="2"/>
      <w:sz w:val="24"/>
      <w:szCs w:val="24"/>
      <w:lang w:val="zh-CN" w:eastAsia="zh-CN"/>
    </w:rPr>
  </w:style>
  <w:style w:type="paragraph" w:styleId="13">
    <w:name w:val="Plain Text"/>
    <w:basedOn w:val="1"/>
    <w:link w:val="45"/>
    <w:qFormat/>
    <w:uiPriority w:val="0"/>
    <w:pPr>
      <w:jc w:val="both"/>
      <w:textAlignment w:val="baseline"/>
    </w:pPr>
    <w:rPr>
      <w:rFonts w:ascii="宋体" w:hAnsi="Courier New" w:eastAsia="宋体" w:cs="Times New Roman"/>
      <w:kern w:val="2"/>
      <w:sz w:val="21"/>
      <w:szCs w:val="20"/>
      <w:lang w:eastAsia="zh-CN"/>
    </w:rPr>
  </w:style>
  <w:style w:type="paragraph" w:styleId="14">
    <w:name w:val="Date"/>
    <w:basedOn w:val="1"/>
    <w:next w:val="1"/>
    <w:link w:val="87"/>
    <w:qFormat/>
    <w:uiPriority w:val="0"/>
    <w:pPr>
      <w:jc w:val="both"/>
    </w:pPr>
    <w:rPr>
      <w:rFonts w:ascii="Times New Roman" w:hAnsi="Times New Roman" w:eastAsia="宋体" w:cs="Times New Roman"/>
      <w:kern w:val="2"/>
      <w:sz w:val="28"/>
      <w:szCs w:val="20"/>
      <w:lang w:eastAsia="zh-CN"/>
    </w:rPr>
  </w:style>
  <w:style w:type="paragraph" w:styleId="15">
    <w:name w:val="Body Text Indent 2"/>
    <w:basedOn w:val="1"/>
    <w:link w:val="81"/>
    <w:unhideWhenUsed/>
    <w:qFormat/>
    <w:uiPriority w:val="99"/>
    <w:pPr>
      <w:spacing w:after="120" w:line="480" w:lineRule="auto"/>
      <w:ind w:left="420" w:leftChars="200"/>
    </w:pPr>
  </w:style>
  <w:style w:type="paragraph" w:styleId="16">
    <w:name w:val="Balloon Text"/>
    <w:basedOn w:val="1"/>
    <w:link w:val="60"/>
    <w:unhideWhenUsed/>
    <w:qFormat/>
    <w:uiPriority w:val="99"/>
    <w:rPr>
      <w:sz w:val="18"/>
      <w:szCs w:val="18"/>
    </w:rPr>
  </w:style>
  <w:style w:type="paragraph" w:styleId="17">
    <w:name w:val="footer"/>
    <w:basedOn w:val="1"/>
    <w:link w:val="41"/>
    <w:unhideWhenUsed/>
    <w:qFormat/>
    <w:uiPriority w:val="99"/>
    <w:pPr>
      <w:tabs>
        <w:tab w:val="center" w:pos="4153"/>
        <w:tab w:val="right" w:pos="8306"/>
      </w:tabs>
      <w:snapToGrid w:val="0"/>
    </w:pPr>
    <w:rPr>
      <w:sz w:val="18"/>
      <w:szCs w:val="18"/>
    </w:rPr>
  </w:style>
  <w:style w:type="paragraph" w:styleId="18">
    <w:name w:val="header"/>
    <w:basedOn w:val="1"/>
    <w:link w:val="40"/>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rPr>
      <w:rFonts w:eastAsia="黑体"/>
      <w:sz w:val="24"/>
    </w:rPr>
  </w:style>
  <w:style w:type="paragraph" w:styleId="20">
    <w:name w:val="List"/>
    <w:basedOn w:val="1"/>
    <w:unhideWhenUsed/>
    <w:qFormat/>
    <w:uiPriority w:val="99"/>
    <w:pPr>
      <w:ind w:left="200" w:hanging="200" w:hangingChars="200"/>
      <w:contextualSpacing/>
      <w:jc w:val="both"/>
    </w:pPr>
    <w:rPr>
      <w:rFonts w:ascii="Times New Roman" w:hAnsi="Times New Roman" w:eastAsia="宋体" w:cs="Times New Roman"/>
      <w:kern w:val="2"/>
      <w:sz w:val="21"/>
      <w:szCs w:val="24"/>
      <w:lang w:eastAsia="zh-CN"/>
    </w:rPr>
  </w:style>
  <w:style w:type="paragraph" w:styleId="21">
    <w:name w:val="Body Text Indent 3"/>
    <w:basedOn w:val="1"/>
    <w:link w:val="98"/>
    <w:unhideWhenUsed/>
    <w:qFormat/>
    <w:uiPriority w:val="99"/>
    <w:pPr>
      <w:spacing w:after="120"/>
      <w:ind w:left="420" w:leftChars="200"/>
    </w:pPr>
    <w:rPr>
      <w:sz w:val="16"/>
      <w:szCs w:val="16"/>
    </w:rPr>
  </w:style>
  <w:style w:type="paragraph" w:styleId="22">
    <w:name w:val="table of figures"/>
    <w:basedOn w:val="1"/>
    <w:next w:val="1"/>
    <w:qFormat/>
    <w:uiPriority w:val="0"/>
    <w:pPr>
      <w:ind w:left="0" w:leftChars="0" w:firstLine="0" w:firstLineChars="0"/>
    </w:pPr>
    <w:rPr>
      <w:rFonts w:ascii="Times New Roman" w:hAnsi="Times New Roman"/>
    </w:rPr>
  </w:style>
  <w:style w:type="paragraph" w:styleId="23">
    <w:name w:val="toc 9"/>
    <w:basedOn w:val="1"/>
    <w:next w:val="1"/>
    <w:semiHidden/>
    <w:qFormat/>
    <w:uiPriority w:val="0"/>
    <w:pPr>
      <w:ind w:left="3360" w:leftChars="1600"/>
      <w:jc w:val="both"/>
    </w:pPr>
    <w:rPr>
      <w:rFonts w:ascii="Times New Roman" w:hAnsi="Times New Roman" w:eastAsia="宋体" w:cs="Times New Roman"/>
      <w:kern w:val="2"/>
      <w:sz w:val="21"/>
      <w:szCs w:val="20"/>
      <w:lang w:eastAsia="zh-CN"/>
    </w:rPr>
  </w:style>
  <w:style w:type="paragraph" w:styleId="24">
    <w:name w:val="Normal (Web)"/>
    <w:basedOn w:val="1"/>
    <w:qFormat/>
    <w:uiPriority w:val="99"/>
    <w:pPr>
      <w:widowControl/>
      <w:spacing w:before="100" w:beforeAutospacing="1" w:after="100" w:afterAutospacing="1"/>
    </w:pPr>
    <w:rPr>
      <w:rFonts w:ascii="宋体" w:hAnsi="宋体" w:eastAsia="宋体" w:cs="Times New Roman"/>
      <w:sz w:val="24"/>
      <w:szCs w:val="20"/>
      <w:lang w:eastAsia="zh-CN"/>
    </w:rPr>
  </w:style>
  <w:style w:type="paragraph" w:styleId="25">
    <w:name w:val="Title"/>
    <w:basedOn w:val="1"/>
    <w:next w:val="1"/>
    <w:qFormat/>
    <w:uiPriority w:val="10"/>
    <w:pPr>
      <w:spacing w:before="240" w:after="60"/>
      <w:jc w:val="center"/>
      <w:outlineLvl w:val="0"/>
    </w:pPr>
    <w:rPr>
      <w:rFonts w:ascii="Cambria" w:hAnsi="Cambria"/>
      <w:b/>
      <w:bCs/>
      <w:sz w:val="32"/>
      <w:szCs w:val="32"/>
    </w:rPr>
  </w:style>
  <w:style w:type="character" w:styleId="27">
    <w:name w:val="annotation reference"/>
    <w:basedOn w:val="26"/>
    <w:unhideWhenUsed/>
    <w:qFormat/>
    <w:uiPriority w:val="99"/>
    <w:rPr>
      <w:sz w:val="21"/>
      <w:szCs w:val="21"/>
    </w:rPr>
  </w:style>
  <w:style w:type="table" w:styleId="29">
    <w:name w:val="Table Grid"/>
    <w:basedOn w:val="28"/>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30">
    <w:name w:val="Default"/>
    <w:next w:val="31"/>
    <w:link w:val="76"/>
    <w:qFormat/>
    <w:uiPriority w:val="0"/>
    <w:pPr>
      <w:widowControl w:val="0"/>
      <w:autoSpaceDE w:val="0"/>
      <w:autoSpaceDN w:val="0"/>
      <w:adjustRightInd w:val="0"/>
    </w:pPr>
    <w:rPr>
      <w:rFonts w:ascii="宋体胧...." w:eastAsia="宋体胧...." w:cs="宋体胧...." w:hAnsiTheme="minorHAnsi"/>
      <w:color w:val="000000"/>
      <w:sz w:val="24"/>
      <w:szCs w:val="24"/>
      <w:lang w:val="en-US" w:eastAsia="en-US" w:bidi="ar-SA"/>
    </w:rPr>
  </w:style>
  <w:style w:type="paragraph" w:customStyle="1" w:styleId="31">
    <w:name w:val="1正文段落"/>
    <w:basedOn w:val="1"/>
    <w:qFormat/>
    <w:uiPriority w:val="0"/>
    <w:pPr>
      <w:spacing w:line="360" w:lineRule="auto"/>
      <w:ind w:firstLine="200" w:firstLineChars="200"/>
      <w:jc w:val="left"/>
    </w:pPr>
    <w:rPr>
      <w:rFonts w:ascii="Calibri" w:hAnsi="Calibri"/>
      <w:snapToGrid w:val="0"/>
      <w:kern w:val="0"/>
      <w:sz w:val="24"/>
    </w:rPr>
  </w:style>
  <w:style w:type="paragraph" w:customStyle="1" w:styleId="32">
    <w:name w:val="默认段落"/>
    <w:basedOn w:val="1"/>
    <w:qFormat/>
    <w:uiPriority w:val="99"/>
  </w:style>
  <w:style w:type="paragraph" w:customStyle="1" w:styleId="3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34">
    <w:name w:val="标题 2 Char"/>
    <w:basedOn w:val="26"/>
    <w:link w:val="3"/>
    <w:semiHidden/>
    <w:qFormat/>
    <w:uiPriority w:val="9"/>
    <w:rPr>
      <w:rFonts w:asciiTheme="majorHAnsi" w:hAnsiTheme="majorHAnsi" w:eastAsiaTheme="majorEastAsia" w:cstheme="majorBidi"/>
      <w:b/>
      <w:bCs/>
      <w:sz w:val="32"/>
      <w:szCs w:val="32"/>
    </w:rPr>
  </w:style>
  <w:style w:type="table" w:customStyle="1" w:styleId="35">
    <w:name w:val="Table Normal"/>
    <w:unhideWhenUsed/>
    <w:qFormat/>
    <w:uiPriority w:val="2"/>
    <w:tblPr>
      <w:tblLayout w:type="fixed"/>
      <w:tblCellMar>
        <w:top w:w="0" w:type="dxa"/>
        <w:left w:w="0" w:type="dxa"/>
        <w:bottom w:w="0" w:type="dxa"/>
        <w:right w:w="0" w:type="dxa"/>
      </w:tblCellMar>
    </w:tblPr>
  </w:style>
  <w:style w:type="paragraph" w:customStyle="1" w:styleId="36">
    <w:name w:val="标题 11"/>
    <w:basedOn w:val="1"/>
    <w:qFormat/>
    <w:uiPriority w:val="1"/>
    <w:pPr>
      <w:spacing w:before="7"/>
      <w:outlineLvl w:val="1"/>
    </w:pPr>
    <w:rPr>
      <w:rFonts w:ascii="黑体" w:hAnsi="黑体" w:eastAsia="黑体"/>
      <w:sz w:val="30"/>
      <w:szCs w:val="30"/>
    </w:rPr>
  </w:style>
  <w:style w:type="paragraph" w:customStyle="1" w:styleId="37">
    <w:name w:val="标题 21"/>
    <w:basedOn w:val="1"/>
    <w:qFormat/>
    <w:uiPriority w:val="1"/>
    <w:pPr>
      <w:ind w:left="976"/>
      <w:outlineLvl w:val="2"/>
    </w:pPr>
    <w:rPr>
      <w:rFonts w:ascii="宋体" w:hAnsi="宋体" w:eastAsia="宋体"/>
      <w:b/>
      <w:bCs/>
      <w:sz w:val="21"/>
      <w:szCs w:val="21"/>
    </w:rPr>
  </w:style>
  <w:style w:type="paragraph" w:customStyle="1" w:styleId="38">
    <w:name w:val="List Paragraph"/>
    <w:basedOn w:val="1"/>
    <w:qFormat/>
    <w:uiPriority w:val="1"/>
  </w:style>
  <w:style w:type="paragraph" w:customStyle="1" w:styleId="39">
    <w:name w:val="Table Paragraph"/>
    <w:basedOn w:val="1"/>
    <w:next w:val="1"/>
    <w:qFormat/>
    <w:uiPriority w:val="1"/>
  </w:style>
  <w:style w:type="character" w:customStyle="1" w:styleId="40">
    <w:name w:val="页眉 Char"/>
    <w:basedOn w:val="26"/>
    <w:link w:val="18"/>
    <w:qFormat/>
    <w:uiPriority w:val="99"/>
    <w:rPr>
      <w:sz w:val="18"/>
      <w:szCs w:val="18"/>
    </w:rPr>
  </w:style>
  <w:style w:type="character" w:customStyle="1" w:styleId="41">
    <w:name w:val="页脚 Char"/>
    <w:basedOn w:val="26"/>
    <w:link w:val="17"/>
    <w:qFormat/>
    <w:uiPriority w:val="99"/>
    <w:rPr>
      <w:sz w:val="18"/>
      <w:szCs w:val="18"/>
    </w:rPr>
  </w:style>
  <w:style w:type="character" w:customStyle="1" w:styleId="42">
    <w:name w:val="正文文本缩进 Char"/>
    <w:basedOn w:val="26"/>
    <w:link w:val="43"/>
    <w:qFormat/>
    <w:uiPriority w:val="0"/>
  </w:style>
  <w:style w:type="paragraph" w:customStyle="1" w:styleId="43">
    <w:name w:val="正文文本缩进1"/>
    <w:basedOn w:val="1"/>
    <w:link w:val="42"/>
    <w:qFormat/>
    <w:uiPriority w:val="0"/>
    <w:pPr>
      <w:spacing w:line="560" w:lineRule="exact"/>
      <w:ind w:firstLine="560" w:firstLineChars="200"/>
      <w:jc w:val="both"/>
    </w:pPr>
    <w:rPr>
      <w:rFonts w:ascii="Times New Roman" w:hAnsi="Times New Roman" w:eastAsia="宋体" w:cs="Times New Roman"/>
      <w:sz w:val="28"/>
      <w:szCs w:val="20"/>
      <w:lang w:eastAsia="zh-CN"/>
    </w:rPr>
  </w:style>
  <w:style w:type="character" w:customStyle="1" w:styleId="44">
    <w:name w:val="纯文本 Char"/>
    <w:basedOn w:val="26"/>
    <w:qFormat/>
    <w:uiPriority w:val="0"/>
    <w:rPr>
      <w:rFonts w:ascii="宋体" w:hAnsi="Courier New" w:eastAsia="宋体" w:cs="Courier New"/>
      <w:sz w:val="21"/>
      <w:szCs w:val="21"/>
    </w:rPr>
  </w:style>
  <w:style w:type="character" w:customStyle="1" w:styleId="45">
    <w:name w:val="纯文本 Char1"/>
    <w:link w:val="13"/>
    <w:qFormat/>
    <w:uiPriority w:val="0"/>
    <w:rPr>
      <w:rFonts w:ascii="宋体" w:hAnsi="Courier New" w:eastAsia="宋体" w:cs="Times New Roman"/>
      <w:kern w:val="2"/>
      <w:sz w:val="21"/>
      <w:szCs w:val="20"/>
      <w:lang w:eastAsia="zh-CN"/>
    </w:rPr>
  </w:style>
  <w:style w:type="character" w:customStyle="1" w:styleId="46">
    <w:name w:val="正文文本缩进 Char1"/>
    <w:link w:val="10"/>
    <w:qFormat/>
    <w:uiPriority w:val="99"/>
    <w:rPr>
      <w:rFonts w:ascii="Times New Roman" w:hAnsi="Times New Roman" w:eastAsia="宋体" w:cs="Times New Roman"/>
      <w:kern w:val="2"/>
      <w:sz w:val="21"/>
      <w:szCs w:val="24"/>
      <w:lang w:eastAsia="zh-CN"/>
    </w:rPr>
  </w:style>
  <w:style w:type="paragraph" w:customStyle="1" w:styleId="47">
    <w:name w:val="正文123"/>
    <w:link w:val="48"/>
    <w:qFormat/>
    <w:uiPriority w:val="0"/>
    <w:pPr>
      <w:framePr w:hSpace="180" w:wrap="around" w:vAnchor="text" w:hAnchor="text" w:xAlign="center" w:y="1"/>
      <w:adjustRightInd w:val="0"/>
      <w:spacing w:line="440" w:lineRule="exact"/>
      <w:ind w:firstLine="200" w:firstLineChars="200"/>
      <w:jc w:val="both"/>
      <w:textAlignment w:val="baseline"/>
    </w:pPr>
    <w:rPr>
      <w:rFonts w:ascii="Times New Roman" w:hAnsi="Times New Roman" w:eastAsia="仿宋_GB2312" w:cs="Times New Roman"/>
      <w:bCs/>
      <w:sz w:val="24"/>
      <w:szCs w:val="28"/>
      <w:lang w:val="en-US" w:eastAsia="zh-CN" w:bidi="ar-SA"/>
    </w:rPr>
  </w:style>
  <w:style w:type="character" w:customStyle="1" w:styleId="48">
    <w:name w:val="正文123 Char"/>
    <w:basedOn w:val="26"/>
    <w:link w:val="47"/>
    <w:qFormat/>
    <w:uiPriority w:val="0"/>
    <w:rPr>
      <w:rFonts w:ascii="Times New Roman" w:hAnsi="Times New Roman" w:eastAsia="仿宋_GB2312" w:cs="Times New Roman"/>
      <w:bCs/>
      <w:sz w:val="24"/>
      <w:szCs w:val="28"/>
      <w:lang w:eastAsia="zh-CN"/>
    </w:rPr>
  </w:style>
  <w:style w:type="character" w:customStyle="1" w:styleId="49">
    <w:name w:val="font31"/>
    <w:basedOn w:val="26"/>
    <w:qFormat/>
    <w:uiPriority w:val="0"/>
    <w:rPr>
      <w:rFonts w:hint="default" w:ascii="Times New Roman" w:hAnsi="Times New Roman" w:cs="Times New Roman"/>
      <w:color w:val="000000"/>
      <w:sz w:val="21"/>
      <w:szCs w:val="21"/>
      <w:u w:val="none"/>
    </w:rPr>
  </w:style>
  <w:style w:type="character" w:customStyle="1" w:styleId="50">
    <w:name w:val="font21"/>
    <w:basedOn w:val="26"/>
    <w:qFormat/>
    <w:uiPriority w:val="0"/>
    <w:rPr>
      <w:rFonts w:hint="eastAsia" w:ascii="宋体" w:hAnsi="宋体" w:eastAsia="宋体"/>
      <w:color w:val="000000"/>
      <w:sz w:val="21"/>
      <w:szCs w:val="21"/>
      <w:u w:val="none"/>
    </w:rPr>
  </w:style>
  <w:style w:type="character" w:customStyle="1" w:styleId="51">
    <w:name w:val="font41"/>
    <w:basedOn w:val="26"/>
    <w:qFormat/>
    <w:uiPriority w:val="0"/>
    <w:rPr>
      <w:rFonts w:hint="default" w:ascii="Times New Roman" w:hAnsi="Times New Roman" w:cs="Times New Roman"/>
      <w:color w:val="000000"/>
      <w:sz w:val="21"/>
      <w:szCs w:val="21"/>
      <w:u w:val="none"/>
      <w:vertAlign w:val="superscript"/>
    </w:rPr>
  </w:style>
  <w:style w:type="paragraph" w:customStyle="1" w:styleId="52">
    <w:name w:val="表格标题"/>
    <w:basedOn w:val="1"/>
    <w:link w:val="53"/>
    <w:qFormat/>
    <w:uiPriority w:val="0"/>
    <w:pPr>
      <w:adjustRightInd w:val="0"/>
      <w:snapToGrid w:val="0"/>
      <w:spacing w:line="500" w:lineRule="exact"/>
      <w:jc w:val="center"/>
    </w:pPr>
    <w:rPr>
      <w:rFonts w:ascii="Times New Roman" w:hAnsi="Times New Roman" w:eastAsia="仿宋_GB2312"/>
      <w:b/>
      <w:kern w:val="2"/>
      <w:sz w:val="24"/>
      <w:szCs w:val="28"/>
      <w:lang w:eastAsia="zh-CN"/>
    </w:rPr>
  </w:style>
  <w:style w:type="character" w:customStyle="1" w:styleId="53">
    <w:name w:val="表格标题 Char2"/>
    <w:link w:val="52"/>
    <w:qFormat/>
    <w:uiPriority w:val="0"/>
    <w:rPr>
      <w:rFonts w:ascii="Times New Roman" w:hAnsi="Times New Roman" w:eastAsia="仿宋_GB2312"/>
      <w:b/>
      <w:kern w:val="2"/>
      <w:sz w:val="24"/>
      <w:szCs w:val="28"/>
      <w:lang w:eastAsia="zh-CN"/>
    </w:rPr>
  </w:style>
  <w:style w:type="paragraph" w:customStyle="1" w:styleId="54">
    <w:name w:val="段落"/>
    <w:basedOn w:val="1"/>
    <w:qFormat/>
    <w:uiPriority w:val="0"/>
    <w:pPr>
      <w:spacing w:line="500" w:lineRule="exact"/>
      <w:ind w:firstLine="200" w:firstLineChars="200"/>
      <w:jc w:val="both"/>
    </w:pPr>
    <w:rPr>
      <w:rFonts w:ascii="Times New Roman" w:hAnsi="Times New Roman" w:eastAsia="宋体" w:cs="Times New Roman"/>
      <w:spacing w:val="10"/>
      <w:kern w:val="2"/>
      <w:sz w:val="21"/>
      <w:szCs w:val="20"/>
      <w:lang w:eastAsia="zh-CN"/>
    </w:rPr>
  </w:style>
  <w:style w:type="character" w:customStyle="1" w:styleId="55">
    <w:name w:val="批注文字 Char"/>
    <w:basedOn w:val="26"/>
    <w:link w:val="7"/>
    <w:semiHidden/>
    <w:qFormat/>
    <w:uiPriority w:val="99"/>
  </w:style>
  <w:style w:type="character" w:customStyle="1" w:styleId="56">
    <w:name w:val="批注主题 Char"/>
    <w:basedOn w:val="55"/>
    <w:semiHidden/>
    <w:qFormat/>
    <w:uiPriority w:val="99"/>
    <w:rPr>
      <w:b/>
      <w:bCs/>
    </w:rPr>
  </w:style>
  <w:style w:type="character" w:customStyle="1" w:styleId="57">
    <w:name w:val="批注主题 Char1"/>
    <w:link w:val="6"/>
    <w:qFormat/>
    <w:uiPriority w:val="99"/>
    <w:rPr>
      <w:rFonts w:ascii="Times New Roman" w:hAnsi="Times New Roman" w:eastAsia="宋体" w:cs="Times New Roman"/>
      <w:b/>
      <w:bCs/>
      <w:sz w:val="20"/>
      <w:szCs w:val="24"/>
      <w:lang w:eastAsia="zh-CN"/>
    </w:rPr>
  </w:style>
  <w:style w:type="paragraph" w:customStyle="1" w:styleId="58">
    <w:name w:val="正文内容123"/>
    <w:basedOn w:val="1"/>
    <w:link w:val="59"/>
    <w:qFormat/>
    <w:uiPriority w:val="0"/>
    <w:pPr>
      <w:adjustRightInd w:val="0"/>
      <w:snapToGrid w:val="0"/>
      <w:spacing w:line="500" w:lineRule="exact"/>
      <w:ind w:firstLine="200" w:firstLineChars="200"/>
      <w:jc w:val="both"/>
    </w:pPr>
    <w:rPr>
      <w:rFonts w:ascii="Times New Roman" w:hAnsi="Times New Roman" w:eastAsia="宋体"/>
      <w:kern w:val="2"/>
      <w:sz w:val="24"/>
      <w:szCs w:val="28"/>
      <w:lang w:eastAsia="zh-CN"/>
    </w:rPr>
  </w:style>
  <w:style w:type="character" w:customStyle="1" w:styleId="59">
    <w:name w:val="正文内容123 Char"/>
    <w:link w:val="58"/>
    <w:qFormat/>
    <w:uiPriority w:val="0"/>
    <w:rPr>
      <w:rFonts w:ascii="Times New Roman" w:hAnsi="Times New Roman" w:eastAsia="宋体"/>
      <w:kern w:val="2"/>
      <w:sz w:val="24"/>
      <w:szCs w:val="28"/>
      <w:lang w:eastAsia="zh-CN"/>
    </w:rPr>
  </w:style>
  <w:style w:type="character" w:customStyle="1" w:styleId="60">
    <w:name w:val="批注框文本 Char"/>
    <w:basedOn w:val="26"/>
    <w:link w:val="16"/>
    <w:qFormat/>
    <w:uiPriority w:val="99"/>
    <w:rPr>
      <w:sz w:val="18"/>
      <w:szCs w:val="18"/>
    </w:rPr>
  </w:style>
  <w:style w:type="character" w:customStyle="1" w:styleId="61">
    <w:name w:val="芬 正文文本 Char Char"/>
    <w:link w:val="62"/>
    <w:qFormat/>
    <w:locked/>
    <w:uiPriority w:val="0"/>
    <w:rPr>
      <w:rFonts w:eastAsia="仿宋_GB2312"/>
    </w:rPr>
  </w:style>
  <w:style w:type="paragraph" w:customStyle="1" w:styleId="62">
    <w:name w:val="芬 正文文本"/>
    <w:basedOn w:val="1"/>
    <w:link w:val="61"/>
    <w:qFormat/>
    <w:uiPriority w:val="0"/>
    <w:pPr>
      <w:widowControl/>
      <w:tabs>
        <w:tab w:val="left" w:pos="2503"/>
      </w:tabs>
      <w:spacing w:line="360" w:lineRule="auto"/>
      <w:ind w:firstLine="640" w:firstLineChars="200"/>
      <w:outlineLvl w:val="3"/>
    </w:pPr>
    <w:rPr>
      <w:rFonts w:eastAsia="仿宋_GB2312"/>
    </w:rPr>
  </w:style>
  <w:style w:type="character" w:customStyle="1" w:styleId="63">
    <w:name w:val="标题 4 Char"/>
    <w:basedOn w:val="26"/>
    <w:link w:val="5"/>
    <w:qFormat/>
    <w:uiPriority w:val="0"/>
    <w:rPr>
      <w:rFonts w:ascii="Arial" w:hAnsi="Arial" w:eastAsia="黑体" w:cs="Times New Roman"/>
      <w:b/>
      <w:bCs/>
      <w:sz w:val="28"/>
      <w:szCs w:val="28"/>
      <w:lang w:eastAsia="zh-CN"/>
    </w:rPr>
  </w:style>
  <w:style w:type="paragraph" w:customStyle="1" w:styleId="64">
    <w:name w:val="正文 首行缩进:  2 字符"/>
    <w:basedOn w:val="1"/>
    <w:qFormat/>
    <w:uiPriority w:val="99"/>
    <w:pPr>
      <w:ind w:firstLine="579" w:firstLineChars="200"/>
      <w:jc w:val="both"/>
    </w:pPr>
    <w:rPr>
      <w:rFonts w:ascii="Times New Roman" w:hAnsi="Times New Roman" w:eastAsia="宋体" w:cs="Times New Roman"/>
      <w:kern w:val="2"/>
      <w:sz w:val="21"/>
      <w:szCs w:val="24"/>
      <w:lang w:eastAsia="zh-CN"/>
    </w:rPr>
  </w:style>
  <w:style w:type="paragraph" w:customStyle="1" w:styleId="65">
    <w:name w:val="表格内容123"/>
    <w:basedOn w:val="1"/>
    <w:link w:val="66"/>
    <w:qFormat/>
    <w:uiPriority w:val="0"/>
    <w:pPr>
      <w:adjustRightInd w:val="0"/>
      <w:snapToGrid w:val="0"/>
      <w:jc w:val="center"/>
    </w:pPr>
    <w:rPr>
      <w:rFonts w:ascii="Times New Roman" w:hAnsi="Times New Roman" w:eastAsia="仿宋_GB2312"/>
      <w:snapToGrid w:val="0"/>
      <w:kern w:val="2"/>
      <w:sz w:val="21"/>
      <w:szCs w:val="21"/>
      <w:lang w:eastAsia="zh-CN"/>
    </w:rPr>
  </w:style>
  <w:style w:type="character" w:customStyle="1" w:styleId="66">
    <w:name w:val="表格内容123 Char"/>
    <w:link w:val="65"/>
    <w:qFormat/>
    <w:uiPriority w:val="0"/>
    <w:rPr>
      <w:rFonts w:ascii="Times New Roman" w:hAnsi="Times New Roman" w:eastAsia="仿宋_GB2312"/>
      <w:snapToGrid w:val="0"/>
      <w:kern w:val="2"/>
      <w:sz w:val="21"/>
      <w:szCs w:val="21"/>
      <w:lang w:eastAsia="zh-CN"/>
    </w:rPr>
  </w:style>
  <w:style w:type="paragraph" w:customStyle="1" w:styleId="67">
    <w:name w:val="报告表 表内 一级"/>
    <w:basedOn w:val="1"/>
    <w:link w:val="68"/>
    <w:qFormat/>
    <w:uiPriority w:val="0"/>
    <w:pPr>
      <w:keepNext/>
      <w:spacing w:line="400" w:lineRule="exact"/>
      <w:jc w:val="both"/>
    </w:pPr>
    <w:rPr>
      <w:rFonts w:ascii="Times New Roman" w:hAnsi="Times New Roman" w:eastAsia="仿宋_GB2312" w:cs="Times New Roman"/>
      <w:b/>
      <w:kern w:val="2"/>
      <w:sz w:val="24"/>
      <w:szCs w:val="24"/>
      <w:lang w:eastAsia="zh-CN"/>
    </w:rPr>
  </w:style>
  <w:style w:type="character" w:customStyle="1" w:styleId="68">
    <w:name w:val="报告表 表内 一级 Char Char"/>
    <w:link w:val="67"/>
    <w:qFormat/>
    <w:uiPriority w:val="0"/>
    <w:rPr>
      <w:rFonts w:ascii="Times New Roman" w:hAnsi="Times New Roman" w:eastAsia="仿宋_GB2312" w:cs="Times New Roman"/>
      <w:b/>
      <w:kern w:val="2"/>
      <w:sz w:val="24"/>
      <w:szCs w:val="24"/>
      <w:lang w:eastAsia="zh-CN"/>
    </w:rPr>
  </w:style>
  <w:style w:type="paragraph" w:customStyle="1" w:styleId="69">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 w:type="paragraph" w:customStyle="1" w:styleId="70">
    <w:name w:val="表格文字"/>
    <w:basedOn w:val="1"/>
    <w:link w:val="71"/>
    <w:qFormat/>
    <w:uiPriority w:val="0"/>
    <w:pPr>
      <w:jc w:val="center"/>
    </w:pPr>
    <w:rPr>
      <w:rFonts w:ascii="仿宋_GB2312" w:hAnsi="Arial Black" w:eastAsia="仿宋_GB2312" w:cs="Times New Roman"/>
      <w:kern w:val="44"/>
      <w:sz w:val="24"/>
      <w:szCs w:val="20"/>
      <w:lang w:eastAsia="zh-CN"/>
    </w:rPr>
  </w:style>
  <w:style w:type="character" w:customStyle="1" w:styleId="71">
    <w:name w:val="表格文字 Char Char"/>
    <w:link w:val="70"/>
    <w:qFormat/>
    <w:uiPriority w:val="0"/>
    <w:rPr>
      <w:rFonts w:ascii="仿宋_GB2312" w:hAnsi="Arial Black" w:eastAsia="仿宋_GB2312" w:cs="Times New Roman"/>
      <w:kern w:val="44"/>
      <w:sz w:val="24"/>
      <w:szCs w:val="20"/>
      <w:lang w:eastAsia="zh-CN"/>
    </w:rPr>
  </w:style>
  <w:style w:type="character" w:customStyle="1" w:styleId="72">
    <w:name w:val="0正文 Char"/>
    <w:link w:val="73"/>
    <w:qFormat/>
    <w:uiPriority w:val="0"/>
    <w:rPr>
      <w:rFonts w:cs="Calibri"/>
      <w:kern w:val="2"/>
      <w:sz w:val="24"/>
    </w:rPr>
  </w:style>
  <w:style w:type="paragraph" w:customStyle="1" w:styleId="73">
    <w:name w:val="0正文"/>
    <w:basedOn w:val="1"/>
    <w:link w:val="72"/>
    <w:qFormat/>
    <w:uiPriority w:val="0"/>
    <w:pPr>
      <w:spacing w:line="360" w:lineRule="auto"/>
      <w:ind w:firstLine="480" w:firstLineChars="200"/>
      <w:jc w:val="both"/>
    </w:pPr>
    <w:rPr>
      <w:rFonts w:cs="Calibri"/>
      <w:kern w:val="2"/>
      <w:sz w:val="24"/>
    </w:rPr>
  </w:style>
  <w:style w:type="character" w:customStyle="1" w:styleId="74">
    <w:name w:val="正文文本 Char"/>
    <w:basedOn w:val="26"/>
    <w:link w:val="9"/>
    <w:qFormat/>
    <w:uiPriority w:val="1"/>
    <w:rPr>
      <w:rFonts w:ascii="宋体" w:hAnsi="宋体" w:eastAsia="宋体"/>
      <w:sz w:val="21"/>
      <w:szCs w:val="21"/>
    </w:rPr>
  </w:style>
  <w:style w:type="character" w:customStyle="1" w:styleId="75">
    <w:name w:val="正文首行缩进 Char"/>
    <w:basedOn w:val="74"/>
    <w:link w:val="8"/>
    <w:qFormat/>
    <w:uiPriority w:val="0"/>
    <w:rPr>
      <w:rFonts w:ascii="宋体" w:hAnsi="宋体" w:eastAsia="宋体"/>
      <w:sz w:val="21"/>
      <w:szCs w:val="21"/>
    </w:rPr>
  </w:style>
  <w:style w:type="character" w:customStyle="1" w:styleId="76">
    <w:name w:val="Default Char Char"/>
    <w:link w:val="30"/>
    <w:qFormat/>
    <w:uiPriority w:val="0"/>
    <w:rPr>
      <w:rFonts w:ascii="宋体胧...." w:eastAsia="宋体胧...." w:cs="宋体胧...."/>
      <w:color w:val="000000"/>
      <w:sz w:val="24"/>
      <w:szCs w:val="24"/>
    </w:rPr>
  </w:style>
  <w:style w:type="paragraph" w:customStyle="1" w:styleId="77">
    <w:name w:val="报告书表格"/>
    <w:basedOn w:val="1"/>
    <w:qFormat/>
    <w:uiPriority w:val="0"/>
    <w:pPr>
      <w:adjustRightInd w:val="0"/>
      <w:spacing w:before="60" w:after="60" w:line="240" w:lineRule="atLeast"/>
      <w:jc w:val="center"/>
      <w:textAlignment w:val="baseline"/>
    </w:pPr>
    <w:rPr>
      <w:rFonts w:ascii="Times New Roman" w:hAnsi="Times New Roman" w:eastAsia="宋体" w:cs="Times New Roman"/>
      <w:sz w:val="21"/>
      <w:szCs w:val="20"/>
      <w:lang w:eastAsia="zh-CN"/>
    </w:rPr>
  </w:style>
  <w:style w:type="character" w:customStyle="1" w:styleId="78">
    <w:name w:val="正文首行缩进 2 Char"/>
    <w:basedOn w:val="46"/>
    <w:link w:val="2"/>
    <w:qFormat/>
    <w:uiPriority w:val="99"/>
    <w:rPr>
      <w:rFonts w:ascii="Times New Roman" w:hAnsi="Times New Roman" w:eastAsia="宋体" w:cs="Times New Roman"/>
      <w:kern w:val="2"/>
      <w:sz w:val="21"/>
      <w:szCs w:val="24"/>
      <w:lang w:eastAsia="zh-CN"/>
    </w:rPr>
  </w:style>
  <w:style w:type="character" w:customStyle="1" w:styleId="79">
    <w:name w:val="正1 Char"/>
    <w:basedOn w:val="26"/>
    <w:link w:val="80"/>
    <w:qFormat/>
    <w:uiPriority w:val="0"/>
    <w:rPr>
      <w:rFonts w:eastAsia="楷体_GB2312"/>
      <w:kern w:val="2"/>
      <w:sz w:val="24"/>
      <w:szCs w:val="24"/>
    </w:rPr>
  </w:style>
  <w:style w:type="paragraph" w:customStyle="1" w:styleId="80">
    <w:name w:val="正1"/>
    <w:basedOn w:val="1"/>
    <w:link w:val="79"/>
    <w:qFormat/>
    <w:uiPriority w:val="0"/>
    <w:pPr>
      <w:spacing w:line="360" w:lineRule="auto"/>
      <w:ind w:firstLine="200" w:firstLineChars="200"/>
    </w:pPr>
    <w:rPr>
      <w:rFonts w:eastAsia="楷体_GB2312"/>
      <w:kern w:val="2"/>
      <w:sz w:val="24"/>
      <w:szCs w:val="24"/>
    </w:rPr>
  </w:style>
  <w:style w:type="character" w:customStyle="1" w:styleId="81">
    <w:name w:val="正文文本缩进 2 Char"/>
    <w:basedOn w:val="26"/>
    <w:link w:val="15"/>
    <w:semiHidden/>
    <w:qFormat/>
    <w:uiPriority w:val="99"/>
  </w:style>
  <w:style w:type="paragraph" w:customStyle="1" w:styleId="82">
    <w:name w:val="表格"/>
    <w:basedOn w:val="1"/>
    <w:next w:val="1"/>
    <w:qFormat/>
    <w:uiPriority w:val="0"/>
    <w:pPr>
      <w:jc w:val="center"/>
    </w:pPr>
    <w:rPr>
      <w:rFonts w:ascii="Times New Roman" w:hAnsi="Times New Roman" w:eastAsia="宋体" w:cs="Times New Roman"/>
      <w:kern w:val="2"/>
      <w:sz w:val="24"/>
      <w:szCs w:val="20"/>
      <w:lang w:eastAsia="zh-CN"/>
    </w:rPr>
  </w:style>
  <w:style w:type="paragraph" w:customStyle="1" w:styleId="83">
    <w:name w:val="表头"/>
    <w:basedOn w:val="20"/>
    <w:next w:val="1"/>
    <w:link w:val="84"/>
    <w:qFormat/>
    <w:uiPriority w:val="0"/>
    <w:pPr>
      <w:spacing w:line="400" w:lineRule="exact"/>
      <w:jc w:val="center"/>
    </w:pPr>
    <w:rPr>
      <w:rFonts w:ascii="Times New Roman" w:hAnsi="Times New Roman" w:eastAsia="宋体" w:cs="Times New Roman"/>
      <w:b/>
      <w:sz w:val="21"/>
      <w:szCs w:val="21"/>
      <w:lang w:eastAsia="zh-CN"/>
    </w:rPr>
  </w:style>
  <w:style w:type="character" w:customStyle="1" w:styleId="84">
    <w:name w:val="表头 Char"/>
    <w:link w:val="83"/>
    <w:qFormat/>
    <w:uiPriority w:val="0"/>
    <w:rPr>
      <w:rFonts w:ascii="Times New Roman" w:hAnsi="Times New Roman" w:eastAsia="宋体" w:cs="Times New Roman"/>
      <w:b/>
      <w:sz w:val="21"/>
      <w:szCs w:val="21"/>
      <w:lang w:eastAsia="zh-CN"/>
    </w:rPr>
  </w:style>
  <w:style w:type="paragraph" w:customStyle="1" w:styleId="85">
    <w:name w:val="报告"/>
    <w:basedOn w:val="1"/>
    <w:link w:val="86"/>
    <w:qFormat/>
    <w:uiPriority w:val="0"/>
    <w:pPr>
      <w:spacing w:line="500" w:lineRule="exact"/>
      <w:ind w:firstLine="480" w:firstLineChars="200"/>
      <w:jc w:val="both"/>
    </w:pPr>
    <w:rPr>
      <w:rFonts w:ascii="Times New Roman" w:hAnsi="Times New Roman" w:eastAsia="宋体" w:cs="Times New Roman"/>
      <w:kern w:val="2"/>
      <w:sz w:val="24"/>
      <w:szCs w:val="20"/>
      <w:lang w:eastAsia="zh-CN"/>
    </w:rPr>
  </w:style>
  <w:style w:type="character" w:customStyle="1" w:styleId="86">
    <w:name w:val="报告 Char"/>
    <w:basedOn w:val="26"/>
    <w:link w:val="85"/>
    <w:qFormat/>
    <w:uiPriority w:val="0"/>
    <w:rPr>
      <w:rFonts w:ascii="Times New Roman" w:hAnsi="Times New Roman" w:eastAsia="宋体" w:cs="Times New Roman"/>
      <w:kern w:val="2"/>
      <w:sz w:val="24"/>
      <w:szCs w:val="20"/>
      <w:lang w:eastAsia="zh-CN"/>
    </w:rPr>
  </w:style>
  <w:style w:type="character" w:customStyle="1" w:styleId="87">
    <w:name w:val="日期 Char"/>
    <w:basedOn w:val="26"/>
    <w:link w:val="14"/>
    <w:qFormat/>
    <w:uiPriority w:val="0"/>
    <w:rPr>
      <w:rFonts w:ascii="Times New Roman" w:hAnsi="Times New Roman" w:eastAsia="宋体" w:cs="Times New Roman"/>
      <w:kern w:val="2"/>
      <w:sz w:val="28"/>
      <w:szCs w:val="20"/>
      <w:lang w:eastAsia="zh-CN"/>
    </w:rPr>
  </w:style>
  <w:style w:type="character" w:customStyle="1" w:styleId="88">
    <w:name w:val="题注 Char"/>
    <w:link w:val="12"/>
    <w:qFormat/>
    <w:uiPriority w:val="0"/>
    <w:rPr>
      <w:rFonts w:eastAsia="仿宋_GB2312" w:cs="Arial"/>
      <w:kern w:val="2"/>
      <w:sz w:val="24"/>
      <w:szCs w:val="24"/>
      <w:lang w:val="zh-CN" w:eastAsia="zh-CN"/>
    </w:rPr>
  </w:style>
  <w:style w:type="character" w:customStyle="1" w:styleId="89">
    <w:name w:val="标准正文 Char"/>
    <w:qFormat/>
    <w:uiPriority w:val="0"/>
    <w:rPr>
      <w:rFonts w:ascii="宋体" w:hAnsi="宋体" w:eastAsia="宋体"/>
      <w:color w:val="000000"/>
      <w:kern w:val="2"/>
      <w:sz w:val="24"/>
      <w:szCs w:val="24"/>
      <w:lang w:val="en-US" w:eastAsia="zh-CN" w:bidi="ar-SA"/>
    </w:rPr>
  </w:style>
  <w:style w:type="paragraph" w:customStyle="1" w:styleId="90">
    <w:name w:val="标题2.0"/>
    <w:basedOn w:val="1"/>
    <w:qFormat/>
    <w:uiPriority w:val="0"/>
    <w:pPr>
      <w:adjustRightInd w:val="0"/>
      <w:snapToGrid w:val="0"/>
      <w:spacing w:line="360" w:lineRule="auto"/>
      <w:ind w:firstLine="200" w:firstLineChars="200"/>
      <w:jc w:val="both"/>
    </w:pPr>
    <w:rPr>
      <w:rFonts w:ascii="Times New Roman" w:hAnsi="Times New Roman" w:eastAsia="仿宋_GB2312" w:cs="Times New Roman"/>
      <w:b/>
      <w:bCs/>
      <w:color w:val="000000"/>
      <w:kern w:val="2"/>
      <w:sz w:val="24"/>
      <w:szCs w:val="24"/>
      <w:lang w:eastAsia="zh-CN"/>
    </w:rPr>
  </w:style>
  <w:style w:type="character" w:customStyle="1" w:styleId="91">
    <w:name w:val="样式 首行缩进:  2 字符1 Char Char"/>
    <w:basedOn w:val="26"/>
    <w:link w:val="92"/>
    <w:qFormat/>
    <w:uiPriority w:val="0"/>
    <w:rPr>
      <w:rFonts w:eastAsia="宋体" w:cs="宋体"/>
      <w:kern w:val="2"/>
      <w:sz w:val="24"/>
      <w:lang w:eastAsia="zh-CN"/>
    </w:rPr>
  </w:style>
  <w:style w:type="paragraph" w:customStyle="1" w:styleId="92">
    <w:name w:val="样式 首行缩进:  2 字符1"/>
    <w:basedOn w:val="1"/>
    <w:link w:val="91"/>
    <w:qFormat/>
    <w:uiPriority w:val="0"/>
    <w:pPr>
      <w:adjustRightInd w:val="0"/>
      <w:snapToGrid w:val="0"/>
      <w:spacing w:line="360" w:lineRule="auto"/>
      <w:ind w:firstLine="480" w:firstLineChars="200"/>
      <w:jc w:val="both"/>
    </w:pPr>
    <w:rPr>
      <w:rFonts w:eastAsia="宋体" w:cs="宋体"/>
      <w:kern w:val="2"/>
      <w:sz w:val="24"/>
      <w:lang w:eastAsia="zh-CN"/>
    </w:rPr>
  </w:style>
  <w:style w:type="character" w:customStyle="1" w:styleId="93">
    <w:name w:val="正文2 Char"/>
    <w:link w:val="94"/>
    <w:qFormat/>
    <w:uiPriority w:val="0"/>
    <w:rPr>
      <w:rFonts w:eastAsia="宋体"/>
      <w:sz w:val="24"/>
      <w:lang w:eastAsia="zh-CN"/>
    </w:rPr>
  </w:style>
  <w:style w:type="paragraph" w:customStyle="1" w:styleId="94">
    <w:name w:val="正文2"/>
    <w:basedOn w:val="1"/>
    <w:link w:val="93"/>
    <w:qFormat/>
    <w:uiPriority w:val="0"/>
    <w:pPr>
      <w:tabs>
        <w:tab w:val="left" w:pos="1005"/>
      </w:tabs>
      <w:spacing w:beforeLines="50" w:afterLines="50" w:line="348" w:lineRule="auto"/>
      <w:ind w:firstLine="480" w:firstLineChars="200"/>
      <w:jc w:val="both"/>
    </w:pPr>
    <w:rPr>
      <w:rFonts w:eastAsia="宋体"/>
      <w:sz w:val="24"/>
      <w:lang w:eastAsia="zh-CN"/>
    </w:rPr>
  </w:style>
  <w:style w:type="character" w:customStyle="1" w:styleId="95">
    <w:name w:val="正文缩进 Char"/>
    <w:link w:val="11"/>
    <w:qFormat/>
    <w:uiPriority w:val="0"/>
    <w:rPr>
      <w:rFonts w:eastAsia="宋体"/>
      <w:kern w:val="2"/>
      <w:sz w:val="21"/>
      <w:szCs w:val="24"/>
      <w:lang w:eastAsia="zh-CN"/>
    </w:rPr>
  </w:style>
  <w:style w:type="paragraph" w:customStyle="1" w:styleId="96">
    <w:name w:val="表格内容1.0"/>
    <w:basedOn w:val="1"/>
    <w:qFormat/>
    <w:uiPriority w:val="0"/>
    <w:pPr>
      <w:adjustRightInd w:val="0"/>
      <w:snapToGrid w:val="0"/>
      <w:jc w:val="center"/>
    </w:pPr>
    <w:rPr>
      <w:rFonts w:ascii="Times New Roman" w:hAnsi="Times New Roman" w:eastAsia="仿宋_GB2312" w:cs="Times New Roman"/>
      <w:color w:val="000000"/>
      <w:kern w:val="2"/>
      <w:sz w:val="21"/>
      <w:szCs w:val="21"/>
      <w:lang w:eastAsia="zh-CN"/>
    </w:rPr>
  </w:style>
  <w:style w:type="paragraph" w:customStyle="1" w:styleId="97">
    <w:name w:val="表头1.0"/>
    <w:basedOn w:val="1"/>
    <w:qFormat/>
    <w:uiPriority w:val="0"/>
    <w:pPr>
      <w:adjustRightInd w:val="0"/>
      <w:snapToGrid w:val="0"/>
      <w:spacing w:before="100" w:beforeAutospacing="1"/>
      <w:jc w:val="center"/>
    </w:pPr>
    <w:rPr>
      <w:rFonts w:ascii="Times New Roman" w:hAnsi="Times New Roman" w:eastAsia="仿宋_GB2312" w:cs="Times New Roman"/>
      <w:b/>
      <w:bCs/>
      <w:color w:val="000000"/>
      <w:kern w:val="2"/>
      <w:sz w:val="24"/>
      <w:szCs w:val="24"/>
      <w:lang w:eastAsia="zh-CN"/>
    </w:rPr>
  </w:style>
  <w:style w:type="character" w:customStyle="1" w:styleId="98">
    <w:name w:val="正文文本缩进 3 Char"/>
    <w:basedOn w:val="26"/>
    <w:link w:val="21"/>
    <w:semiHidden/>
    <w:qFormat/>
    <w:uiPriority w:val="99"/>
    <w:rPr>
      <w:sz w:val="16"/>
      <w:szCs w:val="16"/>
    </w:rPr>
  </w:style>
  <w:style w:type="paragraph" w:customStyle="1" w:styleId="99">
    <w:name w:val="正文样式1"/>
    <w:basedOn w:val="1"/>
    <w:qFormat/>
    <w:uiPriority w:val="0"/>
    <w:pPr>
      <w:adjustRightInd w:val="0"/>
      <w:spacing w:line="288" w:lineRule="auto"/>
      <w:ind w:firstLine="360" w:firstLineChars="150"/>
      <w:textAlignment w:val="baseline"/>
    </w:pPr>
  </w:style>
  <w:style w:type="paragraph" w:customStyle="1" w:styleId="100">
    <w:name w:val="表格内容"/>
    <w:basedOn w:val="11"/>
    <w:next w:val="1"/>
    <w:qFormat/>
    <w:uiPriority w:val="99"/>
    <w:pPr>
      <w:spacing w:line="312" w:lineRule="auto"/>
      <w:jc w:val="center"/>
    </w:pPr>
  </w:style>
  <w:style w:type="paragraph" w:customStyle="1" w:styleId="101">
    <w:name w:val="xl24"/>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体" w:hAnsi="宋体" w:eastAsia="仿宋体"/>
      <w:sz w:val="24"/>
      <w:szCs w:val="20"/>
    </w:rPr>
  </w:style>
  <w:style w:type="paragraph" w:customStyle="1" w:styleId="102">
    <w:name w:val="样式 正文缩进正文缩进2正文缩进 Char Char正文缩进 Char Char Char Char正文缩进 Char ..."/>
    <w:basedOn w:val="11"/>
    <w:qFormat/>
    <w:uiPriority w:val="0"/>
    <w:pPr>
      <w:adjustRightInd w:val="0"/>
      <w:spacing w:line="360" w:lineRule="atLeast"/>
      <w:ind w:firstLine="200"/>
      <w:jc w:val="left"/>
      <w:textAlignment w:val="baseline"/>
    </w:pPr>
    <w:rPr>
      <w:rFonts w:cs="宋体"/>
      <w:sz w:val="24"/>
    </w:rPr>
  </w:style>
  <w:style w:type="paragraph" w:customStyle="1" w:styleId="103">
    <w:name w:val="WPSOffice手动目录 1"/>
    <w:qFormat/>
    <w:uiPriority w:val="0"/>
    <w:rPr>
      <w:rFonts w:asciiTheme="minorHAnsi" w:hAnsiTheme="minorHAnsi" w:eastAsiaTheme="minorEastAsia" w:cstheme="minorBidi"/>
      <w:lang w:val="en-US" w:eastAsia="zh-CN" w:bidi="ar-SA"/>
    </w:rPr>
  </w:style>
  <w:style w:type="paragraph" w:customStyle="1" w:styleId="104">
    <w:name w:val="表内小四"/>
    <w:basedOn w:val="1"/>
    <w:qFormat/>
    <w:uiPriority w:val="0"/>
    <w:pPr>
      <w:adjustRightInd w:val="0"/>
      <w:snapToGrid w:val="0"/>
      <w:jc w:val="center"/>
    </w:pPr>
    <w:rPr>
      <w:sz w:val="24"/>
      <w:szCs w:val="21"/>
    </w:rPr>
  </w:style>
  <w:style w:type="paragraph" w:customStyle="1" w:styleId="105">
    <w:name w:val="正文_18"/>
    <w:qFormat/>
    <w:uiPriority w:val="0"/>
    <w:pPr>
      <w:widowControl w:val="0"/>
      <w:jc w:val="both"/>
    </w:pPr>
    <w:rPr>
      <w:rFonts w:ascii="Calibri" w:hAnsi="Calibri" w:eastAsia="宋体" w:cs="Times New Roman"/>
      <w:kern w:val="2"/>
      <w:sz w:val="21"/>
      <w:lang w:val="en-US" w:eastAsia="zh-CN" w:bidi="ar-SA"/>
    </w:rPr>
  </w:style>
  <w:style w:type="paragraph" w:customStyle="1" w:styleId="106">
    <w:name w:val="表格字体"/>
    <w:basedOn w:val="1"/>
    <w:semiHidden/>
    <w:qFormat/>
    <w:uiPriority w:val="0"/>
    <w:pPr>
      <w:adjustRightInd w:val="0"/>
      <w:spacing w:beforeLines="20" w:afterLines="20"/>
      <w:jc w:val="center"/>
      <w:textAlignment w:val="center"/>
    </w:pPr>
    <w:rPr>
      <w:szCs w:val="21"/>
    </w:rPr>
  </w:style>
  <w:style w:type="paragraph" w:customStyle="1" w:styleId="107">
    <w:name w:val="段落1"/>
    <w:basedOn w:val="1"/>
    <w:qFormat/>
    <w:uiPriority w:val="0"/>
    <w:pPr>
      <w:spacing w:line="480" w:lineRule="exact"/>
      <w:ind w:firstLine="200" w:firstLineChars="200"/>
    </w:pPr>
    <w:rPr>
      <w:rFonts w:eastAsia="楷体_GB2312"/>
      <w:spacing w:val="6"/>
      <w:sz w:val="28"/>
      <w:szCs w:val="24"/>
    </w:rPr>
  </w:style>
  <w:style w:type="paragraph" w:customStyle="1" w:styleId="108">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109">
    <w:name w:val="正文_17"/>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comments" Target="comment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emf"/><Relationship Id="rId16" Type="http://schemas.openxmlformats.org/officeDocument/2006/relationships/oleObject" Target="embeddings/oleObject2.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D51F1-102A-49D7-8558-A344A0D694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29955</Words>
  <Characters>33323</Characters>
  <Lines>221</Lines>
  <Paragraphs>62</Paragraphs>
  <TotalTime>0</TotalTime>
  <ScaleCrop>false</ScaleCrop>
  <LinksUpToDate>false</LinksUpToDate>
  <CharactersWithSpaces>33691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2021-03-05T09:15:00Z</dcterms:created>
  <dc:creator>lhj</dc:creator>
  <cp:lastModifiedBy>Administrator</cp:lastModifiedBy>
  <cp:lastPrinted>2021-07-12T00:58:00Z</cp:lastPrinted>
  <dcterms:modified xsi:type="dcterms:W3CDTF">2024-03-04T03:39:54Z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LastSaved">
    <vt:filetime>2021-03-05T00:00:00Z</vt:filetime>
  </property>
  <property fmtid="{D5CDD505-2E9C-101B-9397-08002B2CF9AE}" pid="4" name="KSOProductBuildVer">
    <vt:lpwstr>2052-10.8.0.5391</vt:lpwstr>
  </property>
  <property fmtid="{D5CDD505-2E9C-101B-9397-08002B2CF9AE}" pid="5" name="ICV">
    <vt:lpwstr>FD4C63404FCA4A78A3A9402FCEE7F943</vt:lpwstr>
  </property>
</Properties>
</file>