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7710F">
      <w:pPr>
        <w:rPr>
          <w:rFonts w:ascii="仿宋_GB2312" w:hAnsi="仿宋_GB2312" w:eastAsia="仿宋_GB2312" w:cs="仿宋_GB2312"/>
          <w:color w:val="000000" w:themeColor="text1"/>
          <w:sz w:val="36"/>
          <w:szCs w:val="36"/>
          <w14:textFill>
            <w14:solidFill>
              <w14:schemeClr w14:val="tx1"/>
            </w14:solidFill>
          </w14:textFill>
        </w:rPr>
      </w:pPr>
      <w:bookmarkStart w:id="0" w:name="_Hlk57883707"/>
    </w:p>
    <w:p w14:paraId="313E4173">
      <w:pPr>
        <w:rPr>
          <w:rFonts w:ascii="仿宋_GB2312" w:hAnsi="仿宋_GB2312" w:eastAsia="仿宋_GB2312" w:cs="仿宋_GB2312"/>
          <w:color w:val="000000" w:themeColor="text1"/>
          <w:sz w:val="36"/>
          <w:szCs w:val="36"/>
          <w14:textFill>
            <w14:solidFill>
              <w14:schemeClr w14:val="tx1"/>
            </w14:solidFill>
          </w14:textFill>
        </w:rPr>
      </w:pPr>
    </w:p>
    <w:p w14:paraId="62DCF63B">
      <w:pPr>
        <w:rPr>
          <w:rFonts w:ascii="仿宋_GB2312" w:hAnsi="仿宋_GB2312" w:eastAsia="仿宋_GB2312" w:cs="仿宋_GB2312"/>
          <w:color w:val="000000" w:themeColor="text1"/>
          <w:sz w:val="36"/>
          <w:szCs w:val="36"/>
          <w14:textFill>
            <w14:solidFill>
              <w14:schemeClr w14:val="tx1"/>
            </w14:solidFill>
          </w14:textFill>
        </w:rPr>
      </w:pPr>
    </w:p>
    <w:p w14:paraId="6A222D0D">
      <w:pPr>
        <w:rPr>
          <w:rFonts w:ascii="仿宋_GB2312" w:hAnsi="仿宋_GB2312" w:eastAsia="仿宋_GB2312" w:cs="仿宋_GB2312"/>
          <w:color w:val="000000" w:themeColor="text1"/>
          <w:sz w:val="36"/>
          <w:szCs w:val="36"/>
          <w14:textFill>
            <w14:solidFill>
              <w14:schemeClr w14:val="tx1"/>
            </w14:solidFill>
          </w14:textFill>
        </w:rPr>
      </w:pPr>
    </w:p>
    <w:bookmarkEnd w:id="0"/>
    <w:p w14:paraId="741FD695">
      <w:pPr>
        <w:adjustRightInd w:val="0"/>
        <w:snapToGrid w:val="0"/>
        <w:jc w:val="center"/>
        <w:outlineLvl w:val="0"/>
        <w:rPr>
          <w:rFonts w:hint="eastAsia"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14:paraId="28420ABF">
      <w:pPr>
        <w:adjustRightInd w:val="0"/>
        <w:snapToGrid w:val="0"/>
        <w:spacing w:before="192" w:beforeLines="80"/>
        <w:jc w:val="center"/>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（生态影响类）</w:t>
      </w:r>
    </w:p>
    <w:p w14:paraId="43D3E45B">
      <w:pPr>
        <w:adjustRightInd w:val="0"/>
        <w:snapToGrid w:val="0"/>
        <w:spacing w:line="288" w:lineRule="auto"/>
        <w:jc w:val="center"/>
        <w:outlineLvl w:val="0"/>
        <w:rPr>
          <w:rFonts w:ascii="华文仿宋" w:hAnsi="华文仿宋" w:eastAsia="华文仿宋" w:cs="华文仿宋"/>
          <w:color w:val="000000" w:themeColor="text1"/>
          <w:kern w:val="44"/>
          <w:sz w:val="44"/>
          <w:szCs w:val="44"/>
          <w14:textFill>
            <w14:solidFill>
              <w14:schemeClr w14:val="tx1"/>
            </w14:solidFill>
          </w14:textFill>
        </w:rPr>
      </w:pPr>
      <w:bookmarkStart w:id="1" w:name="_Hlk57883728"/>
    </w:p>
    <w:p w14:paraId="0ACFF26F">
      <w:pPr>
        <w:jc w:val="center"/>
        <w:rPr>
          <w:rFonts w:eastAsia="仿宋"/>
          <w:color w:val="000000" w:themeColor="text1"/>
          <w:sz w:val="52"/>
          <w:szCs w:val="52"/>
          <w14:textFill>
            <w14:solidFill>
              <w14:schemeClr w14:val="tx1"/>
            </w14:solidFill>
          </w14:textFill>
        </w:rPr>
      </w:pPr>
    </w:p>
    <w:p w14:paraId="54450FA2">
      <w:pPr>
        <w:ind w:firstLine="1040"/>
        <w:rPr>
          <w:rFonts w:eastAsia="仿宋"/>
          <w:color w:val="000000" w:themeColor="text1"/>
          <w:sz w:val="44"/>
          <w:szCs w:val="44"/>
          <w14:textFill>
            <w14:solidFill>
              <w14:schemeClr w14:val="tx1"/>
            </w14:solidFill>
          </w14:textFill>
        </w:rPr>
      </w:pPr>
    </w:p>
    <w:p w14:paraId="6E3D9985">
      <w:pPr>
        <w:ind w:firstLine="1040"/>
        <w:rPr>
          <w:rFonts w:eastAsia="仿宋"/>
          <w:color w:val="000000" w:themeColor="text1"/>
          <w:sz w:val="44"/>
          <w:szCs w:val="44"/>
          <w14:textFill>
            <w14:solidFill>
              <w14:schemeClr w14:val="tx1"/>
            </w14:solidFill>
          </w14:textFill>
        </w:rPr>
      </w:pPr>
    </w:p>
    <w:p w14:paraId="608BAAED">
      <w:pPr>
        <w:ind w:firstLine="1040"/>
        <w:rPr>
          <w:rFonts w:eastAsia="仿宋"/>
          <w:color w:val="000000" w:themeColor="text1"/>
          <w:sz w:val="44"/>
          <w:szCs w:val="44"/>
          <w14:textFill>
            <w14:solidFill>
              <w14:schemeClr w14:val="tx1"/>
            </w14:solidFill>
          </w14:textFill>
        </w:rPr>
      </w:pPr>
    </w:p>
    <w:p w14:paraId="26DF8425">
      <w:pPr>
        <w:ind w:firstLine="1040"/>
        <w:rPr>
          <w:rFonts w:eastAsia="仿宋"/>
          <w:color w:val="000000" w:themeColor="text1"/>
          <w:sz w:val="44"/>
          <w:szCs w:val="44"/>
          <w14:textFill>
            <w14:solidFill>
              <w14:schemeClr w14:val="tx1"/>
            </w14:solidFill>
          </w14:textFill>
        </w:rPr>
      </w:pPr>
    </w:p>
    <w:bookmarkEnd w:id="1"/>
    <w:p w14:paraId="2D5FD62E">
      <w:pPr>
        <w:adjustRightInd w:val="0"/>
        <w:snapToGrid w:val="0"/>
        <w:spacing w:line="288" w:lineRule="auto"/>
        <w:rPr>
          <w:rFonts w:hint="default" w:ascii="仿宋_GB2312" w:eastAsia="仿宋_GB2312"/>
          <w:i w:val="0"/>
          <w:iCs w:val="0"/>
          <w:color w:val="000000" w:themeColor="text1"/>
          <w:sz w:val="36"/>
          <w:szCs w:val="36"/>
          <w:u w:val="single"/>
          <w:lang w:val="en-US"/>
          <w14:textFill>
            <w14:solidFill>
              <w14:schemeClr w14:val="tx1"/>
            </w14:solidFill>
          </w14:textFill>
        </w:rPr>
      </w:pPr>
      <w:r>
        <w:rPr>
          <w:rFonts w:hint="eastAsia" w:ascii="仿宋_GB2312" w:eastAsia="仿宋_GB2312"/>
          <w:i w:val="0"/>
          <w:iCs w:val="0"/>
          <w:color w:val="000000" w:themeColor="text1"/>
          <w:sz w:val="36"/>
          <w:szCs w:val="36"/>
          <w14:textFill>
            <w14:solidFill>
              <w14:schemeClr w14:val="tx1"/>
            </w14:solidFill>
          </w14:textFill>
        </w:rPr>
        <w:t>项目名称：</w:t>
      </w:r>
      <w:r>
        <w:rPr>
          <w:rFonts w:hint="eastAsia" w:ascii="仿宋_GB2312" w:hAnsi="Times New Roman" w:eastAsia="仿宋_GB2312" w:cs="Times New Roman"/>
          <w:i w:val="0"/>
          <w:iCs w:val="0"/>
          <w:color w:val="000000" w:themeColor="text1"/>
          <w:sz w:val="36"/>
          <w:szCs w:val="36"/>
          <w:u w:val="single"/>
          <w:lang w:eastAsia="zh-CN"/>
          <w14:textFill>
            <w14:solidFill>
              <w14:schemeClr w14:val="tx1"/>
            </w14:solidFill>
          </w14:textFill>
        </w:rPr>
        <w:t>宁县湘乐川前渠至宋庄段防洪治理工程</w:t>
      </w:r>
      <w:r>
        <w:rPr>
          <w:rFonts w:hint="eastAsia" w:ascii="仿宋_GB2312" w:hAnsi="Times New Roman" w:eastAsia="仿宋_GB2312" w:cs="Times New Roman"/>
          <w:i w:val="0"/>
          <w:iCs w:val="0"/>
          <w:color w:val="000000" w:themeColor="text1"/>
          <w:sz w:val="36"/>
          <w:szCs w:val="36"/>
          <w:u w:val="single"/>
          <w:lang w:val="en-US" w:eastAsia="zh-CN"/>
          <w14:textFill>
            <w14:solidFill>
              <w14:schemeClr w14:val="tx1"/>
            </w14:solidFill>
          </w14:textFill>
        </w:rPr>
        <w:t xml:space="preserve">        </w:t>
      </w:r>
    </w:p>
    <w:p w14:paraId="73F05E13">
      <w:pPr>
        <w:adjustRightInd w:val="0"/>
        <w:snapToGrid w:val="0"/>
        <w:spacing w:line="288" w:lineRule="auto"/>
        <w:rPr>
          <w:rFonts w:hint="default" w:ascii="仿宋_GB2312" w:eastAsia="仿宋_GB2312"/>
          <w:i w:val="0"/>
          <w:iCs w:val="0"/>
          <w:color w:val="000000" w:themeColor="text1"/>
          <w:sz w:val="36"/>
          <w:szCs w:val="36"/>
          <w:u w:val="single"/>
          <w:lang w:val="en-US" w:eastAsia="zh-CN"/>
          <w14:textFill>
            <w14:solidFill>
              <w14:schemeClr w14:val="tx1"/>
            </w14:solidFill>
          </w14:textFill>
        </w:rPr>
      </w:pPr>
      <w:r>
        <w:rPr>
          <w:rFonts w:hint="eastAsia" w:ascii="仿宋_GB2312" w:eastAsia="仿宋_GB2312"/>
          <w:i w:val="0"/>
          <w:iCs w:val="0"/>
          <w:color w:val="000000" w:themeColor="text1"/>
          <w:sz w:val="36"/>
          <w:szCs w:val="36"/>
          <w14:textFill>
            <w14:solidFill>
              <w14:schemeClr w14:val="tx1"/>
            </w14:solidFill>
          </w14:textFill>
        </w:rPr>
        <w:t>建设单位（盖章）：</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 xml:space="preserve">   </w:t>
      </w:r>
      <w:r>
        <w:rPr>
          <w:rFonts w:hint="eastAsia" w:ascii="仿宋_GB2312" w:eastAsia="仿宋_GB2312"/>
          <w:i w:val="0"/>
          <w:iCs w:val="0"/>
          <w:color w:val="000000" w:themeColor="text1"/>
          <w:sz w:val="36"/>
          <w:szCs w:val="36"/>
          <w:u w:val="single"/>
          <w:lang w:eastAsia="zh-CN"/>
          <w14:textFill>
            <w14:solidFill>
              <w14:schemeClr w14:val="tx1"/>
            </w14:solidFill>
          </w14:textFill>
        </w:rPr>
        <w:t>宁县</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 xml:space="preserve">水务局                     </w:t>
      </w:r>
    </w:p>
    <w:p w14:paraId="7C9A267E">
      <w:pPr>
        <w:adjustRightInd w:val="0"/>
        <w:snapToGrid w:val="0"/>
        <w:spacing w:line="288" w:lineRule="auto"/>
        <w:rPr>
          <w:rFonts w:hint="eastAsia" w:ascii="仿宋_GB2312" w:eastAsia="仿宋_GB2312"/>
          <w:i w:val="0"/>
          <w:iCs w:val="0"/>
          <w:color w:val="000000" w:themeColor="text1"/>
          <w:sz w:val="36"/>
          <w:szCs w:val="36"/>
          <w:u w:val="single"/>
          <w:lang w:val="en-US" w:eastAsia="zh-CN"/>
          <w14:textFill>
            <w14:solidFill>
              <w14:schemeClr w14:val="tx1"/>
            </w14:solidFill>
          </w14:textFill>
        </w:rPr>
      </w:pPr>
      <w:r>
        <w:rPr>
          <w:rFonts w:hint="eastAsia" w:ascii="仿宋_GB2312" w:eastAsia="仿宋_GB2312"/>
          <w:i w:val="0"/>
          <w:iCs w:val="0"/>
          <w:color w:val="000000" w:themeColor="text1"/>
          <w:sz w:val="36"/>
          <w:szCs w:val="36"/>
          <w14:textFill>
            <w14:solidFill>
              <w14:schemeClr w14:val="tx1"/>
            </w14:solidFill>
          </w14:textFill>
        </w:rPr>
        <w:t>编制日期：</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 xml:space="preserve">         </w:t>
      </w:r>
      <w:r>
        <w:rPr>
          <w:rFonts w:hint="eastAsia" w:ascii="仿宋_GB2312" w:eastAsia="仿宋_GB2312"/>
          <w:i w:val="0"/>
          <w:iCs w:val="0"/>
          <w:color w:val="000000" w:themeColor="text1"/>
          <w:sz w:val="36"/>
          <w:szCs w:val="36"/>
          <w:u w:val="single"/>
          <w:lang w:eastAsia="zh-CN"/>
          <w14:textFill>
            <w14:solidFill>
              <w14:schemeClr w14:val="tx1"/>
            </w14:solidFill>
          </w14:textFill>
        </w:rPr>
        <w:t>二零二</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四</w:t>
      </w:r>
      <w:r>
        <w:rPr>
          <w:rFonts w:hint="eastAsia" w:ascii="仿宋_GB2312" w:eastAsia="仿宋_GB2312"/>
          <w:i w:val="0"/>
          <w:iCs w:val="0"/>
          <w:color w:val="000000" w:themeColor="text1"/>
          <w:sz w:val="36"/>
          <w:szCs w:val="36"/>
          <w:u w:val="single"/>
          <w:lang w:eastAsia="zh-CN"/>
          <w14:textFill>
            <w14:solidFill>
              <w14:schemeClr w14:val="tx1"/>
            </w14:solidFill>
          </w14:textFill>
        </w:rPr>
        <w:t>年</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七</w:t>
      </w:r>
      <w:r>
        <w:rPr>
          <w:rFonts w:hint="eastAsia" w:ascii="仿宋_GB2312" w:eastAsia="仿宋_GB2312"/>
          <w:i w:val="0"/>
          <w:iCs w:val="0"/>
          <w:color w:val="000000" w:themeColor="text1"/>
          <w:sz w:val="36"/>
          <w:szCs w:val="36"/>
          <w:u w:val="single"/>
          <w:lang w:eastAsia="zh-CN"/>
          <w14:textFill>
            <w14:solidFill>
              <w14:schemeClr w14:val="tx1"/>
            </w14:solidFill>
          </w14:textFill>
        </w:rPr>
        <w:t>月</w:t>
      </w:r>
      <w:r>
        <w:rPr>
          <w:rFonts w:hint="eastAsia" w:ascii="仿宋_GB2312" w:eastAsia="仿宋_GB2312"/>
          <w:i w:val="0"/>
          <w:iCs w:val="0"/>
          <w:color w:val="000000" w:themeColor="text1"/>
          <w:sz w:val="36"/>
          <w:szCs w:val="36"/>
          <w:u w:val="single"/>
          <w14:textFill>
            <w14:solidFill>
              <w14:schemeClr w14:val="tx1"/>
            </w14:solidFill>
          </w14:textFill>
        </w:rPr>
        <w:t xml:space="preserve"> </w:t>
      </w:r>
      <w:r>
        <w:rPr>
          <w:rFonts w:ascii="仿宋_GB2312" w:eastAsia="仿宋_GB2312"/>
          <w:i w:val="0"/>
          <w:iCs w:val="0"/>
          <w:color w:val="000000" w:themeColor="text1"/>
          <w:sz w:val="36"/>
          <w:szCs w:val="36"/>
          <w:u w:val="single"/>
          <w14:textFill>
            <w14:solidFill>
              <w14:schemeClr w14:val="tx1"/>
            </w14:solidFill>
          </w14:textFill>
        </w:rPr>
        <w:t xml:space="preserve">  </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 xml:space="preserve">          </w:t>
      </w:r>
      <w:r>
        <w:rPr>
          <w:rFonts w:ascii="仿宋_GB2312" w:eastAsia="仿宋_GB2312"/>
          <w:i w:val="0"/>
          <w:iCs w:val="0"/>
          <w:color w:val="000000" w:themeColor="text1"/>
          <w:sz w:val="36"/>
          <w:szCs w:val="36"/>
          <w:u w:val="single"/>
          <w14:textFill>
            <w14:solidFill>
              <w14:schemeClr w14:val="tx1"/>
            </w14:solidFill>
          </w14:textFill>
        </w:rPr>
        <w:t xml:space="preserve">    </w:t>
      </w:r>
    </w:p>
    <w:p w14:paraId="3734691E">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p>
    <w:p w14:paraId="6A70C6F1">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080312B5">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3FAE4D73">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14:paraId="44D030FE">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14:paraId="1D6CEB15">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58CAA41C">
      <w:pPr>
        <w:adjustRightInd w:val="0"/>
        <w:snapToGrid w:val="0"/>
        <w:spacing w:line="288" w:lineRule="auto"/>
        <w:ind w:firstLine="1040"/>
        <w:rPr>
          <w:rFonts w:hint="eastAsia" w:ascii="仿宋_GB2312" w:eastAsia="仿宋_GB2312"/>
          <w:color w:val="000000" w:themeColor="text1"/>
          <w:sz w:val="36"/>
          <w:szCs w:val="36"/>
          <w:lang w:eastAsia="zh-CN"/>
          <w14:textFill>
            <w14:solidFill>
              <w14:schemeClr w14:val="tx1"/>
            </w14:solidFill>
          </w14:textFill>
        </w:rPr>
      </w:pPr>
    </w:p>
    <w:p w14:paraId="42E4E9DF">
      <w:pPr>
        <w:pStyle w:val="19"/>
        <w:rPr>
          <w:rFonts w:hint="eastAsia"/>
          <w:color w:val="000000" w:themeColor="text1"/>
          <w:lang w:eastAsia="zh-CN"/>
          <w14:textFill>
            <w14:solidFill>
              <w14:schemeClr w14:val="tx1"/>
            </w14:solidFill>
          </w14:textFill>
        </w:rPr>
      </w:pPr>
    </w:p>
    <w:p w14:paraId="563A183A">
      <w:pPr>
        <w:rPr>
          <w:rFonts w:ascii="仿宋_GB2312" w:eastAsia="仿宋_GB2312"/>
          <w:color w:val="000000" w:themeColor="text1"/>
          <w:sz w:val="36"/>
          <w:szCs w:val="36"/>
          <w14:textFill>
            <w14:solidFill>
              <w14:schemeClr w14:val="tx1"/>
            </w14:solidFill>
          </w14:textFill>
        </w:rPr>
      </w:pPr>
      <w:r>
        <w:rPr>
          <w:rFonts w:ascii="仿宋_GB2312" w:eastAsia="仿宋_GB2312"/>
          <w:color w:val="000000" w:themeColor="text1"/>
          <w:sz w:val="36"/>
          <w:szCs w:val="36"/>
          <w14:textFill>
            <w14:solidFill>
              <w14:schemeClr w14:val="tx1"/>
            </w14:solidFill>
          </w14:textFill>
        </w:rPr>
        <w:br w:type="page"/>
      </w:r>
    </w:p>
    <w:p w14:paraId="612AF74A">
      <w:pPr>
        <w:pStyle w:val="19"/>
        <w:rPr>
          <w:color w:val="000000" w:themeColor="text1"/>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4035BA99">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1C0CF3C7">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5D761BF9">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49374BE3">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7A8D0A79">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1C82CBF2">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6A10D7A7">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27534360">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369CCE25">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3DB21E9F">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6B65E4D2">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69CC12F9">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7318E16F">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75D5D058">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52D3BC71">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2AF29248">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12ED35A3">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4148157E">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57AA4E7A">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2956931B">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p>
    <w:p w14:paraId="20088E50">
      <w:pPr>
        <w:pStyle w:val="16"/>
        <w:jc w:val="center"/>
        <w:outlineLvl w:val="0"/>
        <w:rPr>
          <w:rFonts w:hint="eastAsia" w:ascii="黑体" w:hAnsi="黑体" w:eastAsia="黑体"/>
          <w:snapToGrid w:val="0"/>
          <w:color w:val="000000" w:themeColor="text1"/>
          <w:sz w:val="30"/>
          <w:szCs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025579C">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0"/>
        <w:tblW w:w="4989" w:type="pct"/>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1"/>
        <w:gridCol w:w="2208"/>
        <w:gridCol w:w="2172"/>
        <w:gridCol w:w="10"/>
        <w:gridCol w:w="2488"/>
      </w:tblGrid>
      <w:tr w14:paraId="12FAE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73" w:type="dxa"/>
            <w:noWrap w:val="0"/>
            <w:tcMar>
              <w:top w:w="16" w:type="dxa"/>
              <w:left w:w="16" w:type="dxa"/>
              <w:right w:w="16" w:type="dxa"/>
            </w:tcMar>
            <w:vAlign w:val="center"/>
          </w:tcPr>
          <w:p w14:paraId="1872ABB1">
            <w:pPr>
              <w:adjustRightInd w:val="0"/>
              <w:snapToGrid w:val="0"/>
              <w:jc w:val="center"/>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建设项目名称</w:t>
            </w:r>
          </w:p>
        </w:tc>
        <w:tc>
          <w:tcPr>
            <w:tcW w:w="6884" w:type="dxa"/>
            <w:gridSpan w:val="4"/>
            <w:noWrap w:val="0"/>
            <w:vAlign w:val="center"/>
          </w:tcPr>
          <w:p w14:paraId="0B3DB111">
            <w:pPr>
              <w:adjustRightInd w:val="0"/>
              <w:snapToGrid w:val="0"/>
              <w:jc w:val="center"/>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lang w:eastAsia="zh-CN"/>
                <w14:textFill>
                  <w14:solidFill>
                    <w14:schemeClr w14:val="tx1"/>
                  </w14:solidFill>
                </w14:textFill>
              </w:rPr>
              <w:t>宁县湘乐川前渠至宋庄段防洪治理工程</w:t>
            </w:r>
          </w:p>
        </w:tc>
      </w:tr>
      <w:tr w14:paraId="06E0F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73" w:type="dxa"/>
            <w:noWrap w:val="0"/>
            <w:tcMar>
              <w:top w:w="16" w:type="dxa"/>
              <w:left w:w="16" w:type="dxa"/>
              <w:right w:w="16" w:type="dxa"/>
            </w:tcMar>
            <w:vAlign w:val="center"/>
          </w:tcPr>
          <w:p w14:paraId="7782603B">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项目代码</w:t>
            </w:r>
          </w:p>
        </w:tc>
        <w:tc>
          <w:tcPr>
            <w:tcW w:w="6884" w:type="dxa"/>
            <w:gridSpan w:val="4"/>
            <w:noWrap w:val="0"/>
            <w:vAlign w:val="center"/>
          </w:tcPr>
          <w:p w14:paraId="55C4965D">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无</w:t>
            </w:r>
          </w:p>
        </w:tc>
      </w:tr>
      <w:tr w14:paraId="519DF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73" w:type="dxa"/>
            <w:noWrap w:val="0"/>
            <w:tcMar>
              <w:top w:w="16" w:type="dxa"/>
              <w:left w:w="16" w:type="dxa"/>
              <w:right w:w="16" w:type="dxa"/>
            </w:tcMar>
            <w:vAlign w:val="center"/>
          </w:tcPr>
          <w:p w14:paraId="2E52F611">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r>
              <w:rPr>
                <w:rFonts w:hint="eastAsia" w:ascii="宋体" w:hAnsi="宋体" w:eastAsia="宋体" w:cs="宋体"/>
                <w:color w:val="000000" w:themeColor="text1"/>
                <w:sz w:val="24"/>
                <w:szCs w:val="21"/>
                <w:lang w:eastAsia="zh-CN"/>
                <w14:textFill>
                  <w14:solidFill>
                    <w14:schemeClr w14:val="tx1"/>
                  </w14:solidFill>
                </w14:textFill>
              </w:rPr>
              <w:t>建设单位联系人</w:t>
            </w:r>
          </w:p>
        </w:tc>
        <w:tc>
          <w:tcPr>
            <w:tcW w:w="2210" w:type="dxa"/>
            <w:noWrap w:val="0"/>
            <w:vAlign w:val="center"/>
          </w:tcPr>
          <w:p w14:paraId="22BDB974">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r>
              <w:rPr>
                <w:rFonts w:hint="eastAsia" w:ascii="宋体" w:hAnsi="宋体" w:eastAsia="宋体" w:cs="宋体"/>
                <w:color w:val="000000" w:themeColor="text1"/>
                <w:sz w:val="24"/>
                <w:szCs w:val="21"/>
                <w:lang w:eastAsia="zh-CN"/>
                <w14:textFill>
                  <w14:solidFill>
                    <w14:schemeClr w14:val="tx1"/>
                  </w14:solidFill>
                </w14:textFill>
              </w:rPr>
              <w:t>付根希</w:t>
            </w:r>
          </w:p>
        </w:tc>
        <w:tc>
          <w:tcPr>
            <w:tcW w:w="2184" w:type="dxa"/>
            <w:gridSpan w:val="2"/>
            <w:noWrap w:val="0"/>
            <w:vAlign w:val="center"/>
          </w:tcPr>
          <w:p w14:paraId="64EF9A66">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r>
              <w:rPr>
                <w:rFonts w:hint="eastAsia" w:ascii="宋体" w:hAnsi="宋体" w:eastAsia="宋体" w:cs="宋体"/>
                <w:color w:val="000000" w:themeColor="text1"/>
                <w:sz w:val="24"/>
                <w:szCs w:val="21"/>
                <w:lang w:eastAsia="zh-CN"/>
                <w14:textFill>
                  <w14:solidFill>
                    <w14:schemeClr w14:val="tx1"/>
                  </w14:solidFill>
                </w14:textFill>
              </w:rPr>
              <w:t>联系方式</w:t>
            </w:r>
          </w:p>
        </w:tc>
        <w:tc>
          <w:tcPr>
            <w:tcW w:w="2490" w:type="dxa"/>
            <w:noWrap w:val="0"/>
            <w:vAlign w:val="center"/>
          </w:tcPr>
          <w:p w14:paraId="1E54A426">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r>
              <w:rPr>
                <w:rFonts w:hint="eastAsia" w:ascii="宋体" w:hAnsi="宋体" w:eastAsia="宋体" w:cs="宋体"/>
                <w:color w:val="000000" w:themeColor="text1"/>
                <w:sz w:val="24"/>
                <w:szCs w:val="21"/>
                <w:lang w:eastAsia="zh-CN"/>
                <w14:textFill>
                  <w14:solidFill>
                    <w14:schemeClr w14:val="tx1"/>
                  </w14:solidFill>
                </w14:textFill>
              </w:rPr>
              <w:t>13993483005</w:t>
            </w:r>
          </w:p>
        </w:tc>
      </w:tr>
      <w:tr w14:paraId="64281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73" w:type="dxa"/>
            <w:noWrap w:val="0"/>
            <w:tcMar>
              <w:top w:w="16" w:type="dxa"/>
              <w:left w:w="16" w:type="dxa"/>
              <w:right w:w="16" w:type="dxa"/>
            </w:tcMar>
            <w:vAlign w:val="center"/>
          </w:tcPr>
          <w:p w14:paraId="727F8580">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建设地点</w:t>
            </w:r>
          </w:p>
        </w:tc>
        <w:tc>
          <w:tcPr>
            <w:tcW w:w="6884" w:type="dxa"/>
            <w:gridSpan w:val="4"/>
            <w:noWrap w:val="0"/>
            <w:vAlign w:val="center"/>
          </w:tcPr>
          <w:p w14:paraId="66656A20">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u w:val="single"/>
                <w:lang w:eastAsia="zh-CN"/>
                <w14:textFill>
                  <w14:solidFill>
                    <w14:schemeClr w14:val="tx1"/>
                  </w14:solidFill>
                </w14:textFill>
              </w:rPr>
              <w:t>甘肃</w:t>
            </w:r>
            <w:r>
              <w:rPr>
                <w:rFonts w:hint="eastAsia" w:ascii="宋体" w:hAnsi="宋体" w:cs="宋体"/>
                <w:color w:val="000000" w:themeColor="text1"/>
                <w:sz w:val="24"/>
                <w:szCs w:val="21"/>
                <w14:textFill>
                  <w14:solidFill>
                    <w14:schemeClr w14:val="tx1"/>
                  </w14:solidFill>
                </w14:textFill>
              </w:rPr>
              <w:t>省</w:t>
            </w:r>
            <w:r>
              <w:rPr>
                <w:rFonts w:hint="eastAsia" w:ascii="宋体" w:hAnsi="宋体" w:cs="宋体"/>
                <w:color w:val="000000" w:themeColor="text1"/>
                <w:sz w:val="24"/>
                <w:szCs w:val="21"/>
                <w:u w:val="single"/>
                <w:lang w:eastAsia="zh-CN"/>
                <w14:textFill>
                  <w14:solidFill>
                    <w14:schemeClr w14:val="tx1"/>
                  </w14:solidFill>
                </w14:textFill>
              </w:rPr>
              <w:t>庆阳</w:t>
            </w:r>
            <w:r>
              <w:rPr>
                <w:rFonts w:hint="eastAsia" w:ascii="宋体" w:hAnsi="宋体" w:cs="宋体"/>
                <w:color w:val="000000" w:themeColor="text1"/>
                <w:sz w:val="24"/>
                <w:szCs w:val="21"/>
                <w14:textFill>
                  <w14:solidFill>
                    <w14:schemeClr w14:val="tx1"/>
                  </w14:solidFill>
                </w14:textFill>
              </w:rPr>
              <w:t>市</w:t>
            </w:r>
            <w:r>
              <w:rPr>
                <w:rFonts w:hint="eastAsia" w:ascii="宋体" w:hAnsi="宋体" w:cs="宋体"/>
                <w:color w:val="000000" w:themeColor="text1"/>
                <w:sz w:val="24"/>
                <w:szCs w:val="21"/>
                <w:u w:val="single"/>
                <w:lang w:eastAsia="zh-CN"/>
                <w14:textFill>
                  <w14:solidFill>
                    <w14:schemeClr w14:val="tx1"/>
                  </w14:solidFill>
                </w14:textFill>
              </w:rPr>
              <w:t>宁县</w:t>
            </w:r>
            <w:r>
              <w:rPr>
                <w:rFonts w:hint="eastAsia" w:ascii="宋体" w:hAnsi="宋体" w:eastAsia="宋体" w:cs="宋体"/>
                <w:color w:val="000000" w:themeColor="text1"/>
                <w:sz w:val="24"/>
                <w:szCs w:val="21"/>
                <w:lang w:eastAsia="zh-CN"/>
                <w14:textFill>
                  <w14:solidFill>
                    <w14:schemeClr w14:val="tx1"/>
                  </w14:solidFill>
                </w14:textFill>
              </w:rPr>
              <w:t>前渠至宋庄</w:t>
            </w:r>
          </w:p>
        </w:tc>
      </w:tr>
      <w:tr w14:paraId="2FA12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73" w:type="dxa"/>
            <w:noWrap w:val="0"/>
            <w:tcMar>
              <w:top w:w="16" w:type="dxa"/>
              <w:left w:w="16" w:type="dxa"/>
              <w:right w:w="16" w:type="dxa"/>
            </w:tcMar>
            <w:vAlign w:val="center"/>
          </w:tcPr>
          <w:p w14:paraId="57BC9C95">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地理坐标</w:t>
            </w:r>
          </w:p>
        </w:tc>
        <w:tc>
          <w:tcPr>
            <w:tcW w:w="6884" w:type="dxa"/>
            <w:gridSpan w:val="4"/>
            <w:noWrap w:val="0"/>
            <w:vAlign w:val="center"/>
          </w:tcPr>
          <w:p w14:paraId="4914693F">
            <w:pPr>
              <w:pStyle w:val="8"/>
              <w:jc w:val="center"/>
              <w:rPr>
                <w:rFonts w:hint="eastAsia" w:ascii="宋体" w:hAnsi="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湘乐川流域</w:t>
            </w:r>
          </w:p>
          <w:p w14:paraId="230D0C3C">
            <w:pPr>
              <w:pStyle w:val="8"/>
              <w:rPr>
                <w:rFonts w:hint="eastAsia" w:ascii="宋体" w:hAnsi="宋体" w:cs="宋体"/>
                <w:color w:val="FF0000"/>
                <w:sz w:val="24"/>
                <w:szCs w:val="21"/>
                <w:lang w:eastAsia="zh-CN"/>
              </w:rPr>
            </w:pPr>
            <w:r>
              <w:rPr>
                <w:rFonts w:hint="eastAsia" w:ascii="宋体" w:hAnsi="宋体" w:cs="宋体"/>
                <w:color w:val="FF0000"/>
                <w:sz w:val="24"/>
                <w:szCs w:val="21"/>
                <w:lang w:eastAsia="zh-CN"/>
              </w:rPr>
              <w:t>起点：</w:t>
            </w:r>
            <w:r>
              <w:rPr>
                <w:rFonts w:hint="eastAsia"/>
                <w:color w:val="FF0000"/>
                <w:sz w:val="24"/>
                <w:szCs w:val="36"/>
                <w:lang w:eastAsia="zh-CN"/>
              </w:rPr>
              <w:t>东经</w:t>
            </w:r>
            <w:r>
              <w:rPr>
                <w:rFonts w:hint="eastAsia" w:ascii="宋体" w:hAnsi="宋体" w:cs="宋体"/>
                <w:color w:val="FF0000"/>
                <w:sz w:val="24"/>
                <w:szCs w:val="21"/>
                <w:u w:val="single"/>
              </w:rPr>
              <w:t>10</w:t>
            </w:r>
            <w:r>
              <w:rPr>
                <w:rFonts w:hint="eastAsia" w:ascii="宋体" w:hAnsi="宋体" w:cs="宋体"/>
                <w:color w:val="FF0000"/>
                <w:sz w:val="24"/>
                <w:szCs w:val="21"/>
                <w:u w:val="single"/>
                <w:lang w:val="en-US" w:eastAsia="zh-CN"/>
              </w:rPr>
              <w:t>8</w:t>
            </w:r>
            <w:r>
              <w:rPr>
                <w:rFonts w:hint="eastAsia" w:ascii="宋体" w:hAnsi="宋体" w:cs="宋体"/>
                <w:color w:val="FF0000"/>
                <w:sz w:val="24"/>
                <w:szCs w:val="21"/>
              </w:rPr>
              <w:t>度</w:t>
            </w:r>
            <w:r>
              <w:rPr>
                <w:rFonts w:hint="eastAsia" w:ascii="宋体" w:hAnsi="宋体" w:cs="宋体"/>
                <w:color w:val="FF0000"/>
                <w:sz w:val="24"/>
                <w:szCs w:val="21"/>
                <w:u w:val="single"/>
                <w:lang w:val="en-US" w:eastAsia="zh-CN"/>
              </w:rPr>
              <w:t>18</w:t>
            </w:r>
            <w:r>
              <w:rPr>
                <w:rFonts w:hint="eastAsia" w:ascii="宋体" w:hAnsi="宋体" w:cs="宋体"/>
                <w:color w:val="FF0000"/>
                <w:sz w:val="24"/>
                <w:szCs w:val="21"/>
              </w:rPr>
              <w:t>分</w:t>
            </w:r>
            <w:r>
              <w:rPr>
                <w:rFonts w:hint="eastAsia" w:ascii="宋体" w:hAnsi="宋体" w:cs="宋体"/>
                <w:color w:val="FF0000"/>
                <w:sz w:val="24"/>
                <w:szCs w:val="21"/>
                <w:u w:val="single"/>
                <w:lang w:val="en-US" w:eastAsia="zh-CN"/>
              </w:rPr>
              <w:t>9.321</w:t>
            </w:r>
            <w:r>
              <w:rPr>
                <w:rFonts w:hint="eastAsia" w:ascii="宋体" w:hAnsi="宋体" w:cs="宋体"/>
                <w:color w:val="FF0000"/>
                <w:sz w:val="24"/>
                <w:szCs w:val="21"/>
              </w:rPr>
              <w:t>秒，</w:t>
            </w:r>
            <w:r>
              <w:rPr>
                <w:rFonts w:hint="eastAsia" w:ascii="宋体" w:hAnsi="宋体" w:cs="宋体"/>
                <w:color w:val="FF0000"/>
                <w:sz w:val="24"/>
                <w:szCs w:val="21"/>
                <w:lang w:eastAsia="zh-CN"/>
              </w:rPr>
              <w:t>北纬</w:t>
            </w:r>
            <w:r>
              <w:rPr>
                <w:rFonts w:hint="eastAsia" w:ascii="宋体" w:hAnsi="宋体" w:cs="宋体"/>
                <w:color w:val="FF0000"/>
                <w:sz w:val="24"/>
                <w:szCs w:val="21"/>
                <w:u w:val="single"/>
              </w:rPr>
              <w:t>3</w:t>
            </w:r>
            <w:r>
              <w:rPr>
                <w:rFonts w:hint="eastAsia" w:ascii="宋体" w:hAnsi="宋体" w:cs="宋体"/>
                <w:color w:val="FF0000"/>
                <w:sz w:val="24"/>
                <w:szCs w:val="21"/>
                <w:u w:val="single"/>
                <w:lang w:val="en-US" w:eastAsia="zh-CN"/>
              </w:rPr>
              <w:t>5</w:t>
            </w:r>
            <w:r>
              <w:rPr>
                <w:rFonts w:hint="eastAsia" w:ascii="宋体" w:hAnsi="宋体" w:cs="宋体"/>
                <w:color w:val="FF0000"/>
                <w:sz w:val="24"/>
                <w:szCs w:val="21"/>
              </w:rPr>
              <w:t>度</w:t>
            </w:r>
            <w:r>
              <w:rPr>
                <w:rFonts w:hint="eastAsia" w:ascii="宋体" w:hAnsi="宋体" w:cs="宋体"/>
                <w:color w:val="FF0000"/>
                <w:sz w:val="24"/>
                <w:szCs w:val="21"/>
                <w:u w:val="single"/>
                <w:lang w:val="en-US" w:eastAsia="zh-CN"/>
              </w:rPr>
              <w:t>43</w:t>
            </w:r>
            <w:r>
              <w:rPr>
                <w:rFonts w:hint="eastAsia" w:ascii="宋体" w:hAnsi="宋体" w:cs="宋体"/>
                <w:color w:val="FF0000"/>
                <w:sz w:val="24"/>
                <w:szCs w:val="21"/>
              </w:rPr>
              <w:t>分</w:t>
            </w:r>
            <w:r>
              <w:rPr>
                <w:rFonts w:hint="eastAsia" w:ascii="宋体" w:hAnsi="宋体" w:cs="宋体"/>
                <w:color w:val="FF0000"/>
                <w:sz w:val="24"/>
                <w:szCs w:val="21"/>
                <w:u w:val="single"/>
                <w:lang w:val="en-US" w:eastAsia="zh-CN"/>
              </w:rPr>
              <w:t>34.811</w:t>
            </w:r>
            <w:r>
              <w:rPr>
                <w:rFonts w:hint="eastAsia" w:ascii="宋体" w:hAnsi="宋体" w:cs="宋体"/>
                <w:color w:val="FF0000"/>
                <w:sz w:val="24"/>
                <w:szCs w:val="21"/>
              </w:rPr>
              <w:t>秒</w:t>
            </w:r>
            <w:r>
              <w:rPr>
                <w:rFonts w:hint="eastAsia" w:ascii="宋体" w:hAnsi="宋体" w:cs="宋体"/>
                <w:color w:val="FF0000"/>
                <w:sz w:val="24"/>
                <w:szCs w:val="21"/>
                <w:lang w:eastAsia="zh-CN"/>
              </w:rPr>
              <w:t>；</w:t>
            </w:r>
          </w:p>
          <w:p w14:paraId="0ED62ED0">
            <w:pPr>
              <w:pStyle w:val="8"/>
              <w:rPr>
                <w:rFonts w:hint="eastAsia" w:ascii="宋体" w:hAnsi="宋体" w:cs="宋体"/>
                <w:color w:val="000000" w:themeColor="text1"/>
                <w:sz w:val="24"/>
                <w:szCs w:val="21"/>
                <w:lang w:eastAsia="zh-CN"/>
                <w14:textFill>
                  <w14:solidFill>
                    <w14:schemeClr w14:val="tx1"/>
                  </w14:solidFill>
                </w14:textFill>
              </w:rPr>
            </w:pPr>
            <w:r>
              <w:rPr>
                <w:rFonts w:hint="eastAsia" w:ascii="宋体" w:hAnsi="宋体" w:cs="宋体"/>
                <w:color w:val="FF0000"/>
                <w:sz w:val="24"/>
                <w:szCs w:val="21"/>
                <w:lang w:eastAsia="zh-CN"/>
              </w:rPr>
              <w:t>终点：</w:t>
            </w:r>
            <w:r>
              <w:rPr>
                <w:rFonts w:hint="eastAsia"/>
                <w:color w:val="FF0000"/>
                <w:sz w:val="24"/>
                <w:szCs w:val="36"/>
                <w:lang w:eastAsia="zh-CN"/>
              </w:rPr>
              <w:t>东经</w:t>
            </w:r>
            <w:r>
              <w:rPr>
                <w:rFonts w:hint="eastAsia"/>
                <w:color w:val="FF0000"/>
                <w:sz w:val="24"/>
                <w:szCs w:val="36"/>
                <w:u w:val="single"/>
                <w:lang w:eastAsia="zh-CN"/>
              </w:rPr>
              <w:t>10</w:t>
            </w:r>
            <w:r>
              <w:rPr>
                <w:rFonts w:hint="eastAsia"/>
                <w:color w:val="FF0000"/>
                <w:sz w:val="24"/>
                <w:szCs w:val="36"/>
                <w:u w:val="single"/>
                <w:lang w:val="en-US" w:eastAsia="zh-CN"/>
              </w:rPr>
              <w:t>8</w:t>
            </w:r>
            <w:r>
              <w:rPr>
                <w:rFonts w:hint="eastAsia"/>
                <w:color w:val="FF0000"/>
                <w:sz w:val="24"/>
                <w:szCs w:val="36"/>
                <w:lang w:eastAsia="zh-CN"/>
              </w:rPr>
              <w:t>度</w:t>
            </w:r>
            <w:r>
              <w:rPr>
                <w:rFonts w:hint="eastAsia"/>
                <w:color w:val="FF0000"/>
                <w:sz w:val="24"/>
                <w:szCs w:val="36"/>
                <w:u w:val="single"/>
                <w:lang w:val="en-US" w:eastAsia="zh-CN"/>
              </w:rPr>
              <w:t>13</w:t>
            </w:r>
            <w:r>
              <w:rPr>
                <w:rFonts w:hint="eastAsia"/>
                <w:color w:val="FF0000"/>
                <w:sz w:val="24"/>
                <w:szCs w:val="36"/>
                <w:lang w:eastAsia="zh-CN"/>
              </w:rPr>
              <w:t>分</w:t>
            </w:r>
            <w:r>
              <w:rPr>
                <w:rFonts w:hint="eastAsia"/>
                <w:color w:val="FF0000"/>
                <w:sz w:val="24"/>
                <w:szCs w:val="36"/>
                <w:u w:val="single"/>
                <w:lang w:val="en-US" w:eastAsia="zh-CN"/>
              </w:rPr>
              <w:t>20.842</w:t>
            </w:r>
            <w:r>
              <w:rPr>
                <w:rFonts w:hint="eastAsia"/>
                <w:color w:val="FF0000"/>
                <w:sz w:val="24"/>
                <w:szCs w:val="36"/>
                <w:lang w:eastAsia="zh-CN"/>
              </w:rPr>
              <w:t>秒，北纬</w:t>
            </w:r>
            <w:r>
              <w:rPr>
                <w:rFonts w:hint="eastAsia"/>
                <w:color w:val="FF0000"/>
                <w:sz w:val="24"/>
                <w:szCs w:val="36"/>
                <w:u w:val="single"/>
                <w:lang w:eastAsia="zh-CN"/>
              </w:rPr>
              <w:t>35</w:t>
            </w:r>
            <w:r>
              <w:rPr>
                <w:rFonts w:hint="eastAsia"/>
                <w:color w:val="FF0000"/>
                <w:sz w:val="24"/>
                <w:szCs w:val="36"/>
                <w:lang w:eastAsia="zh-CN"/>
              </w:rPr>
              <w:t>度</w:t>
            </w:r>
            <w:r>
              <w:rPr>
                <w:rFonts w:hint="eastAsia"/>
                <w:color w:val="FF0000"/>
                <w:sz w:val="24"/>
                <w:szCs w:val="36"/>
                <w:u w:val="single"/>
                <w:lang w:eastAsia="zh-CN"/>
              </w:rPr>
              <w:t>3</w:t>
            </w:r>
            <w:r>
              <w:rPr>
                <w:rFonts w:hint="eastAsia"/>
                <w:color w:val="FF0000"/>
                <w:sz w:val="24"/>
                <w:szCs w:val="36"/>
                <w:u w:val="single"/>
                <w:lang w:val="en-US" w:eastAsia="zh-CN"/>
              </w:rPr>
              <w:t>9</w:t>
            </w:r>
            <w:r>
              <w:rPr>
                <w:rFonts w:hint="eastAsia"/>
                <w:color w:val="FF0000"/>
                <w:sz w:val="24"/>
                <w:szCs w:val="36"/>
                <w:lang w:eastAsia="zh-CN"/>
              </w:rPr>
              <w:t>分</w:t>
            </w:r>
            <w:r>
              <w:rPr>
                <w:rFonts w:hint="eastAsia"/>
                <w:color w:val="FF0000"/>
                <w:sz w:val="24"/>
                <w:szCs w:val="36"/>
                <w:u w:val="single"/>
                <w:lang w:val="en-US" w:eastAsia="zh-CN"/>
              </w:rPr>
              <w:t>33.393</w:t>
            </w:r>
            <w:r>
              <w:rPr>
                <w:rFonts w:hint="eastAsia"/>
                <w:color w:val="FF0000"/>
                <w:sz w:val="24"/>
                <w:szCs w:val="36"/>
                <w:lang w:eastAsia="zh-CN"/>
              </w:rPr>
              <w:t>秒</w:t>
            </w:r>
            <w:r>
              <w:rPr>
                <w:rFonts w:hint="eastAsia" w:ascii="宋体" w:hAnsi="宋体" w:cs="宋体"/>
                <w:color w:val="FF0000"/>
                <w:sz w:val="24"/>
                <w:szCs w:val="21"/>
                <w:lang w:eastAsia="zh-CN"/>
              </w:rPr>
              <w:t>。</w:t>
            </w:r>
          </w:p>
        </w:tc>
      </w:tr>
      <w:tr w14:paraId="0775D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973" w:type="dxa"/>
            <w:noWrap w:val="0"/>
            <w:tcMar>
              <w:top w:w="16" w:type="dxa"/>
              <w:left w:w="16" w:type="dxa"/>
              <w:right w:w="16" w:type="dxa"/>
            </w:tcMar>
            <w:vAlign w:val="center"/>
          </w:tcPr>
          <w:p w14:paraId="6918145B">
            <w:pPr>
              <w:adjustRightInd w:val="0"/>
              <w:snapToGrid w:val="0"/>
              <w:jc w:val="center"/>
              <w:rPr>
                <w:rFonts w:ascii="宋体" w:hAnsi="宋体" w:cs="宋体"/>
                <w:color w:val="FF0000"/>
                <w:sz w:val="24"/>
                <w:szCs w:val="21"/>
              </w:rPr>
            </w:pPr>
            <w:r>
              <w:rPr>
                <w:rFonts w:hint="eastAsia" w:ascii="宋体" w:hAnsi="宋体" w:cs="宋体"/>
                <w:color w:val="FF0000"/>
                <w:sz w:val="24"/>
                <w:szCs w:val="21"/>
              </w:rPr>
              <w:t>建设项目</w:t>
            </w:r>
          </w:p>
          <w:p w14:paraId="698887BD">
            <w:pPr>
              <w:adjustRightInd w:val="0"/>
              <w:snapToGrid w:val="0"/>
              <w:jc w:val="center"/>
              <w:rPr>
                <w:rFonts w:ascii="宋体" w:hAnsi="宋体" w:cs="宋体"/>
                <w:color w:val="FF0000"/>
                <w:sz w:val="24"/>
                <w:szCs w:val="21"/>
              </w:rPr>
            </w:pPr>
            <w:r>
              <w:rPr>
                <w:rFonts w:hint="eastAsia" w:ascii="宋体" w:hAnsi="宋体" w:cs="宋体"/>
                <w:color w:val="FF0000"/>
                <w:sz w:val="24"/>
                <w:szCs w:val="21"/>
              </w:rPr>
              <w:t>行业类别</w:t>
            </w:r>
          </w:p>
        </w:tc>
        <w:tc>
          <w:tcPr>
            <w:tcW w:w="2210" w:type="dxa"/>
            <w:noWrap w:val="0"/>
            <w:vAlign w:val="center"/>
          </w:tcPr>
          <w:p w14:paraId="319003EE">
            <w:pPr>
              <w:adjustRightInd w:val="0"/>
              <w:snapToGrid w:val="0"/>
              <w:jc w:val="center"/>
              <w:rPr>
                <w:rFonts w:ascii="宋体" w:hAnsi="宋体" w:cs="宋体"/>
                <w:color w:val="FF0000"/>
                <w:sz w:val="24"/>
                <w:szCs w:val="21"/>
              </w:rPr>
            </w:pPr>
            <w:r>
              <w:rPr>
                <w:rFonts w:ascii="宋体" w:hAnsi="宋体" w:eastAsia="宋体" w:cs="宋体"/>
                <w:color w:val="FF0000"/>
                <w:sz w:val="24"/>
                <w:szCs w:val="21"/>
              </w:rPr>
              <w:t>127.防洪除涝工程</w:t>
            </w:r>
          </w:p>
        </w:tc>
        <w:tc>
          <w:tcPr>
            <w:tcW w:w="2174" w:type="dxa"/>
            <w:noWrap w:val="0"/>
            <w:vAlign w:val="center"/>
          </w:tcPr>
          <w:p w14:paraId="1A8D0160">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用地（用海）面积（</w:t>
            </w:r>
            <w:r>
              <w:rPr>
                <w:rFonts w:ascii="宋体" w:hAnsi="宋体" w:cs="宋体"/>
                <w:color w:val="000000" w:themeColor="text1"/>
                <w:sz w:val="24"/>
                <w:szCs w:val="21"/>
                <w14:textFill>
                  <w14:solidFill>
                    <w14:schemeClr w14:val="tx1"/>
                  </w14:solidFill>
                </w14:textFill>
              </w:rPr>
              <w:t>m</w:t>
            </w:r>
            <w:r>
              <w:rPr>
                <w:rFonts w:ascii="宋体" w:hAnsi="宋体" w:cs="宋体"/>
                <w:color w:val="000000" w:themeColor="text1"/>
                <w:sz w:val="24"/>
                <w:szCs w:val="21"/>
                <w:vertAlign w:val="superscript"/>
                <w14:textFill>
                  <w14:solidFill>
                    <w14:schemeClr w14:val="tx1"/>
                  </w14:solidFill>
                </w14:textFill>
              </w:rPr>
              <w:t>2</w:t>
            </w:r>
            <w:r>
              <w:rPr>
                <w:rFonts w:hint="eastAsia" w:ascii="宋体" w:hAnsi="宋体" w:cs="宋体"/>
                <w:color w:val="000000" w:themeColor="text1"/>
                <w:sz w:val="24"/>
                <w:szCs w:val="21"/>
                <w14:textFill>
                  <w14:solidFill>
                    <w14:schemeClr w14:val="tx1"/>
                  </w14:solidFill>
                </w14:textFill>
              </w:rPr>
              <w:t>）</w:t>
            </w:r>
            <w:r>
              <w:rPr>
                <w:rFonts w:ascii="宋体" w:hAnsi="宋体" w:cs="宋体"/>
                <w:color w:val="000000" w:themeColor="text1"/>
                <w:sz w:val="24"/>
                <w:szCs w:val="21"/>
                <w14:textFill>
                  <w14:solidFill>
                    <w14:schemeClr w14:val="tx1"/>
                  </w14:solidFill>
                </w14:textFill>
              </w:rPr>
              <w:t>/</w:t>
            </w:r>
            <w:r>
              <w:rPr>
                <w:rFonts w:hint="eastAsia" w:ascii="宋体" w:hAnsi="宋体" w:cs="宋体"/>
                <w:color w:val="000000" w:themeColor="text1"/>
                <w:sz w:val="24"/>
                <w:szCs w:val="21"/>
                <w14:textFill>
                  <w14:solidFill>
                    <w14:schemeClr w14:val="tx1"/>
                  </w14:solidFill>
                </w14:textFill>
              </w:rPr>
              <w:t>长度（</w:t>
            </w:r>
            <w:r>
              <w:rPr>
                <w:rFonts w:ascii="宋体" w:hAnsi="宋体" w:cs="宋体"/>
                <w:color w:val="000000" w:themeColor="text1"/>
                <w:sz w:val="24"/>
                <w:szCs w:val="21"/>
                <w14:textFill>
                  <w14:solidFill>
                    <w14:schemeClr w14:val="tx1"/>
                  </w14:solidFill>
                </w14:textFill>
              </w:rPr>
              <w:t>km</w:t>
            </w:r>
            <w:r>
              <w:rPr>
                <w:rFonts w:hint="eastAsia" w:ascii="宋体" w:hAnsi="宋体" w:cs="宋体"/>
                <w:color w:val="000000" w:themeColor="text1"/>
                <w:sz w:val="24"/>
                <w:szCs w:val="21"/>
                <w14:textFill>
                  <w14:solidFill>
                    <w14:schemeClr w14:val="tx1"/>
                  </w14:solidFill>
                </w14:textFill>
              </w:rPr>
              <w:t>）</w:t>
            </w:r>
          </w:p>
        </w:tc>
        <w:tc>
          <w:tcPr>
            <w:tcW w:w="2500" w:type="dxa"/>
            <w:gridSpan w:val="2"/>
            <w:noWrap w:val="0"/>
            <w:vAlign w:val="center"/>
          </w:tcPr>
          <w:p w14:paraId="2C3B1CDD">
            <w:pPr>
              <w:adjustRightInd w:val="0"/>
              <w:snapToGrid w:val="0"/>
              <w:jc w:val="center"/>
              <w:rPr>
                <w:rFonts w:ascii="宋体" w:hAnsi="宋体" w:cs="宋体"/>
                <w:color w:val="000000" w:themeColor="text1"/>
                <w:sz w:val="24"/>
                <w:szCs w:val="21"/>
                <w14:textFill>
                  <w14:solidFill>
                    <w14:schemeClr w14:val="tx1"/>
                  </w14:solidFill>
                </w14:textFill>
              </w:rPr>
            </w:pPr>
            <w:r>
              <w:rPr>
                <w:rFonts w:hint="default" w:ascii="Times New Roman" w:hAnsi="Times New Roman" w:eastAsia="宋体" w:cs="Times New Roman"/>
                <w:color w:val="FF0000"/>
                <w:sz w:val="24"/>
                <w:szCs w:val="21"/>
                <w:lang w:eastAsia="zh-CN"/>
              </w:rPr>
              <w:t>河道治理长度</w:t>
            </w:r>
            <w:r>
              <w:rPr>
                <w:rFonts w:hint="eastAsia"/>
                <w:color w:val="000000" w:themeColor="text1"/>
                <w:spacing w:val="10"/>
                <w:sz w:val="24"/>
                <w:szCs w:val="21"/>
                <w:lang w:val="en-US" w:eastAsia="zh-CN"/>
                <w14:textFill>
                  <w14:solidFill>
                    <w14:schemeClr w14:val="tx1"/>
                  </w14:solidFill>
                </w14:textFill>
              </w:rPr>
              <w:t>11.41</w:t>
            </w:r>
            <w:r>
              <w:rPr>
                <w:rFonts w:hint="eastAsia" w:ascii="Times New Roman" w:hAnsi="Times New Roman" w:eastAsia="宋体"/>
                <w:color w:val="000000" w:themeColor="text1"/>
                <w:spacing w:val="10"/>
                <w:sz w:val="24"/>
                <w:szCs w:val="21"/>
                <w:lang w:val="en-US" w:eastAsia="zh-CN"/>
                <w14:textFill>
                  <w14:solidFill>
                    <w14:schemeClr w14:val="tx1"/>
                  </w14:solidFill>
                </w14:textFill>
              </w:rPr>
              <w:t>km</w:t>
            </w:r>
          </w:p>
        </w:tc>
      </w:tr>
      <w:tr w14:paraId="50554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973" w:type="dxa"/>
            <w:noWrap w:val="0"/>
            <w:tcMar>
              <w:top w:w="16" w:type="dxa"/>
              <w:left w:w="16" w:type="dxa"/>
              <w:right w:w="16" w:type="dxa"/>
            </w:tcMar>
            <w:vAlign w:val="center"/>
          </w:tcPr>
          <w:p w14:paraId="5BADEE90">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建设性质</w:t>
            </w:r>
          </w:p>
        </w:tc>
        <w:tc>
          <w:tcPr>
            <w:tcW w:w="2210" w:type="dxa"/>
            <w:noWrap w:val="0"/>
            <w:vAlign w:val="center"/>
          </w:tcPr>
          <w:p w14:paraId="64F6A066">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sym w:font="Wingdings 2" w:char="0052"/>
            </w:r>
            <w:r>
              <w:rPr>
                <w:rFonts w:hint="eastAsia" w:ascii="宋体" w:hAnsi="宋体" w:cs="宋体"/>
                <w:color w:val="000000" w:themeColor="text1"/>
                <w:sz w:val="24"/>
                <w:szCs w:val="21"/>
                <w14:textFill>
                  <w14:solidFill>
                    <w14:schemeClr w14:val="tx1"/>
                  </w14:solidFill>
                </w14:textFill>
              </w:rPr>
              <w:t>新建（迁建）</w:t>
            </w:r>
          </w:p>
          <w:p w14:paraId="36ED2814">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□改建</w:t>
            </w:r>
          </w:p>
          <w:p w14:paraId="7D530F89">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□扩建</w:t>
            </w:r>
          </w:p>
          <w:p w14:paraId="503587DA">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□技术改造</w:t>
            </w:r>
          </w:p>
        </w:tc>
        <w:tc>
          <w:tcPr>
            <w:tcW w:w="2174" w:type="dxa"/>
            <w:noWrap w:val="0"/>
            <w:vAlign w:val="center"/>
          </w:tcPr>
          <w:p w14:paraId="5DB436BB">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建设项目</w:t>
            </w:r>
          </w:p>
          <w:p w14:paraId="51F05A49">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申报情形</w:t>
            </w:r>
          </w:p>
        </w:tc>
        <w:tc>
          <w:tcPr>
            <w:tcW w:w="2500" w:type="dxa"/>
            <w:gridSpan w:val="2"/>
            <w:noWrap w:val="0"/>
            <w:vAlign w:val="center"/>
          </w:tcPr>
          <w:p w14:paraId="77EB7513">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sym w:font="Wingdings 2" w:char="0052"/>
            </w:r>
            <w:r>
              <w:rPr>
                <w:rFonts w:hint="eastAsia" w:ascii="宋体" w:hAnsi="宋体" w:cs="宋体"/>
                <w:color w:val="000000" w:themeColor="text1"/>
                <w:sz w:val="24"/>
                <w:szCs w:val="21"/>
                <w14:textFill>
                  <w14:solidFill>
                    <w14:schemeClr w14:val="tx1"/>
                  </w14:solidFill>
                </w14:textFill>
              </w:rPr>
              <w:t>首次申报项目</w:t>
            </w:r>
          </w:p>
          <w:p w14:paraId="3DE24071">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□不予批准后再次申报项目</w:t>
            </w:r>
          </w:p>
          <w:p w14:paraId="4B981D69">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□超五年重新审核项目</w:t>
            </w:r>
          </w:p>
          <w:p w14:paraId="2E02729B">
            <w:pPr>
              <w:adjustRightInd w:val="0"/>
              <w:snapToGrid w:val="0"/>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□重大变动重新报批项目</w:t>
            </w:r>
          </w:p>
        </w:tc>
      </w:tr>
      <w:tr w14:paraId="75ACB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973" w:type="dxa"/>
            <w:noWrap w:val="0"/>
            <w:tcMar>
              <w:top w:w="16" w:type="dxa"/>
              <w:left w:w="16" w:type="dxa"/>
              <w:right w:w="16" w:type="dxa"/>
            </w:tcMar>
            <w:vAlign w:val="center"/>
          </w:tcPr>
          <w:p w14:paraId="57B57925">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项目审批（核准</w:t>
            </w:r>
            <w:r>
              <w:rPr>
                <w:rFonts w:ascii="宋体" w:hAnsi="宋体" w:cs="宋体"/>
                <w:color w:val="000000" w:themeColor="text1"/>
                <w:sz w:val="24"/>
                <w:szCs w:val="21"/>
                <w14:textFill>
                  <w14:solidFill>
                    <w14:schemeClr w14:val="tx1"/>
                  </w14:solidFill>
                </w14:textFill>
              </w:rPr>
              <w:t>/</w:t>
            </w:r>
          </w:p>
          <w:p w14:paraId="7C979A1D">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备案）部门（选填）</w:t>
            </w:r>
          </w:p>
        </w:tc>
        <w:tc>
          <w:tcPr>
            <w:tcW w:w="2210" w:type="dxa"/>
            <w:noWrap w:val="0"/>
            <w:vAlign w:val="center"/>
          </w:tcPr>
          <w:p w14:paraId="15735362">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val="en-US" w:eastAsia="zh-CN"/>
                <w14:textFill>
                  <w14:solidFill>
                    <w14:schemeClr w14:val="tx1"/>
                  </w14:solidFill>
                </w14:textFill>
              </w:rPr>
              <w:t>/</w:t>
            </w:r>
          </w:p>
        </w:tc>
        <w:tc>
          <w:tcPr>
            <w:tcW w:w="2174" w:type="dxa"/>
            <w:noWrap w:val="0"/>
            <w:vAlign w:val="center"/>
          </w:tcPr>
          <w:p w14:paraId="6FDFD27C">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项目审批（核准</w:t>
            </w:r>
            <w:r>
              <w:rPr>
                <w:rFonts w:ascii="宋体" w:hAnsi="宋体" w:cs="宋体"/>
                <w:color w:val="000000" w:themeColor="text1"/>
                <w:sz w:val="24"/>
                <w:szCs w:val="21"/>
                <w14:textFill>
                  <w14:solidFill>
                    <w14:schemeClr w14:val="tx1"/>
                  </w14:solidFill>
                </w14:textFill>
              </w:rPr>
              <w:t>/</w:t>
            </w:r>
          </w:p>
          <w:p w14:paraId="38FC684B">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备案）文号（选填）</w:t>
            </w:r>
          </w:p>
        </w:tc>
        <w:tc>
          <w:tcPr>
            <w:tcW w:w="2500" w:type="dxa"/>
            <w:gridSpan w:val="2"/>
            <w:noWrap w:val="0"/>
            <w:vAlign w:val="center"/>
          </w:tcPr>
          <w:p w14:paraId="3A00CC49">
            <w:pPr>
              <w:adjustRightInd w:val="0"/>
              <w:snapToGrid w:val="0"/>
              <w:jc w:val="center"/>
              <w:rPr>
                <w:rFonts w:hint="default" w:ascii="宋体" w:hAnsi="宋体" w:eastAsia="宋体" w:cs="宋体"/>
                <w:color w:val="000000" w:themeColor="text1"/>
                <w:sz w:val="24"/>
                <w:szCs w:val="21"/>
                <w:lang w:val="en-US" w:eastAsia="zh-CN"/>
                <w14:textFill>
                  <w14:solidFill>
                    <w14:schemeClr w14:val="tx1"/>
                  </w14:solidFill>
                </w14:textFill>
              </w:rPr>
            </w:pPr>
            <w:r>
              <w:rPr>
                <w:rFonts w:hint="eastAsia" w:ascii="宋体" w:hAnsi="宋体" w:cs="宋体"/>
                <w:color w:val="000000" w:themeColor="text1"/>
                <w:sz w:val="24"/>
                <w:szCs w:val="21"/>
                <w:lang w:val="en-US" w:eastAsia="zh-CN"/>
                <w14:textFill>
                  <w14:solidFill>
                    <w14:schemeClr w14:val="tx1"/>
                  </w14:solidFill>
                </w14:textFill>
              </w:rPr>
              <w:t>/</w:t>
            </w:r>
          </w:p>
        </w:tc>
      </w:tr>
      <w:tr w14:paraId="74A5A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73" w:type="dxa"/>
            <w:noWrap w:val="0"/>
            <w:tcMar>
              <w:top w:w="16" w:type="dxa"/>
              <w:left w:w="16" w:type="dxa"/>
              <w:right w:w="16" w:type="dxa"/>
            </w:tcMar>
            <w:vAlign w:val="center"/>
          </w:tcPr>
          <w:p w14:paraId="76007D37">
            <w:pPr>
              <w:adjustRightInd w:val="0"/>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总投资（万元）</w:t>
            </w:r>
          </w:p>
        </w:tc>
        <w:tc>
          <w:tcPr>
            <w:tcW w:w="2210" w:type="dxa"/>
            <w:noWrap w:val="0"/>
            <w:vAlign w:val="center"/>
          </w:tcPr>
          <w:p w14:paraId="6CF6F2C1">
            <w:pPr>
              <w:adjustRightInd w:val="0"/>
              <w:snapToGrid w:val="0"/>
              <w:jc w:val="center"/>
              <w:rPr>
                <w:rFonts w:hint="default" w:ascii="宋体" w:hAnsi="宋体" w:cs="宋体"/>
                <w:color w:val="000000" w:themeColor="text1"/>
                <w:sz w:val="24"/>
                <w:szCs w:val="21"/>
                <w:highlight w:val="none"/>
                <w:lang w:val="en-US"/>
                <w14:textFill>
                  <w14:solidFill>
                    <w14:schemeClr w14:val="tx1"/>
                  </w14:solidFill>
                </w14:textFill>
              </w:rPr>
            </w:pPr>
            <w:r>
              <w:rPr>
                <w:rFonts w:hint="eastAsia"/>
                <w:color w:val="000000" w:themeColor="text1"/>
                <w:spacing w:val="10"/>
                <w:sz w:val="24"/>
                <w:szCs w:val="21"/>
                <w:highlight w:val="none"/>
                <w:lang w:val="en-US" w:eastAsia="zh-CN"/>
                <w14:textFill>
                  <w14:solidFill>
                    <w14:schemeClr w14:val="tx1"/>
                  </w14:solidFill>
                </w14:textFill>
              </w:rPr>
              <w:t>3234.79</w:t>
            </w:r>
          </w:p>
        </w:tc>
        <w:tc>
          <w:tcPr>
            <w:tcW w:w="2174" w:type="dxa"/>
            <w:noWrap w:val="0"/>
            <w:tcMar>
              <w:top w:w="16" w:type="dxa"/>
              <w:left w:w="16" w:type="dxa"/>
              <w:right w:w="16" w:type="dxa"/>
            </w:tcMar>
            <w:vAlign w:val="center"/>
          </w:tcPr>
          <w:p w14:paraId="3E13D8F7">
            <w:pPr>
              <w:adjustRightInd w:val="0"/>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环保投资（万元）</w:t>
            </w:r>
          </w:p>
        </w:tc>
        <w:tc>
          <w:tcPr>
            <w:tcW w:w="2500" w:type="dxa"/>
            <w:gridSpan w:val="2"/>
            <w:noWrap w:val="0"/>
            <w:vAlign w:val="center"/>
          </w:tcPr>
          <w:p w14:paraId="7B48A4FE">
            <w:pPr>
              <w:adjustRightInd w:val="0"/>
              <w:snapToGrid w:val="0"/>
              <w:jc w:val="center"/>
              <w:rPr>
                <w:rFonts w:hint="default" w:ascii="宋体" w:hAnsi="宋体" w:eastAsia="宋体" w:cs="宋体"/>
                <w:color w:val="000000" w:themeColor="text1"/>
                <w:sz w:val="24"/>
                <w:szCs w:val="21"/>
                <w:highlight w:val="none"/>
                <w:lang w:val="en-US" w:eastAsia="zh-CN"/>
                <w14:textFill>
                  <w14:solidFill>
                    <w14:schemeClr w14:val="tx1"/>
                  </w14:solidFill>
                </w14:textFill>
              </w:rPr>
            </w:pPr>
            <w:r>
              <w:rPr>
                <w:rFonts w:hint="eastAsia" w:ascii="宋体" w:hAnsi="宋体" w:cs="宋体"/>
                <w:color w:val="000000" w:themeColor="text1"/>
                <w:sz w:val="24"/>
                <w:szCs w:val="21"/>
                <w:highlight w:val="none"/>
                <w:lang w:val="en-US" w:eastAsia="zh-CN"/>
                <w14:textFill>
                  <w14:solidFill>
                    <w14:schemeClr w14:val="tx1"/>
                  </w14:solidFill>
                </w14:textFill>
              </w:rPr>
              <w:t>39</w:t>
            </w:r>
          </w:p>
        </w:tc>
      </w:tr>
      <w:tr w14:paraId="237F5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973" w:type="dxa"/>
            <w:noWrap w:val="0"/>
            <w:tcMar>
              <w:top w:w="16" w:type="dxa"/>
              <w:left w:w="16" w:type="dxa"/>
              <w:right w:w="16" w:type="dxa"/>
            </w:tcMar>
            <w:vAlign w:val="center"/>
          </w:tcPr>
          <w:p w14:paraId="0CF70006">
            <w:pPr>
              <w:adjustRightInd w:val="0"/>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环保投资占比（</w:t>
            </w:r>
            <w:r>
              <w:rPr>
                <w:rFonts w:ascii="宋体" w:hAnsi="宋体" w:cs="宋体"/>
                <w:color w:val="000000" w:themeColor="text1"/>
                <w:sz w:val="24"/>
                <w:szCs w:val="21"/>
                <w:highlight w:val="none"/>
                <w14:textFill>
                  <w14:solidFill>
                    <w14:schemeClr w14:val="tx1"/>
                  </w14:solidFill>
                </w14:textFill>
              </w:rPr>
              <w:t>%</w:t>
            </w:r>
            <w:r>
              <w:rPr>
                <w:rFonts w:hint="eastAsia" w:ascii="宋体" w:hAnsi="宋体" w:cs="宋体"/>
                <w:color w:val="000000" w:themeColor="text1"/>
                <w:sz w:val="24"/>
                <w:szCs w:val="21"/>
                <w:highlight w:val="none"/>
                <w14:textFill>
                  <w14:solidFill>
                    <w14:schemeClr w14:val="tx1"/>
                  </w14:solidFill>
                </w14:textFill>
              </w:rPr>
              <w:t>）</w:t>
            </w:r>
          </w:p>
        </w:tc>
        <w:tc>
          <w:tcPr>
            <w:tcW w:w="2210" w:type="dxa"/>
            <w:noWrap w:val="0"/>
            <w:vAlign w:val="center"/>
          </w:tcPr>
          <w:p w14:paraId="50E91B66">
            <w:pPr>
              <w:adjustRightInd w:val="0"/>
              <w:snapToGrid w:val="0"/>
              <w:jc w:val="center"/>
              <w:rPr>
                <w:rFonts w:ascii="宋体" w:hAnsi="宋体" w:cs="宋体"/>
                <w:color w:val="000000" w:themeColor="text1"/>
                <w:sz w:val="24"/>
                <w:szCs w:val="21"/>
                <w:highlight w:val="none"/>
                <w14:textFill>
                  <w14:solidFill>
                    <w14:schemeClr w14:val="tx1"/>
                  </w14:solidFill>
                </w14:textFill>
              </w:rPr>
            </w:pPr>
            <w:r>
              <w:rPr>
                <w:rFonts w:hint="eastAsia"/>
                <w:color w:val="000000" w:themeColor="text1"/>
                <w:spacing w:val="10"/>
                <w:sz w:val="24"/>
                <w:szCs w:val="21"/>
                <w:highlight w:val="none"/>
                <w:lang w:val="en-US" w:eastAsia="zh-CN"/>
                <w14:textFill>
                  <w14:solidFill>
                    <w14:schemeClr w14:val="tx1"/>
                  </w14:solidFill>
                </w14:textFill>
              </w:rPr>
              <w:t>1.2</w:t>
            </w:r>
            <w:r>
              <w:rPr>
                <w:rFonts w:hint="eastAsia"/>
                <w:color w:val="000000" w:themeColor="text1"/>
                <w:spacing w:val="10"/>
                <w:sz w:val="24"/>
                <w:szCs w:val="21"/>
                <w:highlight w:val="none"/>
                <w:lang w:eastAsia="zh-CN"/>
                <w14:textFill>
                  <w14:solidFill>
                    <w14:schemeClr w14:val="tx1"/>
                  </w14:solidFill>
                </w14:textFill>
              </w:rPr>
              <w:t>%</w:t>
            </w:r>
          </w:p>
        </w:tc>
        <w:tc>
          <w:tcPr>
            <w:tcW w:w="2174" w:type="dxa"/>
            <w:noWrap w:val="0"/>
            <w:tcMar>
              <w:top w:w="16" w:type="dxa"/>
              <w:left w:w="16" w:type="dxa"/>
              <w:right w:w="16" w:type="dxa"/>
            </w:tcMar>
            <w:vAlign w:val="center"/>
          </w:tcPr>
          <w:p w14:paraId="0A8627D2">
            <w:pPr>
              <w:adjustRightInd w:val="0"/>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施工工期</w:t>
            </w:r>
          </w:p>
        </w:tc>
        <w:tc>
          <w:tcPr>
            <w:tcW w:w="2500" w:type="dxa"/>
            <w:gridSpan w:val="2"/>
            <w:noWrap w:val="0"/>
            <w:vAlign w:val="center"/>
          </w:tcPr>
          <w:p w14:paraId="3FE91390">
            <w:pPr>
              <w:adjustRightInd w:val="0"/>
              <w:snapToGrid w:val="0"/>
              <w:jc w:val="center"/>
              <w:rPr>
                <w:rFonts w:hint="default" w:ascii="宋体" w:hAnsi="宋体" w:eastAsia="宋体" w:cs="宋体"/>
                <w:color w:val="000000" w:themeColor="text1"/>
                <w:sz w:val="24"/>
                <w:szCs w:val="21"/>
                <w:highlight w:val="none"/>
                <w:lang w:val="en-US" w:eastAsia="zh-CN"/>
                <w14:textFill>
                  <w14:solidFill>
                    <w14:schemeClr w14:val="tx1"/>
                  </w14:solidFill>
                </w14:textFill>
              </w:rPr>
            </w:pPr>
            <w:r>
              <w:rPr>
                <w:rFonts w:hint="default" w:ascii="宋体" w:hAnsi="宋体" w:eastAsia="宋体" w:cs="宋体"/>
                <w:color w:val="000000" w:themeColor="text1"/>
                <w:sz w:val="24"/>
                <w:szCs w:val="21"/>
                <w:highlight w:val="none"/>
                <w:lang w:val="en-US" w:eastAsia="zh-CN"/>
                <w14:textFill>
                  <w14:solidFill>
                    <w14:schemeClr w14:val="tx1"/>
                  </w14:solidFill>
                </w14:textFill>
              </w:rPr>
              <w:t>5个月</w:t>
            </w:r>
          </w:p>
        </w:tc>
      </w:tr>
      <w:tr w14:paraId="7E805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8" w:hRule="atLeast"/>
        </w:trPr>
        <w:tc>
          <w:tcPr>
            <w:tcW w:w="1973" w:type="dxa"/>
            <w:noWrap w:val="0"/>
            <w:tcMar>
              <w:top w:w="16" w:type="dxa"/>
              <w:left w:w="16" w:type="dxa"/>
              <w:right w:w="16" w:type="dxa"/>
            </w:tcMar>
            <w:vAlign w:val="center"/>
          </w:tcPr>
          <w:p w14:paraId="7D0DF8BF">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是否开工建设</w:t>
            </w:r>
          </w:p>
        </w:tc>
        <w:tc>
          <w:tcPr>
            <w:tcW w:w="6884" w:type="dxa"/>
            <w:gridSpan w:val="4"/>
            <w:noWrap w:val="0"/>
            <w:vAlign w:val="center"/>
          </w:tcPr>
          <w:p w14:paraId="79B7187D">
            <w:pPr>
              <w:adjustRightInd w:val="0"/>
              <w:snapToGrid w:val="0"/>
              <w:ind w:firstLine="105"/>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sym w:font="Wingdings 2" w:char="0052"/>
            </w:r>
            <w:r>
              <w:rPr>
                <w:rFonts w:hint="eastAsia" w:ascii="宋体" w:hAnsi="宋体" w:cs="宋体"/>
                <w:color w:val="000000" w:themeColor="text1"/>
                <w:sz w:val="24"/>
                <w:szCs w:val="21"/>
                <w14:textFill>
                  <w14:solidFill>
                    <w14:schemeClr w14:val="tx1"/>
                  </w14:solidFill>
                </w14:textFill>
              </w:rPr>
              <w:t>否</w:t>
            </w:r>
          </w:p>
          <w:p w14:paraId="4A3C265E">
            <w:pPr>
              <w:adjustRightInd w:val="0"/>
              <w:snapToGrid w:val="0"/>
              <w:ind w:firstLine="92"/>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□是：</w:t>
            </w:r>
            <w:r>
              <w:rPr>
                <w:rFonts w:ascii="宋体" w:hAnsi="宋体" w:cs="宋体"/>
                <w:color w:val="000000" w:themeColor="text1"/>
                <w:sz w:val="24"/>
                <w:szCs w:val="21"/>
                <w:u w:val="single"/>
                <w14:textFill>
                  <w14:solidFill>
                    <w14:schemeClr w14:val="tx1"/>
                  </w14:solidFill>
                </w14:textFill>
              </w:rPr>
              <w:t xml:space="preserve"> </w:t>
            </w:r>
            <w:r>
              <w:rPr>
                <w:rFonts w:hint="eastAsia" w:ascii="宋体" w:hAnsi="宋体" w:cs="宋体"/>
                <w:color w:val="000000" w:themeColor="text1"/>
                <w:sz w:val="24"/>
                <w:szCs w:val="21"/>
                <w:u w:val="single"/>
                <w14:textFill>
                  <w14:solidFill>
                    <w14:schemeClr w14:val="tx1"/>
                  </w14:solidFill>
                </w14:textFill>
              </w:rPr>
              <w:t xml:space="preserve">                     </w:t>
            </w:r>
            <w:r>
              <w:rPr>
                <w:rFonts w:ascii="宋体" w:hAnsi="宋体" w:cs="宋体"/>
                <w:color w:val="000000" w:themeColor="text1"/>
                <w:sz w:val="24"/>
                <w:szCs w:val="21"/>
                <w:u w:val="single"/>
                <w14:textFill>
                  <w14:solidFill>
                    <w14:schemeClr w14:val="tx1"/>
                  </w14:solidFill>
                </w14:textFill>
              </w:rPr>
              <w:t xml:space="preserve">       </w:t>
            </w:r>
          </w:p>
        </w:tc>
      </w:tr>
      <w:tr w14:paraId="770C3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1973" w:type="dxa"/>
            <w:noWrap w:val="0"/>
            <w:tcMar>
              <w:top w:w="16" w:type="dxa"/>
              <w:left w:w="16" w:type="dxa"/>
              <w:right w:w="16" w:type="dxa"/>
            </w:tcMar>
            <w:vAlign w:val="center"/>
          </w:tcPr>
          <w:p w14:paraId="78DB7693">
            <w:pPr>
              <w:autoSpaceDE w:val="0"/>
              <w:autoSpaceDN w:val="0"/>
              <w:adjustRightInd w:val="0"/>
              <w:snapToGrid w:val="0"/>
              <w:jc w:val="center"/>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kern w:val="0"/>
                <w:sz w:val="24"/>
                <w:szCs w:val="21"/>
                <w14:textFill>
                  <w14:solidFill>
                    <w14:schemeClr w14:val="tx1"/>
                  </w14:solidFill>
                </w14:textFill>
              </w:rPr>
              <w:t>专项评价设置情况</w:t>
            </w:r>
          </w:p>
        </w:tc>
        <w:tc>
          <w:tcPr>
            <w:tcW w:w="6884" w:type="dxa"/>
            <w:gridSpan w:val="4"/>
            <w:noWrap w:val="0"/>
            <w:tcMar>
              <w:top w:w="16" w:type="dxa"/>
              <w:left w:w="16" w:type="dxa"/>
              <w:right w:w="16" w:type="dxa"/>
            </w:tcMar>
            <w:vAlign w:val="center"/>
          </w:tcPr>
          <w:tbl>
            <w:tblPr>
              <w:tblStyle w:val="20"/>
              <w:tblW w:w="69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90"/>
              <w:gridCol w:w="3133"/>
              <w:gridCol w:w="2396"/>
            </w:tblGrid>
            <w:tr w14:paraId="33C1B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7" w:hRule="atLeast"/>
                <w:jc w:val="center"/>
              </w:trPr>
              <w:tc>
                <w:tcPr>
                  <w:tcW w:w="1390" w:type="dxa"/>
                  <w:tcBorders>
                    <w:tl2br w:val="nil"/>
                    <w:tr2bl w:val="nil"/>
                  </w:tcBorders>
                  <w:vAlign w:val="center"/>
                </w:tcPr>
                <w:p w14:paraId="4B01138B">
                  <w:pPr>
                    <w:pStyle w:val="61"/>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专项评价类别</w:t>
                  </w:r>
                </w:p>
              </w:tc>
              <w:tc>
                <w:tcPr>
                  <w:tcW w:w="3133" w:type="dxa"/>
                  <w:tcBorders>
                    <w:tl2br w:val="nil"/>
                    <w:tr2bl w:val="nil"/>
                  </w:tcBorders>
                  <w:vAlign w:val="center"/>
                </w:tcPr>
                <w:p w14:paraId="0B57A6D0">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涉及项目类别</w:t>
                  </w:r>
                </w:p>
              </w:tc>
              <w:tc>
                <w:tcPr>
                  <w:tcW w:w="2396" w:type="dxa"/>
                  <w:tcBorders>
                    <w:tl2br w:val="nil"/>
                    <w:tr2bl w:val="nil"/>
                  </w:tcBorders>
                  <w:vAlign w:val="center"/>
                </w:tcPr>
                <w:p w14:paraId="73961547">
                  <w:pPr>
                    <w:pStyle w:val="61"/>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项目实际情况</w:t>
                  </w:r>
                </w:p>
              </w:tc>
            </w:tr>
            <w:tr w14:paraId="4E6C62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67" w:hRule="atLeast"/>
                <w:jc w:val="center"/>
              </w:trPr>
              <w:tc>
                <w:tcPr>
                  <w:tcW w:w="1390" w:type="dxa"/>
                  <w:tcBorders>
                    <w:tl2br w:val="nil"/>
                    <w:tr2bl w:val="nil"/>
                  </w:tcBorders>
                  <w:vAlign w:val="center"/>
                </w:tcPr>
                <w:p w14:paraId="7E0AA9AE">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地表水</w:t>
                  </w:r>
                </w:p>
              </w:tc>
              <w:tc>
                <w:tcPr>
                  <w:tcW w:w="3133" w:type="dxa"/>
                  <w:tcBorders>
                    <w:tl2br w:val="nil"/>
                    <w:tr2bl w:val="nil"/>
                  </w:tcBorders>
                  <w:vAlign w:val="center"/>
                </w:tcPr>
                <w:p w14:paraId="12BBC3F6">
                  <w:pPr>
                    <w:pStyle w:val="61"/>
                    <w:jc w:val="left"/>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水力发电：引水式发电、涉及调峰发电的项目；人工湖、人工湿地：全部；</w:t>
                  </w:r>
                </w:p>
                <w:p w14:paraId="7660B68E">
                  <w:pPr>
                    <w:pStyle w:val="61"/>
                    <w:jc w:val="left"/>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水库：全部；</w:t>
                  </w:r>
                </w:p>
                <w:p w14:paraId="09D995AC">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引水工程：全部（配套的管线工程等除外）；防洪除涝工程：包含水库的项目；</w:t>
                  </w:r>
                </w:p>
                <w:p w14:paraId="5AF5E235">
                  <w:pPr>
                    <w:pStyle w:val="61"/>
                    <w:jc w:val="left"/>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河湖整治：涉及清淤且底泥存在重金属污染的项目</w:t>
                  </w:r>
                </w:p>
              </w:tc>
              <w:tc>
                <w:tcPr>
                  <w:tcW w:w="2396" w:type="dxa"/>
                  <w:tcBorders>
                    <w:tl2br w:val="nil"/>
                    <w:tr2bl w:val="nil"/>
                  </w:tcBorders>
                  <w:vAlign w:val="center"/>
                </w:tcPr>
                <w:p w14:paraId="03390AA9">
                  <w:pPr>
                    <w:pStyle w:val="61"/>
                    <w:rPr>
                      <w:rFonts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本项目为河道治理，工程内容主要为为河道护岸，因此本项目不涉及专项评价</w:t>
                  </w:r>
                </w:p>
              </w:tc>
            </w:tr>
            <w:tr w14:paraId="3ABE9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 w:hRule="atLeast"/>
                <w:jc w:val="center"/>
              </w:trPr>
              <w:tc>
                <w:tcPr>
                  <w:tcW w:w="1390" w:type="dxa"/>
                  <w:tcBorders>
                    <w:tl2br w:val="nil"/>
                    <w:tr2bl w:val="nil"/>
                  </w:tcBorders>
                  <w:vAlign w:val="center"/>
                </w:tcPr>
                <w:p w14:paraId="09B7AF2B">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地下水</w:t>
                  </w:r>
                </w:p>
              </w:tc>
              <w:tc>
                <w:tcPr>
                  <w:tcW w:w="3133" w:type="dxa"/>
                  <w:tcBorders>
                    <w:tl2br w:val="nil"/>
                    <w:tr2bl w:val="nil"/>
                  </w:tcBorders>
                  <w:vAlign w:val="center"/>
                </w:tcPr>
                <w:p w14:paraId="2B7DA61F">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陆地石油和天然气开采：全部；</w:t>
                  </w:r>
                </w:p>
                <w:p w14:paraId="62A94112">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地下水（含矿泉水）开采：全部；</w:t>
                  </w:r>
                </w:p>
                <w:p w14:paraId="017BE0B6">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水利、水电、交通等：含穿越可溶岩地层隧道的项目</w:t>
                  </w:r>
                </w:p>
              </w:tc>
              <w:tc>
                <w:tcPr>
                  <w:tcW w:w="2396" w:type="dxa"/>
                  <w:tcBorders>
                    <w:tl2br w:val="nil"/>
                    <w:tr2bl w:val="nil"/>
                  </w:tcBorders>
                  <w:vAlign w:val="center"/>
                </w:tcPr>
                <w:p w14:paraId="554826AD">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14:paraId="4B5E2F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69" w:hRule="atLeast"/>
                <w:jc w:val="center"/>
              </w:trPr>
              <w:tc>
                <w:tcPr>
                  <w:tcW w:w="1390" w:type="dxa"/>
                  <w:tcBorders>
                    <w:tl2br w:val="nil"/>
                    <w:tr2bl w:val="nil"/>
                  </w:tcBorders>
                  <w:vAlign w:val="center"/>
                </w:tcPr>
                <w:p w14:paraId="425F533F">
                  <w:pPr>
                    <w:pStyle w:val="61"/>
                    <w:rPr>
                      <w:rFonts w:ascii="Times New Roman" w:hAnsi="Times New Roman" w:eastAsia="宋体"/>
                      <w:color w:val="auto"/>
                      <w:szCs w:val="21"/>
                      <w:lang w:eastAsia="zh-CN"/>
                    </w:rPr>
                  </w:pPr>
                  <w:r>
                    <w:rPr>
                      <w:rFonts w:ascii="Times New Roman" w:hAnsi="Times New Roman" w:eastAsia="宋体"/>
                      <w:color w:val="auto"/>
                      <w:szCs w:val="21"/>
                      <w:lang w:eastAsia="zh-CN"/>
                    </w:rPr>
                    <w:t>生态</w:t>
                  </w:r>
                </w:p>
              </w:tc>
              <w:tc>
                <w:tcPr>
                  <w:tcW w:w="3133" w:type="dxa"/>
                  <w:tcBorders>
                    <w:tl2br w:val="nil"/>
                    <w:tr2bl w:val="nil"/>
                  </w:tcBorders>
                  <w:vAlign w:val="center"/>
                </w:tcPr>
                <w:p w14:paraId="2AE043A0">
                  <w:pPr>
                    <w:pStyle w:val="61"/>
                    <w:rPr>
                      <w:rFonts w:ascii="Times New Roman" w:hAnsi="Times New Roman" w:eastAsia="宋体"/>
                      <w:color w:val="auto"/>
                      <w:szCs w:val="21"/>
                      <w:lang w:eastAsia="zh-CN"/>
                    </w:rPr>
                  </w:pPr>
                  <w:r>
                    <w:rPr>
                      <w:rFonts w:ascii="Times New Roman" w:hAnsi="Times New Roman" w:eastAsia="宋体"/>
                      <w:color w:val="auto"/>
                      <w:szCs w:val="21"/>
                      <w:lang w:eastAsia="zh-CN"/>
                    </w:rPr>
                    <w:t>涉及环境敏感区（不包括饮用水水源保护区，以居住、医疗卫生、文化教育、科研、行政办公为主要功能的区域，以及文物保护单位）的项目</w:t>
                  </w:r>
                </w:p>
              </w:tc>
              <w:tc>
                <w:tcPr>
                  <w:tcW w:w="2396" w:type="dxa"/>
                  <w:tcBorders>
                    <w:tl2br w:val="nil"/>
                    <w:tr2bl w:val="nil"/>
                  </w:tcBorders>
                  <w:vAlign w:val="center"/>
                </w:tcPr>
                <w:p w14:paraId="26433339">
                  <w:pPr>
                    <w:pStyle w:val="61"/>
                    <w:rPr>
                      <w:rFonts w:ascii="Times New Roman" w:hAnsi="Times New Roman" w:eastAsia="宋体"/>
                      <w:color w:val="auto"/>
                      <w:szCs w:val="21"/>
                      <w:lang w:eastAsia="zh-CN"/>
                    </w:rPr>
                  </w:pPr>
                  <w:r>
                    <w:rPr>
                      <w:rFonts w:hint="eastAsia" w:ascii="Times New Roman" w:hAnsi="Times New Roman" w:eastAsia="宋体"/>
                      <w:color w:val="auto"/>
                      <w:szCs w:val="21"/>
                      <w:lang w:eastAsia="zh-CN"/>
                    </w:rPr>
                    <w:t>不</w:t>
                  </w:r>
                  <w:r>
                    <w:rPr>
                      <w:rFonts w:ascii="Times New Roman" w:hAnsi="Times New Roman" w:eastAsia="宋体"/>
                      <w:color w:val="auto"/>
                      <w:szCs w:val="21"/>
                      <w:lang w:eastAsia="zh-CN"/>
                    </w:rPr>
                    <w:t>涉及</w:t>
                  </w:r>
                </w:p>
              </w:tc>
            </w:tr>
            <w:tr w14:paraId="403D2B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3" w:hRule="atLeast"/>
                <w:jc w:val="center"/>
              </w:trPr>
              <w:tc>
                <w:tcPr>
                  <w:tcW w:w="1390" w:type="dxa"/>
                  <w:tcBorders>
                    <w:tl2br w:val="nil"/>
                    <w:tr2bl w:val="nil"/>
                  </w:tcBorders>
                  <w:vAlign w:val="center"/>
                </w:tcPr>
                <w:p w14:paraId="48FC7DE3">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大气</w:t>
                  </w:r>
                </w:p>
              </w:tc>
              <w:tc>
                <w:tcPr>
                  <w:tcW w:w="3133" w:type="dxa"/>
                  <w:tcBorders>
                    <w:tl2br w:val="nil"/>
                    <w:tr2bl w:val="nil"/>
                  </w:tcBorders>
                  <w:vAlign w:val="center"/>
                </w:tcPr>
                <w:p w14:paraId="30CEF91E">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油气、液体化工码头：全部；干散货（含煤炭、矿石）、件杂、多用途、通用码头：涉及粉尘、挥发性有机物排放的项目</w:t>
                  </w:r>
                </w:p>
              </w:tc>
              <w:tc>
                <w:tcPr>
                  <w:tcW w:w="2396" w:type="dxa"/>
                  <w:tcBorders>
                    <w:tl2br w:val="nil"/>
                    <w:tr2bl w:val="nil"/>
                  </w:tcBorders>
                  <w:vAlign w:val="center"/>
                </w:tcPr>
                <w:p w14:paraId="28FCC26A">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14:paraId="0D4C90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5" w:hRule="atLeast"/>
                <w:jc w:val="center"/>
              </w:trPr>
              <w:tc>
                <w:tcPr>
                  <w:tcW w:w="1390" w:type="dxa"/>
                  <w:tcBorders>
                    <w:tl2br w:val="nil"/>
                    <w:tr2bl w:val="nil"/>
                  </w:tcBorders>
                  <w:vAlign w:val="center"/>
                </w:tcPr>
                <w:p w14:paraId="01EA3A73">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噪声</w:t>
                  </w:r>
                </w:p>
              </w:tc>
              <w:tc>
                <w:tcPr>
                  <w:tcW w:w="3133" w:type="dxa"/>
                  <w:tcBorders>
                    <w:tl2br w:val="nil"/>
                    <w:tr2bl w:val="nil"/>
                  </w:tcBorders>
                  <w:vAlign w:val="center"/>
                </w:tcPr>
                <w:p w14:paraId="7F10ED5B">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公路、铁路、机场等交通运输业涉及环境敏感区（以居住、医疗卫生、文化教育、科研、行政办公为主要功能的区域）的项目；城市道路（不含维护，不含支路、人行天桥、人行地道）：全部</w:t>
                  </w:r>
                </w:p>
              </w:tc>
              <w:tc>
                <w:tcPr>
                  <w:tcW w:w="2396" w:type="dxa"/>
                  <w:tcBorders>
                    <w:tl2br w:val="nil"/>
                    <w:tr2bl w:val="nil"/>
                  </w:tcBorders>
                  <w:vAlign w:val="center"/>
                </w:tcPr>
                <w:p w14:paraId="4D522DB1">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14:paraId="11FBC8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40" w:hRule="atLeast"/>
                <w:jc w:val="center"/>
              </w:trPr>
              <w:tc>
                <w:tcPr>
                  <w:tcW w:w="1390" w:type="dxa"/>
                  <w:tcBorders>
                    <w:tl2br w:val="nil"/>
                    <w:tr2bl w:val="nil"/>
                  </w:tcBorders>
                  <w:vAlign w:val="center"/>
                </w:tcPr>
                <w:p w14:paraId="35C1DBE9">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环境风险</w:t>
                  </w:r>
                </w:p>
              </w:tc>
              <w:tc>
                <w:tcPr>
                  <w:tcW w:w="3133" w:type="dxa"/>
                  <w:tcBorders>
                    <w:tl2br w:val="nil"/>
                    <w:tr2bl w:val="nil"/>
                  </w:tcBorders>
                  <w:vAlign w:val="center"/>
                </w:tcPr>
                <w:p w14:paraId="0C4E39DA">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石油和天然气开采：全部；油气、液体化工码头：全部；原油、 成品油、天然气管线（不含城镇天然气管线、企业厂区内管线），危 险化学品输送管线（不含企业厂区内管线）：全部</w:t>
                  </w:r>
                </w:p>
              </w:tc>
              <w:tc>
                <w:tcPr>
                  <w:tcW w:w="2396" w:type="dxa"/>
                  <w:tcBorders>
                    <w:tl2br w:val="nil"/>
                    <w:tr2bl w:val="nil"/>
                  </w:tcBorders>
                  <w:vAlign w:val="center"/>
                </w:tcPr>
                <w:p w14:paraId="3A7841F4">
                  <w:pPr>
                    <w:pStyle w:val="6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bl>
          <w:p w14:paraId="01B30F96">
            <w:pPr>
              <w:autoSpaceDE w:val="0"/>
              <w:autoSpaceDN w:val="0"/>
              <w:adjustRightInd w:val="0"/>
              <w:snapToGrid w:val="0"/>
              <w:rPr>
                <w:rFonts w:hint="eastAsia" w:ascii="宋体" w:hAnsi="宋体" w:eastAsia="宋体" w:cs="宋体"/>
                <w:color w:val="000000" w:themeColor="text1"/>
                <w:kern w:val="0"/>
                <w:sz w:val="24"/>
                <w:szCs w:val="21"/>
                <w:lang w:eastAsia="zh-CN"/>
                <w14:textFill>
                  <w14:solidFill>
                    <w14:schemeClr w14:val="tx1"/>
                  </w14:solidFill>
                </w14:textFill>
              </w:rPr>
            </w:pPr>
          </w:p>
        </w:tc>
      </w:tr>
      <w:tr w14:paraId="4124C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973" w:type="dxa"/>
            <w:noWrap w:val="0"/>
            <w:tcMar>
              <w:top w:w="16" w:type="dxa"/>
              <w:left w:w="16" w:type="dxa"/>
              <w:right w:w="16" w:type="dxa"/>
            </w:tcMar>
            <w:vAlign w:val="center"/>
          </w:tcPr>
          <w:p w14:paraId="4578DAC7">
            <w:pPr>
              <w:autoSpaceDE w:val="0"/>
              <w:autoSpaceDN w:val="0"/>
              <w:adjustRightInd w:val="0"/>
              <w:snapToGrid w:val="0"/>
              <w:jc w:val="center"/>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规划情况</w:t>
            </w:r>
          </w:p>
        </w:tc>
        <w:tc>
          <w:tcPr>
            <w:tcW w:w="6884" w:type="dxa"/>
            <w:gridSpan w:val="4"/>
            <w:noWrap w:val="0"/>
            <w:tcMar>
              <w:top w:w="16" w:type="dxa"/>
              <w:left w:w="16" w:type="dxa"/>
              <w:right w:w="16" w:type="dxa"/>
            </w:tcMar>
            <w:vAlign w:val="center"/>
          </w:tcPr>
          <w:p w14:paraId="55265FE8">
            <w:pPr>
              <w:autoSpaceDE w:val="0"/>
              <w:autoSpaceDN w:val="0"/>
              <w:adjustRightInd w:val="0"/>
              <w:snapToGrid w:val="0"/>
              <w:rPr>
                <w:rFonts w:hint="default" w:ascii="宋体" w:hAnsi="宋体" w:cs="宋体"/>
                <w:color w:val="000000" w:themeColor="text1"/>
                <w:kern w:val="0"/>
                <w:sz w:val="24"/>
                <w:szCs w:val="21"/>
                <w:lang w:val="en-US"/>
                <w14:textFill>
                  <w14:solidFill>
                    <w14:schemeClr w14:val="tx1"/>
                  </w14:solidFill>
                </w14:textFill>
              </w:rPr>
            </w:pPr>
            <w:r>
              <w:rPr>
                <w:rFonts w:hint="eastAsia" w:ascii="宋体" w:hAnsi="宋体" w:cs="宋体"/>
                <w:color w:val="000000" w:themeColor="text1"/>
                <w:kern w:val="0"/>
                <w:sz w:val="24"/>
                <w:szCs w:val="21"/>
                <w:lang w:val="en-US" w:eastAsia="zh-CN"/>
                <w14:textFill>
                  <w14:solidFill>
                    <w14:schemeClr w14:val="tx1"/>
                  </w14:solidFill>
                </w14:textFill>
              </w:rPr>
              <w:t>/</w:t>
            </w:r>
          </w:p>
        </w:tc>
      </w:tr>
      <w:tr w14:paraId="5F81E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1973" w:type="dxa"/>
            <w:noWrap w:val="0"/>
            <w:tcMar>
              <w:top w:w="16" w:type="dxa"/>
              <w:left w:w="16" w:type="dxa"/>
              <w:right w:w="16" w:type="dxa"/>
            </w:tcMar>
            <w:vAlign w:val="center"/>
          </w:tcPr>
          <w:p w14:paraId="605678DA">
            <w:pPr>
              <w:autoSpaceDE w:val="0"/>
              <w:autoSpaceDN w:val="0"/>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规划环境影响</w:t>
            </w:r>
          </w:p>
          <w:p w14:paraId="32E42E03">
            <w:pPr>
              <w:autoSpaceDE w:val="0"/>
              <w:autoSpaceDN w:val="0"/>
              <w:adjustRightInd w:val="0"/>
              <w:snapToGrid w:val="0"/>
              <w:jc w:val="center"/>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评价情况</w:t>
            </w:r>
          </w:p>
        </w:tc>
        <w:tc>
          <w:tcPr>
            <w:tcW w:w="6884" w:type="dxa"/>
            <w:gridSpan w:val="4"/>
            <w:noWrap w:val="0"/>
            <w:tcMar>
              <w:top w:w="16" w:type="dxa"/>
              <w:left w:w="16" w:type="dxa"/>
              <w:right w:w="16" w:type="dxa"/>
            </w:tcMar>
            <w:vAlign w:val="center"/>
          </w:tcPr>
          <w:p w14:paraId="322E0BDA">
            <w:pPr>
              <w:adjustRightInd w:val="0"/>
              <w:snapToGrid w:val="0"/>
              <w:jc w:val="left"/>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kern w:val="0"/>
                <w:sz w:val="24"/>
                <w:szCs w:val="21"/>
                <w:lang w:eastAsia="zh-CN"/>
                <w14:textFill>
                  <w14:solidFill>
                    <w14:schemeClr w14:val="tx1"/>
                  </w14:solidFill>
                </w14:textFill>
              </w:rPr>
              <w:t>无</w:t>
            </w:r>
          </w:p>
        </w:tc>
      </w:tr>
      <w:tr w14:paraId="2DE09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0" w:hRule="atLeast"/>
        </w:trPr>
        <w:tc>
          <w:tcPr>
            <w:tcW w:w="1973" w:type="dxa"/>
            <w:noWrap w:val="0"/>
            <w:tcMar>
              <w:top w:w="16" w:type="dxa"/>
              <w:left w:w="16" w:type="dxa"/>
              <w:right w:w="16" w:type="dxa"/>
            </w:tcMar>
            <w:vAlign w:val="center"/>
          </w:tcPr>
          <w:p w14:paraId="4725F12E">
            <w:pPr>
              <w:autoSpaceDE w:val="0"/>
              <w:autoSpaceDN w:val="0"/>
              <w:adjustRightInd w:val="0"/>
              <w:snapToGrid w:val="0"/>
              <w:jc w:val="center"/>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kern w:val="0"/>
                <w:sz w:val="24"/>
                <w:szCs w:val="21"/>
                <w14:textFill>
                  <w14:solidFill>
                    <w14:schemeClr w14:val="tx1"/>
                  </w14:solidFill>
                </w14:textFill>
              </w:rPr>
              <w:t>规划及</w:t>
            </w:r>
            <w:r>
              <w:rPr>
                <w:rFonts w:hint="eastAsia" w:ascii="宋体" w:hAnsi="宋体" w:cs="宋体"/>
                <w:color w:val="000000" w:themeColor="text1"/>
                <w:sz w:val="24"/>
                <w:szCs w:val="21"/>
                <w14:textFill>
                  <w14:solidFill>
                    <w14:schemeClr w14:val="tx1"/>
                  </w14:solidFill>
                </w14:textFill>
              </w:rPr>
              <w:t>规划环境影响评价</w:t>
            </w:r>
            <w:r>
              <w:rPr>
                <w:rFonts w:hint="eastAsia" w:ascii="宋体" w:hAnsi="宋体" w:cs="宋体"/>
                <w:color w:val="000000" w:themeColor="text1"/>
                <w:kern w:val="0"/>
                <w:sz w:val="24"/>
                <w:szCs w:val="21"/>
                <w14:textFill>
                  <w14:solidFill>
                    <w14:schemeClr w14:val="tx1"/>
                  </w14:solidFill>
                </w14:textFill>
              </w:rPr>
              <w:t>符合性分析</w:t>
            </w:r>
          </w:p>
        </w:tc>
        <w:tc>
          <w:tcPr>
            <w:tcW w:w="6884" w:type="dxa"/>
            <w:gridSpan w:val="4"/>
            <w:noWrap w:val="0"/>
            <w:tcMar>
              <w:top w:w="16" w:type="dxa"/>
              <w:left w:w="16" w:type="dxa"/>
              <w:right w:w="16" w:type="dxa"/>
            </w:tcMar>
            <w:vAlign w:val="center"/>
          </w:tcPr>
          <w:p w14:paraId="4992AD4E">
            <w:pPr>
              <w:pStyle w:val="45"/>
              <w:bidi w:val="0"/>
              <w:ind w:left="0" w:leftChars="0" w:firstLine="0" w:firstLineChars="0"/>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宋体" w:hAnsi="宋体" w:eastAsia="宋体" w:cs="宋体"/>
                <w:color w:val="000000" w:themeColor="text1"/>
                <w:kern w:val="0"/>
                <w:sz w:val="24"/>
                <w:szCs w:val="21"/>
                <w:lang w:val="en-US" w:eastAsia="zh-CN" w:bidi="ar-SA"/>
                <w14:textFill>
                  <w14:solidFill>
                    <w14:schemeClr w14:val="tx1"/>
                  </w14:solidFill>
                </w14:textFill>
              </w:rPr>
              <w:t>无</w:t>
            </w:r>
          </w:p>
        </w:tc>
      </w:tr>
      <w:tr w14:paraId="7ACE30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9" w:hRule="atLeast"/>
        </w:trPr>
        <w:tc>
          <w:tcPr>
            <w:tcW w:w="1973" w:type="dxa"/>
            <w:noWrap w:val="0"/>
            <w:tcMar>
              <w:top w:w="16" w:type="dxa"/>
              <w:left w:w="16" w:type="dxa"/>
              <w:right w:w="16" w:type="dxa"/>
            </w:tcMar>
            <w:vAlign w:val="center"/>
          </w:tcPr>
          <w:p w14:paraId="7192F70F">
            <w:pPr>
              <w:autoSpaceDE w:val="0"/>
              <w:autoSpaceDN w:val="0"/>
              <w:adjustRightInd w:val="0"/>
              <w:snapToGrid w:val="0"/>
              <w:jc w:val="center"/>
              <w:rPr>
                <w:rFonts w:ascii="宋体" w:hAnsi="宋体" w:cs="宋体"/>
                <w:color w:val="000000" w:themeColor="text1"/>
                <w:kern w:val="0"/>
                <w:sz w:val="24"/>
                <w:szCs w:val="24"/>
                <w14:textFill>
                  <w14:solidFill>
                    <w14:schemeClr w14:val="tx1"/>
                  </w14:solidFill>
                </w14:textFill>
              </w:rPr>
            </w:pPr>
            <w:bookmarkStart w:id="2" w:name="_Hlk56690880"/>
            <w:r>
              <w:rPr>
                <w:rFonts w:hint="eastAsia" w:ascii="宋体" w:hAnsi="宋体" w:cs="宋体"/>
                <w:color w:val="000000" w:themeColor="text1"/>
                <w:kern w:val="0"/>
                <w:sz w:val="24"/>
                <w:szCs w:val="24"/>
                <w14:textFill>
                  <w14:solidFill>
                    <w14:schemeClr w14:val="tx1"/>
                  </w14:solidFill>
                </w14:textFill>
              </w:rPr>
              <w:t>其他符合性分析</w:t>
            </w:r>
            <w:bookmarkEnd w:id="2"/>
          </w:p>
        </w:tc>
        <w:tc>
          <w:tcPr>
            <w:tcW w:w="6884" w:type="dxa"/>
            <w:gridSpan w:val="4"/>
            <w:noWrap w:val="0"/>
            <w:tcMar>
              <w:top w:w="16" w:type="dxa"/>
              <w:left w:w="16" w:type="dxa"/>
              <w:right w:w="16" w:type="dxa"/>
            </w:tcMar>
            <w:vAlign w:val="top"/>
          </w:tcPr>
          <w:p w14:paraId="733E9C09">
            <w:pPr>
              <w:spacing w:line="360" w:lineRule="auto"/>
              <w:ind w:left="0" w:leftChars="0" w:firstLine="0" w:firstLineChars="0"/>
              <w:jc w:val="both"/>
              <w:outlineLvl w:val="2"/>
              <w:rPr>
                <w:rFonts w:hint="eastAsia" w:ascii="Times New Roman" w:hAnsi="Times New Roman" w:eastAsia="宋体"/>
                <w:b/>
                <w:color w:val="000000" w:themeColor="text1"/>
                <w:sz w:val="24"/>
                <w:szCs w:val="24"/>
                <w:lang w:val="en-US"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产业政策</w:t>
            </w:r>
            <w:r>
              <w:rPr>
                <w:rFonts w:hint="eastAsia" w:ascii="Times New Roman" w:hAnsi="Times New Roman" w:eastAsia="宋体"/>
                <w:b/>
                <w:color w:val="000000" w:themeColor="text1"/>
                <w:sz w:val="24"/>
                <w:szCs w:val="24"/>
                <w:lang w:val="en-US" w:eastAsia="zh-CN"/>
                <w14:textFill>
                  <w14:solidFill>
                    <w14:schemeClr w14:val="tx1"/>
                  </w14:solidFill>
                </w14:textFill>
              </w:rPr>
              <w:t>符合性分析</w:t>
            </w:r>
          </w:p>
          <w:p w14:paraId="45C1BCA5">
            <w:pPr>
              <w:spacing w:line="360" w:lineRule="auto"/>
              <w:ind w:right="-1" w:firstLine="480" w:firstLineChars="200"/>
              <w:contextualSpacing/>
              <w:jc w:val="both"/>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本</w:t>
            </w:r>
            <w:r>
              <w:rPr>
                <w:color w:val="000000" w:themeColor="text1"/>
                <w:sz w:val="24"/>
                <w:szCs w:val="24"/>
                <w14:textFill>
                  <w14:solidFill>
                    <w14:schemeClr w14:val="tx1"/>
                  </w14:solidFill>
                </w14:textFill>
              </w:rPr>
              <w:t>项目属于《产业结构调整指导目录（</w:t>
            </w:r>
            <w:r>
              <w:rPr>
                <w:rFonts w:hint="eastAsia"/>
                <w:color w:val="000000" w:themeColor="text1"/>
                <w:sz w:val="24"/>
                <w:szCs w:val="24"/>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24</w:t>
            </w:r>
            <w:r>
              <w:rPr>
                <w:color w:val="000000" w:themeColor="text1"/>
                <w:sz w:val="24"/>
                <w:szCs w:val="24"/>
                <w14:textFill>
                  <w14:solidFill>
                    <w14:schemeClr w14:val="tx1"/>
                  </w14:solidFill>
                </w14:textFill>
              </w:rPr>
              <w:t>年本）》鼓励类中“</w:t>
            </w:r>
            <w:r>
              <w:rPr>
                <w:rFonts w:hint="eastAsia"/>
                <w:color w:val="000000" w:themeColor="text1"/>
                <w:sz w:val="24"/>
                <w:szCs w:val="24"/>
                <w14:textFill>
                  <w14:solidFill>
                    <w14:schemeClr w14:val="tx1"/>
                  </w14:solidFill>
                </w14:textFill>
              </w:rPr>
              <w:t>二</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水利</w:t>
            </w:r>
            <w:r>
              <w:rPr>
                <w:color w:val="000000" w:themeColor="text1"/>
                <w:sz w:val="24"/>
                <w:szCs w:val="24"/>
                <w14:textFill>
                  <w14:solidFill>
                    <w14:schemeClr w14:val="tx1"/>
                  </w14:solidFill>
                </w14:textFill>
              </w:rPr>
              <w:t>：第</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条－</w:t>
            </w:r>
            <w:r>
              <w:rPr>
                <w:rFonts w:hint="eastAsia"/>
                <w:color w:val="000000" w:themeColor="text1"/>
                <w:sz w:val="24"/>
                <w:szCs w:val="24"/>
                <w:lang w:val="en-US" w:eastAsia="zh-CN"/>
                <w14:textFill>
                  <w14:solidFill>
                    <w14:schemeClr w14:val="tx1"/>
                  </w14:solidFill>
                </w14:textFill>
              </w:rPr>
              <w:t>江河湖海堤防建设及河道治理工程</w:t>
            </w:r>
            <w:r>
              <w:rPr>
                <w:color w:val="000000" w:themeColor="text1"/>
                <w:sz w:val="24"/>
                <w:szCs w:val="24"/>
                <w14:textFill>
                  <w14:solidFill>
                    <w14:schemeClr w14:val="tx1"/>
                  </w14:solidFill>
                </w14:textFill>
              </w:rPr>
              <w:t>”的范畴，符合国家和地方产业政策。</w:t>
            </w:r>
          </w:p>
          <w:p w14:paraId="0B47FBF2">
            <w:pPr>
              <w:spacing w:line="360" w:lineRule="auto"/>
              <w:ind w:left="0" w:leftChars="0" w:firstLine="0" w:firstLineChars="0"/>
              <w:jc w:val="both"/>
              <w:outlineLvl w:val="2"/>
              <w:rPr>
                <w:rFonts w:hint="eastAsia"/>
                <w:b/>
                <w:color w:val="000000" w:themeColor="text1"/>
                <w:sz w:val="24"/>
                <w:szCs w:val="24"/>
                <w:lang w:val="en-US"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与《建设项目环境影响评价分类管理名录》符合性分析</w:t>
            </w:r>
          </w:p>
          <w:p w14:paraId="617AAE25">
            <w:pPr>
              <w:spacing w:line="360" w:lineRule="auto"/>
              <w:ind w:right="-1" w:firstLine="480" w:firstLineChars="200"/>
              <w:contextualSpacing/>
              <w:jc w:val="both"/>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lang w:eastAsia="zh-CN"/>
              </w:rPr>
              <w:t>根据《建设项目环境影响评价分类管理名录》，四十六类水利项目，第</w:t>
            </w:r>
            <w:r>
              <w:rPr>
                <w:rFonts w:hint="default" w:ascii="Times New Roman" w:hAnsi="Times New Roman" w:eastAsia="宋体" w:cs="Times New Roman"/>
                <w:color w:val="FF0000"/>
                <w:sz w:val="24"/>
                <w:szCs w:val="24"/>
                <w:lang w:val="en-US" w:eastAsia="zh-CN"/>
              </w:rPr>
              <w:t>12</w:t>
            </w:r>
            <w:r>
              <w:rPr>
                <w:rFonts w:hint="eastAsia" w:ascii="Times New Roman" w:hAnsi="Times New Roman" w:eastAsia="宋体" w:cs="Times New Roman"/>
                <w:color w:val="FF0000"/>
                <w:sz w:val="24"/>
                <w:szCs w:val="24"/>
                <w:lang w:val="en-US" w:eastAsia="zh-CN"/>
              </w:rPr>
              <w:t>7</w:t>
            </w:r>
            <w:r>
              <w:rPr>
                <w:rFonts w:hint="default" w:ascii="Times New Roman" w:hAnsi="Times New Roman" w:eastAsia="宋体" w:cs="Times New Roman"/>
                <w:color w:val="FF0000"/>
                <w:sz w:val="24"/>
                <w:szCs w:val="24"/>
                <w:lang w:eastAsia="zh-CN"/>
              </w:rPr>
              <w:t>条，</w:t>
            </w:r>
            <w:r>
              <w:rPr>
                <w:rFonts w:hint="eastAsia" w:ascii="Times New Roman" w:hAnsi="Times New Roman" w:eastAsia="宋体" w:cs="Times New Roman"/>
                <w:color w:val="FF0000"/>
                <w:sz w:val="24"/>
                <w:szCs w:val="24"/>
                <w:lang w:val="en-US" w:eastAsia="zh-CN"/>
              </w:rPr>
              <w:t>防洪除涝</w:t>
            </w:r>
            <w:r>
              <w:rPr>
                <w:rFonts w:hint="default" w:ascii="Times New Roman" w:hAnsi="Times New Roman" w:eastAsia="宋体" w:cs="Times New Roman"/>
                <w:color w:val="FF0000"/>
                <w:sz w:val="24"/>
                <w:szCs w:val="24"/>
                <w:lang w:eastAsia="zh-CN"/>
              </w:rPr>
              <w:t>工程中，“</w:t>
            </w:r>
            <w:r>
              <w:rPr>
                <w:rFonts w:hint="eastAsia" w:ascii="Times New Roman" w:hAnsi="Times New Roman" w:eastAsia="宋体" w:cs="Times New Roman"/>
                <w:color w:val="FF0000"/>
                <w:sz w:val="24"/>
                <w:szCs w:val="24"/>
                <w:lang w:val="en-US" w:eastAsia="zh-CN"/>
              </w:rPr>
              <w:t>新建大中型</w:t>
            </w:r>
            <w:r>
              <w:rPr>
                <w:rFonts w:hint="default" w:ascii="Times New Roman" w:hAnsi="Times New Roman" w:eastAsia="宋体" w:cs="Times New Roman"/>
                <w:color w:val="FF0000"/>
                <w:sz w:val="24"/>
                <w:szCs w:val="24"/>
                <w:lang w:eastAsia="zh-CN"/>
              </w:rPr>
              <w:t>的”项目需要编制环境影响报告书，“其他（小型沟渠的护坡除外；城镇排涝河流水闸、排涝泵站除外）”类项</w:t>
            </w:r>
            <w:r>
              <w:rPr>
                <w:rFonts w:hint="default" w:ascii="Times New Roman" w:hAnsi="Times New Roman" w:eastAsia="宋体" w:cs="Times New Roman"/>
                <w:color w:val="FF0000"/>
                <w:sz w:val="24"/>
                <w:szCs w:val="24"/>
                <w:lang w:val="en-US" w:eastAsia="zh-CN"/>
              </w:rPr>
              <w:t>目需要编制环境影响报告表。本项目工程等别为V等</w:t>
            </w:r>
            <w:r>
              <w:rPr>
                <w:rFonts w:hint="eastAsia" w:ascii="Times New Roman" w:hAnsi="Times New Roman" w:eastAsia="宋体" w:cs="Times New Roman"/>
                <w:color w:val="FF0000"/>
                <w:sz w:val="24"/>
                <w:szCs w:val="24"/>
                <w:lang w:val="en-US" w:eastAsia="zh-CN"/>
              </w:rPr>
              <w:t>，根据《水利水电工程等级划分及洪水标准》（SL 252-2017）</w:t>
            </w:r>
            <w:r>
              <w:rPr>
                <w:rFonts w:hint="default"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本项目属于小型，</w:t>
            </w:r>
            <w:r>
              <w:rPr>
                <w:rFonts w:hint="default" w:ascii="Times New Roman" w:hAnsi="Times New Roman" w:eastAsia="宋体" w:cs="Times New Roman"/>
                <w:color w:val="FF0000"/>
                <w:sz w:val="24"/>
                <w:szCs w:val="24"/>
                <w:lang w:eastAsia="zh-CN"/>
              </w:rPr>
              <w:t>因此，本工程需编制环境影响报告表</w:t>
            </w:r>
            <w:r>
              <w:rPr>
                <w:rFonts w:hint="eastAsia" w:ascii="Times New Roman" w:hAnsi="Times New Roman" w:eastAsia="宋体" w:cs="Times New Roman"/>
                <w:color w:val="FF0000"/>
                <w:sz w:val="24"/>
                <w:szCs w:val="24"/>
                <w:lang w:val="en-US" w:eastAsia="zh-CN"/>
              </w:rPr>
              <w:t>。</w:t>
            </w:r>
          </w:p>
          <w:p w14:paraId="23E69C7F">
            <w:pPr>
              <w:pStyle w:val="19"/>
              <w:spacing w:after="0" w:line="360" w:lineRule="auto"/>
              <w:ind w:left="0" w:leftChars="0" w:firstLine="0" w:firstLineChars="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与“三线一单”符合性分析</w:t>
            </w:r>
          </w:p>
          <w:p w14:paraId="1168BDF6">
            <w:pPr>
              <w:pStyle w:val="62"/>
              <w:ind w:firstLine="480"/>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甘肃省生态环境厅关于实施“三线一单”生态环境分区管控动态更新成果的通知》（甘环发〔2024〕18号），全省共划定环境管控单元952个，分为优先保护单元、重点管控单元和一般管控单元三类，实施分类管控，项目相符性分析如下</w:t>
            </w:r>
            <w:r>
              <w:rPr>
                <w:rFonts w:hint="default" w:ascii="Times New Roman" w:hAnsi="Times New Roman" w:eastAsia="宋体" w:cs="Times New Roman"/>
                <w:color w:val="FF0000"/>
                <w:kern w:val="0"/>
                <w:sz w:val="24"/>
                <w:szCs w:val="24"/>
              </w:rPr>
              <w:t>：</w:t>
            </w:r>
          </w:p>
          <w:p w14:paraId="7DFBF41F">
            <w:pPr>
              <w:pStyle w:val="62"/>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⑴生态保护红线</w:t>
            </w:r>
          </w:p>
          <w:p w14:paraId="54D8BC4B">
            <w:pPr>
              <w:pStyle w:val="62"/>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庆阳市人民政府关于印发庆阳市“三线一单”生态环境分区管控实施方案的通知》（庆政发〔2021〕29号），全市共划定环境管控单元72个，分为优先保护单元、重点管控单元和一般管控单元三类，实施分类管控。</w:t>
            </w:r>
          </w:p>
          <w:p w14:paraId="54D874AA">
            <w:pPr>
              <w:pStyle w:val="62"/>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优先保护单元。共42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14:paraId="14507ACE">
            <w:pPr>
              <w:pStyle w:val="62"/>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点管控单元。共22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14:paraId="0F01C537">
            <w:pPr>
              <w:pStyle w:val="62"/>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般管控单元。共8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14:paraId="6364BF02">
            <w:pPr>
              <w:pStyle w:val="62"/>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生态环境分区管控单元根据生态保护红线和相关生态功能区域评估调整进行优化。</w:t>
            </w:r>
          </w:p>
          <w:p w14:paraId="087929F1">
            <w:pPr>
              <w:pStyle w:val="62"/>
              <w:ind w:firstLine="480"/>
              <w:rPr>
                <w:rFonts w:hint="eastAsia" w:cs="Times New Roman"/>
                <w:color w:val="FF0000"/>
                <w:sz w:val="24"/>
                <w:szCs w:val="24"/>
                <w:u w:val="none" w:color="auto"/>
                <w:lang w:eastAsia="zh-CN"/>
              </w:rPr>
            </w:pPr>
            <w:r>
              <w:rPr>
                <w:rFonts w:hint="default" w:ascii="Times New Roman" w:hAnsi="Times New Roman" w:eastAsia="宋体" w:cs="Times New Roman"/>
                <w:color w:val="FF0000"/>
                <w:sz w:val="24"/>
                <w:szCs w:val="24"/>
                <w:u w:val="none" w:color="auto"/>
              </w:rPr>
              <w:t>本项目属于</w:t>
            </w:r>
            <w:r>
              <w:rPr>
                <w:rFonts w:hint="eastAsia" w:cs="Times New Roman"/>
                <w:color w:val="FF0000"/>
                <w:sz w:val="24"/>
                <w:szCs w:val="24"/>
                <w:u w:val="none" w:color="auto"/>
                <w:lang w:eastAsia="zh-CN"/>
              </w:rPr>
              <w:t>宁县</w:t>
            </w:r>
            <w:r>
              <w:rPr>
                <w:rFonts w:hint="default" w:ascii="Times New Roman" w:hAnsi="Times New Roman" w:eastAsia="宋体" w:cs="Times New Roman"/>
                <w:color w:val="FF0000"/>
                <w:sz w:val="24"/>
                <w:szCs w:val="24"/>
                <w:u w:val="none" w:color="auto"/>
              </w:rPr>
              <w:t>“三线一单”环境管控单元中的</w:t>
            </w:r>
            <w:r>
              <w:rPr>
                <w:rFonts w:ascii="Times New Roman" w:hAnsi="Times New Roman" w:eastAsia="宋体" w:cs="Times New Roman"/>
                <w:color w:val="FF0000"/>
                <w:sz w:val="24"/>
                <w:lang w:val="en-US" w:eastAsia="zh-CN"/>
              </w:rPr>
              <w:t>宁县重点管控单元01</w:t>
            </w:r>
            <w:r>
              <w:rPr>
                <w:rFonts w:hint="eastAsia" w:cs="Times New Roman"/>
                <w:color w:val="FF0000"/>
                <w:sz w:val="24"/>
                <w:szCs w:val="24"/>
                <w:u w:val="none" w:color="auto"/>
                <w:lang w:eastAsia="zh-CN"/>
              </w:rPr>
              <w:t>。</w:t>
            </w:r>
          </w:p>
          <w:p w14:paraId="5EFC773A">
            <w:pPr>
              <w:pStyle w:val="62"/>
              <w:ind w:firstLine="480"/>
              <w:rPr>
                <w:rFonts w:hint="eastAsia" w:cs="Times New Roman"/>
                <w:color w:val="auto"/>
                <w:sz w:val="24"/>
                <w:szCs w:val="24"/>
                <w:u w:val="none" w:color="auto"/>
                <w:lang w:eastAsia="zh-CN"/>
              </w:rPr>
            </w:pPr>
            <w:r>
              <w:rPr>
                <w:rFonts w:hint="eastAsia" w:eastAsia="宋体" w:cs="Times New Roman"/>
                <w:color w:val="auto"/>
                <w:sz w:val="24"/>
                <w:szCs w:val="24"/>
                <w:u w:val="none" w:color="auto"/>
                <w:lang w:eastAsia="zh-CN"/>
              </w:rPr>
              <w:t>重点</w:t>
            </w:r>
            <w:r>
              <w:rPr>
                <w:rFonts w:hint="default" w:ascii="Times New Roman" w:hAnsi="Times New Roman" w:eastAsia="宋体" w:cs="Times New Roman"/>
                <w:color w:val="auto"/>
                <w:sz w:val="24"/>
                <w:szCs w:val="24"/>
                <w:u w:val="none" w:color="auto"/>
              </w:rPr>
              <w:t>管控单元主要推进产业结构和能源结构调整，优化交通结构和用地结构，不断提高资源能源利用效率，加强污染物排放控制和环境风险防控，解决突出生态环境问题。本项目</w:t>
            </w:r>
            <w:r>
              <w:rPr>
                <w:rFonts w:hint="eastAsia" w:eastAsia="宋体" w:cs="Times New Roman"/>
                <w:color w:val="auto"/>
                <w:sz w:val="24"/>
                <w:szCs w:val="24"/>
                <w:u w:val="none" w:color="auto"/>
                <w:lang w:eastAsia="zh-CN"/>
              </w:rPr>
              <w:t>为防洪除涝工程</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eastAsia="zh-CN"/>
              </w:rPr>
              <w:t>项目的建设</w:t>
            </w:r>
            <w:r>
              <w:rPr>
                <w:rFonts w:hint="default" w:ascii="Times New Roman" w:hAnsi="Times New Roman" w:eastAsia="宋体" w:cs="Times New Roman"/>
                <w:color w:val="auto"/>
                <w:sz w:val="24"/>
                <w:szCs w:val="24"/>
                <w:u w:val="none" w:color="auto"/>
              </w:rPr>
              <w:t>符合</w:t>
            </w:r>
            <w:r>
              <w:rPr>
                <w:rFonts w:hint="eastAsia" w:eastAsia="宋体" w:cs="Times New Roman"/>
                <w:color w:val="auto"/>
                <w:sz w:val="24"/>
                <w:szCs w:val="24"/>
                <w:u w:val="none" w:color="auto"/>
                <w:lang w:eastAsia="zh-CN"/>
              </w:rPr>
              <w:t>重点</w:t>
            </w:r>
            <w:r>
              <w:rPr>
                <w:rFonts w:hint="default" w:ascii="Times New Roman" w:hAnsi="Times New Roman" w:eastAsia="宋体" w:cs="Times New Roman"/>
                <w:color w:val="auto"/>
                <w:sz w:val="24"/>
                <w:szCs w:val="24"/>
                <w:u w:val="none" w:color="auto"/>
              </w:rPr>
              <w:t>管控单元要求</w:t>
            </w:r>
            <w:r>
              <w:rPr>
                <w:rFonts w:hint="eastAsia" w:cs="Times New Roman"/>
                <w:color w:val="auto"/>
                <w:sz w:val="24"/>
                <w:szCs w:val="24"/>
                <w:u w:val="none" w:color="auto"/>
                <w:lang w:eastAsia="zh-CN"/>
              </w:rPr>
              <w:t>。</w:t>
            </w:r>
          </w:p>
          <w:p w14:paraId="4115FAF1">
            <w:pPr>
              <w:pStyle w:val="62"/>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⑵环境质量底线</w:t>
            </w:r>
          </w:p>
          <w:p w14:paraId="166CC775">
            <w:pPr>
              <w:pStyle w:val="62"/>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1）大气环境质量底线</w:t>
            </w:r>
          </w:p>
          <w:p w14:paraId="76573BCC">
            <w:pPr>
              <w:pStyle w:val="62"/>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w:t>
            </w:r>
            <w:r>
              <w:rPr>
                <w:rFonts w:hint="eastAsia" w:eastAsia="宋体" w:cs="Times New Roman"/>
                <w:color w:val="000000" w:themeColor="text1"/>
                <w:sz w:val="24"/>
                <w:szCs w:val="24"/>
                <w:lang w:eastAsia="zh-CN"/>
                <w14:textFill>
                  <w14:solidFill>
                    <w14:schemeClr w14:val="tx1"/>
                  </w14:solidFill>
                </w14:textFill>
              </w:rPr>
              <w:t>宁县湘乐</w:t>
            </w:r>
            <w:r>
              <w:rPr>
                <w:rFonts w:hint="eastAsia" w:cs="Times New Roman"/>
                <w:color w:val="000000" w:themeColor="text1"/>
                <w:sz w:val="24"/>
                <w:szCs w:val="24"/>
                <w:lang w:val="en-US" w:eastAsia="zh-CN"/>
                <w14:textFill>
                  <w14:solidFill>
                    <w14:schemeClr w14:val="tx1"/>
                  </w14:solidFill>
                </w14:textFill>
              </w:rPr>
              <w:t>川</w:t>
            </w:r>
            <w:r>
              <w:rPr>
                <w:rFonts w:hint="default" w:ascii="Times New Roman" w:hAnsi="Times New Roman" w:eastAsia="宋体" w:cs="Times New Roman"/>
                <w:color w:val="000000" w:themeColor="text1"/>
                <w:sz w:val="24"/>
                <w:szCs w:val="24"/>
                <w14:textFill>
                  <w14:solidFill>
                    <w14:schemeClr w14:val="tx1"/>
                  </w14:solidFill>
                </w14:textFill>
              </w:rPr>
              <w:t>，根据《庆阳市202</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年环境空气质量月报》</w:t>
            </w:r>
            <w:r>
              <w:rPr>
                <w:rFonts w:hint="eastAsia" w:eastAsia="宋体" w:cs="Times New Roman"/>
                <w:color w:val="000000" w:themeColor="text1"/>
                <w:sz w:val="24"/>
                <w:szCs w:val="24"/>
                <w:lang w:eastAsia="zh-CN"/>
                <w14:textFill>
                  <w14:solidFill>
                    <w14:schemeClr w14:val="tx1"/>
                  </w14:solidFill>
                </w14:textFill>
              </w:rPr>
              <w:t>中宁县数据</w:t>
            </w:r>
            <w:r>
              <w:rPr>
                <w:rFonts w:hint="default" w:ascii="Times New Roman" w:hAnsi="Times New Roman" w:eastAsia="宋体" w:cs="Times New Roman"/>
                <w:color w:val="000000" w:themeColor="text1"/>
                <w:sz w:val="24"/>
                <w:szCs w:val="24"/>
                <w14:textFill>
                  <w14:solidFill>
                    <w14:schemeClr w14:val="tx1"/>
                  </w14:solidFill>
                </w14:textFill>
              </w:rPr>
              <w:t>，项目评价区域环境空气中SO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、CO、O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TSP均满足《环境空气质量标准》（GB3095-2012）及其2018年修改单中二级标准，评价区域环境空气质量良好。本项目实施后对区域环境大气环境等影响较小，不会改变评价区大气环境功能区划要求，符合环境质量底线要求。</w:t>
            </w:r>
          </w:p>
          <w:p w14:paraId="4CEB4D1B">
            <w:pPr>
              <w:pStyle w:val="62"/>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2）水环境质量底线</w:t>
            </w:r>
          </w:p>
          <w:p w14:paraId="163D422A">
            <w:pPr>
              <w:pStyle w:val="62"/>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根据地表水监测数据，项目所在区域因子能够满足《地表水环境质量标准》（GB3838-2002）中</w:t>
            </w:r>
            <w:r>
              <w:rPr>
                <w:rFonts w:hint="default" w:ascii="Times New Roman" w:hAnsi="Times New Roman" w:cs="Times New Roman"/>
                <w:color w:val="000000" w:themeColor="text1"/>
                <w:kern w:val="24"/>
                <w:sz w:val="24"/>
                <w:szCs w:val="21"/>
                <w14:textFill>
                  <w14:solidFill>
                    <w14:schemeClr w14:val="tx1"/>
                  </w14:solidFill>
                </w14:textFill>
              </w:rPr>
              <w:t>Ⅲ</w:t>
            </w:r>
            <w:r>
              <w:rPr>
                <w:rFonts w:hint="default" w:ascii="Times New Roman" w:hAnsi="Times New Roman" w:eastAsia="宋体" w:cs="Times New Roman"/>
                <w:color w:val="000000" w:themeColor="text1"/>
                <w:sz w:val="24"/>
                <w:szCs w:val="24"/>
                <w14:textFill>
                  <w14:solidFill>
                    <w14:schemeClr w14:val="tx1"/>
                  </w14:solidFill>
                </w14:textFill>
              </w:rPr>
              <w:t>类标准限值。</w:t>
            </w:r>
          </w:p>
          <w:p w14:paraId="7B2A322B">
            <w:pPr>
              <w:pStyle w:val="62"/>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综上所述，本项目的建设符合当地环境质量底线。</w:t>
            </w:r>
          </w:p>
          <w:p w14:paraId="03A85007">
            <w:pPr>
              <w:pStyle w:val="62"/>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资源利用上线</w:t>
            </w:r>
          </w:p>
          <w:p w14:paraId="26B312B5">
            <w:pPr>
              <w:pStyle w:val="62"/>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本项目运营过程中</w:t>
            </w:r>
            <w:r>
              <w:rPr>
                <w:rFonts w:hint="eastAsia" w:eastAsia="宋体" w:cs="Times New Roman"/>
                <w:color w:val="000000" w:themeColor="text1"/>
                <w:sz w:val="24"/>
                <w:szCs w:val="24"/>
                <w:lang w:eastAsia="zh-CN"/>
                <w14:textFill>
                  <w14:solidFill>
                    <w14:schemeClr w14:val="tx1"/>
                  </w14:solidFill>
                </w14:textFill>
              </w:rPr>
              <w:t>不消耗资源能源</w:t>
            </w:r>
            <w:r>
              <w:rPr>
                <w:rFonts w:hint="default" w:ascii="Times New Roman" w:hAnsi="Times New Roman" w:eastAsia="宋体" w:cs="Times New Roman"/>
                <w:color w:val="000000" w:themeColor="text1"/>
                <w:sz w:val="24"/>
                <w:szCs w:val="24"/>
                <w14:textFill>
                  <w14:solidFill>
                    <w14:schemeClr w14:val="tx1"/>
                  </w14:solidFill>
                </w14:textFill>
              </w:rPr>
              <w:t>，符合资源利用上限要求。</w:t>
            </w:r>
          </w:p>
          <w:p w14:paraId="7AB59A27">
            <w:pPr>
              <w:widowControl/>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本项目建设地点位于甘肃省庆阳市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宁县</w:t>
            </w:r>
            <w:r>
              <w:rPr>
                <w:rFonts w:hint="eastAsia" w:cs="Times New Roman"/>
                <w:color w:val="000000" w:themeColor="text1"/>
                <w:kern w:val="2"/>
                <w:sz w:val="24"/>
                <w:szCs w:val="24"/>
                <w:lang w:val="en-US" w:eastAsia="zh-CN" w:bidi="ar-SA"/>
                <w14:textFill>
                  <w14:solidFill>
                    <w14:schemeClr w14:val="tx1"/>
                  </w14:solidFill>
                </w14:textFill>
              </w:rPr>
              <w:t>湘乐川</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沿</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线</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与《庆阳市生态环境准入清单（试行）》（庆环委办发〔2022〕2号）</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中管控要求符合性分析内容详见表1-1。</w:t>
            </w:r>
          </w:p>
          <w:p w14:paraId="111CEAFC">
            <w:pPr>
              <w:adjustRightInd w:val="0"/>
              <w:snapToGrid w:val="0"/>
              <w:spacing w:line="360" w:lineRule="exact"/>
              <w:ind w:firstLine="480"/>
              <w:jc w:val="center"/>
              <w:rPr>
                <w:b/>
                <w:color w:val="000000" w:themeColor="text1"/>
                <w:szCs w:val="18"/>
                <w14:textFill>
                  <w14:solidFill>
                    <w14:schemeClr w14:val="tx1"/>
                  </w14:solidFill>
                </w14:textFill>
              </w:rPr>
            </w:pPr>
            <w:r>
              <w:rPr>
                <w:b/>
                <w:color w:val="000000" w:themeColor="text1"/>
                <w:szCs w:val="18"/>
                <w14:textFill>
                  <w14:solidFill>
                    <w14:schemeClr w14:val="tx1"/>
                  </w14:solidFill>
                </w14:textFill>
              </w:rPr>
              <w:t xml:space="preserve">表1-1 </w:t>
            </w:r>
            <w:r>
              <w:rPr>
                <w:rFonts w:hint="eastAsia"/>
                <w:b/>
                <w:color w:val="000000" w:themeColor="text1"/>
                <w:szCs w:val="18"/>
                <w14:textFill>
                  <w14:solidFill>
                    <w14:schemeClr w14:val="tx1"/>
                  </w14:solidFill>
                </w14:textFill>
              </w:rPr>
              <w:t xml:space="preserve"> </w:t>
            </w:r>
            <w:r>
              <w:rPr>
                <w:rFonts w:hint="eastAsia"/>
                <w:b/>
                <w:color w:val="000000" w:themeColor="text1"/>
                <w:szCs w:val="21"/>
                <w14:textFill>
                  <w14:solidFill>
                    <w14:schemeClr w14:val="tx1"/>
                  </w14:solidFill>
                </w14:textFill>
              </w:rPr>
              <w:t>生态环境准入清单</w:t>
            </w:r>
          </w:p>
          <w:tbl>
            <w:tblPr>
              <w:tblStyle w:val="20"/>
              <w:tblW w:w="68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5"/>
              <w:gridCol w:w="573"/>
              <w:gridCol w:w="3141"/>
              <w:gridCol w:w="1507"/>
              <w:gridCol w:w="902"/>
            </w:tblGrid>
            <w:tr w14:paraId="0A8F0B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755" w:type="dxa"/>
                  <w:tcBorders>
                    <w:tl2br w:val="nil"/>
                    <w:tr2bl w:val="nil"/>
                  </w:tcBorders>
                  <w:noWrap w:val="0"/>
                  <w:vAlign w:val="center"/>
                </w:tcPr>
                <w:p w14:paraId="23DBEC7C">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管控单元分类</w:t>
                  </w:r>
                </w:p>
              </w:tc>
              <w:tc>
                <w:tcPr>
                  <w:tcW w:w="3714" w:type="dxa"/>
                  <w:gridSpan w:val="2"/>
                  <w:tcBorders>
                    <w:tl2br w:val="nil"/>
                    <w:tr2bl w:val="nil"/>
                  </w:tcBorders>
                  <w:noWrap w:val="0"/>
                  <w:vAlign w:val="center"/>
                </w:tcPr>
                <w:p w14:paraId="54DD8A3D">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准入清单要求</w:t>
                  </w:r>
                </w:p>
              </w:tc>
              <w:tc>
                <w:tcPr>
                  <w:tcW w:w="1507" w:type="dxa"/>
                  <w:tcBorders>
                    <w:tl2br w:val="nil"/>
                    <w:tr2bl w:val="nil"/>
                  </w:tcBorders>
                  <w:noWrap w:val="0"/>
                  <w:vAlign w:val="center"/>
                </w:tcPr>
                <w:p w14:paraId="60BBEC26">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本项目情况</w:t>
                  </w:r>
                </w:p>
              </w:tc>
              <w:tc>
                <w:tcPr>
                  <w:tcW w:w="902" w:type="dxa"/>
                  <w:tcBorders>
                    <w:tl2br w:val="nil"/>
                    <w:tr2bl w:val="nil"/>
                  </w:tcBorders>
                  <w:noWrap w:val="0"/>
                  <w:vAlign w:val="center"/>
                </w:tcPr>
                <w:p w14:paraId="2331C3F8">
                  <w:pPr>
                    <w:pStyle w:val="54"/>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符合性</w:t>
                  </w:r>
                </w:p>
              </w:tc>
            </w:tr>
            <w:tr w14:paraId="7D3E04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45" w:hRule="atLeast"/>
                <w:jc w:val="center"/>
              </w:trPr>
              <w:tc>
                <w:tcPr>
                  <w:tcW w:w="755" w:type="dxa"/>
                  <w:vMerge w:val="restart"/>
                  <w:tcBorders>
                    <w:tl2br w:val="nil"/>
                    <w:tr2bl w:val="nil"/>
                  </w:tcBorders>
                  <w:noWrap w:val="0"/>
                  <w:vAlign w:val="center"/>
                </w:tcPr>
                <w:p w14:paraId="7BBFE3B2">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重点管控单元</w:t>
                  </w:r>
                  <w:r>
                    <w:rPr>
                      <w:rFonts w:ascii="Times New Roman" w:hAnsi="Times New Roman" w:eastAsia="宋体" w:cs="Times New Roman"/>
                      <w:color w:val="FF0000"/>
                      <w:sz w:val="24"/>
                      <w:lang w:val="en-US" w:eastAsia="zh-CN"/>
                    </w:rPr>
                    <w:t>01</w:t>
                  </w:r>
                </w:p>
              </w:tc>
              <w:tc>
                <w:tcPr>
                  <w:tcW w:w="573" w:type="dxa"/>
                  <w:tcBorders>
                    <w:tl2br w:val="nil"/>
                    <w:tr2bl w:val="nil"/>
                  </w:tcBorders>
                  <w:noWrap w:val="0"/>
                  <w:vAlign w:val="center"/>
                </w:tcPr>
                <w:p w14:paraId="10A522CD">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空间布局约束</w:t>
                  </w:r>
                </w:p>
              </w:tc>
              <w:tc>
                <w:tcPr>
                  <w:tcW w:w="3141" w:type="dxa"/>
                  <w:tcBorders>
                    <w:tl2br w:val="nil"/>
                    <w:tr2bl w:val="nil"/>
                  </w:tcBorders>
                  <w:noWrap w:val="0"/>
                  <w:vAlign w:val="center"/>
                </w:tcPr>
                <w:p w14:paraId="0F8BD922">
                  <w:pPr>
                    <w:pStyle w:val="54"/>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严格执行国家相关法律法规以及《关于深入打好污染防治攻坚战的意见》《关于加强高耗能、高排放建设项目生态环境源头防控的指导意见》《甘肃省大气污染防治条例》《甘肃省土壤污染防治条例》《甘肃省水污染防治条例》等要求。</w:t>
                  </w:r>
                </w:p>
              </w:tc>
              <w:tc>
                <w:tcPr>
                  <w:tcW w:w="1507" w:type="dxa"/>
                  <w:tcBorders>
                    <w:tl2br w:val="nil"/>
                    <w:tr2bl w:val="nil"/>
                  </w:tcBorders>
                  <w:noWrap w:val="0"/>
                  <w:vAlign w:val="center"/>
                </w:tcPr>
                <w:p w14:paraId="64C89FC0">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本项目不属于两高项目，不会对污染土壤，符合要求</w:t>
                  </w:r>
                </w:p>
              </w:tc>
              <w:tc>
                <w:tcPr>
                  <w:tcW w:w="902" w:type="dxa"/>
                  <w:tcBorders>
                    <w:tl2br w:val="nil"/>
                    <w:tr2bl w:val="nil"/>
                  </w:tcBorders>
                  <w:noWrap w:val="0"/>
                  <w:vAlign w:val="center"/>
                </w:tcPr>
                <w:p w14:paraId="3FFD612E">
                  <w:pPr>
                    <w:pStyle w:val="54"/>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7828E7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55" w:type="dxa"/>
                  <w:vMerge w:val="continue"/>
                  <w:tcBorders>
                    <w:tl2br w:val="nil"/>
                    <w:tr2bl w:val="nil"/>
                  </w:tcBorders>
                  <w:noWrap w:val="0"/>
                  <w:vAlign w:val="center"/>
                </w:tcPr>
                <w:p w14:paraId="6DF95A47">
                  <w:pPr>
                    <w:pStyle w:val="54"/>
                    <w:rPr>
                      <w:rFonts w:ascii="Times New Roman" w:hAnsi="Times New Roman" w:cs="Times New Roman"/>
                      <w:color w:val="000000" w:themeColor="text1"/>
                      <w:sz w:val="21"/>
                      <w:szCs w:val="21"/>
                      <w:lang w:val="en-US"/>
                      <w14:textFill>
                        <w14:solidFill>
                          <w14:schemeClr w14:val="tx1"/>
                        </w14:solidFill>
                      </w14:textFill>
                    </w:rPr>
                  </w:pPr>
                </w:p>
              </w:tc>
              <w:tc>
                <w:tcPr>
                  <w:tcW w:w="573" w:type="dxa"/>
                  <w:vMerge w:val="restart"/>
                  <w:tcBorders>
                    <w:tl2br w:val="nil"/>
                    <w:tr2bl w:val="nil"/>
                  </w:tcBorders>
                  <w:noWrap w:val="0"/>
                  <w:vAlign w:val="center"/>
                </w:tcPr>
                <w:p w14:paraId="7330D83E">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污染物排放管控</w:t>
                  </w:r>
                </w:p>
              </w:tc>
              <w:tc>
                <w:tcPr>
                  <w:tcW w:w="3141" w:type="dxa"/>
                  <w:tcBorders>
                    <w:tl2br w:val="nil"/>
                    <w:tr2bl w:val="nil"/>
                  </w:tcBorders>
                  <w:noWrap w:val="0"/>
                  <w:vAlign w:val="center"/>
                </w:tcPr>
                <w:p w14:paraId="45D63F6A">
                  <w:pPr>
                    <w:pStyle w:val="54"/>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严格执行《关于加强高耗能、高排放建设项目生态环境源头防控的指导意见》（环环评〔2021〕45 号）的有关要求。</w:t>
                  </w:r>
                </w:p>
              </w:tc>
              <w:tc>
                <w:tcPr>
                  <w:tcW w:w="1507" w:type="dxa"/>
                  <w:tcBorders>
                    <w:tl2br w:val="nil"/>
                    <w:tr2bl w:val="nil"/>
                  </w:tcBorders>
                  <w:noWrap w:val="0"/>
                  <w:vAlign w:val="center"/>
                </w:tcPr>
                <w:p w14:paraId="24D7DA98">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本项目不属于两高项目</w:t>
                  </w:r>
                </w:p>
              </w:tc>
              <w:tc>
                <w:tcPr>
                  <w:tcW w:w="902" w:type="dxa"/>
                  <w:tcBorders>
                    <w:tl2br w:val="nil"/>
                    <w:tr2bl w:val="nil"/>
                  </w:tcBorders>
                  <w:noWrap w:val="0"/>
                  <w:vAlign w:val="center"/>
                </w:tcPr>
                <w:p w14:paraId="142CD9F4">
                  <w:pPr>
                    <w:jc w:val="center"/>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2BC7F3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55" w:type="dxa"/>
                  <w:vMerge w:val="continue"/>
                  <w:tcBorders>
                    <w:tl2br w:val="nil"/>
                    <w:tr2bl w:val="nil"/>
                  </w:tcBorders>
                  <w:noWrap w:val="0"/>
                  <w:vAlign w:val="center"/>
                </w:tcPr>
                <w:p w14:paraId="5066B73A">
                  <w:pPr>
                    <w:pStyle w:val="54"/>
                    <w:rPr>
                      <w:rFonts w:ascii="Times New Roman" w:hAnsi="Times New Roman" w:cs="Times New Roman"/>
                      <w:color w:val="000000" w:themeColor="text1"/>
                      <w:sz w:val="21"/>
                      <w:szCs w:val="21"/>
                      <w:lang w:val="en-US"/>
                      <w14:textFill>
                        <w14:solidFill>
                          <w14:schemeClr w14:val="tx1"/>
                        </w14:solidFill>
                      </w14:textFill>
                    </w:rPr>
                  </w:pPr>
                </w:p>
              </w:tc>
              <w:tc>
                <w:tcPr>
                  <w:tcW w:w="573" w:type="dxa"/>
                  <w:vMerge w:val="continue"/>
                  <w:tcBorders>
                    <w:tl2br w:val="nil"/>
                    <w:tr2bl w:val="nil"/>
                  </w:tcBorders>
                  <w:noWrap w:val="0"/>
                  <w:vAlign w:val="center"/>
                </w:tcPr>
                <w:p w14:paraId="64974B6B">
                  <w:pPr>
                    <w:pStyle w:val="54"/>
                    <w:rPr>
                      <w:rFonts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14:paraId="15F139EF">
                  <w:pPr>
                    <w:pStyle w:val="54"/>
                    <w:jc w:val="cente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控制温室气体排放</w:t>
                  </w:r>
                </w:p>
              </w:tc>
              <w:tc>
                <w:tcPr>
                  <w:tcW w:w="1507" w:type="dxa"/>
                  <w:tcBorders>
                    <w:tl2br w:val="nil"/>
                    <w:tr2bl w:val="nil"/>
                  </w:tcBorders>
                  <w:noWrap w:val="0"/>
                  <w:vAlign w:val="center"/>
                </w:tcPr>
                <w:p w14:paraId="38FE86BB">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本项目不产生和排放二氧化碳气体，符合要求</w:t>
                  </w:r>
                </w:p>
              </w:tc>
              <w:tc>
                <w:tcPr>
                  <w:tcW w:w="902" w:type="dxa"/>
                  <w:tcBorders>
                    <w:tl2br w:val="nil"/>
                    <w:tr2bl w:val="nil"/>
                  </w:tcBorders>
                  <w:noWrap w:val="0"/>
                  <w:vAlign w:val="center"/>
                </w:tcPr>
                <w:p w14:paraId="2E945D8A">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72FBC1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755" w:type="dxa"/>
                  <w:vMerge w:val="continue"/>
                  <w:tcBorders>
                    <w:tl2br w:val="nil"/>
                    <w:tr2bl w:val="nil"/>
                  </w:tcBorders>
                  <w:noWrap w:val="0"/>
                  <w:vAlign w:val="center"/>
                </w:tcPr>
                <w:p w14:paraId="0E131D8E">
                  <w:pPr>
                    <w:pStyle w:val="54"/>
                    <w:rPr>
                      <w:rFonts w:ascii="Times New Roman" w:hAnsi="Times New Roman" w:cs="Times New Roman"/>
                      <w:color w:val="000000" w:themeColor="text1"/>
                      <w:sz w:val="21"/>
                      <w:szCs w:val="21"/>
                      <w:lang w:val="en-US"/>
                      <w14:textFill>
                        <w14:solidFill>
                          <w14:schemeClr w14:val="tx1"/>
                        </w14:solidFill>
                      </w14:textFill>
                    </w:rPr>
                  </w:pPr>
                </w:p>
              </w:tc>
              <w:tc>
                <w:tcPr>
                  <w:tcW w:w="573" w:type="dxa"/>
                  <w:vMerge w:val="continue"/>
                  <w:tcBorders>
                    <w:tl2br w:val="nil"/>
                    <w:tr2bl w:val="nil"/>
                  </w:tcBorders>
                  <w:noWrap w:val="0"/>
                  <w:vAlign w:val="center"/>
                </w:tcPr>
                <w:p w14:paraId="31B087FB">
                  <w:pPr>
                    <w:pStyle w:val="54"/>
                    <w:rPr>
                      <w:rFonts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14:paraId="29B0C6B5">
                  <w:pPr>
                    <w:pStyle w:val="54"/>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推进工业水污染防治，严格做好化工等高耗水、高污染项目管控。</w:t>
                  </w:r>
                </w:p>
              </w:tc>
              <w:tc>
                <w:tcPr>
                  <w:tcW w:w="1507" w:type="dxa"/>
                  <w:tcBorders>
                    <w:tl2br w:val="nil"/>
                    <w:tr2bl w:val="nil"/>
                  </w:tcBorders>
                  <w:noWrap w:val="0"/>
                  <w:vAlign w:val="center"/>
                </w:tcPr>
                <w:p w14:paraId="6F0F542B">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项目运营期无废水产生和排放</w:t>
                  </w:r>
                </w:p>
              </w:tc>
              <w:tc>
                <w:tcPr>
                  <w:tcW w:w="902" w:type="dxa"/>
                  <w:tcBorders>
                    <w:tl2br w:val="nil"/>
                    <w:tr2bl w:val="nil"/>
                  </w:tcBorders>
                  <w:noWrap w:val="0"/>
                  <w:vAlign w:val="center"/>
                </w:tcPr>
                <w:p w14:paraId="73437B48">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2F56D4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14:paraId="667C43B6">
                  <w:pPr>
                    <w:pStyle w:val="5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14:paraId="3A5572F4">
                  <w:pPr>
                    <w:pStyle w:val="54"/>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14:paraId="32156454">
                  <w:pPr>
                    <w:pStyle w:val="54"/>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执行《中华人民共和国土壤污染防治法》《地下水污染防治实施方案》《甘肃省土壤污染防治条例》等有关污染物排放相关规定。</w:t>
                  </w:r>
                </w:p>
              </w:tc>
              <w:tc>
                <w:tcPr>
                  <w:tcW w:w="1507" w:type="dxa"/>
                  <w:tcBorders>
                    <w:tl2br w:val="nil"/>
                    <w:tr2bl w:val="nil"/>
                  </w:tcBorders>
                  <w:noWrap w:val="0"/>
                  <w:vAlign w:val="center"/>
                </w:tcPr>
                <w:p w14:paraId="063C7B8A">
                  <w:pPr>
                    <w:pStyle w:val="54"/>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14:paraId="7ECE0428">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181BC7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755" w:type="dxa"/>
                  <w:vMerge w:val="continue"/>
                  <w:tcBorders>
                    <w:tl2br w:val="nil"/>
                    <w:tr2bl w:val="nil"/>
                  </w:tcBorders>
                  <w:noWrap w:val="0"/>
                  <w:vAlign w:val="center"/>
                </w:tcPr>
                <w:p w14:paraId="7092C323">
                  <w:pPr>
                    <w:pStyle w:val="54"/>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14:paraId="3437DDF3">
                  <w:pPr>
                    <w:pStyle w:val="54"/>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14:paraId="62444A9E">
                  <w:pPr>
                    <w:pStyle w:val="54"/>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加大对煤矿开采和能源开发企业的废水排放管控力度。</w:t>
                  </w:r>
                </w:p>
              </w:tc>
              <w:tc>
                <w:tcPr>
                  <w:tcW w:w="1507" w:type="dxa"/>
                  <w:tcBorders>
                    <w:tl2br w:val="nil"/>
                    <w:tr2bl w:val="nil"/>
                  </w:tcBorders>
                  <w:noWrap w:val="0"/>
                  <w:vAlign w:val="center"/>
                </w:tcPr>
                <w:p w14:paraId="75147F44">
                  <w:pPr>
                    <w:pStyle w:val="54"/>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14:paraId="15C0823E">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0AC30D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14:paraId="634DA571">
                  <w:pPr>
                    <w:pStyle w:val="54"/>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14:paraId="5E150CCF">
                  <w:pPr>
                    <w:pStyle w:val="54"/>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14:paraId="4D9C5E96">
                  <w:pPr>
                    <w:pStyle w:val="54"/>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新建、改建和扩建现代煤化工生产建设项目应严格执行《现代煤化工建设项目环境准入条件（试行）》中污染防治要求。</w:t>
                  </w:r>
                </w:p>
              </w:tc>
              <w:tc>
                <w:tcPr>
                  <w:tcW w:w="1507" w:type="dxa"/>
                  <w:tcBorders>
                    <w:tl2br w:val="nil"/>
                    <w:tr2bl w:val="nil"/>
                  </w:tcBorders>
                  <w:noWrap w:val="0"/>
                  <w:vAlign w:val="center"/>
                </w:tcPr>
                <w:p w14:paraId="77E249F9">
                  <w:pPr>
                    <w:pStyle w:val="54"/>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14:paraId="21E84E12">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3EDA0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98" w:hRule="atLeast"/>
                <w:jc w:val="center"/>
              </w:trPr>
              <w:tc>
                <w:tcPr>
                  <w:tcW w:w="755" w:type="dxa"/>
                  <w:vMerge w:val="continue"/>
                  <w:tcBorders>
                    <w:tl2br w:val="nil"/>
                    <w:tr2bl w:val="nil"/>
                  </w:tcBorders>
                  <w:noWrap w:val="0"/>
                  <w:vAlign w:val="center"/>
                </w:tcPr>
                <w:p w14:paraId="27D893C5">
                  <w:pPr>
                    <w:pStyle w:val="54"/>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restart"/>
                  <w:tcBorders>
                    <w:tl2br w:val="nil"/>
                    <w:tr2bl w:val="nil"/>
                  </w:tcBorders>
                  <w:noWrap w:val="0"/>
                  <w:vAlign w:val="center"/>
                </w:tcPr>
                <w:p w14:paraId="1D2CB7D0">
                  <w:pPr>
                    <w:pStyle w:val="54"/>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环境风险防控</w:t>
                  </w:r>
                </w:p>
              </w:tc>
              <w:tc>
                <w:tcPr>
                  <w:tcW w:w="3141" w:type="dxa"/>
                  <w:tcBorders>
                    <w:tl2br w:val="nil"/>
                    <w:tr2bl w:val="nil"/>
                  </w:tcBorders>
                  <w:noWrap w:val="0"/>
                  <w:vAlign w:val="center"/>
                </w:tcPr>
                <w:p w14:paraId="5BD97E5F">
                  <w:pPr>
                    <w:pStyle w:val="54"/>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企业应按照《环境保护法》《突发环境事件应急管理办法》等要求开展突发环境事件风险评估；完善突发环境事件风险防控措施；排查治理环境安全隐患；制定突发环境事件应急预案并备案、演练；加强环境应急能力保障建设。发生或者可能发生突发环境事件时，企业事业单位应当依法进行处理，并对所造成的损害承担责任。</w:t>
                  </w:r>
                </w:p>
              </w:tc>
              <w:tc>
                <w:tcPr>
                  <w:tcW w:w="1507" w:type="dxa"/>
                  <w:tcBorders>
                    <w:tl2br w:val="nil"/>
                    <w:tr2bl w:val="nil"/>
                  </w:tcBorders>
                  <w:noWrap w:val="0"/>
                  <w:vAlign w:val="center"/>
                </w:tcPr>
                <w:p w14:paraId="45CF8661">
                  <w:pPr>
                    <w:pStyle w:val="54"/>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14:paraId="4567EA33">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23598B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14:paraId="45045FF5">
                  <w:pPr>
                    <w:pStyle w:val="54"/>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14:paraId="51D7757D">
                  <w:pPr>
                    <w:pStyle w:val="54"/>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14:paraId="58CDF26B">
                  <w:pPr>
                    <w:pStyle w:val="54"/>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企业应完善包括有效防止泄漏物质、消防水、污染雨水等扩散至外环境的收集、导流、拦截、降污等突发环境事件风险防控措施。</w:t>
                  </w:r>
                </w:p>
              </w:tc>
              <w:tc>
                <w:tcPr>
                  <w:tcW w:w="1507" w:type="dxa"/>
                  <w:tcBorders>
                    <w:tl2br w:val="nil"/>
                    <w:tr2bl w:val="nil"/>
                  </w:tcBorders>
                  <w:noWrap w:val="0"/>
                  <w:vAlign w:val="center"/>
                </w:tcPr>
                <w:p w14:paraId="7B8C5D6E">
                  <w:pPr>
                    <w:pStyle w:val="54"/>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14:paraId="2326A622">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08A865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14:paraId="1C96FA7D">
                  <w:pPr>
                    <w:pStyle w:val="54"/>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14:paraId="29293E07">
                  <w:pPr>
                    <w:pStyle w:val="54"/>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14:paraId="4BB62306">
                  <w:pPr>
                    <w:pStyle w:val="54"/>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企业要加强内部管理，将土壤污染防治纳入环境风险防控体系，严格依法依规建设和运营污染治理设施，确保重点污染物稳定达标排放。</w:t>
                  </w:r>
                </w:p>
              </w:tc>
              <w:tc>
                <w:tcPr>
                  <w:tcW w:w="1507" w:type="dxa"/>
                  <w:tcBorders>
                    <w:tl2br w:val="nil"/>
                    <w:tr2bl w:val="nil"/>
                  </w:tcBorders>
                  <w:noWrap w:val="0"/>
                  <w:vAlign w:val="center"/>
                </w:tcPr>
                <w:p w14:paraId="599768B3">
                  <w:pPr>
                    <w:pStyle w:val="54"/>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项目施工期严格管理，运营期无三废产生与排放</w:t>
                  </w:r>
                </w:p>
              </w:tc>
              <w:tc>
                <w:tcPr>
                  <w:tcW w:w="902" w:type="dxa"/>
                  <w:tcBorders>
                    <w:tl2br w:val="nil"/>
                    <w:tr2bl w:val="nil"/>
                  </w:tcBorders>
                  <w:noWrap w:val="0"/>
                  <w:vAlign w:val="center"/>
                </w:tcPr>
                <w:p w14:paraId="6DF865C2">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73D051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4" w:hRule="atLeast"/>
                <w:jc w:val="center"/>
              </w:trPr>
              <w:tc>
                <w:tcPr>
                  <w:tcW w:w="755" w:type="dxa"/>
                  <w:vMerge w:val="continue"/>
                  <w:tcBorders>
                    <w:tl2br w:val="nil"/>
                    <w:tr2bl w:val="nil"/>
                  </w:tcBorders>
                  <w:noWrap w:val="0"/>
                  <w:vAlign w:val="center"/>
                </w:tcPr>
                <w:p w14:paraId="243B8968">
                  <w:pPr>
                    <w:pStyle w:val="54"/>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tcBorders>
                    <w:tl2br w:val="nil"/>
                    <w:tr2bl w:val="nil"/>
                  </w:tcBorders>
                  <w:noWrap w:val="0"/>
                  <w:vAlign w:val="center"/>
                </w:tcPr>
                <w:p w14:paraId="4A79FCF2">
                  <w:pPr>
                    <w:pStyle w:val="54"/>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资源利用率要求</w:t>
                  </w:r>
                </w:p>
              </w:tc>
              <w:tc>
                <w:tcPr>
                  <w:tcW w:w="3141" w:type="dxa"/>
                  <w:tcBorders>
                    <w:tl2br w:val="nil"/>
                    <w:tr2bl w:val="nil"/>
                  </w:tcBorders>
                  <w:noWrap w:val="0"/>
                  <w:vAlign w:val="center"/>
                </w:tcPr>
                <w:p w14:paraId="3F7AC5FC">
                  <w:pPr>
                    <w:pStyle w:val="54"/>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全市用水总量等水资源利用指标完成省上下达的目标。实行水资源消耗总量和强度双控。着力提高工业用水循环利用率，促进水资源可持续利用</w:t>
                  </w:r>
                </w:p>
              </w:tc>
              <w:tc>
                <w:tcPr>
                  <w:tcW w:w="1507" w:type="dxa"/>
                  <w:tcBorders>
                    <w:tl2br w:val="nil"/>
                    <w:tr2bl w:val="nil"/>
                  </w:tcBorders>
                  <w:noWrap w:val="0"/>
                  <w:vAlign w:val="center"/>
                </w:tcPr>
                <w:p w14:paraId="4C099CA8">
                  <w:pPr>
                    <w:pStyle w:val="54"/>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本项目运营期不涉及</w:t>
                  </w:r>
                </w:p>
              </w:tc>
              <w:tc>
                <w:tcPr>
                  <w:tcW w:w="902" w:type="dxa"/>
                  <w:tcBorders>
                    <w:tl2br w:val="nil"/>
                    <w:tr2bl w:val="nil"/>
                  </w:tcBorders>
                  <w:noWrap w:val="0"/>
                  <w:vAlign w:val="center"/>
                </w:tcPr>
                <w:p w14:paraId="1A42B0E9">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bl>
          <w:p w14:paraId="5744173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与环境相关政策符合性分析</w:t>
            </w:r>
          </w:p>
          <w:p w14:paraId="274F0620">
            <w:pPr>
              <w:pStyle w:val="5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本项目与《深入打好污染防治攻坚战》、《黄河流域高质量发展规划》等的相关现行环境管理要求进行对比分析对比情况见表1-</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27F266EC">
            <w:pPr>
              <w:pStyle w:val="54"/>
              <w:keepNext w:val="0"/>
              <w:keepLines w:val="0"/>
              <w:pageBreakBefore w:val="0"/>
              <w:widowControl w:val="0"/>
              <w:kinsoku/>
              <w:wordWrap/>
              <w:overflowPunct/>
              <w:topLinePunct w:val="0"/>
              <w:autoSpaceDE/>
              <w:autoSpaceDN/>
              <w:bidi w:val="0"/>
              <w:adjustRightInd/>
              <w:snapToGrid/>
              <w:spacing w:line="240" w:lineRule="auto"/>
              <w:ind w:left="0" w:right="0" w:firstLine="422" w:firstLineChars="200"/>
              <w:jc w:val="center"/>
              <w:textAlignment w:val="auto"/>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b/>
                <w:bCs w:val="0"/>
                <w:color w:val="000000" w:themeColor="text1"/>
                <w:sz w:val="21"/>
                <w:szCs w:val="21"/>
                <w14:textFill>
                  <w14:solidFill>
                    <w14:schemeClr w14:val="tx1"/>
                  </w14:solidFill>
                </w14:textFill>
              </w:rPr>
              <w:t>表</w:t>
            </w:r>
            <w:r>
              <w:rPr>
                <w:b/>
                <w:bCs w:val="0"/>
                <w:color w:val="000000" w:themeColor="text1"/>
                <w:spacing w:val="-59"/>
                <w:sz w:val="21"/>
                <w:szCs w:val="21"/>
                <w14:textFill>
                  <w14:solidFill>
                    <w14:schemeClr w14:val="tx1"/>
                  </w14:solidFill>
                </w14:textFill>
              </w:rPr>
              <w:t xml:space="preserve"> </w:t>
            </w:r>
            <w:r>
              <w:rPr>
                <w:rFonts w:hint="eastAsia" w:ascii="Times New Roman" w:eastAsia="宋体"/>
                <w:b/>
                <w:bCs w:val="0"/>
                <w:color w:val="000000" w:themeColor="text1"/>
                <w:sz w:val="21"/>
                <w:szCs w:val="21"/>
                <w:lang w:val="en-US" w:eastAsia="zh-CN"/>
                <w14:textFill>
                  <w14:solidFill>
                    <w14:schemeClr w14:val="tx1"/>
                  </w14:solidFill>
                </w14:textFill>
              </w:rPr>
              <w:t>1-</w:t>
            </w:r>
            <w:r>
              <w:rPr>
                <w:rFonts w:hint="eastAsia" w:ascii="Times New Roman"/>
                <w:b/>
                <w:bCs w:val="0"/>
                <w:color w:val="000000" w:themeColor="text1"/>
                <w:sz w:val="21"/>
                <w:szCs w:val="21"/>
                <w:lang w:val="en-US" w:eastAsia="zh-CN"/>
                <w14:textFill>
                  <w14:solidFill>
                    <w14:schemeClr w14:val="tx1"/>
                  </w14:solidFill>
                </w14:textFill>
              </w:rPr>
              <w:t>2</w:t>
            </w:r>
            <w:r>
              <w:rPr>
                <w:rFonts w:ascii="Times New Roman" w:eastAsia="Times New Roman"/>
                <w:b/>
                <w:bCs w:val="0"/>
                <w:color w:val="000000" w:themeColor="text1"/>
                <w:sz w:val="21"/>
                <w:szCs w:val="21"/>
                <w14:textFill>
                  <w14:solidFill>
                    <w14:schemeClr w14:val="tx1"/>
                  </w14:solidFill>
                </w14:textFill>
              </w:rPr>
              <w:tab/>
            </w:r>
            <w:r>
              <w:rPr>
                <w:b/>
                <w:bCs w:val="0"/>
                <w:color w:val="000000" w:themeColor="text1"/>
                <w:sz w:val="21"/>
                <w:szCs w:val="21"/>
                <w14:textFill>
                  <w14:solidFill>
                    <w14:schemeClr w14:val="tx1"/>
                  </w14:solidFill>
                </w14:textFill>
              </w:rPr>
              <w:t>本项目与环境管理政策符合性分析一览表</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747"/>
              <w:gridCol w:w="2411"/>
              <w:gridCol w:w="794"/>
            </w:tblGrid>
            <w:tr w14:paraId="48C21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640" w:type="dxa"/>
                  <w:gridSpan w:val="2"/>
                  <w:tcBorders>
                    <w:tl2br w:val="nil"/>
                    <w:tr2bl w:val="nil"/>
                  </w:tcBorders>
                  <w:noWrap w:val="0"/>
                  <w:vAlign w:val="center"/>
                </w:tcPr>
                <w:p w14:paraId="54D9A7E8">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环境保护政策</w:t>
                  </w:r>
                </w:p>
              </w:tc>
              <w:tc>
                <w:tcPr>
                  <w:tcW w:w="2411" w:type="dxa"/>
                  <w:vMerge w:val="restart"/>
                  <w:tcBorders>
                    <w:tl2br w:val="nil"/>
                    <w:tr2bl w:val="nil"/>
                  </w:tcBorders>
                  <w:noWrap w:val="0"/>
                  <w:vAlign w:val="center"/>
                </w:tcPr>
                <w:p w14:paraId="76C94E34">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项目状况</w:t>
                  </w:r>
                </w:p>
              </w:tc>
              <w:tc>
                <w:tcPr>
                  <w:tcW w:w="794" w:type="dxa"/>
                  <w:vMerge w:val="restart"/>
                  <w:tcBorders>
                    <w:tl2br w:val="nil"/>
                    <w:tr2bl w:val="nil"/>
                  </w:tcBorders>
                  <w:noWrap w:val="0"/>
                  <w:vAlign w:val="center"/>
                </w:tcPr>
                <w:p w14:paraId="00AE1FB5">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对比结果</w:t>
                  </w:r>
                </w:p>
              </w:tc>
            </w:tr>
            <w:tr w14:paraId="384C0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tcBorders>
                    <w:tl2br w:val="nil"/>
                    <w:tr2bl w:val="nil"/>
                  </w:tcBorders>
                  <w:noWrap w:val="0"/>
                  <w:vAlign w:val="center"/>
                </w:tcPr>
                <w:p w14:paraId="64C68E88">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名称</w:t>
                  </w:r>
                </w:p>
              </w:tc>
              <w:tc>
                <w:tcPr>
                  <w:tcW w:w="2747" w:type="dxa"/>
                  <w:tcBorders>
                    <w:tl2br w:val="nil"/>
                    <w:tr2bl w:val="nil"/>
                  </w:tcBorders>
                  <w:noWrap w:val="0"/>
                  <w:vAlign w:val="center"/>
                </w:tcPr>
                <w:p w14:paraId="7B521FDB">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环境管理要求</w:t>
                  </w:r>
                </w:p>
              </w:tc>
              <w:tc>
                <w:tcPr>
                  <w:tcW w:w="2411" w:type="dxa"/>
                  <w:vMerge w:val="continue"/>
                  <w:tcBorders>
                    <w:tl2br w:val="nil"/>
                    <w:tr2bl w:val="nil"/>
                  </w:tcBorders>
                  <w:noWrap w:val="0"/>
                  <w:vAlign w:val="center"/>
                </w:tcPr>
                <w:p w14:paraId="1BBE3DF0">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94" w:type="dxa"/>
                  <w:vMerge w:val="continue"/>
                  <w:tcBorders>
                    <w:tl2br w:val="nil"/>
                    <w:tr2bl w:val="nil"/>
                  </w:tcBorders>
                  <w:noWrap w:val="0"/>
                  <w:vAlign w:val="center"/>
                </w:tcPr>
                <w:p w14:paraId="063D5891">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14:paraId="6C73A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893" w:type="dxa"/>
                  <w:vMerge w:val="restart"/>
                  <w:tcBorders>
                    <w:tl2br w:val="nil"/>
                    <w:tr2bl w:val="nil"/>
                  </w:tcBorders>
                  <w:noWrap w:val="0"/>
                  <w:vAlign w:val="center"/>
                </w:tcPr>
                <w:p w14:paraId="396BF77C">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《深入打好污染防治攻坚战》</w:t>
                  </w:r>
                </w:p>
              </w:tc>
              <w:tc>
                <w:tcPr>
                  <w:tcW w:w="2747" w:type="dxa"/>
                  <w:tcBorders>
                    <w:tl2br w:val="nil"/>
                    <w:tr2bl w:val="nil"/>
                  </w:tcBorders>
                  <w:noWrap w:val="0"/>
                  <w:vAlign w:val="center"/>
                </w:tcPr>
                <w:p w14:paraId="1B0699B3">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统筹好上下游、左右岸、干支流、城市和乡村，系统推进城市黑臭水体治理。加强农业农村和工业企业污染防治，有效控制入河污染物排放。强化溯源整治，杜绝污水直接排入雨水管网。推进城镇污水管网全覆盖，对进水情况出现明显异常的污水处理厂，开展片区管网系统化整治。因地制宜开展水体内源污染治理和生态修复，增强河湖自净功能。充分发挥河长制、湖长制作用，巩固城市黑臭水体治理成效，建立防止返黑返臭的长效机制。</w:t>
                  </w:r>
                </w:p>
              </w:tc>
              <w:tc>
                <w:tcPr>
                  <w:tcW w:w="2411" w:type="dxa"/>
                  <w:tcBorders>
                    <w:tl2br w:val="nil"/>
                    <w:tr2bl w:val="nil"/>
                  </w:tcBorders>
                  <w:noWrap w:val="0"/>
                  <w:vAlign w:val="center"/>
                </w:tcPr>
                <w:p w14:paraId="5560DEC7">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本项目为河道治理工程，项目实施后，优化了河道生态环境</w:t>
                  </w:r>
                </w:p>
              </w:tc>
              <w:tc>
                <w:tcPr>
                  <w:tcW w:w="794" w:type="dxa"/>
                  <w:tcBorders>
                    <w:tl2br w:val="nil"/>
                    <w:tr2bl w:val="nil"/>
                  </w:tcBorders>
                  <w:noWrap w:val="0"/>
                  <w:vAlign w:val="center"/>
                </w:tcPr>
                <w:p w14:paraId="6E9918EB">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14:paraId="619B2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93" w:type="dxa"/>
                  <w:vMerge w:val="continue"/>
                  <w:tcBorders>
                    <w:tl2br w:val="nil"/>
                    <w:tr2bl w:val="nil"/>
                  </w:tcBorders>
                  <w:noWrap w:val="0"/>
                  <w:vAlign w:val="center"/>
                </w:tcPr>
                <w:p w14:paraId="25F1E1A1">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2747" w:type="dxa"/>
                  <w:tcBorders>
                    <w:tl2br w:val="nil"/>
                    <w:tr2bl w:val="nil"/>
                  </w:tcBorders>
                  <w:noWrap w:val="0"/>
                  <w:vAlign w:val="center"/>
                </w:tcPr>
                <w:p w14:paraId="25BE189B">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强化施工、道路、堆场、裸露地面等扬尘管控，加强城市保洁和清扫。</w:t>
                  </w:r>
                </w:p>
              </w:tc>
              <w:tc>
                <w:tcPr>
                  <w:tcW w:w="2411" w:type="dxa"/>
                  <w:tcBorders>
                    <w:tl2br w:val="nil"/>
                    <w:tr2bl w:val="nil"/>
                  </w:tcBorders>
                  <w:noWrap w:val="0"/>
                  <w:vAlign w:val="center"/>
                </w:tcPr>
                <w:p w14:paraId="79396BAE">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本项目为河道治理项目，责任主体为宁县水务局，在施工过程中对施工方严格要求，对物料堆场及时进行苫盖等措施，以减少扬尘对大气的影响</w:t>
                  </w:r>
                </w:p>
              </w:tc>
              <w:tc>
                <w:tcPr>
                  <w:tcW w:w="794" w:type="dxa"/>
                  <w:tcBorders>
                    <w:tl2br w:val="nil"/>
                    <w:tr2bl w:val="nil"/>
                  </w:tcBorders>
                  <w:noWrap w:val="0"/>
                  <w:vAlign w:val="center"/>
                </w:tcPr>
                <w:p w14:paraId="1DAD13A4">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14:paraId="7178B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tcBorders>
                    <w:tl2br w:val="nil"/>
                    <w:tr2bl w:val="nil"/>
                  </w:tcBorders>
                  <w:noWrap w:val="0"/>
                  <w:vAlign w:val="center"/>
                </w:tcPr>
                <w:p w14:paraId="76396FEC">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《黄河流域高质量发展规划》</w:t>
                  </w:r>
                </w:p>
              </w:tc>
              <w:tc>
                <w:tcPr>
                  <w:tcW w:w="2747" w:type="dxa"/>
                  <w:tcBorders>
                    <w:tl2br w:val="nil"/>
                    <w:tr2bl w:val="nil"/>
                  </w:tcBorders>
                  <w:noWrap w:val="0"/>
                  <w:vAlign w:val="center"/>
                </w:tcPr>
                <w:p w14:paraId="467F278A">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合理划分滩区类型，因滩施策、综合治理下游滩区，统筹做好高滩区防洪安全和土地利用。实施好滩区居民迁建工程，积极引导社会资本参与滩区居民迁建。加强滩区水源和优质土地保护修复，依法合理利用滩区土地资源，实施滩区国土空间差别化用途管制，严格限制自发修建生产堤等无序活动，依法打击非法采土、盗挖河砂、私搭乱建等行为。</w:t>
                  </w:r>
                </w:p>
              </w:tc>
              <w:tc>
                <w:tcPr>
                  <w:tcW w:w="2411" w:type="dxa"/>
                  <w:tcBorders>
                    <w:tl2br w:val="nil"/>
                    <w:tr2bl w:val="nil"/>
                  </w:tcBorders>
                  <w:noWrap w:val="0"/>
                  <w:vAlign w:val="center"/>
                </w:tcPr>
                <w:p w14:paraId="506B2C7A">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本项目为河道整治项目</w:t>
                  </w:r>
                  <w:r>
                    <w:rPr>
                      <w:rFonts w:hint="eastAsia" w:ascii="Times New Roman" w:hAnsi="Times New Roman" w:cs="Times New Roman"/>
                      <w:color w:val="auto"/>
                      <w:kern w:val="2"/>
                      <w:sz w:val="21"/>
                      <w:szCs w:val="21"/>
                      <w:lang w:val="en-US" w:eastAsia="zh-CN" w:bidi="ar-SA"/>
                    </w:rPr>
                    <w:t>，有利于</w:t>
                  </w:r>
                  <w:r>
                    <w:rPr>
                      <w:rFonts w:hint="eastAsia" w:ascii="Times New Roman" w:hAnsi="Times New Roman" w:eastAsia="宋体" w:cs="Times New Roman"/>
                      <w:color w:val="auto"/>
                      <w:kern w:val="2"/>
                      <w:sz w:val="21"/>
                      <w:szCs w:val="21"/>
                      <w:lang w:val="en-US" w:eastAsia="zh-CN" w:bidi="ar-SA"/>
                    </w:rPr>
                    <w:t>水源和优质土地保护修复</w:t>
                  </w:r>
                </w:p>
              </w:tc>
              <w:tc>
                <w:tcPr>
                  <w:tcW w:w="794" w:type="dxa"/>
                  <w:tcBorders>
                    <w:tl2br w:val="nil"/>
                    <w:tr2bl w:val="nil"/>
                  </w:tcBorders>
                  <w:noWrap w:val="0"/>
                  <w:vAlign w:val="center"/>
                </w:tcPr>
                <w:p w14:paraId="7ABC2932">
                  <w:pPr>
                    <w:pStyle w:val="5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bl>
          <w:p w14:paraId="7BDE552D">
            <w:pPr>
              <w:keepNext/>
              <w:keepLines/>
              <w:adjustRightInd w:val="0"/>
              <w:snapToGrid w:val="0"/>
              <w:spacing w:before="120" w:beforeLines="50" w:after="120" w:afterLines="50" w:line="360" w:lineRule="auto"/>
              <w:outlineLvl w:val="2"/>
              <w:rPr>
                <w:rFonts w:hint="default" w:ascii="Times New Roman" w:hAnsi="Times New Roman" w:cs="Times New Roman"/>
                <w:b/>
                <w:bCs/>
                <w:color w:val="000000" w:themeColor="text1"/>
                <w:sz w:val="28"/>
                <w:szCs w:val="28"/>
                <w:lang w:val="zh-CN"/>
                <w14:textFill>
                  <w14:solidFill>
                    <w14:schemeClr w14:val="tx1"/>
                  </w14:solidFill>
                </w14:textFill>
              </w:rPr>
            </w:pP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与环境功能区划相符性分析</w:t>
            </w:r>
          </w:p>
          <w:p w14:paraId="20479BC5">
            <w:pPr>
              <w:keepNext/>
              <w:adjustRightInd w:val="0"/>
              <w:snapToGrid w:val="0"/>
              <w:spacing w:line="360" w:lineRule="auto"/>
              <w:outlineLvl w:val="3"/>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与《甘肃省庆阳市生态市建设规划》（2009-2020）的符合性分析</w:t>
            </w:r>
          </w:p>
          <w:p w14:paraId="3AA8516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根据《甘肃省庆阳市生态市建设规划》（2009-2020），庆阳市划分为4个生态功能区，“中部残塬沟壑综合生态经济发展区”划分为6个亚区，划分方案见表1-</w:t>
            </w:r>
            <w:r>
              <w:rPr>
                <w:rFonts w:hint="eastAsia" w:cs="Times New Roman"/>
                <w:color w:val="000000" w:themeColor="text1"/>
                <w:kern w:val="0"/>
                <w:sz w:val="24"/>
                <w:szCs w:val="24"/>
                <w:lang w:val="en-US" w:eastAsia="zh-CN"/>
                <w14:textFill>
                  <w14:solidFill>
                    <w14:schemeClr w14:val="tx1"/>
                  </w14:solidFill>
                </w14:textFill>
              </w:rPr>
              <w:t>3，具体见附图1。</w:t>
            </w:r>
          </w:p>
          <w:p w14:paraId="471CF141">
            <w:pPr>
              <w:pStyle w:val="52"/>
              <w:bidi w:val="0"/>
              <w:spacing w:line="240" w:lineRule="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 xml:space="preserve">  庆阳市生态功能区划方案</w:t>
            </w:r>
          </w:p>
          <w:tbl>
            <w:tblPr>
              <w:tblStyle w:val="20"/>
              <w:tblW w:w="6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107"/>
              <w:gridCol w:w="857"/>
              <w:gridCol w:w="2811"/>
            </w:tblGrid>
            <w:tr w14:paraId="52FF6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noWrap w:val="0"/>
                  <w:vAlign w:val="center"/>
                </w:tcPr>
                <w:p w14:paraId="2D1E9896">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一级区</w:t>
                  </w:r>
                </w:p>
              </w:tc>
              <w:tc>
                <w:tcPr>
                  <w:tcW w:w="2107" w:type="dxa"/>
                  <w:tcBorders>
                    <w:tl2br w:val="nil"/>
                    <w:tr2bl w:val="nil"/>
                  </w:tcBorders>
                  <w:noWrap w:val="0"/>
                  <w:vAlign w:val="center"/>
                </w:tcPr>
                <w:p w14:paraId="2660FA2C">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857" w:type="dxa"/>
                  <w:tcBorders>
                    <w:tl2br w:val="nil"/>
                    <w:tr2bl w:val="nil"/>
                  </w:tcBorders>
                  <w:noWrap w:val="0"/>
                  <w:vAlign w:val="center"/>
                </w:tcPr>
                <w:p w14:paraId="16C2F0E9">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亚区</w:t>
                  </w:r>
                </w:p>
              </w:tc>
              <w:tc>
                <w:tcPr>
                  <w:tcW w:w="2811" w:type="dxa"/>
                  <w:tcBorders>
                    <w:tl2br w:val="nil"/>
                    <w:tr2bl w:val="nil"/>
                  </w:tcBorders>
                  <w:noWrap w:val="0"/>
                  <w:vAlign w:val="center"/>
                </w:tcPr>
                <w:p w14:paraId="253BB108">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r>
            <w:tr w14:paraId="27676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noWrap w:val="0"/>
                  <w:vAlign w:val="center"/>
                </w:tcPr>
                <w:p w14:paraId="552FCB07">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w:t>
                  </w:r>
                </w:p>
              </w:tc>
              <w:tc>
                <w:tcPr>
                  <w:tcW w:w="2107" w:type="dxa"/>
                  <w:tcBorders>
                    <w:tl2br w:val="nil"/>
                    <w:tr2bl w:val="nil"/>
                  </w:tcBorders>
                  <w:noWrap w:val="0"/>
                  <w:vAlign w:val="center"/>
                </w:tcPr>
                <w:p w14:paraId="3088DC57">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东部子午岭天然次生林水源涵养保护区</w:t>
                  </w:r>
                </w:p>
              </w:tc>
              <w:tc>
                <w:tcPr>
                  <w:tcW w:w="857" w:type="dxa"/>
                  <w:tcBorders>
                    <w:tl2br w:val="nil"/>
                    <w:tr2bl w:val="nil"/>
                  </w:tcBorders>
                  <w:noWrap w:val="0"/>
                  <w:vAlign w:val="center"/>
                </w:tcPr>
                <w:p w14:paraId="2D5E5D23">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811" w:type="dxa"/>
                  <w:tcBorders>
                    <w:tl2br w:val="nil"/>
                    <w:tr2bl w:val="nil"/>
                  </w:tcBorders>
                  <w:noWrap w:val="0"/>
                  <w:vAlign w:val="center"/>
                </w:tcPr>
                <w:p w14:paraId="202EDE10">
                  <w:pPr>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6B6C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tcBorders>
                    <w:tl2br w:val="nil"/>
                    <w:tr2bl w:val="nil"/>
                  </w:tcBorders>
                  <w:noWrap w:val="0"/>
                  <w:vAlign w:val="center"/>
                </w:tcPr>
                <w:p w14:paraId="50871EDA">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p>
              </w:tc>
              <w:tc>
                <w:tcPr>
                  <w:tcW w:w="2107" w:type="dxa"/>
                  <w:vMerge w:val="restart"/>
                  <w:tcBorders>
                    <w:tl2br w:val="nil"/>
                    <w:tr2bl w:val="nil"/>
                  </w:tcBorders>
                  <w:noWrap w:val="0"/>
                  <w:vAlign w:val="center"/>
                </w:tcPr>
                <w:p w14:paraId="48EF8A89">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中部残塬沟壑</w:t>
                  </w:r>
                </w:p>
                <w:p w14:paraId="045DFDDA">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综合发展区</w:t>
                  </w:r>
                </w:p>
              </w:tc>
              <w:tc>
                <w:tcPr>
                  <w:tcW w:w="857" w:type="dxa"/>
                  <w:tcBorders>
                    <w:tl2br w:val="nil"/>
                    <w:tr2bl w:val="nil"/>
                  </w:tcBorders>
                  <w:noWrap w:val="0"/>
                  <w:vAlign w:val="center"/>
                </w:tcPr>
                <w:p w14:paraId="339E16C4">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Ⅱ-1</w:t>
                  </w:r>
                </w:p>
              </w:tc>
              <w:tc>
                <w:tcPr>
                  <w:tcW w:w="2811" w:type="dxa"/>
                  <w:tcBorders>
                    <w:tl2br w:val="nil"/>
                    <w:tr2bl w:val="nil"/>
                  </w:tcBorders>
                  <w:noWrap w:val="0"/>
                  <w:vAlign w:val="center"/>
                </w:tcPr>
                <w:p w14:paraId="7F6B0B42">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中部林缘旱作农业</w:t>
                  </w:r>
                </w:p>
                <w:p w14:paraId="7035AE52">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及林果产业发展亚区</w:t>
                  </w:r>
                </w:p>
              </w:tc>
            </w:tr>
            <w:tr w14:paraId="162E0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14:paraId="4164B5F8">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14:paraId="25A1BC89">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14:paraId="1CC3558B">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Ⅱ-2</w:t>
                  </w:r>
                </w:p>
              </w:tc>
              <w:tc>
                <w:tcPr>
                  <w:tcW w:w="2811" w:type="dxa"/>
                  <w:tcBorders>
                    <w:tl2br w:val="nil"/>
                    <w:tr2bl w:val="nil"/>
                  </w:tcBorders>
                  <w:noWrap w:val="0"/>
                  <w:vAlign w:val="center"/>
                </w:tcPr>
                <w:p w14:paraId="7D0A9884">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中南部生态工业集中</w:t>
                  </w:r>
                </w:p>
                <w:p w14:paraId="4F417B71">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发展亚区</w:t>
                  </w:r>
                </w:p>
              </w:tc>
            </w:tr>
            <w:tr w14:paraId="3FB53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14:paraId="50802E48">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14:paraId="7E1C3FEF">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14:paraId="5C1CA85A">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Ⅱ-3</w:t>
                  </w:r>
                </w:p>
              </w:tc>
              <w:tc>
                <w:tcPr>
                  <w:tcW w:w="2811" w:type="dxa"/>
                  <w:tcBorders>
                    <w:tl2br w:val="nil"/>
                    <w:tr2bl w:val="nil"/>
                  </w:tcBorders>
                  <w:noWrap w:val="0"/>
                  <w:vAlign w:val="center"/>
                </w:tcPr>
                <w:p w14:paraId="03934CF3">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重要水源地保护亚区</w:t>
                  </w:r>
                </w:p>
              </w:tc>
            </w:tr>
            <w:tr w14:paraId="29E64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14:paraId="413DE99F">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14:paraId="0709B05C">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14:paraId="491DA655">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Ⅱ-4</w:t>
                  </w:r>
                </w:p>
              </w:tc>
              <w:tc>
                <w:tcPr>
                  <w:tcW w:w="2811" w:type="dxa"/>
                  <w:tcBorders>
                    <w:tl2br w:val="nil"/>
                    <w:tr2bl w:val="nil"/>
                  </w:tcBorders>
                  <w:noWrap w:val="0"/>
                  <w:vAlign w:val="center"/>
                </w:tcPr>
                <w:p w14:paraId="509F28D5">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中部残塬沟壑粮</w:t>
                  </w:r>
                </w:p>
                <w:p w14:paraId="4EBF78E2">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食基地生产亚区</w:t>
                  </w:r>
                </w:p>
              </w:tc>
            </w:tr>
            <w:tr w14:paraId="03153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14:paraId="34A3B2FF">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14:paraId="5C602B5F">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14:paraId="3E4BBC24">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Ⅱ-5</w:t>
                  </w:r>
                </w:p>
              </w:tc>
              <w:tc>
                <w:tcPr>
                  <w:tcW w:w="2811" w:type="dxa"/>
                  <w:tcBorders>
                    <w:tl2br w:val="nil"/>
                    <w:tr2bl w:val="nil"/>
                  </w:tcBorders>
                  <w:noWrap w:val="0"/>
                  <w:vAlign w:val="center"/>
                </w:tcPr>
                <w:p w14:paraId="561DA274">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环江沿线工矿型</w:t>
                  </w:r>
                </w:p>
                <w:p w14:paraId="379CDCFD">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能源化工产业发展亚区</w:t>
                  </w:r>
                </w:p>
              </w:tc>
            </w:tr>
            <w:tr w14:paraId="5CB24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14:paraId="0B8E496E">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14:paraId="4A761387">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14:paraId="5DF25A57">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Ⅱ-6</w:t>
                  </w:r>
                </w:p>
              </w:tc>
              <w:tc>
                <w:tcPr>
                  <w:tcW w:w="2811" w:type="dxa"/>
                  <w:tcBorders>
                    <w:tl2br w:val="nil"/>
                    <w:tr2bl w:val="nil"/>
                  </w:tcBorders>
                  <w:noWrap w:val="0"/>
                  <w:vAlign w:val="center"/>
                </w:tcPr>
                <w:p w14:paraId="47590DBB">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中西部丘陵沟壑农牧业与工矿型产业发展亚区</w:t>
                  </w:r>
                </w:p>
              </w:tc>
            </w:tr>
            <w:tr w14:paraId="1E82F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noWrap w:val="0"/>
                  <w:vAlign w:val="center"/>
                </w:tcPr>
                <w:p w14:paraId="012016D6">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w:t>
                  </w:r>
                </w:p>
              </w:tc>
              <w:tc>
                <w:tcPr>
                  <w:tcW w:w="2107" w:type="dxa"/>
                  <w:tcBorders>
                    <w:tl2br w:val="nil"/>
                    <w:tr2bl w:val="nil"/>
                  </w:tcBorders>
                  <w:noWrap w:val="0"/>
                  <w:vAlign w:val="center"/>
                </w:tcPr>
                <w:p w14:paraId="46FF497C">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北部丘陵沟壑生态恢复与治理区</w:t>
                  </w:r>
                </w:p>
              </w:tc>
              <w:tc>
                <w:tcPr>
                  <w:tcW w:w="857" w:type="dxa"/>
                  <w:tcBorders>
                    <w:tl2br w:val="nil"/>
                    <w:tr2bl w:val="nil"/>
                  </w:tcBorders>
                  <w:noWrap w:val="0"/>
                  <w:vAlign w:val="center"/>
                </w:tcPr>
                <w:p w14:paraId="31A5616F">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811" w:type="dxa"/>
                  <w:tcBorders>
                    <w:tl2br w:val="nil"/>
                    <w:tr2bl w:val="nil"/>
                  </w:tcBorders>
                  <w:noWrap w:val="0"/>
                  <w:vAlign w:val="center"/>
                </w:tcPr>
                <w:p w14:paraId="3B4D2F6E">
                  <w:pPr>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r w14:paraId="6E9EC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noWrap w:val="0"/>
                  <w:vAlign w:val="center"/>
                </w:tcPr>
                <w:p w14:paraId="6BDA1DA5">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Ⅳ</w:t>
                  </w:r>
                </w:p>
              </w:tc>
              <w:tc>
                <w:tcPr>
                  <w:tcW w:w="2107" w:type="dxa"/>
                  <w:tcBorders>
                    <w:tl2br w:val="nil"/>
                    <w:tr2bl w:val="nil"/>
                  </w:tcBorders>
                  <w:noWrap w:val="0"/>
                  <w:vAlign w:val="center"/>
                </w:tcPr>
                <w:p w14:paraId="4FF82C22">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西南部高原沟壑生态恢复区</w:t>
                  </w:r>
                </w:p>
              </w:tc>
              <w:tc>
                <w:tcPr>
                  <w:tcW w:w="857" w:type="dxa"/>
                  <w:tcBorders>
                    <w:tl2br w:val="nil"/>
                    <w:tr2bl w:val="nil"/>
                  </w:tcBorders>
                  <w:noWrap w:val="0"/>
                  <w:vAlign w:val="center"/>
                </w:tcPr>
                <w:p w14:paraId="78A926AD">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811" w:type="dxa"/>
                  <w:tcBorders>
                    <w:tl2br w:val="nil"/>
                    <w:tr2bl w:val="nil"/>
                  </w:tcBorders>
                  <w:noWrap w:val="0"/>
                  <w:vAlign w:val="center"/>
                </w:tcPr>
                <w:p w14:paraId="107ACE20">
                  <w:pPr>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58EF02C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24"/>
                <w:sz w:val="24"/>
                <w:szCs w:val="21"/>
                <w14:textFill>
                  <w14:solidFill>
                    <w14:schemeClr w14:val="tx1"/>
                  </w14:solidFill>
                </w14:textFill>
              </w:rPr>
            </w:pPr>
            <w:r>
              <w:rPr>
                <w:rFonts w:hint="default" w:ascii="Times New Roman" w:hAnsi="Times New Roman" w:cs="Times New Roman"/>
                <w:color w:val="000000" w:themeColor="text1"/>
                <w:kern w:val="24"/>
                <w:sz w:val="24"/>
                <w:szCs w:val="21"/>
                <w:lang w:val="en-US" w:eastAsia="zh-CN"/>
                <w14:textFill>
                  <w14:solidFill>
                    <w14:schemeClr w14:val="tx1"/>
                  </w14:solidFill>
                </w14:textFill>
              </w:rPr>
              <w:t>根据庆阳市生态市建设规划，</w:t>
            </w:r>
            <w:r>
              <w:rPr>
                <w:rFonts w:hint="eastAsia" w:ascii="Times New Roman" w:hAnsi="Times New Roman" w:cs="Times New Roman"/>
                <w:color w:val="000000" w:themeColor="text1"/>
                <w:kern w:val="24"/>
                <w:sz w:val="24"/>
                <w:szCs w:val="21"/>
                <w:lang w:eastAsia="zh-CN"/>
                <w14:textFill>
                  <w14:solidFill>
                    <w14:schemeClr w14:val="tx1"/>
                  </w14:solidFill>
                </w14:textFill>
              </w:rPr>
              <w:t>本项目位于宁县</w:t>
            </w:r>
            <w:r>
              <w:rPr>
                <w:rFonts w:hint="eastAsia" w:cs="Times New Roman"/>
                <w:color w:val="000000" w:themeColor="text1"/>
                <w:kern w:val="24"/>
                <w:sz w:val="24"/>
                <w:szCs w:val="21"/>
                <w:lang w:eastAsia="zh-CN"/>
                <w14:textFill>
                  <w14:solidFill>
                    <w14:schemeClr w14:val="tx1"/>
                  </w14:solidFill>
                </w14:textFill>
              </w:rPr>
              <w:t>湘乐</w:t>
            </w:r>
            <w:r>
              <w:rPr>
                <w:rFonts w:hint="eastAsia" w:cs="Times New Roman"/>
                <w:color w:val="000000" w:themeColor="text1"/>
                <w:kern w:val="24"/>
                <w:sz w:val="24"/>
                <w:szCs w:val="21"/>
                <w:lang w:val="en-US" w:eastAsia="zh-CN"/>
                <w14:textFill>
                  <w14:solidFill>
                    <w14:schemeClr w14:val="tx1"/>
                  </w14:solidFill>
                </w14:textFill>
              </w:rPr>
              <w:t>川</w:t>
            </w:r>
            <w:r>
              <w:rPr>
                <w:rFonts w:hint="eastAsia" w:ascii="Times New Roman" w:hAnsi="Times New Roman" w:cs="Times New Roman"/>
                <w:color w:val="000000" w:themeColor="text1"/>
                <w:kern w:val="24"/>
                <w:sz w:val="24"/>
                <w:szCs w:val="21"/>
                <w:lang w:eastAsia="zh-CN"/>
                <w14:textFill>
                  <w14:solidFill>
                    <w14:schemeClr w14:val="tx1"/>
                  </w14:solidFill>
                </w14:textFill>
              </w:rPr>
              <w:t>，所处生态环境功能区为Ⅱ</w:t>
            </w:r>
            <w:r>
              <w:rPr>
                <w:rFonts w:hint="eastAsia" w:ascii="Times New Roman" w:hAnsi="Times New Roman" w:cs="Times New Roman"/>
                <w:color w:val="000000" w:themeColor="text1"/>
                <w:kern w:val="24"/>
                <w:sz w:val="24"/>
                <w:szCs w:val="21"/>
                <w:lang w:val="en-US" w:eastAsia="zh-CN"/>
                <w14:textFill>
                  <w14:solidFill>
                    <w14:schemeClr w14:val="tx1"/>
                  </w14:solidFill>
                </w14:textFill>
              </w:rPr>
              <w:t>-2</w:t>
            </w:r>
            <w:r>
              <w:rPr>
                <w:rFonts w:hint="default" w:ascii="Times New Roman" w:hAnsi="Times New Roman" w:cs="Times New Roman"/>
                <w:color w:val="000000" w:themeColor="text1"/>
                <w:kern w:val="24"/>
                <w:sz w:val="24"/>
                <w:szCs w:val="21"/>
                <w14:textFill>
                  <w14:solidFill>
                    <w14:schemeClr w14:val="tx1"/>
                  </w14:solidFill>
                </w14:textFill>
              </w:rPr>
              <w:t>中南部生态工业集中发展亚区</w:t>
            </w:r>
            <w:r>
              <w:rPr>
                <w:rFonts w:hint="eastAsia" w:cs="Times New Roman"/>
                <w:color w:val="000000" w:themeColor="text1"/>
                <w:kern w:val="24"/>
                <w:sz w:val="24"/>
                <w:szCs w:val="21"/>
                <w:lang w:eastAsia="zh-CN"/>
                <w14:textFill>
                  <w14:solidFill>
                    <w14:schemeClr w14:val="tx1"/>
                  </w14:solidFill>
                </w14:textFill>
              </w:rPr>
              <w:t>，具体见附图</w:t>
            </w:r>
            <w:r>
              <w:rPr>
                <w:rFonts w:hint="eastAsia" w:cs="Times New Roman"/>
                <w:color w:val="000000" w:themeColor="text1"/>
                <w:kern w:val="24"/>
                <w:sz w:val="24"/>
                <w:szCs w:val="21"/>
                <w:lang w:val="en-US" w:eastAsia="zh-CN"/>
                <w14:textFill>
                  <w14:solidFill>
                    <w14:schemeClr w14:val="tx1"/>
                  </w14:solidFill>
                </w14:textFill>
              </w:rPr>
              <w:t>2</w:t>
            </w:r>
            <w:r>
              <w:rPr>
                <w:rFonts w:hint="default" w:ascii="Times New Roman" w:hAnsi="Times New Roman" w:cs="Times New Roman"/>
                <w:color w:val="000000" w:themeColor="text1"/>
                <w:kern w:val="24"/>
                <w:sz w:val="24"/>
                <w:szCs w:val="21"/>
                <w14:textFill>
                  <w14:solidFill>
                    <w14:schemeClr w14:val="tx1"/>
                  </w14:solidFill>
                </w14:textFill>
              </w:rPr>
              <w:t>。</w:t>
            </w:r>
          </w:p>
          <w:p w14:paraId="2793978C">
            <w:pPr>
              <w:keepNext/>
              <w:keepLines w:val="0"/>
              <w:pageBreakBefore w:val="0"/>
              <w:kinsoku/>
              <w:wordWrap/>
              <w:overflowPunct/>
              <w:topLinePunct w:val="0"/>
              <w:autoSpaceDE/>
              <w:autoSpaceDN/>
              <w:bidi w:val="0"/>
              <w:adjustRightInd/>
              <w:snapToGrid/>
              <w:spacing w:line="360" w:lineRule="auto"/>
              <w:jc w:val="left"/>
              <w:textAlignment w:val="auto"/>
              <w:outlineLvl w:val="3"/>
              <w:rPr>
                <w:rFonts w:hint="default" w:ascii="Times New Roman" w:hAnsi="Times New Roman" w:cs="Times New Roman"/>
                <w:bCs/>
                <w:color w:val="000000" w:themeColor="text1"/>
                <w:sz w:val="24"/>
                <w:szCs w:val="28"/>
                <w:lang w:val="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val="0"/>
                <w:color w:val="000000" w:themeColor="text1"/>
                <w:sz w:val="24"/>
                <w:szCs w:val="28"/>
                <w:lang w:val="zh-CN"/>
                <w14:textFill>
                  <w14:solidFill>
                    <w14:schemeClr w14:val="tx1"/>
                  </w14:solidFill>
                </w14:textFill>
              </w:rPr>
              <w:t>与《甘肃省地表水功能区划》（2012-2030年）相符性分析</w:t>
            </w:r>
          </w:p>
          <w:p w14:paraId="604C0F5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24"/>
                <w:sz w:val="24"/>
                <w:szCs w:val="21"/>
                <w14:textFill>
                  <w14:solidFill>
                    <w14:schemeClr w14:val="tx1"/>
                  </w14:solidFill>
                </w14:textFill>
              </w:rPr>
            </w:pPr>
            <w:r>
              <w:rPr>
                <w:rFonts w:hint="default" w:ascii="Times New Roman" w:hAnsi="Times New Roman" w:cs="Times New Roman"/>
                <w:color w:val="000000" w:themeColor="text1"/>
                <w:kern w:val="24"/>
                <w:sz w:val="24"/>
                <w:szCs w:val="21"/>
                <w14:textFill>
                  <w14:solidFill>
                    <w14:schemeClr w14:val="tx1"/>
                  </w14:solidFill>
                </w14:textFill>
              </w:rPr>
              <w:t>根据《甘肃省地表水功能区划》（2012-2030年），评价区主要地表水体为</w:t>
            </w:r>
            <w:r>
              <w:rPr>
                <w:rFonts w:hint="eastAsia" w:cs="Times New Roman"/>
                <w:color w:val="000000" w:themeColor="text1"/>
                <w:kern w:val="24"/>
                <w:sz w:val="24"/>
                <w:szCs w:val="21"/>
                <w:lang w:eastAsia="zh-CN"/>
                <w14:textFill>
                  <w14:solidFill>
                    <w14:schemeClr w14:val="tx1"/>
                  </w14:solidFill>
                </w14:textFill>
              </w:rPr>
              <w:t>湘乐川</w:t>
            </w:r>
            <w:r>
              <w:rPr>
                <w:rFonts w:hint="default" w:ascii="Times New Roman" w:hAnsi="Times New Roman" w:cs="Times New Roman"/>
                <w:color w:val="000000" w:themeColor="text1"/>
                <w:kern w:val="24"/>
                <w:sz w:val="24"/>
                <w:szCs w:val="21"/>
                <w14:textFill>
                  <w14:solidFill>
                    <w14:schemeClr w14:val="tx1"/>
                  </w14:solidFill>
                </w14:textFill>
              </w:rPr>
              <w:t>，环境功能分别属于Ⅲ类。本项目施工期污废水均不排放，对地表水环境影响较小，因此项目建设符合评价区地表水环境功能区划的要求</w:t>
            </w:r>
            <w:r>
              <w:rPr>
                <w:rFonts w:hint="eastAsia" w:cs="Times New Roman"/>
                <w:color w:val="000000" w:themeColor="text1"/>
                <w:kern w:val="24"/>
                <w:sz w:val="24"/>
                <w:szCs w:val="21"/>
                <w:lang w:eastAsia="zh-CN"/>
                <w14:textFill>
                  <w14:solidFill>
                    <w14:schemeClr w14:val="tx1"/>
                  </w14:solidFill>
                </w14:textFill>
              </w:rPr>
              <w:t>，项目水系见附图</w:t>
            </w:r>
            <w:r>
              <w:rPr>
                <w:rFonts w:hint="eastAsia" w:cs="Times New Roman"/>
                <w:color w:val="000000" w:themeColor="text1"/>
                <w:kern w:val="24"/>
                <w:sz w:val="24"/>
                <w:szCs w:val="21"/>
                <w:lang w:val="en-US" w:eastAsia="zh-CN"/>
                <w14:textFill>
                  <w14:solidFill>
                    <w14:schemeClr w14:val="tx1"/>
                  </w14:solidFill>
                </w14:textFill>
              </w:rPr>
              <w:t>3</w:t>
            </w:r>
            <w:r>
              <w:rPr>
                <w:rFonts w:hint="default" w:ascii="Times New Roman" w:hAnsi="Times New Roman" w:cs="Times New Roman"/>
                <w:color w:val="000000" w:themeColor="text1"/>
                <w:kern w:val="24"/>
                <w:sz w:val="24"/>
                <w:szCs w:val="21"/>
                <w14:textFill>
                  <w14:solidFill>
                    <w14:schemeClr w14:val="tx1"/>
                  </w14:solidFill>
                </w14:textFill>
              </w:rPr>
              <w:t>。</w:t>
            </w:r>
          </w:p>
          <w:p w14:paraId="005D6A4E">
            <w:pPr>
              <w:numPr>
                <w:ilvl w:val="0"/>
                <w:numId w:val="0"/>
              </w:numPr>
              <w:wordWrap w:val="0"/>
              <w:autoSpaceDE w:val="0"/>
              <w:autoSpaceDN w:val="0"/>
              <w:spacing w:line="360" w:lineRule="auto"/>
              <w:jc w:val="left"/>
              <w:rPr>
                <w:rFonts w:hint="default" w:ascii="Times New Roman" w:hAnsi="Times New Roman" w:eastAsia="宋体" w:cs="Times New Roman"/>
                <w:b/>
                <w:bCs/>
                <w:color w:val="auto"/>
                <w:sz w:val="24"/>
                <w:u w:val="none" w:color="auto"/>
                <w:lang w:eastAsia="zh-CN"/>
              </w:rPr>
            </w:pPr>
            <w:r>
              <w:rPr>
                <w:rFonts w:hint="default" w:ascii="Times New Roman" w:hAnsi="Times New Roman" w:eastAsia="宋体" w:cs="Times New Roman"/>
                <w:b/>
                <w:bCs/>
                <w:color w:val="auto"/>
                <w:kern w:val="0"/>
                <w:sz w:val="24"/>
              </w:rPr>
              <w:t>（3）</w:t>
            </w:r>
            <w:r>
              <w:rPr>
                <w:rFonts w:hint="default" w:ascii="Times New Roman" w:hAnsi="Times New Roman" w:eastAsia="宋体" w:cs="Times New Roman"/>
                <w:b/>
                <w:bCs/>
                <w:color w:val="auto"/>
                <w:sz w:val="24"/>
                <w:u w:val="none" w:color="auto"/>
                <w:lang w:eastAsia="zh-CN"/>
              </w:rPr>
              <w:t>与《甘肃省“十四五”生态环境保护规划》符合性分析</w:t>
            </w:r>
          </w:p>
          <w:p w14:paraId="5F4527B0">
            <w:pPr>
              <w:numPr>
                <w:ilvl w:val="0"/>
                <w:numId w:val="0"/>
              </w:numPr>
              <w:wordWrap w:val="0"/>
              <w:autoSpaceDE w:val="0"/>
              <w:autoSpaceDN w:val="0"/>
              <w:spacing w:line="360" w:lineRule="auto"/>
              <w:ind w:firstLine="480" w:firstLineChars="200"/>
              <w:jc w:val="left"/>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本项目与《甘肃省“十四五”生态环境保护规划》（甘政办发〔2021〕105号）中要求符合性分析见下表。</w:t>
            </w:r>
          </w:p>
          <w:p w14:paraId="279AE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FF0000"/>
                <w:spacing w:val="0"/>
                <w:w w:val="100"/>
                <w:kern w:val="0"/>
                <w:position w:val="0"/>
                <w:sz w:val="22"/>
                <w:szCs w:val="22"/>
                <w:highlight w:val="none"/>
                <w:u w:val="none" w:color="auto"/>
                <w:lang w:val="en-US" w:eastAsia="zh-CN"/>
              </w:rPr>
            </w:pPr>
            <w:r>
              <w:rPr>
                <w:rFonts w:hint="default" w:ascii="Times New Roman" w:hAnsi="Times New Roman" w:eastAsia="宋体" w:cs="Times New Roman"/>
                <w:b/>
                <w:bCs/>
                <w:color w:val="FF0000"/>
                <w:spacing w:val="0"/>
                <w:w w:val="100"/>
                <w:kern w:val="0"/>
                <w:position w:val="0"/>
                <w:sz w:val="22"/>
                <w:szCs w:val="22"/>
                <w:highlight w:val="none"/>
                <w:u w:val="none" w:color="auto"/>
                <w:lang w:val="en-US" w:eastAsia="zh-CN"/>
              </w:rPr>
              <w:t>表1-</w:t>
            </w:r>
            <w:r>
              <w:rPr>
                <w:rFonts w:hint="eastAsia" w:cs="Times New Roman"/>
                <w:b/>
                <w:bCs/>
                <w:color w:val="FF0000"/>
                <w:spacing w:val="0"/>
                <w:w w:val="100"/>
                <w:kern w:val="0"/>
                <w:position w:val="0"/>
                <w:sz w:val="22"/>
                <w:szCs w:val="22"/>
                <w:highlight w:val="none"/>
                <w:u w:val="none" w:color="auto"/>
                <w:lang w:val="en-US" w:eastAsia="zh-CN"/>
              </w:rPr>
              <w:t>4</w:t>
            </w:r>
            <w:r>
              <w:rPr>
                <w:rFonts w:hint="default" w:ascii="Times New Roman" w:hAnsi="Times New Roman" w:eastAsia="宋体" w:cs="Times New Roman"/>
                <w:b/>
                <w:bCs/>
                <w:color w:val="FF0000"/>
                <w:spacing w:val="0"/>
                <w:w w:val="100"/>
                <w:kern w:val="0"/>
                <w:position w:val="0"/>
                <w:sz w:val="22"/>
                <w:szCs w:val="22"/>
                <w:highlight w:val="none"/>
                <w:u w:val="none" w:color="auto"/>
                <w:lang w:val="en-US" w:eastAsia="zh-CN"/>
              </w:rPr>
              <w:t xml:space="preserve"> 本项目与《甘肃省“十四五”生态环境保护规划》相符性分析</w:t>
            </w:r>
          </w:p>
          <w:tbl>
            <w:tblPr>
              <w:tblStyle w:val="20"/>
              <w:tblW w:w="691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6"/>
              <w:gridCol w:w="3298"/>
              <w:gridCol w:w="2367"/>
              <w:gridCol w:w="708"/>
            </w:tblGrid>
            <w:tr w14:paraId="7FE087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9" w:hRule="atLeast"/>
                <w:jc w:val="center"/>
              </w:trPr>
              <w:tc>
                <w:tcPr>
                  <w:tcW w:w="546" w:type="dxa"/>
                  <w:tcBorders>
                    <w:tl2br w:val="nil"/>
                    <w:tr2bl w:val="nil"/>
                  </w:tcBorders>
                  <w:noWrap w:val="0"/>
                  <w:vAlign w:val="center"/>
                </w:tcPr>
                <w:p w14:paraId="25099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FF0000"/>
                      <w:sz w:val="21"/>
                      <w:szCs w:val="21"/>
                      <w:u w:val="none" w:color="auto"/>
                    </w:rPr>
                  </w:pPr>
                  <w:r>
                    <w:rPr>
                      <w:rFonts w:hint="default" w:ascii="Times New Roman" w:hAnsi="Times New Roman" w:eastAsia="宋体" w:cs="Times New Roman"/>
                      <w:b/>
                      <w:bCs/>
                      <w:color w:val="FF0000"/>
                      <w:sz w:val="21"/>
                      <w:szCs w:val="21"/>
                      <w:u w:val="none" w:color="auto"/>
                    </w:rPr>
                    <w:t>序号</w:t>
                  </w:r>
                </w:p>
              </w:tc>
              <w:tc>
                <w:tcPr>
                  <w:tcW w:w="3298" w:type="dxa"/>
                  <w:tcBorders>
                    <w:tl2br w:val="nil"/>
                    <w:tr2bl w:val="nil"/>
                  </w:tcBorders>
                  <w:noWrap w:val="0"/>
                  <w:vAlign w:val="center"/>
                </w:tcPr>
                <w:p w14:paraId="50357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FF0000"/>
                      <w:sz w:val="21"/>
                      <w:szCs w:val="21"/>
                      <w:u w:val="none" w:color="auto"/>
                    </w:rPr>
                  </w:pPr>
                  <w:r>
                    <w:rPr>
                      <w:rFonts w:hint="default" w:ascii="Times New Roman" w:hAnsi="Times New Roman" w:eastAsia="宋体" w:cs="Times New Roman"/>
                      <w:b/>
                      <w:bCs/>
                      <w:color w:val="FF0000"/>
                      <w:sz w:val="21"/>
                      <w:szCs w:val="21"/>
                      <w:u w:val="none" w:color="auto"/>
                      <w:lang w:eastAsia="zh-CN"/>
                    </w:rPr>
                    <w:t>《甘肃省</w:t>
                  </w:r>
                  <w:r>
                    <w:rPr>
                      <w:rFonts w:hint="default" w:ascii="Times New Roman" w:hAnsi="Times New Roman" w:eastAsia="宋体" w:cs="Times New Roman"/>
                      <w:b/>
                      <w:bCs/>
                      <w:color w:val="FF0000"/>
                      <w:sz w:val="21"/>
                      <w:szCs w:val="21"/>
                      <w:u w:val="none" w:color="auto"/>
                    </w:rPr>
                    <w:t>“十四五”生态环境保护规划</w:t>
                  </w:r>
                  <w:r>
                    <w:rPr>
                      <w:rFonts w:hint="default" w:ascii="Times New Roman" w:hAnsi="Times New Roman" w:eastAsia="宋体" w:cs="Times New Roman"/>
                      <w:b/>
                      <w:bCs/>
                      <w:color w:val="FF0000"/>
                      <w:sz w:val="21"/>
                      <w:szCs w:val="21"/>
                      <w:u w:val="none" w:color="auto"/>
                      <w:lang w:eastAsia="zh-CN"/>
                    </w:rPr>
                    <w:t>》</w:t>
                  </w:r>
                  <w:r>
                    <w:rPr>
                      <w:rFonts w:hint="default" w:ascii="Times New Roman" w:hAnsi="Times New Roman" w:eastAsia="宋体" w:cs="Times New Roman"/>
                      <w:b/>
                      <w:bCs/>
                      <w:color w:val="FF0000"/>
                      <w:sz w:val="21"/>
                      <w:szCs w:val="21"/>
                      <w:u w:val="none" w:color="auto"/>
                    </w:rPr>
                    <w:t>相关规定</w:t>
                  </w:r>
                </w:p>
              </w:tc>
              <w:tc>
                <w:tcPr>
                  <w:tcW w:w="2367" w:type="dxa"/>
                  <w:tcBorders>
                    <w:tl2br w:val="nil"/>
                    <w:tr2bl w:val="nil"/>
                  </w:tcBorders>
                  <w:noWrap w:val="0"/>
                  <w:vAlign w:val="center"/>
                </w:tcPr>
                <w:p w14:paraId="35549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FF0000"/>
                      <w:sz w:val="21"/>
                      <w:szCs w:val="21"/>
                      <w:u w:val="none" w:color="auto"/>
                    </w:rPr>
                  </w:pPr>
                  <w:r>
                    <w:rPr>
                      <w:rFonts w:hint="default" w:ascii="Times New Roman" w:hAnsi="Times New Roman" w:eastAsia="宋体" w:cs="Times New Roman"/>
                      <w:b/>
                      <w:bCs/>
                      <w:color w:val="FF0000"/>
                      <w:sz w:val="21"/>
                      <w:szCs w:val="21"/>
                      <w:u w:val="none" w:color="auto"/>
                    </w:rPr>
                    <w:t>本项目情况</w:t>
                  </w:r>
                </w:p>
              </w:tc>
              <w:tc>
                <w:tcPr>
                  <w:tcW w:w="708" w:type="dxa"/>
                  <w:tcBorders>
                    <w:tl2br w:val="nil"/>
                    <w:tr2bl w:val="nil"/>
                  </w:tcBorders>
                  <w:noWrap w:val="0"/>
                  <w:vAlign w:val="center"/>
                </w:tcPr>
                <w:p w14:paraId="152A6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FF0000"/>
                      <w:sz w:val="21"/>
                      <w:szCs w:val="21"/>
                      <w:u w:val="none" w:color="auto"/>
                    </w:rPr>
                  </w:pPr>
                  <w:r>
                    <w:rPr>
                      <w:rFonts w:hint="default" w:ascii="Times New Roman" w:hAnsi="Times New Roman" w:eastAsia="宋体" w:cs="Times New Roman"/>
                      <w:b/>
                      <w:bCs/>
                      <w:color w:val="FF0000"/>
                      <w:sz w:val="21"/>
                      <w:szCs w:val="21"/>
                      <w:u w:val="none" w:color="auto"/>
                    </w:rPr>
                    <w:t>符合性</w:t>
                  </w:r>
                </w:p>
              </w:tc>
            </w:tr>
            <w:tr w14:paraId="1366F8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59" w:hRule="atLeast"/>
                <w:jc w:val="center"/>
              </w:trPr>
              <w:tc>
                <w:tcPr>
                  <w:tcW w:w="546" w:type="dxa"/>
                  <w:tcBorders>
                    <w:tl2br w:val="nil"/>
                    <w:tr2bl w:val="nil"/>
                  </w:tcBorders>
                  <w:noWrap w:val="0"/>
                  <w:vAlign w:val="center"/>
                </w:tcPr>
                <w:p w14:paraId="08130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1</w:t>
                  </w:r>
                </w:p>
              </w:tc>
              <w:tc>
                <w:tcPr>
                  <w:tcW w:w="3298" w:type="dxa"/>
                  <w:tcBorders>
                    <w:tl2br w:val="nil"/>
                    <w:tr2bl w:val="nil"/>
                  </w:tcBorders>
                  <w:noWrap w:val="0"/>
                  <w:vAlign w:val="center"/>
                </w:tcPr>
                <w:p w14:paraId="42545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依法禁止或限制大规模、高强度的工业开发和城镇建设，严禁不符合国家有关规定的各类开发活动，确保生态环境功能不降低</w:t>
                  </w:r>
                </w:p>
              </w:tc>
              <w:tc>
                <w:tcPr>
                  <w:tcW w:w="2367" w:type="dxa"/>
                  <w:tcBorders>
                    <w:tl2br w:val="nil"/>
                    <w:tr2bl w:val="nil"/>
                  </w:tcBorders>
                  <w:noWrap w:val="0"/>
                  <w:vAlign w:val="center"/>
                </w:tcPr>
                <w:p w14:paraId="16B507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lang w:eastAsia="zh-CN"/>
                    </w:rPr>
                  </w:pPr>
                  <w:r>
                    <w:rPr>
                      <w:rFonts w:hint="default" w:ascii="Times New Roman" w:hAnsi="Times New Roman" w:eastAsia="宋体" w:cs="Times New Roman"/>
                      <w:color w:val="FF0000"/>
                      <w:sz w:val="21"/>
                      <w:szCs w:val="21"/>
                      <w:u w:val="none" w:color="auto"/>
                      <w:lang w:eastAsia="zh-CN"/>
                    </w:rPr>
                    <w:t>本项目的建设符合国家产业政策的要求，企业“三废”按要求进行处置</w:t>
                  </w:r>
                </w:p>
              </w:tc>
              <w:tc>
                <w:tcPr>
                  <w:tcW w:w="708" w:type="dxa"/>
                  <w:tcBorders>
                    <w:tl2br w:val="nil"/>
                    <w:tr2bl w:val="nil"/>
                  </w:tcBorders>
                  <w:noWrap w:val="0"/>
                  <w:vAlign w:val="center"/>
                </w:tcPr>
                <w:p w14:paraId="3CB79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符合</w:t>
                  </w:r>
                </w:p>
              </w:tc>
            </w:tr>
            <w:tr w14:paraId="210698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23" w:hRule="atLeast"/>
                <w:jc w:val="center"/>
              </w:trPr>
              <w:tc>
                <w:tcPr>
                  <w:tcW w:w="546" w:type="dxa"/>
                  <w:tcBorders>
                    <w:tl2br w:val="nil"/>
                    <w:tr2bl w:val="nil"/>
                  </w:tcBorders>
                  <w:noWrap w:val="0"/>
                  <w:vAlign w:val="center"/>
                </w:tcPr>
                <w:p w14:paraId="1312F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2</w:t>
                  </w:r>
                </w:p>
              </w:tc>
              <w:tc>
                <w:tcPr>
                  <w:tcW w:w="3298" w:type="dxa"/>
                  <w:tcBorders>
                    <w:tl2br w:val="nil"/>
                    <w:tr2bl w:val="nil"/>
                  </w:tcBorders>
                  <w:noWrap w:val="0"/>
                  <w:vAlign w:val="center"/>
                </w:tcPr>
                <w:p w14:paraId="70CF23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持以工业、燃煤、扬尘、机动车污染防治为抓手，强化多污染物、多污染源协同治理。</w:t>
                  </w:r>
                </w:p>
              </w:tc>
              <w:tc>
                <w:tcPr>
                  <w:tcW w:w="2367" w:type="dxa"/>
                  <w:tcBorders>
                    <w:tl2br w:val="nil"/>
                    <w:tr2bl w:val="nil"/>
                  </w:tcBorders>
                  <w:noWrap w:val="0"/>
                  <w:vAlign w:val="center"/>
                </w:tcPr>
                <w:p w14:paraId="67BB3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lang w:eastAsia="zh-CN"/>
                    </w:rPr>
                  </w:pPr>
                  <w:r>
                    <w:rPr>
                      <w:rFonts w:hint="default" w:ascii="Times New Roman" w:hAnsi="Times New Roman" w:eastAsia="宋体" w:cs="Times New Roman"/>
                      <w:color w:val="FF0000"/>
                      <w:sz w:val="21"/>
                      <w:szCs w:val="21"/>
                      <w:u w:val="none" w:color="auto"/>
                      <w:lang w:eastAsia="zh-CN"/>
                    </w:rPr>
                    <w:t>本项目不涉及</w:t>
                  </w:r>
                </w:p>
              </w:tc>
              <w:tc>
                <w:tcPr>
                  <w:tcW w:w="708" w:type="dxa"/>
                  <w:tcBorders>
                    <w:tl2br w:val="nil"/>
                    <w:tr2bl w:val="nil"/>
                  </w:tcBorders>
                  <w:noWrap w:val="0"/>
                  <w:vAlign w:val="center"/>
                </w:tcPr>
                <w:p w14:paraId="001609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符合</w:t>
                  </w:r>
                </w:p>
              </w:tc>
            </w:tr>
            <w:tr w14:paraId="1E8FA7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86" w:hRule="atLeast"/>
                <w:jc w:val="center"/>
              </w:trPr>
              <w:tc>
                <w:tcPr>
                  <w:tcW w:w="546" w:type="dxa"/>
                  <w:tcBorders>
                    <w:tl2br w:val="nil"/>
                    <w:tr2bl w:val="nil"/>
                  </w:tcBorders>
                  <w:noWrap w:val="0"/>
                  <w:vAlign w:val="center"/>
                </w:tcPr>
                <w:p w14:paraId="59EC8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3</w:t>
                  </w:r>
                </w:p>
              </w:tc>
              <w:tc>
                <w:tcPr>
                  <w:tcW w:w="3298" w:type="dxa"/>
                  <w:tcBorders>
                    <w:tl2br w:val="nil"/>
                    <w:tr2bl w:val="nil"/>
                  </w:tcBorders>
                  <w:noWrap w:val="0"/>
                  <w:vAlign w:val="center"/>
                </w:tcPr>
                <w:p w14:paraId="60328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FF0000"/>
                      <w:sz w:val="21"/>
                      <w:szCs w:val="21"/>
                      <w:u w:val="none" w:color="auto"/>
                    </w:rPr>
                    <w:t>推进各类燃煤加工炉、烘干炉清洁能源替代</w:t>
                  </w:r>
                </w:p>
              </w:tc>
              <w:tc>
                <w:tcPr>
                  <w:tcW w:w="2367" w:type="dxa"/>
                  <w:tcBorders>
                    <w:tl2br w:val="nil"/>
                    <w:tr2bl w:val="nil"/>
                  </w:tcBorders>
                  <w:noWrap w:val="0"/>
                  <w:vAlign w:val="center"/>
                </w:tcPr>
                <w:p w14:paraId="55E5A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FF0000"/>
                      <w:sz w:val="21"/>
                      <w:szCs w:val="21"/>
                      <w:u w:val="none" w:color="auto"/>
                      <w:lang w:eastAsia="zh-CN"/>
                    </w:rPr>
                    <w:t>本项目不涉及</w:t>
                  </w:r>
                </w:p>
              </w:tc>
              <w:tc>
                <w:tcPr>
                  <w:tcW w:w="708" w:type="dxa"/>
                  <w:tcBorders>
                    <w:tl2br w:val="nil"/>
                    <w:tr2bl w:val="nil"/>
                  </w:tcBorders>
                  <w:noWrap w:val="0"/>
                  <w:vAlign w:val="center"/>
                </w:tcPr>
                <w:p w14:paraId="1051C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符合</w:t>
                  </w:r>
                </w:p>
              </w:tc>
            </w:tr>
            <w:tr w14:paraId="48749C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87" w:hRule="atLeast"/>
                <w:jc w:val="center"/>
              </w:trPr>
              <w:tc>
                <w:tcPr>
                  <w:tcW w:w="546" w:type="dxa"/>
                  <w:tcBorders>
                    <w:tl2br w:val="nil"/>
                    <w:tr2bl w:val="nil"/>
                  </w:tcBorders>
                  <w:noWrap w:val="0"/>
                  <w:vAlign w:val="center"/>
                </w:tcPr>
                <w:p w14:paraId="70E27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4</w:t>
                  </w:r>
                </w:p>
              </w:tc>
              <w:tc>
                <w:tcPr>
                  <w:tcW w:w="3298" w:type="dxa"/>
                  <w:tcBorders>
                    <w:tl2br w:val="nil"/>
                    <w:tr2bl w:val="nil"/>
                  </w:tcBorders>
                  <w:noWrap w:val="0"/>
                  <w:vAlign w:val="center"/>
                </w:tcPr>
                <w:p w14:paraId="051988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FF0000"/>
                      <w:sz w:val="21"/>
                      <w:szCs w:val="21"/>
                      <w:u w:val="none" w:color="auto"/>
                    </w:rPr>
                    <w:t>持续加强施工扬尘常态化监管，以城市建成区及周边为重点，全面落实“六个百分百”抑尘措施。进一步规范扬尘管控措施，严格采用合规防尘网进行场地覆盖，并及时更新老旧防尘网</w:t>
                  </w:r>
                </w:p>
              </w:tc>
              <w:tc>
                <w:tcPr>
                  <w:tcW w:w="2367" w:type="dxa"/>
                  <w:tcBorders>
                    <w:tl2br w:val="nil"/>
                    <w:tr2bl w:val="nil"/>
                  </w:tcBorders>
                  <w:noWrap w:val="0"/>
                  <w:vAlign w:val="center"/>
                </w:tcPr>
                <w:p w14:paraId="34372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FF0000"/>
                      <w:sz w:val="21"/>
                      <w:szCs w:val="21"/>
                      <w:u w:val="none" w:color="auto"/>
                      <w:lang w:eastAsia="zh-CN"/>
                    </w:rPr>
                    <w:t>项目施工场地进行围挡，定期清扫散落在施工场地的泥土，配备洒水车或其它洒水设备，及时对施工作业面进行洒水抑尘；建筑垃圾集中堆放在背风侧，不宜堆积过久、过高，且应及时回填；散装物料集中堆置，并采取遮盖或围栏等防扬散、防泄漏、防渗漏措施；严禁运输建筑材料和设备的车辆超载行驶</w:t>
                  </w:r>
                </w:p>
              </w:tc>
              <w:tc>
                <w:tcPr>
                  <w:tcW w:w="708" w:type="dxa"/>
                  <w:tcBorders>
                    <w:tl2br w:val="nil"/>
                    <w:tr2bl w:val="nil"/>
                  </w:tcBorders>
                  <w:noWrap w:val="0"/>
                  <w:vAlign w:val="center"/>
                </w:tcPr>
                <w:p w14:paraId="58719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符合</w:t>
                  </w:r>
                </w:p>
              </w:tc>
            </w:tr>
            <w:tr w14:paraId="00A268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87" w:hRule="atLeast"/>
                <w:jc w:val="center"/>
              </w:trPr>
              <w:tc>
                <w:tcPr>
                  <w:tcW w:w="546" w:type="dxa"/>
                  <w:tcBorders>
                    <w:tl2br w:val="nil"/>
                    <w:tr2bl w:val="nil"/>
                  </w:tcBorders>
                  <w:noWrap w:val="0"/>
                  <w:vAlign w:val="center"/>
                </w:tcPr>
                <w:p w14:paraId="4E3D5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FF0000"/>
                      <w:sz w:val="21"/>
                      <w:szCs w:val="21"/>
                      <w:u w:val="none" w:color="auto"/>
                      <w:lang w:val="en-US" w:eastAsia="zh-CN"/>
                    </w:rPr>
                    <w:t>5</w:t>
                  </w:r>
                </w:p>
              </w:tc>
              <w:tc>
                <w:tcPr>
                  <w:tcW w:w="3298" w:type="dxa"/>
                  <w:tcBorders>
                    <w:tl2br w:val="nil"/>
                    <w:tr2bl w:val="nil"/>
                  </w:tcBorders>
                  <w:noWrap w:val="0"/>
                  <w:vAlign w:val="center"/>
                </w:tcPr>
                <w:p w14:paraId="6130A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eastAsia="zh-CN"/>
                    </w:rPr>
                  </w:pPr>
                  <w:r>
                    <w:rPr>
                      <w:rFonts w:hint="default" w:ascii="Times New Roman" w:hAnsi="Times New Roman" w:eastAsia="宋体" w:cs="Times New Roman"/>
                      <w:color w:val="FF0000"/>
                      <w:sz w:val="21"/>
                      <w:szCs w:val="21"/>
                      <w:u w:val="none" w:color="auto"/>
                    </w:rPr>
                    <w:t>统筹水环境治理、水资源利用和水生态保护，以水生态环境质量改善为核心、污染减排与生态扩容为抓手、黄河流域为重点，保好水、治差水、增生态用水，促进水环境管理从污染防治为主逐步向污染防治与生态保护并重转变，持续提升水生态环境质量</w:t>
                  </w:r>
                  <w:r>
                    <w:rPr>
                      <w:rFonts w:hint="default" w:ascii="Times New Roman" w:hAnsi="Times New Roman" w:eastAsia="宋体" w:cs="Times New Roman"/>
                      <w:color w:val="FF0000"/>
                      <w:sz w:val="21"/>
                      <w:szCs w:val="21"/>
                      <w:u w:val="none" w:color="auto"/>
                      <w:lang w:eastAsia="zh-CN"/>
                    </w:rPr>
                    <w:t>；</w:t>
                  </w:r>
                </w:p>
                <w:p w14:paraId="55677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eastAsia="zh-CN"/>
                    </w:rPr>
                  </w:pPr>
                  <w:r>
                    <w:rPr>
                      <w:rFonts w:hint="default" w:ascii="Times New Roman" w:hAnsi="Times New Roman" w:eastAsia="宋体" w:cs="Times New Roman"/>
                      <w:color w:val="FF0000"/>
                      <w:sz w:val="21"/>
                      <w:szCs w:val="21"/>
                      <w:u w:val="none" w:color="auto"/>
                    </w:rPr>
                    <w:t>加大工业园区整治力度，全面推进省级及以上工业集聚区污水管网排查整治，加快实施管网混错接改造、管网更新、破损修复改造等，加强污水集中处理设施运行监管。</w:t>
                  </w:r>
                </w:p>
              </w:tc>
              <w:tc>
                <w:tcPr>
                  <w:tcW w:w="2367" w:type="dxa"/>
                  <w:tcBorders>
                    <w:tl2br w:val="nil"/>
                    <w:tr2bl w:val="nil"/>
                  </w:tcBorders>
                  <w:noWrap w:val="0"/>
                  <w:vAlign w:val="center"/>
                </w:tcPr>
                <w:p w14:paraId="1DF06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eastAsia="zh-CN"/>
                    </w:rPr>
                  </w:pPr>
                  <w:r>
                    <w:rPr>
                      <w:rFonts w:hint="eastAsia" w:ascii="Times New Roman" w:hAnsi="Times New Roman" w:eastAsia="宋体" w:cs="Times New Roman"/>
                      <w:color w:val="FF0000"/>
                      <w:kern w:val="2"/>
                      <w:sz w:val="21"/>
                      <w:szCs w:val="21"/>
                      <w:lang w:val="en-US" w:eastAsia="zh-CN" w:bidi="ar-SA"/>
                    </w:rPr>
                    <w:t>本项目为河道整治项目</w:t>
                  </w:r>
                  <w:r>
                    <w:rPr>
                      <w:rFonts w:hint="eastAsia" w:ascii="Times New Roman" w:hAnsi="Times New Roman" w:cs="Times New Roman"/>
                      <w:color w:val="FF0000"/>
                      <w:kern w:val="2"/>
                      <w:sz w:val="21"/>
                      <w:szCs w:val="21"/>
                      <w:lang w:val="en-US" w:eastAsia="zh-CN" w:bidi="ar-SA"/>
                    </w:rPr>
                    <w:t>，有利于</w:t>
                  </w:r>
                  <w:r>
                    <w:rPr>
                      <w:rFonts w:hint="eastAsia" w:ascii="Times New Roman" w:hAnsi="Times New Roman" w:eastAsia="宋体" w:cs="Times New Roman"/>
                      <w:color w:val="FF0000"/>
                      <w:kern w:val="2"/>
                      <w:sz w:val="21"/>
                      <w:szCs w:val="21"/>
                      <w:lang w:val="en-US" w:eastAsia="zh-CN" w:bidi="ar-SA"/>
                    </w:rPr>
                    <w:t>水源和优质土地保护修复</w:t>
                  </w:r>
                </w:p>
              </w:tc>
              <w:tc>
                <w:tcPr>
                  <w:tcW w:w="708" w:type="dxa"/>
                  <w:tcBorders>
                    <w:tl2br w:val="nil"/>
                    <w:tr2bl w:val="nil"/>
                  </w:tcBorders>
                  <w:noWrap w:val="0"/>
                  <w:vAlign w:val="center"/>
                </w:tcPr>
                <w:p w14:paraId="1DE34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lang w:eastAsia="zh-CN"/>
                    </w:rPr>
                  </w:pPr>
                  <w:r>
                    <w:rPr>
                      <w:rFonts w:hint="default" w:ascii="Times New Roman" w:hAnsi="Times New Roman" w:eastAsia="宋体" w:cs="Times New Roman"/>
                      <w:color w:val="FF0000"/>
                      <w:sz w:val="21"/>
                      <w:szCs w:val="21"/>
                      <w:u w:val="none" w:color="auto"/>
                      <w:lang w:eastAsia="zh-CN"/>
                    </w:rPr>
                    <w:t>符合</w:t>
                  </w:r>
                </w:p>
              </w:tc>
            </w:tr>
            <w:tr w14:paraId="58E4CD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905" w:hRule="atLeast"/>
                <w:jc w:val="center"/>
              </w:trPr>
              <w:tc>
                <w:tcPr>
                  <w:tcW w:w="546" w:type="dxa"/>
                  <w:tcBorders>
                    <w:tl2br w:val="nil"/>
                    <w:tr2bl w:val="nil"/>
                  </w:tcBorders>
                  <w:noWrap w:val="0"/>
                  <w:vAlign w:val="center"/>
                </w:tcPr>
                <w:p w14:paraId="03C4B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lang w:eastAsia="zh-CN"/>
                    </w:rPr>
                  </w:pPr>
                  <w:r>
                    <w:rPr>
                      <w:rFonts w:hint="default" w:ascii="Times New Roman" w:hAnsi="Times New Roman" w:eastAsia="宋体" w:cs="Times New Roman"/>
                      <w:color w:val="FF0000"/>
                      <w:sz w:val="21"/>
                      <w:szCs w:val="21"/>
                      <w:u w:val="none" w:color="auto"/>
                      <w:lang w:val="en-US" w:eastAsia="zh-CN"/>
                    </w:rPr>
                    <w:t>6</w:t>
                  </w:r>
                </w:p>
              </w:tc>
              <w:tc>
                <w:tcPr>
                  <w:tcW w:w="3298" w:type="dxa"/>
                  <w:tcBorders>
                    <w:tl2br w:val="nil"/>
                    <w:tr2bl w:val="nil"/>
                  </w:tcBorders>
                  <w:noWrap w:val="0"/>
                  <w:vAlign w:val="center"/>
                </w:tcPr>
                <w:p w14:paraId="113E2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u w:val="none" w:color="auto"/>
                      <w:lang w:val="en-US" w:eastAsia="zh-CN"/>
                    </w:rPr>
                  </w:pPr>
                  <w:r>
                    <w:rPr>
                      <w:rFonts w:hint="default" w:ascii="Times New Roman" w:hAnsi="Times New Roman" w:eastAsia="宋体" w:cs="Times New Roman"/>
                      <w:color w:val="FF0000"/>
                      <w:sz w:val="21"/>
                      <w:szCs w:val="21"/>
                      <w:highlight w:val="none"/>
                      <w:u w:val="none" w:color="auto"/>
                    </w:rPr>
                    <w:t>督促企业严格遵守生态环境保护法律法规，自觉履行生态环境保护义务，健全生态环境保护责任制度，严格执行环境影响评价、排污许可、生态环境损害赔偿等制度，全面落实污染治理、风险管控、应急处置、清洁生产等措施，加大资金投入，提升工艺水平，有效减少污染物排放</w:t>
                  </w:r>
                </w:p>
              </w:tc>
              <w:tc>
                <w:tcPr>
                  <w:tcW w:w="2367" w:type="dxa"/>
                  <w:tcBorders>
                    <w:tl2br w:val="nil"/>
                    <w:tr2bl w:val="nil"/>
                  </w:tcBorders>
                  <w:noWrap w:val="0"/>
                  <w:vAlign w:val="center"/>
                </w:tcPr>
                <w:p w14:paraId="3F1BA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u w:val="none" w:color="auto"/>
                      <w:lang w:val="en-US" w:eastAsia="zh-CN" w:bidi="ar-SA"/>
                    </w:rPr>
                  </w:pPr>
                  <w:r>
                    <w:rPr>
                      <w:rFonts w:hint="default" w:ascii="Times New Roman" w:hAnsi="Times New Roman" w:eastAsia="宋体" w:cs="Times New Roman"/>
                      <w:color w:val="FF0000"/>
                      <w:sz w:val="21"/>
                      <w:szCs w:val="21"/>
                      <w:highlight w:val="none"/>
                      <w:u w:val="none" w:color="auto"/>
                      <w:lang w:eastAsia="zh-CN"/>
                    </w:rPr>
                    <w:t>企业按照要求办理相关手续</w:t>
                  </w:r>
                </w:p>
              </w:tc>
              <w:tc>
                <w:tcPr>
                  <w:tcW w:w="708" w:type="dxa"/>
                  <w:tcBorders>
                    <w:tl2br w:val="nil"/>
                    <w:tr2bl w:val="nil"/>
                  </w:tcBorders>
                  <w:noWrap w:val="0"/>
                  <w:vAlign w:val="center"/>
                </w:tcPr>
                <w:p w14:paraId="76CE7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符合</w:t>
                  </w:r>
                </w:p>
              </w:tc>
            </w:tr>
            <w:tr w14:paraId="75E66C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7" w:hRule="atLeast"/>
                <w:jc w:val="center"/>
              </w:trPr>
              <w:tc>
                <w:tcPr>
                  <w:tcW w:w="546" w:type="dxa"/>
                  <w:tcBorders>
                    <w:tl2br w:val="nil"/>
                    <w:tr2bl w:val="nil"/>
                  </w:tcBorders>
                  <w:noWrap w:val="0"/>
                  <w:vAlign w:val="center"/>
                </w:tcPr>
                <w:p w14:paraId="6F8F3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FF0000"/>
                      <w:sz w:val="21"/>
                      <w:szCs w:val="21"/>
                      <w:u w:val="none" w:color="auto"/>
                      <w:lang w:val="en-US" w:eastAsia="zh-CN"/>
                    </w:rPr>
                    <w:t>7</w:t>
                  </w:r>
                </w:p>
              </w:tc>
              <w:tc>
                <w:tcPr>
                  <w:tcW w:w="3298" w:type="dxa"/>
                  <w:tcBorders>
                    <w:tl2br w:val="nil"/>
                    <w:tr2bl w:val="nil"/>
                  </w:tcBorders>
                  <w:noWrap w:val="0"/>
                  <w:vAlign w:val="center"/>
                </w:tcPr>
                <w:p w14:paraId="5A04A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u w:val="none" w:color="auto"/>
                    </w:rPr>
                  </w:pPr>
                  <w:r>
                    <w:rPr>
                      <w:rFonts w:hint="default" w:ascii="Times New Roman" w:hAnsi="Times New Roman" w:eastAsia="宋体" w:cs="Times New Roman"/>
                      <w:color w:val="FF0000"/>
                      <w:sz w:val="21"/>
                      <w:szCs w:val="21"/>
                      <w:highlight w:val="none"/>
                      <w:u w:val="none" w:color="auto"/>
                    </w:rPr>
                    <w:t>强排污单位环境质量信息公开管理，排污单位通过企业网站等途径，依法公开主要污染物名称、排放方式、执行标准以及污染防治设施建设和运行情况，并对信息真实性负责，到2022年，重点排污单位自行监测信息公开率达到90%以上</w:t>
                  </w:r>
                </w:p>
              </w:tc>
              <w:tc>
                <w:tcPr>
                  <w:tcW w:w="2367" w:type="dxa"/>
                  <w:tcBorders>
                    <w:tl2br w:val="nil"/>
                    <w:tr2bl w:val="nil"/>
                  </w:tcBorders>
                  <w:noWrap w:val="0"/>
                  <w:vAlign w:val="center"/>
                </w:tcPr>
                <w:p w14:paraId="09C29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u w:val="none" w:color="auto"/>
                      <w:lang w:eastAsia="zh-CN"/>
                    </w:rPr>
                  </w:pPr>
                  <w:r>
                    <w:rPr>
                      <w:rFonts w:hint="default" w:ascii="Times New Roman" w:hAnsi="Times New Roman" w:eastAsia="宋体" w:cs="Times New Roman"/>
                      <w:color w:val="FF0000"/>
                      <w:sz w:val="21"/>
                      <w:szCs w:val="21"/>
                      <w:u w:val="none" w:color="auto"/>
                      <w:lang w:eastAsia="zh-CN"/>
                    </w:rPr>
                    <w:t>本项目不涉及</w:t>
                  </w:r>
                </w:p>
              </w:tc>
              <w:tc>
                <w:tcPr>
                  <w:tcW w:w="708" w:type="dxa"/>
                  <w:tcBorders>
                    <w:tl2br w:val="nil"/>
                    <w:tr2bl w:val="nil"/>
                  </w:tcBorders>
                  <w:noWrap w:val="0"/>
                  <w:vAlign w:val="center"/>
                </w:tcPr>
                <w:p w14:paraId="2DFFDD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lang w:eastAsia="zh-CN"/>
                    </w:rPr>
                  </w:pPr>
                  <w:r>
                    <w:rPr>
                      <w:rFonts w:hint="default" w:ascii="Times New Roman" w:hAnsi="Times New Roman" w:eastAsia="宋体" w:cs="Times New Roman"/>
                      <w:color w:val="FF0000"/>
                      <w:sz w:val="21"/>
                      <w:szCs w:val="21"/>
                      <w:u w:val="none" w:color="auto"/>
                      <w:lang w:eastAsia="zh-CN"/>
                    </w:rPr>
                    <w:t>符合</w:t>
                  </w:r>
                </w:p>
              </w:tc>
            </w:tr>
          </w:tbl>
          <w:p w14:paraId="2C470A9E">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sz w:val="24"/>
                <w:u w:val="none" w:color="auto"/>
              </w:rPr>
              <w:t>由上表可知，项目符合《</w:t>
            </w:r>
            <w:r>
              <w:rPr>
                <w:rFonts w:hint="default" w:ascii="Times New Roman" w:hAnsi="Times New Roman" w:eastAsia="宋体" w:cs="Times New Roman"/>
                <w:color w:val="FF0000"/>
                <w:sz w:val="24"/>
                <w:u w:val="none" w:color="auto"/>
                <w:lang w:eastAsia="zh-CN"/>
              </w:rPr>
              <w:t>甘肃省</w:t>
            </w:r>
            <w:r>
              <w:rPr>
                <w:rFonts w:hint="default" w:ascii="Times New Roman" w:hAnsi="Times New Roman" w:eastAsia="宋体" w:cs="Times New Roman"/>
                <w:color w:val="FF0000"/>
                <w:sz w:val="24"/>
                <w:u w:val="none" w:color="auto"/>
              </w:rPr>
              <w:t>“十四五”生态环境保护规划》选址要求符合性的要求</w:t>
            </w:r>
          </w:p>
          <w:p w14:paraId="1F713BA3">
            <w:pPr>
              <w:autoSpaceDE w:val="0"/>
              <w:autoSpaceDN w:val="0"/>
              <w:spacing w:line="360" w:lineRule="auto"/>
              <w:jc w:val="left"/>
              <w:rPr>
                <w:rFonts w:hint="default" w:ascii="Times New Roman" w:hAnsi="Times New Roman" w:eastAsia="宋体" w:cs="Times New Roman"/>
                <w:b/>
                <w:bCs/>
                <w:color w:val="FF0000"/>
                <w:kern w:val="0"/>
                <w:sz w:val="24"/>
              </w:rPr>
            </w:pPr>
            <w:r>
              <w:rPr>
                <w:rFonts w:hint="eastAsia" w:ascii="Times New Roman" w:hAnsi="Times New Roman" w:cs="Times New Roman"/>
                <w:b/>
                <w:bCs/>
                <w:color w:val="FF0000"/>
                <w:kern w:val="0"/>
                <w:sz w:val="24"/>
                <w:lang w:eastAsia="zh-CN"/>
              </w:rPr>
              <w:t>（</w:t>
            </w:r>
            <w:r>
              <w:rPr>
                <w:rFonts w:hint="eastAsia" w:ascii="Times New Roman" w:hAnsi="Times New Roman" w:cs="Times New Roman"/>
                <w:b/>
                <w:bCs/>
                <w:color w:val="FF0000"/>
                <w:kern w:val="0"/>
                <w:sz w:val="24"/>
                <w:lang w:val="en-US" w:eastAsia="zh-CN"/>
              </w:rPr>
              <w:t>4</w:t>
            </w:r>
            <w:r>
              <w:rPr>
                <w:rFonts w:hint="eastAsia" w:ascii="Times New Roman" w:hAnsi="Times New Roman" w:cs="Times New Roman"/>
                <w:b/>
                <w:bCs/>
                <w:color w:val="FF0000"/>
                <w:kern w:val="0"/>
                <w:sz w:val="24"/>
                <w:lang w:eastAsia="zh-CN"/>
              </w:rPr>
              <w:t>）</w:t>
            </w:r>
            <w:r>
              <w:rPr>
                <w:rFonts w:hint="default" w:ascii="Times New Roman" w:hAnsi="Times New Roman" w:eastAsia="宋体" w:cs="Times New Roman"/>
                <w:b/>
                <w:bCs/>
                <w:color w:val="FF0000"/>
                <w:kern w:val="0"/>
                <w:sz w:val="24"/>
              </w:rPr>
              <w:t>与《庆阳市“十四五”生态环境保护规划》符合性分析</w:t>
            </w:r>
          </w:p>
          <w:p w14:paraId="6E5775A2">
            <w:pPr>
              <w:widowControl/>
              <w:spacing w:line="360" w:lineRule="auto"/>
              <w:ind w:firstLine="480" w:firstLineChars="200"/>
              <w:jc w:val="left"/>
              <w:rPr>
                <w:rFonts w:hint="default" w:ascii="Times New Roman" w:hAnsi="Times New Roman" w:eastAsia="宋体" w:cs="Times New Roman"/>
                <w:color w:val="FF0000"/>
                <w:kern w:val="24"/>
                <w:sz w:val="24"/>
                <w:szCs w:val="21"/>
              </w:rPr>
            </w:pPr>
            <w:r>
              <w:rPr>
                <w:rFonts w:hint="default" w:ascii="Times New Roman" w:hAnsi="Times New Roman" w:eastAsia="宋体" w:cs="Times New Roman"/>
                <w:color w:val="FF0000"/>
                <w:kern w:val="24"/>
                <w:sz w:val="24"/>
                <w:szCs w:val="21"/>
              </w:rPr>
              <w:t>庆阳市人民政府办公室于2022年1月25日发布《庆阳市“十四五”生态环境保护规划》（庆政办发【2022】7号），《规划》要求加强固体废物污染防治，本项目对要求落实情况见表1-</w:t>
            </w:r>
            <w:r>
              <w:rPr>
                <w:rFonts w:hint="eastAsia" w:cs="Times New Roman"/>
                <w:color w:val="FF0000"/>
                <w:kern w:val="24"/>
                <w:sz w:val="24"/>
                <w:szCs w:val="21"/>
                <w:lang w:val="en-US" w:eastAsia="zh-CN"/>
              </w:rPr>
              <w:t>5</w:t>
            </w:r>
            <w:r>
              <w:rPr>
                <w:rFonts w:hint="default" w:ascii="Times New Roman" w:hAnsi="Times New Roman" w:eastAsia="宋体" w:cs="Times New Roman"/>
                <w:color w:val="FF0000"/>
                <w:kern w:val="24"/>
                <w:sz w:val="24"/>
                <w:szCs w:val="21"/>
              </w:rPr>
              <w:t>。</w:t>
            </w:r>
          </w:p>
          <w:p w14:paraId="0614D682">
            <w:pPr>
              <w:autoSpaceDE w:val="0"/>
              <w:autoSpaceDN w:val="0"/>
              <w:adjustRightInd w:val="0"/>
              <w:snapToGrid w:val="0"/>
              <w:jc w:val="center"/>
              <w:rPr>
                <w:rFonts w:hint="default" w:ascii="Times New Roman" w:hAnsi="Times New Roman" w:eastAsia="宋体" w:cs="Times New Roman"/>
                <w:b/>
                <w:bCs/>
                <w:color w:val="FF0000"/>
                <w:kern w:val="0"/>
                <w:szCs w:val="21"/>
              </w:rPr>
            </w:pPr>
            <w:r>
              <w:rPr>
                <w:rFonts w:hint="default" w:ascii="Times New Roman" w:hAnsi="Times New Roman" w:eastAsia="宋体" w:cs="Times New Roman"/>
                <w:b/>
                <w:bCs/>
                <w:color w:val="FF0000"/>
                <w:kern w:val="0"/>
                <w:szCs w:val="21"/>
              </w:rPr>
              <w:t>表1-</w:t>
            </w:r>
            <w:r>
              <w:rPr>
                <w:rFonts w:hint="eastAsia" w:cs="Times New Roman"/>
                <w:b/>
                <w:bCs/>
                <w:color w:val="FF0000"/>
                <w:kern w:val="0"/>
                <w:szCs w:val="21"/>
                <w:lang w:val="en-US" w:eastAsia="zh-CN"/>
              </w:rPr>
              <w:t>5</w:t>
            </w:r>
            <w:r>
              <w:rPr>
                <w:rFonts w:hint="default" w:ascii="Times New Roman" w:hAnsi="Times New Roman" w:eastAsia="宋体" w:cs="Times New Roman"/>
                <w:b/>
                <w:bCs/>
                <w:color w:val="FF0000"/>
                <w:kern w:val="0"/>
                <w:szCs w:val="21"/>
              </w:rPr>
              <w:t xml:space="preserve"> 项目建设与《庆阳市“十四五”生态环境保护规划》的相容性</w:t>
            </w:r>
          </w:p>
          <w:tbl>
            <w:tblPr>
              <w:tblStyle w:val="20"/>
              <w:tblW w:w="6879" w:type="dxa"/>
              <w:jc w:val="center"/>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19"/>
              <w:gridCol w:w="2878"/>
              <w:gridCol w:w="782"/>
            </w:tblGrid>
            <w:tr w14:paraId="445347E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339" w:type="pct"/>
                  <w:tcBorders>
                    <w:tl2br w:val="nil"/>
                    <w:tr2bl w:val="nil"/>
                  </w:tcBorders>
                  <w:noWrap w:val="0"/>
                  <w:vAlign w:val="center"/>
                </w:tcPr>
                <w:p w14:paraId="3E8399A6">
                  <w:pPr>
                    <w:pStyle w:val="61"/>
                    <w:adjustRightInd w:val="0"/>
                    <w:snapToGrid w:val="0"/>
                    <w:contextualSpacing/>
                    <w:rPr>
                      <w:rFonts w:hint="default" w:ascii="Times New Roman" w:hAnsi="Times New Roman" w:eastAsia="宋体" w:cs="Times New Roman"/>
                      <w:color w:val="FF0000"/>
                    </w:rPr>
                  </w:pPr>
                  <w:r>
                    <w:rPr>
                      <w:rFonts w:hint="default" w:ascii="Times New Roman" w:hAnsi="Times New Roman" w:eastAsia="宋体" w:cs="Times New Roman"/>
                      <w:color w:val="FF0000"/>
                    </w:rPr>
                    <w:t>规划要求</w:t>
                  </w:r>
                </w:p>
              </w:tc>
              <w:tc>
                <w:tcPr>
                  <w:tcW w:w="2091" w:type="pct"/>
                  <w:tcBorders>
                    <w:tl2br w:val="nil"/>
                    <w:tr2bl w:val="nil"/>
                  </w:tcBorders>
                  <w:noWrap w:val="0"/>
                  <w:vAlign w:val="center"/>
                </w:tcPr>
                <w:p w14:paraId="103C381C">
                  <w:pPr>
                    <w:pStyle w:val="61"/>
                    <w:adjustRightInd w:val="0"/>
                    <w:snapToGrid w:val="0"/>
                    <w:contextualSpacing/>
                    <w:rPr>
                      <w:rFonts w:hint="default" w:ascii="Times New Roman" w:hAnsi="Times New Roman" w:eastAsia="宋体" w:cs="Times New Roman"/>
                      <w:color w:val="FF0000"/>
                    </w:rPr>
                  </w:pPr>
                  <w:r>
                    <w:rPr>
                      <w:rFonts w:hint="default" w:ascii="Times New Roman" w:hAnsi="Times New Roman" w:eastAsia="宋体" w:cs="Times New Roman"/>
                      <w:color w:val="FF0000"/>
                    </w:rPr>
                    <w:t>项目情况</w:t>
                  </w:r>
                </w:p>
              </w:tc>
              <w:tc>
                <w:tcPr>
                  <w:tcW w:w="568" w:type="pct"/>
                  <w:tcBorders>
                    <w:tl2br w:val="nil"/>
                    <w:tr2bl w:val="nil"/>
                  </w:tcBorders>
                  <w:noWrap w:val="0"/>
                  <w:vAlign w:val="center"/>
                </w:tcPr>
                <w:p w14:paraId="376A072B">
                  <w:pPr>
                    <w:pStyle w:val="61"/>
                    <w:adjustRightInd w:val="0"/>
                    <w:snapToGrid w:val="0"/>
                    <w:contextualSpacing/>
                    <w:rPr>
                      <w:rFonts w:hint="default" w:ascii="Times New Roman" w:hAnsi="Times New Roman" w:eastAsia="宋体" w:cs="Times New Roman"/>
                      <w:color w:val="FF0000"/>
                    </w:rPr>
                  </w:pPr>
                  <w:r>
                    <w:rPr>
                      <w:rFonts w:hint="default" w:ascii="Times New Roman" w:hAnsi="Times New Roman" w:eastAsia="宋体" w:cs="Times New Roman"/>
                      <w:color w:val="FF0000"/>
                    </w:rPr>
                    <w:t>符合性</w:t>
                  </w:r>
                </w:p>
                <w:p w14:paraId="0BB605E0">
                  <w:pPr>
                    <w:pStyle w:val="61"/>
                    <w:adjustRightInd w:val="0"/>
                    <w:snapToGrid w:val="0"/>
                    <w:contextualSpacing/>
                    <w:rPr>
                      <w:rFonts w:hint="default" w:ascii="Times New Roman" w:hAnsi="Times New Roman" w:eastAsia="宋体" w:cs="Times New Roman"/>
                      <w:color w:val="FF0000"/>
                    </w:rPr>
                  </w:pPr>
                  <w:r>
                    <w:rPr>
                      <w:rFonts w:hint="default" w:ascii="Times New Roman" w:hAnsi="Times New Roman" w:eastAsia="宋体" w:cs="Times New Roman"/>
                      <w:color w:val="FF0000"/>
                    </w:rPr>
                    <w:t>分析</w:t>
                  </w:r>
                </w:p>
              </w:tc>
            </w:tr>
            <w:tr w14:paraId="165CCD28">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6" w:hRule="atLeast"/>
                <w:jc w:val="center"/>
              </w:trPr>
              <w:tc>
                <w:tcPr>
                  <w:tcW w:w="2339" w:type="pct"/>
                  <w:tcBorders>
                    <w:tl2br w:val="nil"/>
                    <w:tr2bl w:val="nil"/>
                  </w:tcBorders>
                  <w:noWrap w:val="0"/>
                  <w:vAlign w:val="center"/>
                </w:tcPr>
                <w:p w14:paraId="6F977659">
                  <w:pPr>
                    <w:pStyle w:val="61"/>
                    <w:adjustRightInd w:val="0"/>
                    <w:snapToGrid w:val="0"/>
                    <w:contextualSpacing/>
                    <w:jc w:val="both"/>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精细化推进扬尘污染管控：</w:t>
                  </w:r>
                  <w:r>
                    <w:rPr>
                      <w:rFonts w:hint="default" w:ascii="Times New Roman" w:hAnsi="Times New Roman" w:eastAsia="宋体" w:cs="Times New Roman"/>
                      <w:color w:val="FF0000"/>
                    </w:rPr>
                    <w:t>推行道路、水务等线性工程分段施工。持续加强施工扬尘常态化监管，施工面积超过300平方米或工期超过3个月的工地围挡实施场内喷雾抑尘。全面落实施工工地周边围挡、物料堆放覆盖、土方开挖湿法作业、路面硬化、出入车辆清洗等“六个百分百”抑尘措施。进一步规范扬尘管控措施，严格采用合规防尘网进行场地覆盖，并及时更新老旧防尘网。加强裸露地块治理，鼓励利用新型环保抑尘剂减少扬尘来源。提高低尘机械化湿式清扫水平，加大城市出入口、城乡结合部等重要路段冲洗保洁力度，督促渣土车实施覆盖与全密闭运输</w:t>
                  </w:r>
                </w:p>
              </w:tc>
              <w:tc>
                <w:tcPr>
                  <w:tcW w:w="2091" w:type="pct"/>
                  <w:tcBorders>
                    <w:tl2br w:val="nil"/>
                    <w:tr2bl w:val="nil"/>
                  </w:tcBorders>
                  <w:noWrap w:val="0"/>
                  <w:vAlign w:val="center"/>
                </w:tcPr>
                <w:p w14:paraId="67706642">
                  <w:pPr>
                    <w:pStyle w:val="61"/>
                    <w:adjustRightInd w:val="0"/>
                    <w:snapToGrid w:val="0"/>
                    <w:contextualSpacing/>
                    <w:jc w:val="both"/>
                    <w:rPr>
                      <w:rFonts w:hint="default" w:ascii="Times New Roman" w:hAnsi="Times New Roman" w:eastAsia="宋体" w:cs="Times New Roman"/>
                      <w:color w:val="FF0000"/>
                    </w:rPr>
                  </w:pPr>
                  <w:r>
                    <w:rPr>
                      <w:rFonts w:hint="default" w:ascii="Times New Roman" w:hAnsi="Times New Roman" w:eastAsia="宋体" w:cs="Times New Roman"/>
                      <w:color w:val="FF0000"/>
                    </w:rPr>
                    <w:t>项目施工期土方开挖辅以洒水，土方、物料堆场苫盖防尘网，土方、物料运输苫盖蓬布，路面经常清扫、洒水，大风、尘暴天气停止施工；运行期物料运输车辆、限速、改善路况以减少尾气排放，物料运输遮盖，进出场道路硬化等减少运输扬尘的产生</w:t>
                  </w:r>
                </w:p>
              </w:tc>
              <w:tc>
                <w:tcPr>
                  <w:tcW w:w="568" w:type="pct"/>
                  <w:tcBorders>
                    <w:tl2br w:val="nil"/>
                    <w:tr2bl w:val="nil"/>
                  </w:tcBorders>
                  <w:noWrap w:val="0"/>
                  <w:vAlign w:val="center"/>
                </w:tcPr>
                <w:p w14:paraId="753EEC0D">
                  <w:pPr>
                    <w:pStyle w:val="61"/>
                    <w:adjustRightInd w:val="0"/>
                    <w:snapToGrid w:val="0"/>
                    <w:contextualSpacing/>
                    <w:rPr>
                      <w:rFonts w:hint="default" w:ascii="Times New Roman" w:hAnsi="Times New Roman" w:eastAsia="宋体" w:cs="Times New Roman"/>
                      <w:color w:val="FF0000"/>
                    </w:rPr>
                  </w:pPr>
                  <w:r>
                    <w:rPr>
                      <w:rFonts w:hint="default" w:ascii="Times New Roman" w:hAnsi="Times New Roman" w:eastAsia="宋体" w:cs="Times New Roman"/>
                      <w:color w:val="FF0000"/>
                    </w:rPr>
                    <w:t>符合</w:t>
                  </w:r>
                </w:p>
              </w:tc>
            </w:tr>
            <w:tr w14:paraId="0AA7896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6" w:hRule="atLeast"/>
                <w:jc w:val="center"/>
              </w:trPr>
              <w:tc>
                <w:tcPr>
                  <w:tcW w:w="2339" w:type="pct"/>
                  <w:tcBorders>
                    <w:tl2br w:val="nil"/>
                    <w:tr2bl w:val="nil"/>
                  </w:tcBorders>
                  <w:noWrap w:val="0"/>
                  <w:vAlign w:val="center"/>
                </w:tcPr>
                <w:p w14:paraId="70DBBB5E">
                  <w:pPr>
                    <w:pStyle w:val="61"/>
                    <w:adjustRightInd w:val="0"/>
                    <w:snapToGrid w:val="0"/>
                    <w:contextualSpacing/>
                    <w:jc w:val="both"/>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加强噪声污染防治：</w:t>
                  </w:r>
                  <w:r>
                    <w:rPr>
                      <w:rFonts w:hint="default" w:ascii="Times New Roman" w:hAnsi="Times New Roman" w:eastAsia="宋体" w:cs="Times New Roman"/>
                      <w:color w:val="FF0000"/>
                    </w:rPr>
                    <w:t>强化工业、交通、建筑施工和社会生活等重点领域噪声排放源监督管理，加大执法检查和处罚力度，确保实现重点噪声污染源达标排放，不断提升城市声环境功能区达标率。积极开展噪声扰民问题治理，在噪声敏感建筑集中区域逐步配套建设隔声屏障，严格落实禁鸣、限行、限速等措施，鼓励创建安静小区，力争实现涉及噪声信访投诉总量持续下降</w:t>
                  </w:r>
                </w:p>
              </w:tc>
              <w:tc>
                <w:tcPr>
                  <w:tcW w:w="2091" w:type="pct"/>
                  <w:tcBorders>
                    <w:tl2br w:val="nil"/>
                    <w:tr2bl w:val="nil"/>
                  </w:tcBorders>
                  <w:noWrap w:val="0"/>
                  <w:vAlign w:val="center"/>
                </w:tcPr>
                <w:p w14:paraId="42F944B8">
                  <w:pPr>
                    <w:pStyle w:val="61"/>
                    <w:adjustRightInd w:val="0"/>
                    <w:snapToGrid w:val="0"/>
                    <w:contextualSpacing/>
                    <w:jc w:val="both"/>
                    <w:rPr>
                      <w:rFonts w:hint="default" w:ascii="Times New Roman" w:hAnsi="Times New Roman" w:eastAsia="宋体" w:cs="Times New Roman"/>
                      <w:color w:val="FF0000"/>
                    </w:rPr>
                  </w:pPr>
                  <w:r>
                    <w:rPr>
                      <w:rFonts w:hint="default" w:ascii="Times New Roman" w:hAnsi="Times New Roman" w:eastAsia="宋体" w:cs="Times New Roman"/>
                      <w:color w:val="FF0000"/>
                    </w:rPr>
                    <w:t>项目施工期采用低噪声施工机械，定期进行维护保养，</w:t>
                  </w:r>
                  <w:r>
                    <w:rPr>
                      <w:rFonts w:hint="default" w:ascii="Times New Roman" w:hAnsi="Times New Roman" w:eastAsia="宋体" w:cs="Times New Roman"/>
                      <w:color w:val="FF0000"/>
                      <w:szCs w:val="21"/>
                    </w:rPr>
                    <w:t>减少生产过程中噪声对周围环境的影响</w:t>
                  </w:r>
                </w:p>
              </w:tc>
              <w:tc>
                <w:tcPr>
                  <w:tcW w:w="568" w:type="pct"/>
                  <w:tcBorders>
                    <w:tl2br w:val="nil"/>
                    <w:tr2bl w:val="nil"/>
                  </w:tcBorders>
                  <w:noWrap w:val="0"/>
                  <w:vAlign w:val="center"/>
                </w:tcPr>
                <w:p w14:paraId="647B84CB">
                  <w:pPr>
                    <w:pStyle w:val="61"/>
                    <w:adjustRightInd w:val="0"/>
                    <w:snapToGrid w:val="0"/>
                    <w:contextualSpacing/>
                    <w:rPr>
                      <w:rFonts w:hint="default" w:ascii="Times New Roman" w:hAnsi="Times New Roman" w:eastAsia="宋体" w:cs="Times New Roman"/>
                      <w:color w:val="FF0000"/>
                    </w:rPr>
                  </w:pPr>
                  <w:r>
                    <w:rPr>
                      <w:rFonts w:hint="default" w:ascii="Times New Roman" w:hAnsi="Times New Roman" w:eastAsia="宋体" w:cs="Times New Roman"/>
                      <w:color w:val="FF0000"/>
                    </w:rPr>
                    <w:t>符合</w:t>
                  </w:r>
                </w:p>
              </w:tc>
            </w:tr>
            <w:tr w14:paraId="1E5BD66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50" w:hRule="atLeast"/>
                <w:jc w:val="center"/>
              </w:trPr>
              <w:tc>
                <w:tcPr>
                  <w:tcW w:w="2339" w:type="pct"/>
                  <w:tcBorders>
                    <w:tl2br w:val="nil"/>
                    <w:tr2bl w:val="nil"/>
                  </w:tcBorders>
                  <w:noWrap w:val="0"/>
                  <w:vAlign w:val="center"/>
                </w:tcPr>
                <w:p w14:paraId="05BD6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FF0000"/>
                      <w:sz w:val="21"/>
                      <w:szCs w:val="21"/>
                      <w:u w:val="none" w:color="auto"/>
                    </w:rPr>
                    <w:t>有序推进钢铁行业超低排放改造，推进焦化、水泥行业超低排放改造，推进玻璃、陶瓷、铸造、有色、煤化工等行业清洁能源替代、污染深度治理</w:t>
                  </w:r>
                </w:p>
              </w:tc>
              <w:tc>
                <w:tcPr>
                  <w:tcW w:w="2091" w:type="pct"/>
                  <w:tcBorders>
                    <w:tl2br w:val="nil"/>
                    <w:tr2bl w:val="nil"/>
                  </w:tcBorders>
                  <w:noWrap w:val="0"/>
                  <w:vAlign w:val="center"/>
                </w:tcPr>
                <w:p w14:paraId="67D269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FF0000"/>
                      <w:sz w:val="21"/>
                      <w:szCs w:val="21"/>
                      <w:u w:val="none" w:color="auto"/>
                      <w:lang w:eastAsia="zh-CN"/>
                    </w:rPr>
                    <w:t>本项目不涉及</w:t>
                  </w:r>
                </w:p>
              </w:tc>
              <w:tc>
                <w:tcPr>
                  <w:tcW w:w="568" w:type="pct"/>
                  <w:tcBorders>
                    <w:tl2br w:val="nil"/>
                    <w:tr2bl w:val="nil"/>
                  </w:tcBorders>
                  <w:noWrap w:val="0"/>
                  <w:vAlign w:val="center"/>
                </w:tcPr>
                <w:p w14:paraId="658EC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符合</w:t>
                  </w:r>
                </w:p>
              </w:tc>
            </w:tr>
            <w:tr w14:paraId="545876B2">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2" w:hRule="atLeast"/>
                <w:jc w:val="center"/>
              </w:trPr>
              <w:tc>
                <w:tcPr>
                  <w:tcW w:w="2339" w:type="pct"/>
                  <w:tcBorders>
                    <w:tl2br w:val="nil"/>
                    <w:tr2bl w:val="nil"/>
                  </w:tcBorders>
                  <w:noWrap w:val="0"/>
                  <w:vAlign w:val="center"/>
                </w:tcPr>
                <w:p w14:paraId="2ADEA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FF0000"/>
                      <w:sz w:val="21"/>
                      <w:szCs w:val="21"/>
                      <w:u w:val="none" w:color="auto"/>
                    </w:rPr>
                    <w:t>按照市委市政府提出的“前端排查管控、中端强化处理、末端生态净化”“三端”治理思路，持续深入开展涉水污染源排查整治</w:t>
                  </w:r>
                </w:p>
              </w:tc>
              <w:tc>
                <w:tcPr>
                  <w:tcW w:w="2091" w:type="pct"/>
                  <w:tcBorders>
                    <w:tl2br w:val="nil"/>
                    <w:tr2bl w:val="nil"/>
                  </w:tcBorders>
                  <w:noWrap w:val="0"/>
                  <w:vAlign w:val="center"/>
                </w:tcPr>
                <w:p w14:paraId="61400A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bCs/>
                      <w:color w:val="FF0000"/>
                      <w:sz w:val="21"/>
                      <w:szCs w:val="21"/>
                      <w:lang w:val="en-US" w:eastAsia="zh-CN"/>
                    </w:rPr>
                    <w:t>项目</w:t>
                  </w:r>
                  <w:r>
                    <w:rPr>
                      <w:rFonts w:hint="eastAsia" w:ascii="Times New Roman" w:hAnsi="Times New Roman" w:eastAsia="宋体" w:cs="Times New Roman"/>
                      <w:bCs/>
                      <w:color w:val="FF0000"/>
                      <w:sz w:val="21"/>
                      <w:szCs w:val="21"/>
                      <w:lang w:val="en-US" w:eastAsia="zh-CN"/>
                    </w:rPr>
                    <w:t>施工</w:t>
                  </w:r>
                  <w:r>
                    <w:rPr>
                      <w:rFonts w:hint="default" w:ascii="Times New Roman" w:hAnsi="Times New Roman" w:eastAsia="宋体" w:cs="Times New Roman"/>
                      <w:bCs/>
                      <w:color w:val="FF0000"/>
                      <w:sz w:val="21"/>
                      <w:szCs w:val="21"/>
                      <w:lang w:val="en-US" w:eastAsia="zh-CN"/>
                    </w:rPr>
                    <w:t>期生活污水量较少，主要为洗漱废水，用于场内抑尘</w:t>
                  </w:r>
                </w:p>
              </w:tc>
              <w:tc>
                <w:tcPr>
                  <w:tcW w:w="568" w:type="pct"/>
                  <w:tcBorders>
                    <w:tl2br w:val="nil"/>
                    <w:tr2bl w:val="nil"/>
                  </w:tcBorders>
                  <w:noWrap w:val="0"/>
                  <w:vAlign w:val="center"/>
                </w:tcPr>
                <w:p w14:paraId="29928C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符合</w:t>
                  </w:r>
                </w:p>
              </w:tc>
            </w:tr>
            <w:tr w14:paraId="660CE087">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2339" w:type="pct"/>
                  <w:tcBorders>
                    <w:tl2br w:val="nil"/>
                    <w:tr2bl w:val="nil"/>
                  </w:tcBorders>
                  <w:noWrap w:val="0"/>
                  <w:vAlign w:val="center"/>
                </w:tcPr>
                <w:p w14:paraId="0086A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u w:val="none" w:color="auto"/>
                      <w:lang w:val="en-US" w:eastAsia="zh-CN" w:bidi="ar-SA"/>
                    </w:rPr>
                  </w:pPr>
                  <w:r>
                    <w:rPr>
                      <w:rFonts w:hint="default" w:ascii="Times New Roman" w:hAnsi="Times New Roman" w:eastAsia="宋体" w:cs="Times New Roman"/>
                      <w:color w:val="FF0000"/>
                      <w:sz w:val="21"/>
                      <w:szCs w:val="21"/>
                      <w:highlight w:val="none"/>
                      <w:u w:val="none" w:color="auto"/>
                    </w:rPr>
                    <w:t>推动大宗固废产生过程自消纳，强化建筑垃圾分类管理、源头减量和资源化利用</w:t>
                  </w:r>
                </w:p>
              </w:tc>
              <w:tc>
                <w:tcPr>
                  <w:tcW w:w="2091" w:type="pct"/>
                  <w:tcBorders>
                    <w:tl2br w:val="nil"/>
                    <w:tr2bl w:val="nil"/>
                  </w:tcBorders>
                  <w:noWrap w:val="0"/>
                  <w:vAlign w:val="center"/>
                </w:tcPr>
                <w:p w14:paraId="0407F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u w:val="none" w:color="auto"/>
                      <w:lang w:val="en-US" w:eastAsia="zh-CN" w:bidi="ar-SA"/>
                    </w:rPr>
                  </w:pPr>
                  <w:r>
                    <w:rPr>
                      <w:rFonts w:hint="default" w:ascii="Times New Roman" w:hAnsi="Times New Roman" w:eastAsia="宋体" w:cs="Times New Roman"/>
                      <w:color w:val="FF0000"/>
                      <w:sz w:val="21"/>
                      <w:szCs w:val="21"/>
                      <w:highlight w:val="none"/>
                      <w:u w:val="none" w:color="auto"/>
                      <w:lang w:eastAsia="zh-CN"/>
                    </w:rPr>
                    <w:t>项目生产过程中产生固废外售综合利用</w:t>
                  </w:r>
                </w:p>
              </w:tc>
              <w:tc>
                <w:tcPr>
                  <w:tcW w:w="568" w:type="pct"/>
                  <w:tcBorders>
                    <w:tl2br w:val="nil"/>
                    <w:tr2bl w:val="nil"/>
                  </w:tcBorders>
                  <w:noWrap w:val="0"/>
                  <w:vAlign w:val="center"/>
                </w:tcPr>
                <w:p w14:paraId="3CB3F0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符合</w:t>
                  </w:r>
                </w:p>
              </w:tc>
            </w:tr>
          </w:tbl>
          <w:p w14:paraId="658CE9AE">
            <w:pPr>
              <w:keepNext w:val="0"/>
              <w:keepLines w:val="0"/>
              <w:pageBreakBefore w:val="0"/>
              <w:widowControl w:val="0"/>
              <w:kinsoku/>
              <w:wordWrap/>
              <w:overflowPunct/>
              <w:topLinePunct w:val="0"/>
              <w:bidi w:val="0"/>
              <w:adjustRightInd w:val="0"/>
              <w:snapToGrid w:val="0"/>
              <w:spacing w:line="360" w:lineRule="auto"/>
              <w:jc w:val="both"/>
              <w:textAlignment w:val="auto"/>
              <w:rPr>
                <w:rFonts w:hint="eastAsia" w:eastAsia="宋体"/>
                <w:color w:val="000000" w:themeColor="text1"/>
                <w:sz w:val="24"/>
                <w:szCs w:val="24"/>
                <w:lang w:val="en-US" w:eastAsia="zh-CN"/>
                <w14:textFill>
                  <w14:solidFill>
                    <w14:schemeClr w14:val="tx1"/>
                  </w14:solidFill>
                </w14:textFill>
              </w:rPr>
            </w:pPr>
          </w:p>
        </w:tc>
      </w:tr>
    </w:tbl>
    <w:p w14:paraId="7AB1ACF2">
      <w:pPr>
        <w:spacing w:line="360" w:lineRule="auto"/>
        <w:outlineLvl w:val="0"/>
        <w:rPr>
          <w:rFonts w:eastAsia="黑体"/>
          <w:color w:val="000000" w:themeColor="text1"/>
          <w:sz w:val="30"/>
          <w14:textFill>
            <w14:solidFill>
              <w14:schemeClr w14:val="tx1"/>
            </w14:solidFill>
          </w14:textFill>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F18C7D1">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二、建设内容</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844"/>
      </w:tblGrid>
      <w:tr w14:paraId="7E499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noWrap w:val="0"/>
            <w:vAlign w:val="center"/>
          </w:tcPr>
          <w:p w14:paraId="2E7201B2">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地理位置</w:t>
            </w:r>
          </w:p>
        </w:tc>
        <w:tc>
          <w:tcPr>
            <w:tcW w:w="7844" w:type="dxa"/>
            <w:noWrap w:val="0"/>
            <w:vAlign w:val="center"/>
          </w:tcPr>
          <w:p w14:paraId="78B0E9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本工程位于宁县湘乐川流域，起点：东经108度18分9.321秒，北纬35度43分34.811秒；终点：东经108度13分20.842秒，北纬35度39分33.393秒。治理河道长度为11.410km。左</w:t>
            </w:r>
            <w:r>
              <w:rPr>
                <w:rFonts w:hint="default" w:ascii="Times New Roman" w:hAnsi="Times New Roman" w:eastAsia="宋体" w:cs="宋体"/>
                <w:color w:val="000000" w:themeColor="text1"/>
                <w:sz w:val="24"/>
                <w:szCs w:val="24"/>
                <w:lang w:val="en-US" w:eastAsia="zh-CN"/>
                <w14:textFill>
                  <w14:solidFill>
                    <w14:schemeClr w14:val="tx1"/>
                  </w14:solidFill>
                </w14:textFill>
              </w:rPr>
              <w:t>右岸新建护岸、护脚总长12.761km，其中: 左岸6.176km，右岸6.585km。</w:t>
            </w:r>
          </w:p>
          <w:p w14:paraId="5BEC4D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项目地理位置详见附图</w:t>
            </w:r>
            <w:r>
              <w:rPr>
                <w:rFonts w:hint="eastAsia" w:ascii="Times New Roman" w:hAnsi="Times New Roman" w:eastAsia="宋体" w:cs="宋体"/>
                <w:color w:val="000000" w:themeColor="text1"/>
                <w:sz w:val="24"/>
                <w:szCs w:val="24"/>
                <w:lang w:val="en-US" w:eastAsia="zh-CN"/>
                <w14:textFill>
                  <w14:solidFill>
                    <w14:schemeClr w14:val="tx1"/>
                  </w14:solidFill>
                </w14:textFill>
              </w:rPr>
              <w:t>4</w:t>
            </w:r>
            <w:r>
              <w:rPr>
                <w:rFonts w:hint="eastAsia" w:ascii="Times New Roman" w:hAnsi="Times New Roman" w:eastAsia="宋体" w:cs="宋体"/>
                <w:color w:val="000000" w:themeColor="text1"/>
                <w:sz w:val="24"/>
                <w:szCs w:val="24"/>
                <w:lang w:eastAsia="zh-CN"/>
                <w14:textFill>
                  <w14:solidFill>
                    <w14:schemeClr w14:val="tx1"/>
                  </w14:solidFill>
                </w14:textFill>
              </w:rPr>
              <w:t>。沿线分布有少量的居民。</w:t>
            </w:r>
          </w:p>
        </w:tc>
      </w:tr>
      <w:tr w14:paraId="62ACB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noWrap w:val="0"/>
            <w:vAlign w:val="center"/>
          </w:tcPr>
          <w:p w14:paraId="00BCF83C">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项目组成及规模</w:t>
            </w:r>
          </w:p>
        </w:tc>
        <w:tc>
          <w:tcPr>
            <w:tcW w:w="7844" w:type="dxa"/>
            <w:noWrap w:val="0"/>
            <w:vAlign w:val="center"/>
          </w:tcPr>
          <w:p w14:paraId="6B5F7393">
            <w:pPr>
              <w:spacing w:line="360" w:lineRule="auto"/>
              <w:ind w:right="-1"/>
              <w:contextualSpacing/>
              <w:jc w:val="left"/>
              <w:outlineLvl w:val="2"/>
              <w:rPr>
                <w:rFonts w:hint="eastAsia" w:ascii="Times New Roman" w:hAnsi="Times New Roman"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rFonts w:hint="eastAsia" w:ascii="Times New Roman" w:hAnsi="Times New Roman" w:eastAsia="宋体"/>
                <w:b/>
                <w:bCs/>
                <w:color w:val="000000" w:themeColor="text1"/>
                <w:sz w:val="24"/>
                <w:szCs w:val="24"/>
                <w:lang w:eastAsia="zh-CN"/>
                <w14:textFill>
                  <w14:solidFill>
                    <w14:schemeClr w14:val="tx1"/>
                  </w14:solidFill>
                </w14:textFill>
              </w:rPr>
              <w:t>治理工程的</w:t>
            </w:r>
            <w:r>
              <w:rPr>
                <w:rFonts w:hint="eastAsia"/>
                <w:b/>
                <w:bCs/>
                <w:color w:val="000000" w:themeColor="text1"/>
                <w:sz w:val="24"/>
                <w:szCs w:val="24"/>
                <w:lang w:eastAsia="zh-CN"/>
                <w14:textFill>
                  <w14:solidFill>
                    <w14:schemeClr w14:val="tx1"/>
                  </w14:solidFill>
                </w14:textFill>
              </w:rPr>
              <w:t>规模</w:t>
            </w:r>
          </w:p>
          <w:p w14:paraId="252F42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default" w:ascii="Times New Roman" w:hAnsi="Times New Roman" w:eastAsia="宋体" w:cs="宋体"/>
                <w:color w:val="000000" w:themeColor="text1"/>
                <w:sz w:val="24"/>
                <w:szCs w:val="24"/>
                <w:lang w:val="en-US" w:eastAsia="zh-CN"/>
                <w14:textFill>
                  <w14:solidFill>
                    <w14:schemeClr w14:val="tx1"/>
                  </w14:solidFill>
                </w14:textFill>
              </w:rPr>
              <w:t>宁县湘乐川前渠至宋庄段河道进行治理，治理河长11.410km，左右岸新建护岸、护脚总长12.761km，其中:左岸6.176km，右岸6.585km。 其中: 新建复合式护岸2544m(左岸2269m，右岸275m);新建坡式护脚9518m(左岸3907m，右岸5611m); 右岸新建墙式护脚699m。</w:t>
            </w:r>
          </w:p>
          <w:p w14:paraId="0A547D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default" w:ascii="Times New Roman" w:hAnsi="Times New Roman" w:eastAsia="宋体" w:cs="宋体"/>
                <w:color w:val="000000" w:themeColor="text1"/>
                <w:sz w:val="24"/>
                <w:szCs w:val="24"/>
                <w:lang w:val="en-US" w:eastAsia="zh-CN"/>
                <w14:textFill>
                  <w14:solidFill>
                    <w14:schemeClr w14:val="tx1"/>
                  </w14:solidFill>
                </w14:textFill>
              </w:rPr>
              <w:t>左岸: 岸线分8段: O左岸桩号SLO+000~ SLO+520段，拟建护脚、 护岸总长520m; Q左岸桩号SL2+535 ~ SL4+822段，拟建护脚、护岸总长2287m; Q左岸桩号SL5+068~ 5+430段，护脚长362m; Q左岸桩号SL6+342~7+172段，护脚长830m; O左岸桩号SL7+195-7+920段，护脚长 725m; O左岸桩号SL9+254 ~lo+010段，护脚长766m; O左岸桩号SL10+020 ~ lo+251段， 护脚长231m; O左岸桩号 SL10+647- 11+102段，护脚长455m。护岸、护脚均沿1级阶地前缘临河岸坎布设，总长6176m。</w:t>
            </w:r>
          </w:p>
          <w:p w14:paraId="7EB424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default" w:ascii="Times New Roman" w:hAnsi="Times New Roman" w:eastAsia="宋体" w:cs="宋体"/>
                <w:color w:val="000000" w:themeColor="text1"/>
                <w:sz w:val="24"/>
                <w:szCs w:val="24"/>
                <w:lang w:val="en-US" w:eastAsia="zh-CN"/>
                <w14:textFill>
                  <w14:solidFill>
                    <w14:schemeClr w14:val="tx1"/>
                  </w14:solidFill>
                </w14:textFill>
              </w:rPr>
              <w:t>右岸: 岸线分7段: O右岸桩号SRO+000一SRO+0+686段，护脚长686m;O右岸桩号 SR2+564一SR4+838段，护脚K:2274m; Q右岸桩号5+145-5+790段，护脚长645m; O右岸桩号SR8+255一SR8+517段，护脚长262m ; O右岸桩号SR8+517一SR9+232段，护脚长725m ; O右岸桩 号SR9+258一SR10+022段，护岸长804m;O右岸桩号SR10+032-11+171段，护脚长ll89m。护岸、护脚均沿1级阶地前缘临河岸</w:t>
            </w:r>
            <w:r>
              <w:rPr>
                <w:rFonts w:hint="eastAsia" w:ascii="Times New Roman" w:hAnsi="Times New Roman" w:eastAsia="宋体" w:cs="宋体"/>
                <w:color w:val="000000" w:themeColor="text1"/>
                <w:sz w:val="24"/>
                <w:szCs w:val="24"/>
                <w:lang w:val="en-US" w:eastAsia="zh-CN"/>
                <w14:textFill>
                  <w14:solidFill>
                    <w14:schemeClr w14:val="tx1"/>
                  </w14:solidFill>
                </w14:textFill>
              </w:rPr>
              <w:t>坎</w:t>
            </w:r>
            <w:r>
              <w:rPr>
                <w:rFonts w:hint="default" w:ascii="Times New Roman" w:hAnsi="Times New Roman" w:eastAsia="宋体" w:cs="宋体"/>
                <w:color w:val="000000" w:themeColor="text1"/>
                <w:sz w:val="24"/>
                <w:szCs w:val="24"/>
                <w:lang w:val="en-US" w:eastAsia="zh-CN"/>
                <w14:textFill>
                  <w14:solidFill>
                    <w14:schemeClr w14:val="tx1"/>
                  </w14:solidFill>
                </w14:textFill>
              </w:rPr>
              <w:t xml:space="preserve">布设，总长6585m。 </w:t>
            </w:r>
          </w:p>
          <w:p w14:paraId="2ECA506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t>工程内容</w:t>
            </w:r>
          </w:p>
          <w:p w14:paraId="5478DE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olor w:val="000000" w:themeColor="text1"/>
                <w:sz w:val="24"/>
                <w:szCs w:val="24"/>
                <w:lang w:val="en-GB"/>
                <w14:textFill>
                  <w14:solidFill>
                    <w14:schemeClr w14:val="tx1"/>
                  </w14:solidFill>
                </w14:textFill>
              </w:rPr>
            </w:pPr>
            <w:r>
              <w:rPr>
                <w:rFonts w:hint="eastAsia" w:ascii="Times New Roman" w:hAnsi="Times New Roman" w:eastAsia="宋体" w:cs="宋体"/>
                <w:color w:val="000000" w:themeColor="text1"/>
                <w:kern w:val="0"/>
                <w:sz w:val="24"/>
                <w:szCs w:val="24"/>
                <w:lang w:val="en-GB" w:eastAsia="zh-CN" w:bidi="ar-SA"/>
                <w14:textFill>
                  <w14:solidFill>
                    <w14:schemeClr w14:val="tx1"/>
                  </w14:solidFill>
                </w14:textFill>
              </w:rPr>
              <w:t>本项目工程组成及建设内容具体见表</w:t>
            </w:r>
            <w:r>
              <w:rPr>
                <w:rFonts w:hint="eastAsia" w:cs="宋体"/>
                <w:color w:val="000000" w:themeColor="text1"/>
                <w:kern w:val="0"/>
                <w:sz w:val="24"/>
                <w:szCs w:val="24"/>
                <w:lang w:val="en-US" w:eastAsia="zh-CN" w:bidi="ar-SA"/>
                <w14:textFill>
                  <w14:solidFill>
                    <w14:schemeClr w14:val="tx1"/>
                  </w14:solidFill>
                </w14:textFill>
              </w:rPr>
              <w:t>2</w:t>
            </w:r>
            <w:r>
              <w:rPr>
                <w:rFonts w:hint="eastAsia" w:ascii="Times New Roman" w:hAnsi="Times New Roman" w:eastAsia="宋体" w:cs="宋体"/>
                <w:color w:val="000000" w:themeColor="text1"/>
                <w:kern w:val="0"/>
                <w:sz w:val="24"/>
                <w:szCs w:val="24"/>
                <w:lang w:val="en-GB" w:eastAsia="zh-CN" w:bidi="ar-SA"/>
                <w14:textFill>
                  <w14:solidFill>
                    <w14:schemeClr w14:val="tx1"/>
                  </w14:solidFill>
                </w14:textFill>
              </w:rPr>
              <w:t>-</w:t>
            </w:r>
            <w:r>
              <w:rPr>
                <w:rFonts w:hint="eastAsia" w:cs="宋体"/>
                <w:color w:val="000000" w:themeColor="text1"/>
                <w:kern w:val="0"/>
                <w:sz w:val="24"/>
                <w:szCs w:val="24"/>
                <w:lang w:val="en-US" w:eastAsia="zh-CN" w:bidi="ar-SA"/>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w:t>
            </w:r>
          </w:p>
          <w:p w14:paraId="6AFADD63">
            <w:pPr>
              <w:pStyle w:val="46"/>
              <w:ind w:right="-1" w:firstLine="723" w:firstLineChars="300"/>
              <w:jc w:val="center"/>
              <w:rPr>
                <w:rFonts w:ascii="Times New Roman" w:hAnsi="Times New Roman" w:eastAsia="宋体"/>
                <w:b/>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表</w:t>
            </w:r>
            <w:r>
              <w:rPr>
                <w:rFonts w:hint="eastAsia"/>
                <w:b/>
                <w:color w:val="000000" w:themeColor="text1"/>
                <w:sz w:val="24"/>
                <w:szCs w:val="24"/>
                <w:highlight w:val="none"/>
                <w:lang w:val="en-US" w:eastAsia="zh-CN"/>
                <w14:textFill>
                  <w14:solidFill>
                    <w14:schemeClr w14:val="tx1"/>
                  </w14:solidFill>
                </w14:textFill>
              </w:rPr>
              <w:t>2-1</w:t>
            </w:r>
            <w:r>
              <w:rPr>
                <w:rFonts w:ascii="Times New Roman" w:hAnsi="Times New Roman" w:eastAsia="宋体"/>
                <w:b/>
                <w:color w:val="000000" w:themeColor="text1"/>
                <w:sz w:val="24"/>
                <w:szCs w:val="24"/>
                <w:highlight w:val="none"/>
                <w14:textFill>
                  <w14:solidFill>
                    <w14:schemeClr w14:val="tx1"/>
                  </w14:solidFill>
                </w14:textFill>
              </w:rPr>
              <w:t xml:space="preserve">    工程组成及建设内容一览表</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58"/>
              <w:gridCol w:w="1293"/>
              <w:gridCol w:w="945"/>
              <w:gridCol w:w="4532"/>
            </w:tblGrid>
            <w:tr w14:paraId="59BC3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410" w:type="pct"/>
                  <w:gridSpan w:val="2"/>
                  <w:tcBorders>
                    <w:tl2br w:val="nil"/>
                    <w:tr2bl w:val="nil"/>
                  </w:tcBorders>
                  <w:shd w:val="clear" w:color="auto" w:fill="auto"/>
                  <w:vAlign w:val="center"/>
                </w:tcPr>
                <w:p w14:paraId="7EB49676">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工程组成</w:t>
                  </w:r>
                </w:p>
              </w:tc>
              <w:tc>
                <w:tcPr>
                  <w:tcW w:w="3589" w:type="pct"/>
                  <w:gridSpan w:val="2"/>
                  <w:tcBorders>
                    <w:tl2br w:val="nil"/>
                    <w:tr2bl w:val="nil"/>
                  </w:tcBorders>
                  <w:shd w:val="clear" w:color="auto" w:fill="auto"/>
                  <w:vAlign w:val="center"/>
                </w:tcPr>
                <w:p w14:paraId="441E2DC3">
                  <w:pPr>
                    <w:pStyle w:val="46"/>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建设内容</w:t>
                  </w:r>
                </w:p>
              </w:tc>
            </w:tr>
            <w:tr w14:paraId="79773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63" w:type="pct"/>
                  <w:tcBorders>
                    <w:tl2br w:val="nil"/>
                    <w:tr2bl w:val="nil"/>
                  </w:tcBorders>
                  <w:shd w:val="clear" w:color="auto" w:fill="auto"/>
                  <w:vAlign w:val="center"/>
                </w:tcPr>
                <w:p w14:paraId="684CACB6">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主体工程</w:t>
                  </w:r>
                </w:p>
              </w:tc>
              <w:tc>
                <w:tcPr>
                  <w:tcW w:w="846" w:type="pct"/>
                  <w:tcBorders>
                    <w:tl2br w:val="nil"/>
                    <w:tr2bl w:val="nil"/>
                  </w:tcBorders>
                  <w:shd w:val="clear" w:color="auto" w:fill="auto"/>
                  <w:vAlign w:val="center"/>
                </w:tcPr>
                <w:p w14:paraId="17F2CAC7">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生态护岸</w:t>
                  </w:r>
                </w:p>
              </w:tc>
              <w:tc>
                <w:tcPr>
                  <w:tcW w:w="3589" w:type="pct"/>
                  <w:gridSpan w:val="2"/>
                  <w:tcBorders>
                    <w:tl2br w:val="nil"/>
                    <w:tr2bl w:val="nil"/>
                  </w:tcBorders>
                  <w:shd w:val="clear" w:color="auto" w:fill="auto"/>
                  <w:vAlign w:val="center"/>
                </w:tcPr>
                <w:p w14:paraId="418B034D">
                  <w:pPr>
                    <w:keepNext w:val="0"/>
                    <w:keepLines w:val="0"/>
                    <w:pageBreakBefore w:val="0"/>
                    <w:kinsoku/>
                    <w:wordWrap/>
                    <w:overflowPunct/>
                    <w:topLinePunct w:val="0"/>
                    <w:bidi w:val="0"/>
                    <w:adjustRightInd/>
                    <w:snapToGrid/>
                    <w:spacing w:line="240" w:lineRule="auto"/>
                    <w:ind w:right="-1"/>
                    <w:contextualSpacing/>
                    <w:jc w:val="center"/>
                    <w:textAlignment w:val="auto"/>
                    <w:rPr>
                      <w:rFonts w:hint="default" w:ascii="Times New Roman" w:hAnsi="Times New Roman" w:eastAsia="宋体" w:cs="宋体"/>
                      <w:color w:val="FF0000"/>
                      <w:sz w:val="21"/>
                      <w:szCs w:val="21"/>
                      <w:lang w:val="en-US" w:eastAsia="zh-CN"/>
                    </w:rPr>
                  </w:pPr>
                  <w:r>
                    <w:rPr>
                      <w:rFonts w:hint="default" w:ascii="Times New Roman" w:hAnsi="Times New Roman" w:eastAsia="宋体" w:cs="宋体"/>
                      <w:color w:val="FF0000"/>
                      <w:sz w:val="21"/>
                      <w:szCs w:val="21"/>
                      <w:lang w:val="en-US" w:eastAsia="zh-CN"/>
                    </w:rPr>
                    <w:t>新建护岸、护脚总长12.761km，其中:左岸6.176km，右岸6.585km。 其中: 新建复合式护岸2544m(左岸2269m，右岸275m);新建坡式护脚9518m(左岸3907m，右岸5611m); 右岸新建墙式护脚699m。</w:t>
                  </w:r>
                </w:p>
                <w:p w14:paraId="035D1BFC">
                  <w:pPr>
                    <w:keepNext w:val="0"/>
                    <w:keepLines w:val="0"/>
                    <w:pageBreakBefore w:val="0"/>
                    <w:kinsoku/>
                    <w:wordWrap/>
                    <w:overflowPunct/>
                    <w:topLinePunct w:val="0"/>
                    <w:bidi w:val="0"/>
                    <w:adjustRightInd/>
                    <w:snapToGrid/>
                    <w:spacing w:line="240" w:lineRule="auto"/>
                    <w:ind w:right="-1"/>
                    <w:contextualSpacing/>
                    <w:jc w:val="center"/>
                    <w:textAlignment w:val="auto"/>
                    <w:rPr>
                      <w:rFonts w:hint="eastAsia"/>
                      <w:sz w:val="24"/>
                      <w:lang w:val="en-US" w:eastAsia="zh-CN"/>
                    </w:rPr>
                  </w:pPr>
                  <w:r>
                    <w:rPr>
                      <w:rFonts w:hint="default" w:ascii="Times New Roman" w:hAnsi="Times New Roman" w:eastAsia="宋体" w:cs="宋体"/>
                      <w:color w:val="FF0000"/>
                      <w:kern w:val="2"/>
                      <w:sz w:val="21"/>
                      <w:szCs w:val="21"/>
                      <w:lang w:val="en-US" w:eastAsia="zh-CN" w:bidi="ar-SA"/>
                    </w:rPr>
                    <w:t>复合式结构护岸：墙式格宾石笼护脚+绿滨垫护坡墙式格宾石笼护脚总高</w:t>
                  </w:r>
                  <w:r>
                    <w:rPr>
                      <w:rFonts w:hint="eastAsia" w:ascii="Times New Roman" w:hAnsi="Times New Roman" w:eastAsia="宋体" w:cs="宋体"/>
                      <w:color w:val="FF0000"/>
                      <w:kern w:val="2"/>
                      <w:sz w:val="21"/>
                      <w:szCs w:val="21"/>
                      <w:lang w:val="en-US" w:eastAsia="zh-CN" w:bidi="ar-SA"/>
                    </w:rPr>
                    <w:t>1</w:t>
                  </w:r>
                  <w:r>
                    <w:rPr>
                      <w:rFonts w:hint="default" w:ascii="Times New Roman" w:hAnsi="Times New Roman" w:eastAsia="宋体" w:cs="宋体"/>
                      <w:color w:val="FF0000"/>
                      <w:kern w:val="2"/>
                      <w:sz w:val="21"/>
                      <w:szCs w:val="21"/>
                      <w:lang w:val="en-US" w:eastAsia="zh-CN" w:bidi="ar-SA"/>
                    </w:rPr>
                    <w:t>.5m，格宾石笼墙顶宽1m，底宽</w:t>
                  </w:r>
                  <w:r>
                    <w:rPr>
                      <w:rFonts w:hint="eastAsia" w:ascii="Times New Roman" w:hAnsi="Times New Roman" w:eastAsia="宋体" w:cs="宋体"/>
                      <w:color w:val="FF0000"/>
                      <w:kern w:val="2"/>
                      <w:sz w:val="21"/>
                      <w:szCs w:val="21"/>
                      <w:lang w:val="en-US" w:eastAsia="zh-CN" w:bidi="ar-SA"/>
                    </w:rPr>
                    <w:t>1.5</w:t>
                  </w:r>
                  <w:r>
                    <w:rPr>
                      <w:rFonts w:hint="default" w:ascii="Times New Roman" w:hAnsi="Times New Roman" w:eastAsia="宋体" w:cs="宋体"/>
                      <w:color w:val="FF0000"/>
                      <w:kern w:val="2"/>
                      <w:sz w:val="21"/>
                      <w:szCs w:val="21"/>
                      <w:lang w:val="en-US" w:eastAsia="zh-CN" w:bidi="ar-SA"/>
                    </w:rPr>
                    <w:t>m，迎水面为台阶式，台阶宽度0.5m，高度1.0m，采用1.0m厚格宾网石笼层叠铺设</w:t>
                  </w:r>
                  <w:r>
                    <w:rPr>
                      <w:rFonts w:hint="eastAsia" w:ascii="Times New Roman" w:hAnsi="Times New Roman" w:eastAsia="宋体" w:cs="宋体"/>
                      <w:color w:val="FF0000"/>
                      <w:kern w:val="2"/>
                      <w:sz w:val="21"/>
                      <w:szCs w:val="21"/>
                      <w:lang w:val="en-US" w:eastAsia="zh-CN" w:bidi="ar-SA"/>
                    </w:rPr>
                    <w:t>。</w:t>
                  </w:r>
                </w:p>
              </w:tc>
            </w:tr>
            <w:tr w14:paraId="61D01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63" w:type="pct"/>
                  <w:vMerge w:val="restart"/>
                  <w:tcBorders>
                    <w:tl2br w:val="nil"/>
                    <w:tr2bl w:val="nil"/>
                  </w:tcBorders>
                  <w:shd w:val="clear" w:color="auto" w:fill="auto"/>
                  <w:vAlign w:val="center"/>
                </w:tcPr>
                <w:p w14:paraId="5D199A76">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临时</w:t>
                  </w:r>
                </w:p>
                <w:p w14:paraId="5BEA7012">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工程</w:t>
                  </w:r>
                </w:p>
              </w:tc>
              <w:tc>
                <w:tcPr>
                  <w:tcW w:w="846" w:type="pct"/>
                  <w:tcBorders>
                    <w:tl2br w:val="nil"/>
                    <w:tr2bl w:val="nil"/>
                  </w:tcBorders>
                  <w:shd w:val="clear" w:color="auto" w:fill="auto"/>
                  <w:vAlign w:val="center"/>
                </w:tcPr>
                <w:p w14:paraId="3A1861E7">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宋体"/>
                      <w:color w:val="FF0000"/>
                      <w:kern w:val="0"/>
                      <w:sz w:val="21"/>
                      <w:szCs w:val="21"/>
                    </w:rPr>
                  </w:pPr>
                  <w:r>
                    <w:rPr>
                      <w:rFonts w:hint="eastAsia" w:cs="Times New Roman"/>
                      <w:color w:val="FF0000"/>
                      <w:sz w:val="21"/>
                      <w:szCs w:val="21"/>
                      <w:lang w:val="en-US" w:eastAsia="zh-CN"/>
                    </w:rPr>
                    <w:t>施工营地</w:t>
                  </w:r>
                </w:p>
              </w:tc>
              <w:tc>
                <w:tcPr>
                  <w:tcW w:w="3589" w:type="pct"/>
                  <w:gridSpan w:val="2"/>
                  <w:tcBorders>
                    <w:tl2br w:val="nil"/>
                    <w:tr2bl w:val="nil"/>
                  </w:tcBorders>
                  <w:shd w:val="clear" w:color="auto" w:fill="auto"/>
                  <w:vAlign w:val="center"/>
                </w:tcPr>
                <w:p w14:paraId="58FF00A1">
                  <w:pPr>
                    <w:keepNext w:val="0"/>
                    <w:keepLines w:val="0"/>
                    <w:pageBreakBefore w:val="0"/>
                    <w:kinsoku/>
                    <w:wordWrap/>
                    <w:overflowPunct/>
                    <w:topLinePunct w:val="0"/>
                    <w:bidi w:val="0"/>
                    <w:adjustRightInd/>
                    <w:snapToGrid/>
                    <w:spacing w:line="240" w:lineRule="auto"/>
                    <w:ind w:right="-1"/>
                    <w:contextualSpacing/>
                    <w:jc w:val="center"/>
                    <w:textAlignment w:val="auto"/>
                    <w:rPr>
                      <w:rFonts w:hint="default" w:ascii="Times New Roman" w:hAnsi="Times New Roman" w:eastAsia="宋体"/>
                      <w:color w:val="FF0000"/>
                      <w:kern w:val="0"/>
                      <w:sz w:val="21"/>
                      <w:szCs w:val="21"/>
                      <w:lang w:val="en-US"/>
                    </w:rPr>
                  </w:pPr>
                  <w:r>
                    <w:rPr>
                      <w:rFonts w:hint="eastAsia"/>
                      <w:color w:val="FF0000"/>
                      <w:kern w:val="0"/>
                      <w:sz w:val="21"/>
                      <w:szCs w:val="21"/>
                      <w:lang w:val="en-US" w:eastAsia="zh-CN"/>
                    </w:rPr>
                    <w:t>位于上游河岸空地处，</w:t>
                  </w:r>
                  <w:r>
                    <w:rPr>
                      <w:rFonts w:hint="default" w:cs="宋体"/>
                      <w:color w:val="FF0000"/>
                      <w:sz w:val="21"/>
                      <w:szCs w:val="21"/>
                      <w:lang w:val="en-US" w:eastAsia="zh-CN"/>
                    </w:rPr>
                    <w:t>修建临时房屋</w:t>
                  </w:r>
                  <w:r>
                    <w:rPr>
                      <w:rFonts w:hint="eastAsia" w:cs="宋体"/>
                      <w:color w:val="FF0000"/>
                      <w:sz w:val="21"/>
                      <w:szCs w:val="21"/>
                      <w:lang w:val="en-US" w:eastAsia="zh-CN"/>
                    </w:rPr>
                    <w:t>30</w:t>
                  </w:r>
                  <w:r>
                    <w:rPr>
                      <w:rFonts w:hint="default" w:cs="宋体"/>
                      <w:color w:val="FF0000"/>
                      <w:sz w:val="21"/>
                      <w:szCs w:val="21"/>
                      <w:lang w:val="en-US" w:eastAsia="zh-CN"/>
                    </w:rPr>
                    <w:t>0m</w:t>
                  </w:r>
                  <w:r>
                    <w:rPr>
                      <w:rFonts w:hint="default" w:cs="宋体"/>
                      <w:color w:val="FF0000"/>
                      <w:sz w:val="21"/>
                      <w:szCs w:val="21"/>
                      <w:vertAlign w:val="superscript"/>
                      <w:lang w:val="en-US" w:eastAsia="zh-CN"/>
                    </w:rPr>
                    <w:t>2</w:t>
                  </w:r>
                  <w:r>
                    <w:rPr>
                      <w:rFonts w:hint="eastAsia"/>
                      <w:color w:val="FF0000"/>
                      <w:kern w:val="0"/>
                      <w:sz w:val="21"/>
                      <w:szCs w:val="21"/>
                      <w:lang w:val="en-US" w:eastAsia="zh-CN"/>
                    </w:rPr>
                    <w:t>，占地类型为荒草地</w:t>
                  </w:r>
                </w:p>
              </w:tc>
            </w:tr>
            <w:tr w14:paraId="18B05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63" w:type="pct"/>
                  <w:vMerge w:val="continue"/>
                  <w:tcBorders>
                    <w:tl2br w:val="nil"/>
                    <w:tr2bl w:val="nil"/>
                  </w:tcBorders>
                  <w:shd w:val="clear" w:color="auto" w:fill="auto"/>
                  <w:vAlign w:val="center"/>
                </w:tcPr>
                <w:p w14:paraId="28026BA7">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vAlign w:val="center"/>
                </w:tcPr>
                <w:p w14:paraId="32AE55CE">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sz w:val="21"/>
                      <w:szCs w:val="21"/>
                    </w:rPr>
                    <w:t>施工道路</w:t>
                  </w:r>
                </w:p>
              </w:tc>
              <w:tc>
                <w:tcPr>
                  <w:tcW w:w="3589" w:type="pct"/>
                  <w:gridSpan w:val="2"/>
                  <w:tcBorders>
                    <w:tl2br w:val="nil"/>
                    <w:tr2bl w:val="nil"/>
                  </w:tcBorders>
                  <w:shd w:val="clear" w:color="auto" w:fill="auto"/>
                  <w:vAlign w:val="center"/>
                </w:tcPr>
                <w:p w14:paraId="0245226D">
                  <w:pPr>
                    <w:keepNext w:val="0"/>
                    <w:keepLines w:val="0"/>
                    <w:pageBreakBefore w:val="0"/>
                    <w:kinsoku/>
                    <w:wordWrap/>
                    <w:overflowPunct/>
                    <w:topLinePunct w:val="0"/>
                    <w:bidi w:val="0"/>
                    <w:adjustRightInd/>
                    <w:snapToGrid/>
                    <w:spacing w:line="240" w:lineRule="auto"/>
                    <w:ind w:right="-1"/>
                    <w:contextualSpacing/>
                    <w:jc w:val="center"/>
                    <w:textAlignment w:val="auto"/>
                    <w:rPr>
                      <w:rFonts w:hint="eastAsia" w:ascii="Times New Roman" w:hAnsi="Times New Roman" w:eastAsia="宋体"/>
                      <w:color w:val="FF0000"/>
                      <w:kern w:val="0"/>
                      <w:sz w:val="21"/>
                      <w:szCs w:val="21"/>
                      <w:lang w:val="en-US" w:eastAsia="zh-CN"/>
                    </w:rPr>
                  </w:pPr>
                  <w:r>
                    <w:rPr>
                      <w:rFonts w:hint="default" w:ascii="Times New Roman" w:hAnsi="Times New Roman" w:eastAsia="宋体" w:cs="Times New Roman"/>
                      <w:color w:val="FF0000"/>
                      <w:sz w:val="21"/>
                      <w:szCs w:val="21"/>
                    </w:rPr>
                    <w:t>施工便道依托现有河</w:t>
                  </w:r>
                  <w:r>
                    <w:rPr>
                      <w:rFonts w:hint="default" w:ascii="Times New Roman" w:hAnsi="Times New Roman" w:eastAsia="宋体" w:cs="Times New Roman"/>
                      <w:color w:val="FF0000"/>
                      <w:sz w:val="21"/>
                      <w:szCs w:val="21"/>
                      <w:lang w:eastAsia="zh-CN"/>
                    </w:rPr>
                    <w:t>滩地</w:t>
                  </w:r>
                  <w:r>
                    <w:rPr>
                      <w:rFonts w:hint="default" w:ascii="Times New Roman" w:hAnsi="Times New Roman" w:eastAsia="宋体" w:cs="Times New Roman"/>
                      <w:color w:val="FF0000"/>
                      <w:sz w:val="21"/>
                      <w:szCs w:val="21"/>
                    </w:rPr>
                    <w:t>及周边现有道路</w:t>
                  </w:r>
                  <w:r>
                    <w:rPr>
                      <w:rFonts w:hint="default" w:ascii="Times New Roman" w:hAnsi="Times New Roman" w:eastAsia="宋体" w:cs="Times New Roman"/>
                      <w:color w:val="FF0000"/>
                      <w:sz w:val="21"/>
                      <w:szCs w:val="21"/>
                      <w:lang w:eastAsia="zh-CN"/>
                    </w:rPr>
                    <w:t>。</w:t>
                  </w:r>
                </w:p>
              </w:tc>
            </w:tr>
            <w:tr w14:paraId="3B4F3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6" w:hRule="atLeast"/>
                <w:jc w:val="center"/>
              </w:trPr>
              <w:tc>
                <w:tcPr>
                  <w:tcW w:w="563" w:type="pct"/>
                  <w:tcBorders>
                    <w:tl2br w:val="nil"/>
                    <w:tr2bl w:val="nil"/>
                  </w:tcBorders>
                  <w:shd w:val="clear" w:color="auto" w:fill="auto"/>
                  <w:vAlign w:val="center"/>
                </w:tcPr>
                <w:p w14:paraId="6E6AE6AF">
                  <w:pPr>
                    <w:keepNext w:val="0"/>
                    <w:keepLines w:val="0"/>
                    <w:pageBreakBefore w:val="0"/>
                    <w:kinsoku/>
                    <w:wordWrap/>
                    <w:overflowPunct/>
                    <w:topLinePunct w:val="0"/>
                    <w:autoSpaceDE w:val="0"/>
                    <w:autoSpaceDN w:val="0"/>
                    <w:bidi w:val="0"/>
                    <w:adjustRightInd/>
                    <w:snapToGrid/>
                    <w:spacing w:line="240" w:lineRule="auto"/>
                    <w:ind w:right="-1" w:rightChars="0"/>
                    <w:contextualSpacing/>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eastAsia="zh-CN"/>
                      <w14:textFill>
                        <w14:solidFill>
                          <w14:schemeClr w14:val="tx1"/>
                        </w14:solidFill>
                      </w14:textFill>
                    </w:rPr>
                    <w:t>辅助工程</w:t>
                  </w:r>
                </w:p>
              </w:tc>
              <w:tc>
                <w:tcPr>
                  <w:tcW w:w="846" w:type="pct"/>
                  <w:tcBorders>
                    <w:tl2br w:val="nil"/>
                    <w:tr2bl w:val="nil"/>
                  </w:tcBorders>
                  <w:shd w:val="clear" w:color="auto" w:fill="auto"/>
                  <w:vAlign w:val="center"/>
                </w:tcPr>
                <w:p w14:paraId="32A5C93F">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施工导流</w:t>
                  </w:r>
                </w:p>
              </w:tc>
              <w:tc>
                <w:tcPr>
                  <w:tcW w:w="3589" w:type="pct"/>
                  <w:gridSpan w:val="2"/>
                  <w:tcBorders>
                    <w:tl2br w:val="nil"/>
                    <w:tr2bl w:val="nil"/>
                  </w:tcBorders>
                  <w:shd w:val="clear" w:color="auto" w:fill="auto"/>
                  <w:vAlign w:val="center"/>
                </w:tcPr>
                <w:p w14:paraId="60885232">
                  <w:pPr>
                    <w:keepNext w:val="0"/>
                    <w:keepLines w:val="0"/>
                    <w:pageBreakBefore w:val="0"/>
                    <w:kinsoku/>
                    <w:wordWrap/>
                    <w:overflowPunct/>
                    <w:topLinePunct w:val="0"/>
                    <w:bidi w:val="0"/>
                    <w:adjustRightInd/>
                    <w:snapToGrid/>
                    <w:spacing w:line="240" w:lineRule="auto"/>
                    <w:ind w:right="-1"/>
                    <w:contextualSpacing/>
                    <w:jc w:val="center"/>
                    <w:textAlignment w:val="auto"/>
                    <w:rPr>
                      <w:rFonts w:hint="eastAsia"/>
                      <w:color w:val="000000" w:themeColor="text1"/>
                      <w:kern w:val="0"/>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施工围堰4228.64m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r>
            <w:tr w14:paraId="0D229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 w:hRule="atLeast"/>
                <w:jc w:val="center"/>
              </w:trPr>
              <w:tc>
                <w:tcPr>
                  <w:tcW w:w="563" w:type="pct"/>
                  <w:vMerge w:val="restart"/>
                  <w:tcBorders>
                    <w:tl2br w:val="nil"/>
                    <w:tr2bl w:val="nil"/>
                  </w:tcBorders>
                  <w:shd w:val="clear" w:color="auto" w:fill="auto"/>
                  <w:vAlign w:val="center"/>
                </w:tcPr>
                <w:p w14:paraId="4C8C836F">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公用工程</w:t>
                  </w:r>
                </w:p>
              </w:tc>
              <w:tc>
                <w:tcPr>
                  <w:tcW w:w="846" w:type="pct"/>
                  <w:tcBorders>
                    <w:tl2br w:val="nil"/>
                    <w:tr2bl w:val="nil"/>
                  </w:tcBorders>
                  <w:shd w:val="clear" w:color="auto" w:fill="auto"/>
                  <w:vAlign w:val="center"/>
                </w:tcPr>
                <w:p w14:paraId="468F5D0E">
                  <w:pPr>
                    <w:keepNext w:val="0"/>
                    <w:keepLines w:val="0"/>
                    <w:pageBreakBefore w:val="0"/>
                    <w:kinsoku/>
                    <w:wordWrap/>
                    <w:overflowPunct/>
                    <w:topLinePunct w:val="0"/>
                    <w:bidi w:val="0"/>
                    <w:adjustRightInd/>
                    <w:snapToGrid/>
                    <w:spacing w:line="240" w:lineRule="auto"/>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供电</w:t>
                  </w:r>
                </w:p>
              </w:tc>
              <w:tc>
                <w:tcPr>
                  <w:tcW w:w="3589" w:type="pct"/>
                  <w:gridSpan w:val="2"/>
                  <w:tcBorders>
                    <w:tl2br w:val="nil"/>
                    <w:tr2bl w:val="nil"/>
                  </w:tcBorders>
                  <w:shd w:val="clear" w:color="auto" w:fill="auto"/>
                  <w:vAlign w:val="center"/>
                </w:tcPr>
                <w:p w14:paraId="47DEE077">
                  <w:pPr>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本工程特点为长线布置，施工用电较为分散。因此，工程施工用电采用附近</w:t>
                  </w:r>
                  <w:r>
                    <w:rPr>
                      <w:rFonts w:hint="eastAsia" w:ascii="Times New Roman" w:hAnsi="Times New Roman" w:eastAsia="宋体"/>
                      <w:color w:val="000000" w:themeColor="text1"/>
                      <w:sz w:val="21"/>
                      <w:szCs w:val="21"/>
                      <w:lang w:val="en-US" w:eastAsia="zh-CN"/>
                      <w14:textFill>
                        <w14:solidFill>
                          <w14:schemeClr w14:val="tx1"/>
                        </w14:solidFill>
                      </w14:textFill>
                    </w:rPr>
                    <w:t>10KV</w:t>
                  </w:r>
                  <w:r>
                    <w:rPr>
                      <w:rFonts w:hint="eastAsia" w:ascii="Times New Roman" w:hAnsi="Times New Roman" w:eastAsia="宋体"/>
                      <w:color w:val="000000" w:themeColor="text1"/>
                      <w:sz w:val="21"/>
                      <w:szCs w:val="21"/>
                      <w:lang w:eastAsia="zh-CN"/>
                      <w14:textFill>
                        <w14:solidFill>
                          <w14:schemeClr w14:val="tx1"/>
                        </w14:solidFill>
                      </w14:textFill>
                    </w:rPr>
                    <w:t>输电线路进行连接，可满足本项目用电需求</w:t>
                  </w:r>
                </w:p>
              </w:tc>
            </w:tr>
            <w:tr w14:paraId="6D2B2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3" w:type="pct"/>
                  <w:vMerge w:val="continue"/>
                  <w:tcBorders>
                    <w:tl2br w:val="nil"/>
                    <w:tr2bl w:val="nil"/>
                  </w:tcBorders>
                  <w:shd w:val="clear" w:color="auto" w:fill="auto"/>
                  <w:vAlign w:val="center"/>
                </w:tcPr>
                <w:p w14:paraId="2AFA66D2">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vAlign w:val="center"/>
                </w:tcPr>
                <w:p w14:paraId="12CA1213">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给水</w:t>
                  </w:r>
                </w:p>
              </w:tc>
              <w:tc>
                <w:tcPr>
                  <w:tcW w:w="3589" w:type="pct"/>
                  <w:gridSpan w:val="2"/>
                  <w:tcBorders>
                    <w:tl2br w:val="nil"/>
                    <w:tr2bl w:val="nil"/>
                  </w:tcBorders>
                  <w:shd w:val="clear" w:color="auto" w:fill="auto"/>
                  <w:vAlign w:val="center"/>
                </w:tcPr>
                <w:p w14:paraId="2CAEBFAD">
                  <w:pPr>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项目主要用水为施工期，施工用水可就近取湘乐川常流水，生活用水可就近接自来水。</w:t>
                  </w:r>
                </w:p>
              </w:tc>
            </w:tr>
            <w:tr w14:paraId="491C8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jc w:val="center"/>
              </w:trPr>
              <w:tc>
                <w:tcPr>
                  <w:tcW w:w="563" w:type="pct"/>
                  <w:vMerge w:val="restart"/>
                  <w:tcBorders>
                    <w:tl2br w:val="nil"/>
                    <w:tr2bl w:val="nil"/>
                  </w:tcBorders>
                  <w:shd w:val="clear" w:color="auto" w:fill="auto"/>
                  <w:vAlign w:val="center"/>
                </w:tcPr>
                <w:p w14:paraId="021A3932">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环保工程</w:t>
                  </w:r>
                </w:p>
              </w:tc>
              <w:tc>
                <w:tcPr>
                  <w:tcW w:w="846" w:type="pct"/>
                  <w:vMerge w:val="restart"/>
                  <w:tcBorders>
                    <w:tl2br w:val="nil"/>
                    <w:tr2bl w:val="nil"/>
                  </w:tcBorders>
                  <w:shd w:val="clear" w:color="auto" w:fill="auto"/>
                  <w:vAlign w:val="center"/>
                </w:tcPr>
                <w:p w14:paraId="7AB309B3">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b w:val="0"/>
                      <w:bCs w:val="0"/>
                      <w:color w:val="000000" w:themeColor="text1"/>
                      <w:kern w:val="0"/>
                      <w:sz w:val="21"/>
                      <w:szCs w:val="21"/>
                      <w:lang w:eastAsia="zh-CN"/>
                      <w14:textFill>
                        <w14:solidFill>
                          <w14:schemeClr w14:val="tx1"/>
                        </w14:solidFill>
                      </w14:textFill>
                    </w:rPr>
                    <w:t>施工废气治理</w:t>
                  </w:r>
                </w:p>
              </w:tc>
              <w:tc>
                <w:tcPr>
                  <w:tcW w:w="619" w:type="pct"/>
                  <w:tcBorders>
                    <w:tl2br w:val="nil"/>
                    <w:tr2bl w:val="nil"/>
                  </w:tcBorders>
                  <w:shd w:val="clear" w:color="auto" w:fill="auto"/>
                  <w:vAlign w:val="center"/>
                </w:tcPr>
                <w:p w14:paraId="7D4421FD">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施工扬尘及运输扬尘</w:t>
                  </w:r>
                </w:p>
              </w:tc>
              <w:tc>
                <w:tcPr>
                  <w:tcW w:w="2969" w:type="pct"/>
                  <w:tcBorders>
                    <w:tl2br w:val="nil"/>
                    <w:tr2bl w:val="nil"/>
                  </w:tcBorders>
                  <w:shd w:val="clear" w:color="auto" w:fill="auto"/>
                  <w:vAlign w:val="center"/>
                </w:tcPr>
                <w:p w14:paraId="4F24CBBA">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施工现场</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应进行</w:t>
                  </w:r>
                  <w:r>
                    <w:rPr>
                      <w:rFonts w:hint="eastAsia" w:ascii="Times New Roman" w:hAnsi="Times New Roman" w:eastAsia="宋体" w:cs="Times New Roman"/>
                      <w:b w:val="0"/>
                      <w:bCs w:val="0"/>
                      <w:color w:val="000000" w:themeColor="text1"/>
                      <w:sz w:val="21"/>
                      <w:szCs w:val="21"/>
                      <w14:textFill>
                        <w14:solidFill>
                          <w14:schemeClr w14:val="tx1"/>
                        </w14:solidFill>
                      </w14:textFill>
                    </w:rPr>
                    <w:t>洒水降尘</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控制运输车辆车速，采用苫布遮盖土方、建筑材料运输车辆，施工路段运输道路采取洒水措施；</w:t>
                  </w:r>
                  <w:r>
                    <w:rPr>
                      <w:rFonts w:hint="default" w:ascii="Times New Roman" w:hAnsi="Times New Roman" w:eastAsia="宋体" w:cs="Times New Roman"/>
                      <w:color w:val="FF0000"/>
                      <w:sz w:val="21"/>
                      <w:szCs w:val="21"/>
                      <w:u w:val="none" w:color="auto"/>
                      <w:lang w:eastAsia="zh-CN"/>
                    </w:rPr>
                    <w:t>项目施工场地进行围挡，</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同时</w:t>
                  </w:r>
                  <w:r>
                    <w:rPr>
                      <w:rFonts w:hint="eastAsia" w:ascii="Times New Roman" w:hAnsi="Times New Roman" w:eastAsia="宋体" w:cs="Times New Roman"/>
                      <w:b w:val="0"/>
                      <w:bCs w:val="0"/>
                      <w:color w:val="000000" w:themeColor="text1"/>
                      <w:sz w:val="21"/>
                      <w:szCs w:val="21"/>
                      <w14:textFill>
                        <w14:solidFill>
                          <w14:schemeClr w14:val="tx1"/>
                        </w14:solidFill>
                      </w14:textFill>
                    </w:rPr>
                    <w:t>选用低能耗、低污染排放的施工机械、车辆；</w:t>
                  </w:r>
                </w:p>
              </w:tc>
            </w:tr>
            <w:tr w14:paraId="369CB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3" w:type="pct"/>
                  <w:vMerge w:val="continue"/>
                  <w:tcBorders>
                    <w:tl2br w:val="nil"/>
                    <w:tr2bl w:val="nil"/>
                  </w:tcBorders>
                  <w:shd w:val="clear" w:color="auto" w:fill="auto"/>
                  <w:vAlign w:val="center"/>
                </w:tcPr>
                <w:p w14:paraId="507DE6CD">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continue"/>
                  <w:tcBorders>
                    <w:tl2br w:val="nil"/>
                    <w:tr2bl w:val="nil"/>
                  </w:tcBorders>
                  <w:shd w:val="clear" w:color="auto" w:fill="auto"/>
                  <w:vAlign w:val="center"/>
                </w:tcPr>
                <w:p w14:paraId="068E8327">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p>
              </w:tc>
              <w:tc>
                <w:tcPr>
                  <w:tcW w:w="619" w:type="pct"/>
                  <w:tcBorders>
                    <w:tl2br w:val="nil"/>
                    <w:tr2bl w:val="nil"/>
                  </w:tcBorders>
                  <w:shd w:val="clear" w:color="auto" w:fill="auto"/>
                  <w:vAlign w:val="center"/>
                </w:tcPr>
                <w:p w14:paraId="5944FE8E">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机械废气</w:t>
                  </w:r>
                </w:p>
              </w:tc>
              <w:tc>
                <w:tcPr>
                  <w:tcW w:w="2969" w:type="pct"/>
                  <w:tcBorders>
                    <w:tl2br w:val="nil"/>
                    <w:tr2bl w:val="nil"/>
                  </w:tcBorders>
                  <w:shd w:val="clear" w:color="auto" w:fill="auto"/>
                  <w:vAlign w:val="center"/>
                </w:tcPr>
                <w:p w14:paraId="49506A75">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选用质量高、</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对</w:t>
                  </w:r>
                  <w:r>
                    <w:rPr>
                      <w:rFonts w:hint="eastAsia" w:ascii="Times New Roman" w:hAnsi="Times New Roman" w:eastAsia="宋体" w:cs="Times New Roman"/>
                      <w:b w:val="0"/>
                      <w:bCs w:val="0"/>
                      <w:color w:val="000000" w:themeColor="text1"/>
                      <w:sz w:val="21"/>
                      <w:szCs w:val="21"/>
                      <w14:textFill>
                        <w14:solidFill>
                          <w14:schemeClr w14:val="tx1"/>
                        </w14:solidFill>
                      </w14:textFill>
                    </w:rPr>
                    <w:t>大气环境影响小的燃料；加强施工机械、施工运输车辆的管理和维修保养。</w:t>
                  </w:r>
                </w:p>
              </w:tc>
            </w:tr>
            <w:tr w14:paraId="75458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 w:hRule="atLeast"/>
                <w:jc w:val="center"/>
              </w:trPr>
              <w:tc>
                <w:tcPr>
                  <w:tcW w:w="563" w:type="pct"/>
                  <w:vMerge w:val="continue"/>
                  <w:tcBorders>
                    <w:tl2br w:val="nil"/>
                    <w:tr2bl w:val="nil"/>
                  </w:tcBorders>
                  <w:shd w:val="clear" w:color="auto" w:fill="auto"/>
                  <w:vAlign w:val="center"/>
                </w:tcPr>
                <w:p w14:paraId="662A739B">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tcBorders>
                    <w:tl2br w:val="nil"/>
                    <w:tr2bl w:val="nil"/>
                  </w:tcBorders>
                  <w:shd w:val="clear" w:color="auto" w:fill="auto"/>
                  <w:vAlign w:val="center"/>
                </w:tcPr>
                <w:p w14:paraId="3FE842DD">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0"/>
                      <w:sz w:val="21"/>
                      <w:szCs w:val="21"/>
                      <w:lang w:eastAsia="zh-CN"/>
                      <w14:textFill>
                        <w14:solidFill>
                          <w14:schemeClr w14:val="tx1"/>
                        </w14:solidFill>
                      </w14:textFill>
                    </w:rPr>
                    <w:t>施工废水治理</w:t>
                  </w:r>
                </w:p>
              </w:tc>
              <w:tc>
                <w:tcPr>
                  <w:tcW w:w="619" w:type="pct"/>
                  <w:tcBorders>
                    <w:tl2br w:val="nil"/>
                    <w:tr2bl w:val="nil"/>
                  </w:tcBorders>
                  <w:shd w:val="clear" w:color="auto" w:fill="auto"/>
                  <w:vAlign w:val="center"/>
                </w:tcPr>
                <w:p w14:paraId="2BEAF4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lang w:eastAsia="zh-CN"/>
                      <w14:textFill>
                        <w14:solidFill>
                          <w14:schemeClr w14:val="tx1"/>
                        </w14:solidFill>
                      </w14:textFill>
                    </w:rPr>
                    <w:t>施工人员生活污水</w:t>
                  </w:r>
                </w:p>
              </w:tc>
              <w:tc>
                <w:tcPr>
                  <w:tcW w:w="2969" w:type="pct"/>
                  <w:tcBorders>
                    <w:tl2br w:val="nil"/>
                    <w:tr2bl w:val="nil"/>
                  </w:tcBorders>
                  <w:shd w:val="clear" w:color="auto" w:fill="auto"/>
                  <w:vAlign w:val="center"/>
                </w:tcPr>
                <w:p w14:paraId="3004CD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eastAsia="宋体" w:cs="Times New Roman"/>
                      <w:b w:val="0"/>
                      <w:bCs w:val="0"/>
                      <w:color w:val="FF0000"/>
                      <w:sz w:val="21"/>
                      <w:szCs w:val="21"/>
                      <w:highlight w:val="none"/>
                      <w:lang w:eastAsia="zh-CN"/>
                    </w:rPr>
                    <w:t>项目</w:t>
                  </w:r>
                  <w:r>
                    <w:rPr>
                      <w:rFonts w:hint="eastAsia" w:cs="Times New Roman"/>
                      <w:b w:val="0"/>
                      <w:bCs w:val="0"/>
                      <w:color w:val="FF0000"/>
                      <w:sz w:val="21"/>
                      <w:szCs w:val="21"/>
                      <w:highlight w:val="none"/>
                      <w:lang w:val="en-US" w:eastAsia="zh-CN"/>
                    </w:rPr>
                    <w:t>施工营地</w:t>
                  </w:r>
                  <w:r>
                    <w:rPr>
                      <w:rFonts w:hint="eastAsia" w:ascii="Times New Roman" w:hAnsi="Times New Roman" w:cs="Times New Roman"/>
                      <w:b w:val="0"/>
                      <w:bCs w:val="0"/>
                      <w:color w:val="FF0000"/>
                      <w:sz w:val="21"/>
                      <w:szCs w:val="21"/>
                      <w:highlight w:val="none"/>
                      <w:lang w:val="en-US" w:eastAsia="zh-CN"/>
                    </w:rPr>
                    <w:t>设置移动厕所</w:t>
                  </w:r>
                  <w:r>
                    <w:rPr>
                      <w:rFonts w:hint="default" w:ascii="Times New Roman" w:hAnsi="Times New Roman" w:eastAsia="宋体" w:cs="Times New Roman"/>
                      <w:b w:val="0"/>
                      <w:bCs w:val="0"/>
                      <w:color w:val="FF0000"/>
                      <w:sz w:val="21"/>
                      <w:szCs w:val="21"/>
                      <w:highlight w:val="none"/>
                      <w:lang w:eastAsia="zh-CN"/>
                    </w:rPr>
                    <w:t>，</w:t>
                  </w:r>
                  <w:r>
                    <w:rPr>
                      <w:rFonts w:hint="eastAsia" w:ascii="Times New Roman" w:hAnsi="Times New Roman" w:cs="Times New Roman"/>
                      <w:b w:val="0"/>
                      <w:bCs w:val="0"/>
                      <w:color w:val="FF0000"/>
                      <w:kern w:val="0"/>
                      <w:sz w:val="21"/>
                      <w:szCs w:val="21"/>
                      <w:highlight w:val="none"/>
                      <w:lang w:val="en-US" w:eastAsia="zh-CN" w:bidi="ar"/>
                    </w:rPr>
                    <w:t>生活污水定期拉运至</w:t>
                  </w:r>
                  <w:r>
                    <w:rPr>
                      <w:rFonts w:hint="eastAsia" w:cs="Times New Roman"/>
                      <w:b w:val="0"/>
                      <w:bCs w:val="0"/>
                      <w:color w:val="FF0000"/>
                      <w:kern w:val="0"/>
                      <w:sz w:val="21"/>
                      <w:szCs w:val="21"/>
                      <w:highlight w:val="none"/>
                      <w:lang w:val="en-US" w:eastAsia="zh-CN" w:bidi="ar"/>
                    </w:rPr>
                    <w:t>湘乐</w:t>
                  </w:r>
                  <w:r>
                    <w:rPr>
                      <w:rFonts w:hint="eastAsia" w:ascii="Times New Roman" w:hAnsi="Times New Roman" w:cs="Times New Roman"/>
                      <w:b w:val="0"/>
                      <w:bCs w:val="0"/>
                      <w:color w:val="FF0000"/>
                      <w:kern w:val="0"/>
                      <w:sz w:val="21"/>
                      <w:szCs w:val="21"/>
                      <w:highlight w:val="none"/>
                      <w:lang w:val="en-US" w:eastAsia="zh-CN" w:bidi="ar"/>
                    </w:rPr>
                    <w:t>镇生活污水处理站进行处理</w:t>
                  </w:r>
                </w:p>
              </w:tc>
            </w:tr>
            <w:tr w14:paraId="604E1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2" w:hRule="atLeast"/>
                <w:jc w:val="center"/>
              </w:trPr>
              <w:tc>
                <w:tcPr>
                  <w:tcW w:w="563" w:type="pct"/>
                  <w:vMerge w:val="continue"/>
                  <w:tcBorders>
                    <w:tl2br w:val="nil"/>
                    <w:tr2bl w:val="nil"/>
                  </w:tcBorders>
                  <w:shd w:val="clear" w:color="auto" w:fill="auto"/>
                  <w:vAlign w:val="center"/>
                </w:tcPr>
                <w:p w14:paraId="199FBCC4">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restart"/>
                  <w:tcBorders>
                    <w:tl2br w:val="nil"/>
                    <w:tr2bl w:val="nil"/>
                  </w:tcBorders>
                  <w:shd w:val="clear" w:color="auto" w:fill="auto"/>
                  <w:vAlign w:val="center"/>
                </w:tcPr>
                <w:p w14:paraId="427A2495">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b w:val="0"/>
                      <w:bCs w:val="0"/>
                      <w:color w:val="000000" w:themeColor="text1"/>
                      <w:kern w:val="0"/>
                      <w:sz w:val="21"/>
                      <w:szCs w:val="21"/>
                      <w:lang w:eastAsia="zh-CN"/>
                      <w14:textFill>
                        <w14:solidFill>
                          <w14:schemeClr w14:val="tx1"/>
                        </w14:solidFill>
                      </w14:textFill>
                    </w:rPr>
                    <w:t>施工噪声治理</w:t>
                  </w:r>
                </w:p>
              </w:tc>
              <w:tc>
                <w:tcPr>
                  <w:tcW w:w="619" w:type="pct"/>
                  <w:tcBorders>
                    <w:tl2br w:val="nil"/>
                    <w:tr2bl w:val="nil"/>
                  </w:tcBorders>
                  <w:shd w:val="clear" w:color="auto" w:fill="auto"/>
                  <w:vAlign w:val="center"/>
                </w:tcPr>
                <w:p w14:paraId="312BD632">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施工机械噪声</w:t>
                  </w:r>
                </w:p>
              </w:tc>
              <w:tc>
                <w:tcPr>
                  <w:tcW w:w="2969" w:type="pct"/>
                  <w:tcBorders>
                    <w:tl2br w:val="nil"/>
                    <w:tr2bl w:val="nil"/>
                  </w:tcBorders>
                  <w:shd w:val="clear" w:color="auto" w:fill="auto"/>
                  <w:vAlign w:val="center"/>
                </w:tcPr>
                <w:p w14:paraId="52178CF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采用低噪声设备；合理布局施工场地，施工高噪声设备和进出施工场地的临时道路应尽量远离声环境敏感点，敏感点</w:t>
                  </w:r>
                  <w:r>
                    <w:rPr>
                      <w:rFonts w:hint="eastAsia"/>
                      <w:b w:val="0"/>
                      <w:bCs w:val="0"/>
                      <w:color w:val="000000" w:themeColor="text1"/>
                      <w:sz w:val="21"/>
                      <w:szCs w:val="21"/>
                      <w:lang w:val="en-US" w:eastAsia="zh-CN"/>
                      <w14:textFill>
                        <w14:solidFill>
                          <w14:schemeClr w14:val="tx1"/>
                        </w14:solidFill>
                      </w14:textFill>
                    </w:rPr>
                    <w:t>附近施工</w:t>
                  </w:r>
                  <w:r>
                    <w:rPr>
                      <w:rFonts w:hint="eastAsia" w:ascii="Times New Roman" w:hAnsi="Times New Roman" w:eastAsia="宋体"/>
                      <w:b w:val="0"/>
                      <w:bCs w:val="0"/>
                      <w:color w:val="000000" w:themeColor="text1"/>
                      <w:sz w:val="21"/>
                      <w:szCs w:val="21"/>
                      <w14:textFill>
                        <w14:solidFill>
                          <w14:schemeClr w14:val="tx1"/>
                        </w14:solidFill>
                      </w14:textFill>
                    </w:rPr>
                    <w:t>采取声屏障降噪措施；合理安排施工时间，敏感点附近禁止夜间（22:00至次日6:00）施工</w:t>
                  </w:r>
                  <w:r>
                    <w:rPr>
                      <w:rFonts w:hint="eastAsia" w:ascii="Times New Roman" w:hAnsi="Times New Roman" w:eastAsia="宋体"/>
                      <w:b w:val="0"/>
                      <w:bCs w:val="0"/>
                      <w:color w:val="000000" w:themeColor="text1"/>
                      <w:sz w:val="21"/>
                      <w:szCs w:val="21"/>
                      <w:lang w:eastAsia="zh-CN"/>
                      <w14:textFill>
                        <w14:solidFill>
                          <w14:schemeClr w14:val="tx1"/>
                        </w14:solidFill>
                      </w14:textFill>
                    </w:rPr>
                    <w:t>。</w:t>
                  </w:r>
                </w:p>
              </w:tc>
            </w:tr>
            <w:tr w14:paraId="6FAF5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exact"/>
                <w:jc w:val="center"/>
              </w:trPr>
              <w:tc>
                <w:tcPr>
                  <w:tcW w:w="563" w:type="pct"/>
                  <w:vMerge w:val="continue"/>
                  <w:tcBorders>
                    <w:tl2br w:val="nil"/>
                    <w:tr2bl w:val="nil"/>
                  </w:tcBorders>
                  <w:shd w:val="clear" w:color="auto" w:fill="auto"/>
                  <w:vAlign w:val="center"/>
                </w:tcPr>
                <w:p w14:paraId="0656D1DC">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continue"/>
                  <w:tcBorders>
                    <w:tl2br w:val="nil"/>
                    <w:tr2bl w:val="nil"/>
                  </w:tcBorders>
                  <w:shd w:val="clear" w:color="auto" w:fill="auto"/>
                  <w:vAlign w:val="center"/>
                </w:tcPr>
                <w:p w14:paraId="61765FD6">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p>
              </w:tc>
              <w:tc>
                <w:tcPr>
                  <w:tcW w:w="619" w:type="pct"/>
                  <w:tcBorders>
                    <w:tl2br w:val="nil"/>
                    <w:tr2bl w:val="nil"/>
                  </w:tcBorders>
                  <w:shd w:val="clear" w:color="auto" w:fill="auto"/>
                  <w:vAlign w:val="center"/>
                </w:tcPr>
                <w:p w14:paraId="58ED487D">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运输车辆噪声</w:t>
                  </w:r>
                </w:p>
              </w:tc>
              <w:tc>
                <w:tcPr>
                  <w:tcW w:w="2969" w:type="pct"/>
                  <w:tcBorders>
                    <w:tl2br w:val="nil"/>
                    <w:tr2bl w:val="nil"/>
                  </w:tcBorders>
                  <w:shd w:val="clear" w:color="auto" w:fill="auto"/>
                  <w:vAlign w:val="center"/>
                </w:tcPr>
                <w:p w14:paraId="4FA591C9">
                  <w:pPr>
                    <w:pStyle w:val="5"/>
                    <w:keepNext w:val="0"/>
                    <w:keepLines w:val="0"/>
                    <w:pageBreakBefore w:val="0"/>
                    <w:kinsoku/>
                    <w:wordWrap/>
                    <w:overflowPunct/>
                    <w:topLinePunct w:val="0"/>
                    <w:autoSpaceDE/>
                    <w:autoSpaceDN/>
                    <w:bidi w:val="0"/>
                    <w:adjustRightInd/>
                    <w:snapToGrid/>
                    <w:spacing w:before="0" w:after="0" w:line="240" w:lineRule="auto"/>
                    <w:jc w:val="left"/>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在道路两侧设</w:t>
                  </w:r>
                  <w:r>
                    <w:rPr>
                      <w:rFonts w:hint="eastAsia" w:ascii="Times New Roman" w:hAnsi="Times New Roman" w:eastAsia="宋体" w:cs="Times New Roman"/>
                      <w:b w:val="0"/>
                      <w:bCs w:val="0"/>
                      <w:color w:val="auto"/>
                      <w:kern w:val="2"/>
                      <w:sz w:val="21"/>
                      <w:szCs w:val="21"/>
                      <w:lang w:val="en-US" w:eastAsia="zh-CN" w:bidi="ar-SA"/>
                    </w:rPr>
                    <w:t>置警示牌，限制车辆行驶速度不高于20km/h，</w:t>
                  </w:r>
                  <w:r>
                    <w:rPr>
                      <w:rFonts w:hint="eastAsia" w:cs="Times New Roman"/>
                      <w:b w:val="0"/>
                      <w:bCs w:val="0"/>
                      <w:color w:val="auto"/>
                      <w:kern w:val="2"/>
                      <w:sz w:val="21"/>
                      <w:szCs w:val="21"/>
                      <w:highlight w:val="none"/>
                      <w:lang w:val="en-US" w:eastAsia="zh-CN" w:bidi="ar-SA"/>
                    </w:rPr>
                    <w:t>在距离敏感点较近的位置禁止鸣笛</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r>
            <w:tr w14:paraId="36969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2" w:hRule="atLeast"/>
                <w:jc w:val="center"/>
              </w:trPr>
              <w:tc>
                <w:tcPr>
                  <w:tcW w:w="563" w:type="pct"/>
                  <w:vMerge w:val="continue"/>
                  <w:tcBorders>
                    <w:tl2br w:val="nil"/>
                    <w:tr2bl w:val="nil"/>
                  </w:tcBorders>
                  <w:shd w:val="clear" w:color="auto" w:fill="auto"/>
                  <w:vAlign w:val="center"/>
                </w:tcPr>
                <w:p w14:paraId="5350A47A">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restart"/>
                  <w:tcBorders>
                    <w:tl2br w:val="nil"/>
                    <w:tr2bl w:val="nil"/>
                  </w:tcBorders>
                  <w:shd w:val="clear" w:color="auto" w:fill="auto"/>
                  <w:vAlign w:val="center"/>
                </w:tcPr>
                <w:p w14:paraId="0F7B0DAA">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施工固废治理</w:t>
                  </w:r>
                </w:p>
              </w:tc>
              <w:tc>
                <w:tcPr>
                  <w:tcW w:w="619" w:type="pct"/>
                  <w:tcBorders>
                    <w:tl2br w:val="nil"/>
                    <w:tr2bl w:val="nil"/>
                  </w:tcBorders>
                  <w:shd w:val="clear" w:color="auto" w:fill="auto"/>
                  <w:vAlign w:val="center"/>
                </w:tcPr>
                <w:p w14:paraId="2035C86B">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建筑垃圾</w:t>
                  </w:r>
                </w:p>
              </w:tc>
              <w:tc>
                <w:tcPr>
                  <w:tcW w:w="2969" w:type="pct"/>
                  <w:tcBorders>
                    <w:tl2br w:val="nil"/>
                    <w:tr2bl w:val="nil"/>
                  </w:tcBorders>
                  <w:shd w:val="clear" w:color="auto" w:fill="auto"/>
                  <w:vAlign w:val="center"/>
                </w:tcPr>
                <w:p w14:paraId="173C35A5">
                  <w:pPr>
                    <w:pStyle w:val="5"/>
                    <w:keepNext w:val="0"/>
                    <w:keepLines w:val="0"/>
                    <w:pageBreakBefore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由施工方统一收集后，对于有利用价值的进行分拣回用</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，其他建筑垃圾拉运至附近政府指定地点处置，土方全部回填。</w:t>
                  </w:r>
                  <w:bookmarkStart w:id="15" w:name="_GoBack"/>
                  <w:bookmarkEnd w:id="15"/>
                </w:p>
              </w:tc>
            </w:tr>
            <w:tr w14:paraId="43B1C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2" w:hRule="atLeast"/>
                <w:jc w:val="center"/>
              </w:trPr>
              <w:tc>
                <w:tcPr>
                  <w:tcW w:w="563" w:type="pct"/>
                  <w:vMerge w:val="continue"/>
                  <w:tcBorders>
                    <w:tl2br w:val="nil"/>
                    <w:tr2bl w:val="nil"/>
                  </w:tcBorders>
                  <w:shd w:val="clear" w:color="auto" w:fill="auto"/>
                  <w:vAlign w:val="center"/>
                </w:tcPr>
                <w:p w14:paraId="510A4F8A">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continue"/>
                  <w:tcBorders>
                    <w:tl2br w:val="nil"/>
                    <w:tr2bl w:val="nil"/>
                  </w:tcBorders>
                  <w:shd w:val="clear" w:color="auto" w:fill="auto"/>
                  <w:vAlign w:val="center"/>
                </w:tcPr>
                <w:p w14:paraId="4CB316EF">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p>
              </w:tc>
              <w:tc>
                <w:tcPr>
                  <w:tcW w:w="619" w:type="pct"/>
                  <w:tcBorders>
                    <w:tl2br w:val="nil"/>
                    <w:tr2bl w:val="nil"/>
                  </w:tcBorders>
                  <w:shd w:val="clear" w:color="auto" w:fill="auto"/>
                  <w:vAlign w:val="center"/>
                </w:tcPr>
                <w:p w14:paraId="0778047B">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生活垃圾</w:t>
                  </w:r>
                </w:p>
              </w:tc>
              <w:tc>
                <w:tcPr>
                  <w:tcW w:w="2969" w:type="pct"/>
                  <w:tcBorders>
                    <w:tl2br w:val="nil"/>
                    <w:tr2bl w:val="nil"/>
                  </w:tcBorders>
                  <w:shd w:val="clear" w:color="auto" w:fill="auto"/>
                  <w:vAlign w:val="center"/>
                </w:tcPr>
                <w:p w14:paraId="3009475C">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清运至</w:t>
                  </w:r>
                  <w:r>
                    <w:rPr>
                      <w:rFonts w:hint="eastAsia" w:cs="宋体"/>
                      <w:bCs/>
                      <w:color w:val="000000" w:themeColor="text1"/>
                      <w:sz w:val="24"/>
                      <w:szCs w:val="24"/>
                      <w:lang w:eastAsia="zh-CN"/>
                      <w14:textFill>
                        <w14:solidFill>
                          <w14:schemeClr w14:val="tx1"/>
                        </w14:solidFill>
                      </w14:textFill>
                    </w:rPr>
                    <w:t>附近村庄生活垃圾暂存点</w:t>
                  </w:r>
                </w:p>
              </w:tc>
            </w:tr>
            <w:tr w14:paraId="01FED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3" w:type="pct"/>
                  <w:vMerge w:val="restart"/>
                  <w:tcBorders>
                    <w:tl2br w:val="nil"/>
                    <w:tr2bl w:val="nil"/>
                  </w:tcBorders>
                  <w:shd w:val="clear" w:color="auto" w:fill="auto"/>
                  <w:vAlign w:val="center"/>
                </w:tcPr>
                <w:p w14:paraId="78709F37">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highlight w:val="yellow"/>
                      <w14:textFill>
                        <w14:solidFill>
                          <w14:schemeClr w14:val="tx1"/>
                        </w14:solidFill>
                      </w14:textFill>
                    </w:rPr>
                  </w:pPr>
                  <w:r>
                    <w:rPr>
                      <w:rFonts w:hint="eastAsia" w:ascii="Times New Roman" w:hAnsi="Times New Roman" w:eastAsia="宋体"/>
                      <w:color w:val="000000" w:themeColor="text1"/>
                      <w:kern w:val="0"/>
                      <w:sz w:val="21"/>
                      <w:szCs w:val="21"/>
                      <w:highlight w:val="none"/>
                      <w:lang w:eastAsia="zh-CN"/>
                      <w14:textFill>
                        <w14:solidFill>
                          <w14:schemeClr w14:val="tx1"/>
                        </w14:solidFill>
                      </w14:textFill>
                    </w:rPr>
                    <w:t>水土保护措施</w:t>
                  </w:r>
                </w:p>
              </w:tc>
              <w:tc>
                <w:tcPr>
                  <w:tcW w:w="846" w:type="pct"/>
                  <w:tcBorders>
                    <w:tl2br w:val="nil"/>
                    <w:tr2bl w:val="nil"/>
                  </w:tcBorders>
                  <w:shd w:val="clear" w:color="auto" w:fill="auto"/>
                  <w:vAlign w:val="center"/>
                </w:tcPr>
                <w:p w14:paraId="78B6A5FD">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b w:val="0"/>
                      <w:bCs w:val="0"/>
                      <w:color w:val="FF0000"/>
                      <w:sz w:val="21"/>
                      <w:szCs w:val="21"/>
                      <w:lang w:eastAsia="zh-CN"/>
                    </w:rPr>
                  </w:pPr>
                  <w:r>
                    <w:rPr>
                      <w:rFonts w:hint="eastAsia" w:ascii="Times New Roman" w:hAnsi="Times New Roman" w:eastAsia="宋体"/>
                      <w:b w:val="0"/>
                      <w:bCs w:val="0"/>
                      <w:color w:val="FF0000"/>
                      <w:sz w:val="21"/>
                      <w:szCs w:val="21"/>
                      <w:lang w:eastAsia="zh-CN"/>
                    </w:rPr>
                    <w:t>生态保护</w:t>
                  </w:r>
                </w:p>
              </w:tc>
              <w:tc>
                <w:tcPr>
                  <w:tcW w:w="3589" w:type="pct"/>
                  <w:gridSpan w:val="2"/>
                  <w:tcBorders>
                    <w:tl2br w:val="nil"/>
                    <w:tr2bl w:val="nil"/>
                  </w:tcBorders>
                  <w:shd w:val="clear" w:color="auto" w:fill="auto"/>
                  <w:vAlign w:val="center"/>
                </w:tcPr>
                <w:p w14:paraId="79DB17CD">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b w:val="0"/>
                      <w:bCs w:val="0"/>
                      <w:color w:val="FF0000"/>
                      <w:sz w:val="21"/>
                      <w:szCs w:val="21"/>
                      <w:lang w:eastAsia="zh-CN"/>
                    </w:rPr>
                  </w:pPr>
                  <w:r>
                    <w:rPr>
                      <w:rFonts w:hint="eastAsia" w:ascii="Times New Roman" w:hAnsi="Times New Roman" w:eastAsia="宋体"/>
                      <w:b w:val="0"/>
                      <w:bCs w:val="0"/>
                      <w:color w:val="FF0000"/>
                      <w:sz w:val="21"/>
                      <w:szCs w:val="21"/>
                      <w:lang w:val="en-US" w:eastAsia="zh-CN"/>
                    </w:rPr>
                    <w:t>新</w:t>
                  </w:r>
                  <w:r>
                    <w:rPr>
                      <w:rFonts w:hint="default" w:ascii="Times New Roman" w:hAnsi="Times New Roman" w:eastAsia="宋体"/>
                      <w:b w:val="0"/>
                      <w:bCs w:val="0"/>
                      <w:color w:val="FF0000"/>
                      <w:sz w:val="21"/>
                      <w:szCs w:val="21"/>
                      <w:lang w:val="en-US" w:eastAsia="zh-CN"/>
                    </w:rPr>
                    <w:t xml:space="preserve">建护岸采用复合式结构护岸:坡式护堤十墙式基础护岸， </w:t>
                  </w:r>
                </w:p>
                <w:p w14:paraId="5797E76A">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b w:val="0"/>
                      <w:bCs w:val="0"/>
                      <w:color w:val="FF0000"/>
                      <w:sz w:val="21"/>
                      <w:szCs w:val="21"/>
                      <w:lang w:eastAsia="zh-CN"/>
                    </w:rPr>
                  </w:pPr>
                  <w:r>
                    <w:rPr>
                      <w:rFonts w:hint="default" w:ascii="Times New Roman" w:hAnsi="Times New Roman" w:eastAsia="宋体"/>
                      <w:b w:val="0"/>
                      <w:bCs w:val="0"/>
                      <w:color w:val="FF0000"/>
                      <w:sz w:val="21"/>
                      <w:szCs w:val="21"/>
                      <w:lang w:val="en-US" w:eastAsia="zh-CN"/>
                    </w:rPr>
                    <w:t>下部墙式格宾石笼基础;上部采用绿滨垫生态护坡至设计堤顶高程。</w:t>
                  </w:r>
                </w:p>
              </w:tc>
            </w:tr>
            <w:tr w14:paraId="25909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3" w:type="pct"/>
                  <w:vMerge w:val="continue"/>
                  <w:tcBorders>
                    <w:tl2br w:val="nil"/>
                    <w:tr2bl w:val="nil"/>
                  </w:tcBorders>
                  <w:shd w:val="clear" w:color="auto" w:fill="auto"/>
                  <w:vAlign w:val="center"/>
                </w:tcPr>
                <w:p w14:paraId="3EDEAFAA">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highlight w:val="none"/>
                      <w:lang w:eastAsia="zh-CN"/>
                      <w14:textFill>
                        <w14:solidFill>
                          <w14:schemeClr w14:val="tx1"/>
                        </w14:solidFill>
                      </w14:textFill>
                    </w:rPr>
                  </w:pPr>
                </w:p>
              </w:tc>
              <w:tc>
                <w:tcPr>
                  <w:tcW w:w="846" w:type="pct"/>
                  <w:tcBorders>
                    <w:tl2br w:val="nil"/>
                    <w:tr2bl w:val="nil"/>
                  </w:tcBorders>
                  <w:shd w:val="clear" w:color="auto" w:fill="auto"/>
                  <w:vAlign w:val="center"/>
                </w:tcPr>
                <w:p w14:paraId="193853B3">
                  <w:pPr>
                    <w:keepNext w:val="0"/>
                    <w:keepLines w:val="0"/>
                    <w:pageBreakBefore w:val="0"/>
                    <w:kinsoku/>
                    <w:wordWrap/>
                    <w:overflowPunct/>
                    <w:topLinePunct w:val="0"/>
                    <w:bidi w:val="0"/>
                    <w:adjustRightInd/>
                    <w:snapToGrid/>
                    <w:spacing w:line="240" w:lineRule="auto"/>
                    <w:ind w:right="-1" w:rightChars="0"/>
                    <w:contextualSpacing/>
                    <w:jc w:val="center"/>
                    <w:textAlignment w:val="auto"/>
                    <w:rPr>
                      <w:rFonts w:hint="eastAsia"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highlight w:val="none"/>
                      <w:lang w:eastAsia="zh-CN"/>
                      <w14:textFill>
                        <w14:solidFill>
                          <w14:schemeClr w14:val="tx1"/>
                        </w14:solidFill>
                      </w14:textFill>
                    </w:rPr>
                    <w:t>植被恢复</w:t>
                  </w:r>
                </w:p>
              </w:tc>
              <w:tc>
                <w:tcPr>
                  <w:tcW w:w="3589" w:type="pct"/>
                  <w:gridSpan w:val="2"/>
                  <w:tcBorders>
                    <w:tl2br w:val="nil"/>
                    <w:tr2bl w:val="nil"/>
                  </w:tcBorders>
                  <w:shd w:val="clear" w:color="auto" w:fill="auto"/>
                  <w:vAlign w:val="center"/>
                </w:tcPr>
                <w:p w14:paraId="5EDA7947">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施工结束后，</w:t>
                  </w:r>
                  <w:r>
                    <w:rPr>
                      <w:rFonts w:hint="eastAsia" w:cs="宋体"/>
                      <w:color w:val="000000" w:themeColor="text1"/>
                      <w:kern w:val="0"/>
                      <w:sz w:val="21"/>
                      <w:szCs w:val="21"/>
                      <w:highlight w:val="none"/>
                      <w:lang w:val="en-US" w:eastAsia="zh-CN" w:bidi="ar"/>
                      <w14:textFill>
                        <w14:solidFill>
                          <w14:schemeClr w14:val="tx1"/>
                        </w14:solidFill>
                      </w14:textFill>
                    </w:rPr>
                    <w:t>临时建筑拆除，</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对临时占地进行绿化</w:t>
                  </w:r>
                </w:p>
              </w:tc>
            </w:tr>
          </w:tbl>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761"/>
              <w:gridCol w:w="668"/>
              <w:gridCol w:w="1311"/>
              <w:gridCol w:w="2137"/>
            </w:tblGrid>
            <w:tr w14:paraId="1A58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blHeader/>
              </w:trPr>
              <w:tc>
                <w:tcPr>
                  <w:tcW w:w="5000" w:type="pct"/>
                  <w:gridSpan w:val="5"/>
                  <w:tcBorders>
                    <w:top w:val="nil"/>
                    <w:left w:val="nil"/>
                    <w:bottom w:val="single" w:color="000000" w:sz="12" w:space="0"/>
                    <w:right w:val="nil"/>
                  </w:tcBorders>
                  <w:noWrap w:val="0"/>
                  <w:vAlign w:val="center"/>
                </w:tcPr>
                <w:p w14:paraId="192B84D5">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b/>
                      <w:color w:val="FF0000"/>
                      <w:kern w:val="2"/>
                      <w:sz w:val="21"/>
                      <w:szCs w:val="21"/>
                      <w:highlight w:val="none"/>
                      <w:lang w:val="en-US" w:eastAsia="zh-CN" w:bidi="ar-SA"/>
                    </w:rPr>
                    <w:t>表2-2工程特性表</w:t>
                  </w:r>
                </w:p>
              </w:tc>
            </w:tr>
            <w:tr w14:paraId="48FA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blHeader/>
              </w:trPr>
              <w:tc>
                <w:tcPr>
                  <w:tcW w:w="484" w:type="pct"/>
                  <w:tcBorders>
                    <w:top w:val="single" w:color="000000" w:sz="12" w:space="0"/>
                    <w:left w:val="single" w:color="000000" w:sz="12" w:space="0"/>
                    <w:bottom w:val="single" w:color="000000" w:sz="4" w:space="0"/>
                    <w:right w:val="single" w:color="000000" w:sz="4" w:space="0"/>
                  </w:tcBorders>
                  <w:noWrap w:val="0"/>
                  <w:vAlign w:val="center"/>
                </w:tcPr>
                <w:p w14:paraId="3D327124">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序号</w:t>
                  </w:r>
                </w:p>
              </w:tc>
              <w:tc>
                <w:tcPr>
                  <w:tcW w:w="1813" w:type="pct"/>
                  <w:tcBorders>
                    <w:top w:val="single" w:color="000000" w:sz="12" w:space="0"/>
                    <w:left w:val="single" w:color="000000" w:sz="4" w:space="0"/>
                    <w:bottom w:val="single" w:color="000000" w:sz="4" w:space="0"/>
                    <w:right w:val="single" w:color="000000" w:sz="4" w:space="0"/>
                  </w:tcBorders>
                  <w:noWrap w:val="0"/>
                  <w:vAlign w:val="center"/>
                </w:tcPr>
                <w:p w14:paraId="00E8853F">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项 目 名 称</w:t>
                  </w:r>
                </w:p>
              </w:tc>
              <w:tc>
                <w:tcPr>
                  <w:tcW w:w="439" w:type="pct"/>
                  <w:tcBorders>
                    <w:top w:val="single" w:color="000000" w:sz="12" w:space="0"/>
                    <w:left w:val="single" w:color="000000" w:sz="4" w:space="0"/>
                    <w:bottom w:val="single" w:color="000000" w:sz="4" w:space="0"/>
                    <w:right w:val="single" w:color="000000" w:sz="4" w:space="0"/>
                  </w:tcBorders>
                  <w:noWrap w:val="0"/>
                  <w:vAlign w:val="center"/>
                </w:tcPr>
                <w:p w14:paraId="456FAD00">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单位</w:t>
                  </w:r>
                </w:p>
              </w:tc>
              <w:tc>
                <w:tcPr>
                  <w:tcW w:w="861" w:type="pct"/>
                  <w:tcBorders>
                    <w:top w:val="single" w:color="000000" w:sz="12" w:space="0"/>
                    <w:left w:val="single" w:color="000000" w:sz="4" w:space="0"/>
                    <w:bottom w:val="single" w:color="000000" w:sz="4" w:space="0"/>
                    <w:right w:val="single" w:color="000000" w:sz="4" w:space="0"/>
                  </w:tcBorders>
                  <w:noWrap w:val="0"/>
                  <w:vAlign w:val="center"/>
                </w:tcPr>
                <w:p w14:paraId="7EE9B09A">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数量</w:t>
                  </w:r>
                </w:p>
              </w:tc>
              <w:tc>
                <w:tcPr>
                  <w:tcW w:w="1400" w:type="pct"/>
                  <w:tcBorders>
                    <w:top w:val="single" w:color="000000" w:sz="12" w:space="0"/>
                    <w:left w:val="single" w:color="000000" w:sz="4" w:space="0"/>
                    <w:bottom w:val="single" w:color="000000" w:sz="4" w:space="0"/>
                    <w:right w:val="single" w:color="000000" w:sz="12" w:space="0"/>
                  </w:tcBorders>
                  <w:noWrap w:val="0"/>
                  <w:vAlign w:val="center"/>
                </w:tcPr>
                <w:p w14:paraId="62735E4F">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备   注</w:t>
                  </w:r>
                </w:p>
              </w:tc>
            </w:tr>
            <w:tr w14:paraId="124E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0485C1E8">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一</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43AE67AA">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水文</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DD819FA">
                  <w:pPr>
                    <w:spacing w:line="400" w:lineRule="exact"/>
                    <w:jc w:val="center"/>
                    <w:rPr>
                      <w:rFonts w:hint="default" w:ascii="Times New Roman" w:hAnsi="Times New Roman" w:eastAsia="宋体" w:cs="Times New Roman"/>
                      <w:color w:val="FF0000"/>
                      <w:sz w:val="21"/>
                      <w:szCs w:val="21"/>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5274F0C4">
                  <w:pPr>
                    <w:spacing w:line="400" w:lineRule="exact"/>
                    <w:jc w:val="center"/>
                    <w:rPr>
                      <w:rFonts w:hint="default" w:ascii="Times New Roman" w:hAnsi="Times New Roman" w:eastAsia="宋体" w:cs="Times New Roman"/>
                      <w:color w:val="FF0000"/>
                      <w:sz w:val="21"/>
                      <w:szCs w:val="21"/>
                    </w:rPr>
                  </w:pP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2E97D0EE">
                  <w:pPr>
                    <w:spacing w:line="400" w:lineRule="exact"/>
                    <w:jc w:val="center"/>
                    <w:rPr>
                      <w:rFonts w:hint="default" w:ascii="Times New Roman" w:hAnsi="Times New Roman" w:eastAsia="宋体" w:cs="Times New Roman"/>
                      <w:color w:val="FF0000"/>
                      <w:sz w:val="21"/>
                      <w:szCs w:val="21"/>
                    </w:rPr>
                  </w:pPr>
                </w:p>
              </w:tc>
            </w:tr>
            <w:tr w14:paraId="6AA1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74DC9023">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⑴</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364653C8">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治理河长</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EEEBF3D">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km</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2DB366A3">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11.41</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19DCD030">
                  <w:pPr>
                    <w:spacing w:line="400" w:lineRule="exact"/>
                    <w:jc w:val="center"/>
                    <w:rPr>
                      <w:rFonts w:hint="default" w:ascii="Times New Roman" w:hAnsi="Times New Roman" w:eastAsia="宋体" w:cs="Times New Roman"/>
                      <w:color w:val="FF0000"/>
                      <w:sz w:val="21"/>
                      <w:szCs w:val="21"/>
                    </w:rPr>
                  </w:pPr>
                </w:p>
              </w:tc>
            </w:tr>
            <w:tr w14:paraId="2C74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6584EA79">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⑵</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5AD415FD">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流域面积</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60F7338">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km</w:t>
                  </w:r>
                  <w:r>
                    <w:rPr>
                      <w:rFonts w:hint="default" w:ascii="Times New Roman" w:hAnsi="Times New Roman" w:eastAsia="宋体" w:cs="Times New Roman"/>
                      <w:color w:val="FF0000"/>
                      <w:sz w:val="21"/>
                      <w:szCs w:val="21"/>
                      <w:vertAlign w:val="superscript"/>
                    </w:rPr>
                    <w:t>2</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41F92678">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379</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4691C58A">
                  <w:pPr>
                    <w:spacing w:line="400" w:lineRule="exact"/>
                    <w:jc w:val="center"/>
                    <w:rPr>
                      <w:rFonts w:hint="default" w:ascii="Times New Roman" w:hAnsi="Times New Roman" w:eastAsia="宋体" w:cs="Times New Roman"/>
                      <w:color w:val="FF0000"/>
                      <w:sz w:val="21"/>
                      <w:szCs w:val="21"/>
                    </w:rPr>
                  </w:pPr>
                </w:p>
              </w:tc>
            </w:tr>
            <w:tr w14:paraId="28F7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1677CE55">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⑶</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427D9887">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河道平均比降</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2BD5BAA">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1043A19F">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5.6</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51BEFC0F">
                  <w:pPr>
                    <w:spacing w:line="400" w:lineRule="exact"/>
                    <w:jc w:val="center"/>
                    <w:rPr>
                      <w:rFonts w:hint="default" w:ascii="Times New Roman" w:hAnsi="Times New Roman" w:eastAsia="宋体" w:cs="Times New Roman"/>
                      <w:color w:val="FF0000"/>
                      <w:sz w:val="21"/>
                      <w:szCs w:val="21"/>
                    </w:rPr>
                  </w:pPr>
                </w:p>
              </w:tc>
            </w:tr>
            <w:tr w14:paraId="4377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vMerge w:val="restart"/>
                  <w:tcBorders>
                    <w:top w:val="single" w:color="000000" w:sz="4" w:space="0"/>
                    <w:left w:val="single" w:color="000000" w:sz="12" w:space="0"/>
                    <w:bottom w:val="single" w:color="000000" w:sz="4" w:space="0"/>
                    <w:right w:val="single" w:color="000000" w:sz="4" w:space="0"/>
                  </w:tcBorders>
                  <w:noWrap w:val="0"/>
                  <w:vAlign w:val="center"/>
                </w:tcPr>
                <w:p w14:paraId="566EE619">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⑷</w:t>
                  </w:r>
                </w:p>
              </w:tc>
              <w:tc>
                <w:tcPr>
                  <w:tcW w:w="1813" w:type="pct"/>
                  <w:vMerge w:val="restart"/>
                  <w:tcBorders>
                    <w:top w:val="single" w:color="000000" w:sz="4" w:space="0"/>
                    <w:left w:val="single" w:color="000000" w:sz="4" w:space="0"/>
                    <w:bottom w:val="single" w:color="000000" w:sz="4" w:space="0"/>
                    <w:right w:val="single" w:color="000000" w:sz="4" w:space="0"/>
                  </w:tcBorders>
                  <w:noWrap w:val="0"/>
                  <w:vAlign w:val="center"/>
                </w:tcPr>
                <w:p w14:paraId="0A2B6B1A">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洪峰流量：（P=10％）</w:t>
                  </w:r>
                </w:p>
              </w:tc>
              <w:tc>
                <w:tcPr>
                  <w:tcW w:w="439" w:type="pct"/>
                  <w:vMerge w:val="restart"/>
                  <w:tcBorders>
                    <w:top w:val="single" w:color="000000" w:sz="4" w:space="0"/>
                    <w:left w:val="single" w:color="000000" w:sz="4" w:space="0"/>
                    <w:bottom w:val="single" w:color="000000" w:sz="4" w:space="0"/>
                    <w:right w:val="single" w:color="000000" w:sz="4" w:space="0"/>
                  </w:tcBorders>
                  <w:noWrap w:val="0"/>
                  <w:vAlign w:val="center"/>
                </w:tcPr>
                <w:p w14:paraId="06A3BF79">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m</w:t>
                  </w:r>
                  <w:r>
                    <w:rPr>
                      <w:rFonts w:hint="default" w:ascii="Times New Roman" w:hAnsi="Times New Roman" w:eastAsia="宋体" w:cs="Times New Roman"/>
                      <w:color w:val="FF0000"/>
                      <w:sz w:val="21"/>
                      <w:szCs w:val="21"/>
                      <w:vertAlign w:val="superscript"/>
                    </w:rPr>
                    <w:t>3</w:t>
                  </w:r>
                  <w:r>
                    <w:rPr>
                      <w:rFonts w:hint="default" w:ascii="Times New Roman" w:hAnsi="Times New Roman" w:eastAsia="宋体" w:cs="Times New Roman"/>
                      <w:color w:val="FF0000"/>
                      <w:sz w:val="21"/>
                      <w:szCs w:val="21"/>
                    </w:rPr>
                    <w:t>/s</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1E58C7F5">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142.71</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6A2C91BE">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工程区末端11+410</w:t>
                  </w:r>
                </w:p>
              </w:tc>
            </w:tr>
            <w:tr w14:paraId="4ABC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4AF36CF9">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⑸</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17AE20CC">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洪峰流量：（P=50％）</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2ABB7AF">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m</w:t>
                  </w:r>
                  <w:r>
                    <w:rPr>
                      <w:rFonts w:hint="default" w:ascii="Times New Roman" w:hAnsi="Times New Roman" w:eastAsia="宋体" w:cs="Times New Roman"/>
                      <w:color w:val="FF0000"/>
                      <w:sz w:val="21"/>
                      <w:szCs w:val="21"/>
                      <w:vertAlign w:val="superscript"/>
                    </w:rPr>
                    <w:t>3</w:t>
                  </w:r>
                  <w:r>
                    <w:rPr>
                      <w:rFonts w:hint="default" w:ascii="Times New Roman" w:hAnsi="Times New Roman" w:eastAsia="宋体" w:cs="Times New Roman"/>
                      <w:color w:val="FF0000"/>
                      <w:sz w:val="21"/>
                      <w:szCs w:val="21"/>
                    </w:rPr>
                    <w:t>/s</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22321A3E">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24.84</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470D8401">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工程区末端11+410</w:t>
                  </w:r>
                </w:p>
              </w:tc>
            </w:tr>
            <w:tr w14:paraId="65D1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152FEBC8">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二</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56841FF8">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保护范围</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C17CA6B">
                  <w:pPr>
                    <w:spacing w:line="400" w:lineRule="exact"/>
                    <w:jc w:val="center"/>
                    <w:rPr>
                      <w:rFonts w:hint="default" w:ascii="Times New Roman" w:hAnsi="Times New Roman" w:eastAsia="宋体" w:cs="Times New Roman"/>
                      <w:color w:val="FF0000"/>
                      <w:sz w:val="21"/>
                      <w:szCs w:val="21"/>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2C8BD3E4">
                  <w:pPr>
                    <w:spacing w:line="400" w:lineRule="exact"/>
                    <w:jc w:val="center"/>
                    <w:rPr>
                      <w:rFonts w:hint="default" w:ascii="Times New Roman" w:hAnsi="Times New Roman" w:eastAsia="宋体" w:cs="Times New Roman"/>
                      <w:color w:val="FF0000"/>
                      <w:sz w:val="21"/>
                      <w:szCs w:val="21"/>
                    </w:rPr>
                  </w:pP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6B13C71B">
                  <w:pPr>
                    <w:spacing w:line="400" w:lineRule="exact"/>
                    <w:jc w:val="center"/>
                    <w:rPr>
                      <w:rFonts w:hint="default" w:ascii="Times New Roman" w:hAnsi="Times New Roman" w:eastAsia="宋体" w:cs="Times New Roman"/>
                      <w:color w:val="FF0000"/>
                      <w:sz w:val="21"/>
                      <w:szCs w:val="21"/>
                    </w:rPr>
                  </w:pPr>
                </w:p>
              </w:tc>
            </w:tr>
            <w:tr w14:paraId="2D1A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6065537E">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⑴</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01573C23">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耕地</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1E21BEC">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亩</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5199D9A1">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5030</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71073D56">
                  <w:pPr>
                    <w:spacing w:line="400" w:lineRule="exact"/>
                    <w:jc w:val="center"/>
                    <w:rPr>
                      <w:rFonts w:hint="default" w:ascii="Times New Roman" w:hAnsi="Times New Roman" w:eastAsia="宋体" w:cs="Times New Roman"/>
                      <w:color w:val="FF0000"/>
                      <w:sz w:val="21"/>
                      <w:szCs w:val="21"/>
                    </w:rPr>
                  </w:pPr>
                </w:p>
              </w:tc>
            </w:tr>
            <w:tr w14:paraId="0D60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71D6E572">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⑵</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6D91F2FD">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人口</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0673072">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人</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362C11CD">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2783</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3B4BDC6A">
                  <w:pPr>
                    <w:spacing w:line="400" w:lineRule="exact"/>
                    <w:jc w:val="center"/>
                    <w:rPr>
                      <w:rFonts w:hint="default" w:ascii="Times New Roman" w:hAnsi="Times New Roman" w:eastAsia="宋体" w:cs="Times New Roman"/>
                      <w:color w:val="FF0000"/>
                      <w:sz w:val="21"/>
                      <w:szCs w:val="21"/>
                    </w:rPr>
                  </w:pPr>
                </w:p>
              </w:tc>
            </w:tr>
            <w:tr w14:paraId="40DE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7B1F6B1C">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二</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159D5F7B">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地质</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0B668A1">
                  <w:pPr>
                    <w:spacing w:line="400" w:lineRule="exact"/>
                    <w:jc w:val="center"/>
                    <w:rPr>
                      <w:rFonts w:hint="default" w:ascii="Times New Roman" w:hAnsi="Times New Roman" w:eastAsia="宋体" w:cs="Times New Roman"/>
                      <w:color w:val="FF0000"/>
                      <w:sz w:val="21"/>
                      <w:szCs w:val="21"/>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48657809">
                  <w:pPr>
                    <w:spacing w:line="400" w:lineRule="exact"/>
                    <w:jc w:val="center"/>
                    <w:rPr>
                      <w:rFonts w:hint="default" w:ascii="Times New Roman" w:hAnsi="Times New Roman" w:eastAsia="宋体" w:cs="Times New Roman"/>
                      <w:color w:val="FF0000"/>
                      <w:sz w:val="21"/>
                      <w:szCs w:val="21"/>
                    </w:rPr>
                  </w:pP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312D2C8D">
                  <w:pPr>
                    <w:spacing w:line="400" w:lineRule="exact"/>
                    <w:jc w:val="center"/>
                    <w:rPr>
                      <w:rFonts w:hint="default" w:ascii="Times New Roman" w:hAnsi="Times New Roman" w:eastAsia="宋体" w:cs="Times New Roman"/>
                      <w:color w:val="FF0000"/>
                      <w:sz w:val="21"/>
                      <w:szCs w:val="21"/>
                    </w:rPr>
                  </w:pPr>
                </w:p>
              </w:tc>
            </w:tr>
            <w:tr w14:paraId="761C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0CB3C8CD">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⑴</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5324EB7B">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防洪堤地基岩性</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760AD332">
                  <w:pPr>
                    <w:spacing w:line="400" w:lineRule="exact"/>
                    <w:jc w:val="center"/>
                    <w:rPr>
                      <w:rFonts w:hint="default" w:ascii="Times New Roman" w:hAnsi="Times New Roman" w:eastAsia="宋体" w:cs="Times New Roman"/>
                      <w:color w:val="FF0000"/>
                      <w:sz w:val="21"/>
                      <w:szCs w:val="21"/>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1B56ACBD">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砂砾石</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3AAEAE8F">
                  <w:pPr>
                    <w:spacing w:line="400" w:lineRule="exact"/>
                    <w:jc w:val="center"/>
                    <w:rPr>
                      <w:rFonts w:hint="default" w:ascii="Times New Roman" w:hAnsi="Times New Roman" w:eastAsia="宋体" w:cs="Times New Roman"/>
                      <w:color w:val="FF0000"/>
                      <w:sz w:val="21"/>
                      <w:szCs w:val="21"/>
                    </w:rPr>
                  </w:pPr>
                </w:p>
              </w:tc>
            </w:tr>
            <w:tr w14:paraId="2DBA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771FB8D5">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⑵</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60EEF269">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基本地震烈度</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1EDB250">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度</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4C8F2D78">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Ⅵ</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197EDBE2">
                  <w:pPr>
                    <w:spacing w:line="400" w:lineRule="exact"/>
                    <w:jc w:val="center"/>
                    <w:rPr>
                      <w:rFonts w:hint="default" w:ascii="Times New Roman" w:hAnsi="Times New Roman" w:eastAsia="宋体" w:cs="Times New Roman"/>
                      <w:color w:val="FF0000"/>
                      <w:sz w:val="21"/>
                      <w:szCs w:val="21"/>
                    </w:rPr>
                  </w:pPr>
                </w:p>
              </w:tc>
            </w:tr>
            <w:tr w14:paraId="6C73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265EBFCD">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三</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23A02B7E">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防洪标准及工程等级</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4E13F4D">
                  <w:pPr>
                    <w:spacing w:line="400" w:lineRule="exact"/>
                    <w:jc w:val="center"/>
                    <w:rPr>
                      <w:rFonts w:hint="default" w:ascii="Times New Roman" w:hAnsi="Times New Roman" w:eastAsia="宋体" w:cs="Times New Roman"/>
                      <w:color w:val="FF0000"/>
                      <w:sz w:val="21"/>
                      <w:szCs w:val="21"/>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32831169">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61FB134D">
                  <w:pPr>
                    <w:spacing w:line="400" w:lineRule="exact"/>
                    <w:jc w:val="center"/>
                    <w:rPr>
                      <w:rFonts w:hint="default" w:ascii="Times New Roman" w:hAnsi="Times New Roman" w:eastAsia="宋体" w:cs="Times New Roman"/>
                      <w:color w:val="FF0000"/>
                      <w:sz w:val="21"/>
                      <w:szCs w:val="21"/>
                    </w:rPr>
                  </w:pPr>
                </w:p>
              </w:tc>
            </w:tr>
            <w:tr w14:paraId="1CAE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4739EA4C">
                  <w:pPr>
                    <w:spacing w:line="400" w:lineRule="exact"/>
                    <w:jc w:val="center"/>
                    <w:rPr>
                      <w:rFonts w:hint="default" w:ascii="Times New Roman" w:hAnsi="Times New Roman" w:eastAsia="宋体" w:cs="Times New Roman"/>
                      <w:color w:val="FF0000"/>
                      <w:sz w:val="21"/>
                      <w:szCs w:val="21"/>
                    </w:rPr>
                  </w:pP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4D93DB6A">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10年一遇洪水</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6F9C9C8">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m</w:t>
                  </w:r>
                  <w:r>
                    <w:rPr>
                      <w:rFonts w:hint="default" w:ascii="Times New Roman" w:hAnsi="Times New Roman" w:eastAsia="宋体" w:cs="Times New Roman"/>
                      <w:color w:val="FF0000"/>
                      <w:sz w:val="21"/>
                      <w:szCs w:val="21"/>
                      <w:vertAlign w:val="superscript"/>
                    </w:rPr>
                    <w:t>3</w:t>
                  </w:r>
                  <w:r>
                    <w:rPr>
                      <w:rFonts w:hint="default" w:ascii="Times New Roman" w:hAnsi="Times New Roman" w:eastAsia="宋体" w:cs="Times New Roman"/>
                      <w:color w:val="FF0000"/>
                      <w:sz w:val="21"/>
                      <w:szCs w:val="21"/>
                    </w:rPr>
                    <w:t>/s</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301A1566">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142.71</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01251903">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工程区末端11+410</w:t>
                  </w:r>
                </w:p>
              </w:tc>
            </w:tr>
            <w:tr w14:paraId="7219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45923E44">
                  <w:pPr>
                    <w:spacing w:line="400" w:lineRule="exact"/>
                    <w:jc w:val="center"/>
                    <w:rPr>
                      <w:rFonts w:hint="default" w:ascii="Times New Roman" w:hAnsi="Times New Roman" w:eastAsia="宋体" w:cs="Times New Roman"/>
                      <w:color w:val="FF0000"/>
                      <w:sz w:val="21"/>
                      <w:szCs w:val="21"/>
                    </w:rPr>
                  </w:pP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21734147">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护岸工程</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436AF262">
                  <w:pPr>
                    <w:spacing w:line="400" w:lineRule="exact"/>
                    <w:jc w:val="center"/>
                    <w:rPr>
                      <w:rFonts w:hint="default" w:ascii="Times New Roman" w:hAnsi="Times New Roman" w:eastAsia="宋体" w:cs="Times New Roman"/>
                      <w:color w:val="FF0000"/>
                      <w:sz w:val="21"/>
                      <w:szCs w:val="21"/>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022EFD54">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5级</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01D55D62">
                  <w:pPr>
                    <w:spacing w:line="400" w:lineRule="exact"/>
                    <w:jc w:val="center"/>
                    <w:rPr>
                      <w:rFonts w:hint="default" w:ascii="Times New Roman" w:hAnsi="Times New Roman" w:eastAsia="宋体" w:cs="Times New Roman"/>
                      <w:color w:val="FF0000"/>
                      <w:sz w:val="21"/>
                      <w:szCs w:val="21"/>
                    </w:rPr>
                  </w:pPr>
                </w:p>
              </w:tc>
            </w:tr>
            <w:tr w14:paraId="449D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439A33E4">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四</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0162E549">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主要工程建筑物</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EE3B3EB">
                  <w:pPr>
                    <w:spacing w:line="400" w:lineRule="exact"/>
                    <w:jc w:val="center"/>
                    <w:rPr>
                      <w:rFonts w:hint="default" w:ascii="Times New Roman" w:hAnsi="Times New Roman" w:eastAsia="宋体" w:cs="Times New Roman"/>
                      <w:color w:val="FF0000"/>
                      <w:sz w:val="21"/>
                      <w:szCs w:val="21"/>
                    </w:rPr>
                  </w:pPr>
                </w:p>
              </w:tc>
              <w:tc>
                <w:tcPr>
                  <w:tcW w:w="2262" w:type="pct"/>
                  <w:gridSpan w:val="2"/>
                  <w:tcBorders>
                    <w:top w:val="single" w:color="000000" w:sz="4" w:space="0"/>
                    <w:left w:val="single" w:color="000000" w:sz="4" w:space="0"/>
                    <w:bottom w:val="single" w:color="000000" w:sz="4" w:space="0"/>
                    <w:right w:val="single" w:color="000000" w:sz="12" w:space="0"/>
                  </w:tcBorders>
                  <w:noWrap w:val="0"/>
                  <w:vAlign w:val="center"/>
                </w:tcPr>
                <w:p w14:paraId="1434DCF6">
                  <w:pPr>
                    <w:spacing w:line="400" w:lineRule="exact"/>
                    <w:jc w:val="center"/>
                    <w:rPr>
                      <w:rFonts w:hint="default" w:ascii="Times New Roman" w:hAnsi="Times New Roman" w:eastAsia="宋体" w:cs="Times New Roman"/>
                      <w:color w:val="FF0000"/>
                      <w:sz w:val="21"/>
                      <w:szCs w:val="21"/>
                    </w:rPr>
                  </w:pPr>
                </w:p>
              </w:tc>
            </w:tr>
            <w:tr w14:paraId="5528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04463740">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7CA378E7">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护岸</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AE01B33">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km</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3220BFC4">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12.761</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0CBEE8EB">
                  <w:pPr>
                    <w:spacing w:line="400" w:lineRule="exact"/>
                    <w:jc w:val="center"/>
                    <w:rPr>
                      <w:rFonts w:hint="default" w:ascii="Times New Roman" w:hAnsi="Times New Roman" w:eastAsia="宋体" w:cs="Times New Roman"/>
                      <w:color w:val="FF0000"/>
                      <w:sz w:val="21"/>
                      <w:szCs w:val="21"/>
                    </w:rPr>
                  </w:pPr>
                </w:p>
              </w:tc>
            </w:tr>
            <w:tr w14:paraId="1E7A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1CEFD580">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①</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3C3A511B">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左岸</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7A9CE8DE">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km</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030C596F">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6.176</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1E00143C">
                  <w:pPr>
                    <w:spacing w:line="400" w:lineRule="exact"/>
                    <w:jc w:val="center"/>
                    <w:rPr>
                      <w:rFonts w:hint="default" w:ascii="Times New Roman" w:hAnsi="Times New Roman" w:eastAsia="宋体" w:cs="Times New Roman"/>
                      <w:color w:val="FF0000"/>
                      <w:sz w:val="21"/>
                      <w:szCs w:val="21"/>
                    </w:rPr>
                  </w:pPr>
                </w:p>
              </w:tc>
            </w:tr>
            <w:tr w14:paraId="27C0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7F57217C">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②</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1B599A31">
                  <w:pPr>
                    <w:spacing w:line="4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右岸</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421E4D9">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km</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76FE8880">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6.585</w:t>
                  </w: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2DAFED0E">
                  <w:pPr>
                    <w:spacing w:line="400" w:lineRule="exact"/>
                    <w:jc w:val="center"/>
                    <w:rPr>
                      <w:rFonts w:hint="default" w:ascii="Times New Roman" w:hAnsi="Times New Roman" w:eastAsia="宋体" w:cs="Times New Roman"/>
                      <w:color w:val="FF0000"/>
                      <w:sz w:val="21"/>
                      <w:szCs w:val="21"/>
                    </w:rPr>
                  </w:pPr>
                </w:p>
              </w:tc>
            </w:tr>
            <w:tr w14:paraId="087A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02E98ED4">
                  <w:pPr>
                    <w:spacing w:line="240" w:lineRule="atLeas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⑵</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26CC8765">
                  <w:pPr>
                    <w:spacing w:line="240" w:lineRule="atLeas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护岸断面型式</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4C68C131">
                  <w:pPr>
                    <w:spacing w:line="240" w:lineRule="atLeast"/>
                    <w:jc w:val="center"/>
                    <w:rPr>
                      <w:rFonts w:hint="default" w:ascii="Times New Roman" w:hAnsi="Times New Roman" w:eastAsia="宋体" w:cs="Times New Roman"/>
                      <w:color w:val="FF0000"/>
                      <w:sz w:val="21"/>
                      <w:szCs w:val="21"/>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242916DD">
                  <w:pPr>
                    <w:spacing w:line="240" w:lineRule="atLeast"/>
                    <w:jc w:val="center"/>
                    <w:rPr>
                      <w:rFonts w:hint="default" w:ascii="Times New Roman" w:hAnsi="Times New Roman" w:eastAsia="宋体" w:cs="Times New Roman"/>
                      <w:color w:val="FF0000"/>
                      <w:sz w:val="21"/>
                      <w:szCs w:val="21"/>
                    </w:rPr>
                  </w:pPr>
                </w:p>
              </w:tc>
              <w:tc>
                <w:tcPr>
                  <w:tcW w:w="1400" w:type="pct"/>
                  <w:tcBorders>
                    <w:top w:val="single" w:color="000000" w:sz="4" w:space="0"/>
                    <w:left w:val="single" w:color="000000" w:sz="4" w:space="0"/>
                    <w:bottom w:val="single" w:color="000000" w:sz="4" w:space="0"/>
                    <w:right w:val="single" w:color="000000" w:sz="12" w:space="0"/>
                  </w:tcBorders>
                  <w:noWrap w:val="0"/>
                  <w:vAlign w:val="center"/>
                </w:tcPr>
                <w:p w14:paraId="5F5340F8">
                  <w:pPr>
                    <w:spacing w:line="240" w:lineRule="atLeast"/>
                    <w:jc w:val="center"/>
                    <w:rPr>
                      <w:rFonts w:hint="default" w:ascii="Times New Roman" w:hAnsi="Times New Roman" w:eastAsia="宋体" w:cs="Times New Roman"/>
                      <w:color w:val="FF0000"/>
                      <w:sz w:val="21"/>
                      <w:szCs w:val="21"/>
                    </w:rPr>
                  </w:pPr>
                </w:p>
              </w:tc>
            </w:tr>
            <w:tr w14:paraId="11CE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165DEFA3">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①</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574CA370">
                  <w:pPr>
                    <w:widowControl/>
                    <w:jc w:val="left"/>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坡式护脚</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67A3387">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km</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40058B60">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9.518</w:t>
                  </w:r>
                </w:p>
              </w:tc>
              <w:tc>
                <w:tcPr>
                  <w:tcW w:w="1400" w:type="pct"/>
                  <w:tcBorders>
                    <w:top w:val="single" w:color="000000" w:sz="4" w:space="0"/>
                    <w:left w:val="single" w:color="000000" w:sz="4" w:space="0"/>
                    <w:bottom w:val="single" w:color="000000" w:sz="4" w:space="0"/>
                    <w:right w:val="single" w:color="000000" w:sz="12" w:space="0"/>
                  </w:tcBorders>
                  <w:noWrap w:val="0"/>
                  <w:vAlign w:val="bottom"/>
                </w:tcPr>
                <w:p w14:paraId="31229345">
                  <w:pPr>
                    <w:widowControl/>
                    <w:jc w:val="center"/>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其中：左岸3907m，右岸5611m。</w:t>
                  </w:r>
                </w:p>
              </w:tc>
            </w:tr>
            <w:tr w14:paraId="411F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trPr>
              <w:tc>
                <w:tcPr>
                  <w:tcW w:w="484" w:type="pct"/>
                  <w:tcBorders>
                    <w:top w:val="single" w:color="000000" w:sz="4" w:space="0"/>
                    <w:left w:val="single" w:color="000000" w:sz="12" w:space="0"/>
                    <w:bottom w:val="single" w:color="000000" w:sz="4" w:space="0"/>
                    <w:right w:val="single" w:color="000000" w:sz="4" w:space="0"/>
                  </w:tcBorders>
                  <w:noWrap w:val="0"/>
                  <w:vAlign w:val="center"/>
                </w:tcPr>
                <w:p w14:paraId="3FC717FD">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②</w:t>
                  </w:r>
                </w:p>
              </w:tc>
              <w:tc>
                <w:tcPr>
                  <w:tcW w:w="1813" w:type="pct"/>
                  <w:tcBorders>
                    <w:top w:val="single" w:color="000000" w:sz="4" w:space="0"/>
                    <w:left w:val="single" w:color="000000" w:sz="4" w:space="0"/>
                    <w:bottom w:val="single" w:color="000000" w:sz="4" w:space="0"/>
                    <w:right w:val="single" w:color="000000" w:sz="4" w:space="0"/>
                  </w:tcBorders>
                  <w:noWrap w:val="0"/>
                  <w:vAlign w:val="center"/>
                </w:tcPr>
                <w:p w14:paraId="2BB79476">
                  <w:pPr>
                    <w:widowControl/>
                    <w:jc w:val="left"/>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复合式护岸</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D9E0E44">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km</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2EB32C45">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2.544</w:t>
                  </w:r>
                </w:p>
              </w:tc>
              <w:tc>
                <w:tcPr>
                  <w:tcW w:w="1400" w:type="pct"/>
                  <w:tcBorders>
                    <w:top w:val="single" w:color="000000" w:sz="4" w:space="0"/>
                    <w:left w:val="single" w:color="000000" w:sz="4" w:space="0"/>
                    <w:bottom w:val="single" w:color="000000" w:sz="4" w:space="0"/>
                    <w:right w:val="single" w:color="000000" w:sz="12" w:space="0"/>
                  </w:tcBorders>
                  <w:noWrap w:val="0"/>
                  <w:vAlign w:val="bottom"/>
                </w:tcPr>
                <w:p w14:paraId="08F9C3D7">
                  <w:pPr>
                    <w:widowControl/>
                    <w:jc w:val="center"/>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其中：左岸2269m，右岸275m；</w:t>
                  </w:r>
                </w:p>
              </w:tc>
            </w:tr>
            <w:tr w14:paraId="7300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trPr>
              <w:tc>
                <w:tcPr>
                  <w:tcW w:w="484" w:type="pct"/>
                  <w:tcBorders>
                    <w:top w:val="single" w:color="000000" w:sz="4" w:space="0"/>
                    <w:left w:val="single" w:color="000000" w:sz="12" w:space="0"/>
                    <w:bottom w:val="single" w:color="000000" w:sz="12" w:space="0"/>
                    <w:right w:val="single" w:color="000000" w:sz="4" w:space="0"/>
                  </w:tcBorders>
                  <w:noWrap w:val="0"/>
                  <w:vAlign w:val="center"/>
                </w:tcPr>
                <w:p w14:paraId="76F38FE7">
                  <w:pPr>
                    <w:spacing w:line="240" w:lineRule="atLeas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③</w:t>
                  </w:r>
                </w:p>
              </w:tc>
              <w:tc>
                <w:tcPr>
                  <w:tcW w:w="1813" w:type="pct"/>
                  <w:tcBorders>
                    <w:top w:val="single" w:color="000000" w:sz="4" w:space="0"/>
                    <w:left w:val="single" w:color="000000" w:sz="4" w:space="0"/>
                    <w:bottom w:val="single" w:color="000000" w:sz="12" w:space="0"/>
                    <w:right w:val="single" w:color="000000" w:sz="4" w:space="0"/>
                  </w:tcBorders>
                  <w:noWrap w:val="0"/>
                  <w:vAlign w:val="center"/>
                </w:tcPr>
                <w:p w14:paraId="19857F17">
                  <w:pPr>
                    <w:widowControl/>
                    <w:jc w:val="left"/>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墙式护脚</w:t>
                  </w:r>
                </w:p>
              </w:tc>
              <w:tc>
                <w:tcPr>
                  <w:tcW w:w="439" w:type="pct"/>
                  <w:tcBorders>
                    <w:top w:val="single" w:color="000000" w:sz="4" w:space="0"/>
                    <w:left w:val="single" w:color="000000" w:sz="4" w:space="0"/>
                    <w:bottom w:val="single" w:color="000000" w:sz="12" w:space="0"/>
                    <w:right w:val="single" w:color="000000" w:sz="4" w:space="0"/>
                  </w:tcBorders>
                  <w:noWrap w:val="0"/>
                  <w:vAlign w:val="center"/>
                </w:tcPr>
                <w:p w14:paraId="0E490D89">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km</w:t>
                  </w:r>
                </w:p>
              </w:tc>
              <w:tc>
                <w:tcPr>
                  <w:tcW w:w="861" w:type="pct"/>
                  <w:tcBorders>
                    <w:top w:val="single" w:color="000000" w:sz="4" w:space="0"/>
                    <w:left w:val="single" w:color="000000" w:sz="4" w:space="0"/>
                    <w:bottom w:val="single" w:color="000000" w:sz="12" w:space="0"/>
                    <w:right w:val="single" w:color="000000" w:sz="4" w:space="0"/>
                  </w:tcBorders>
                  <w:noWrap w:val="0"/>
                  <w:vAlign w:val="center"/>
                </w:tcPr>
                <w:p w14:paraId="0A9E1636">
                  <w:pPr>
                    <w:spacing w:line="4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0.699</w:t>
                  </w:r>
                </w:p>
              </w:tc>
              <w:tc>
                <w:tcPr>
                  <w:tcW w:w="1400" w:type="pct"/>
                  <w:tcBorders>
                    <w:top w:val="single" w:color="000000" w:sz="4" w:space="0"/>
                    <w:left w:val="single" w:color="000000" w:sz="4" w:space="0"/>
                    <w:bottom w:val="single" w:color="000000" w:sz="12" w:space="0"/>
                    <w:right w:val="single" w:color="000000" w:sz="12" w:space="0"/>
                  </w:tcBorders>
                  <w:noWrap w:val="0"/>
                  <w:vAlign w:val="center"/>
                </w:tcPr>
                <w:p w14:paraId="6BE63AAF">
                  <w:pPr>
                    <w:spacing w:line="240" w:lineRule="atLeas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右 岸</w:t>
                  </w:r>
                </w:p>
              </w:tc>
            </w:tr>
            <w:tr w14:paraId="2A6C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exact"/>
              </w:trPr>
              <w:tc>
                <w:tcPr>
                  <w:tcW w:w="484" w:type="pct"/>
                  <w:tcBorders>
                    <w:top w:val="single" w:color="000000" w:sz="12" w:space="0"/>
                    <w:left w:val="single" w:color="auto" w:sz="12" w:space="0"/>
                    <w:bottom w:val="single" w:color="auto" w:sz="4" w:space="0"/>
                    <w:right w:val="single" w:color="auto" w:sz="4" w:space="0"/>
                  </w:tcBorders>
                  <w:noWrap w:val="0"/>
                  <w:vAlign w:val="center"/>
                </w:tcPr>
                <w:p w14:paraId="488C563D">
                  <w:pPr>
                    <w:spacing w:line="240" w:lineRule="atLeas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五</w:t>
                  </w:r>
                </w:p>
              </w:tc>
              <w:tc>
                <w:tcPr>
                  <w:tcW w:w="1813" w:type="pct"/>
                  <w:tcBorders>
                    <w:top w:val="single" w:color="000000" w:sz="12" w:space="0"/>
                    <w:left w:val="single" w:color="auto" w:sz="4" w:space="0"/>
                    <w:bottom w:val="single" w:color="auto" w:sz="4" w:space="0"/>
                    <w:right w:val="single" w:color="auto" w:sz="4" w:space="0"/>
                  </w:tcBorders>
                  <w:noWrap w:val="0"/>
                  <w:vAlign w:val="center"/>
                </w:tcPr>
                <w:p w14:paraId="2677252D">
                  <w:pPr>
                    <w:spacing w:line="240" w:lineRule="atLeas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主要工程数量</w:t>
                  </w:r>
                </w:p>
              </w:tc>
              <w:tc>
                <w:tcPr>
                  <w:tcW w:w="439" w:type="pct"/>
                  <w:tcBorders>
                    <w:top w:val="single" w:color="000000" w:sz="12" w:space="0"/>
                    <w:left w:val="single" w:color="auto" w:sz="4" w:space="0"/>
                    <w:bottom w:val="single" w:color="auto" w:sz="4" w:space="0"/>
                    <w:right w:val="single" w:color="auto" w:sz="4" w:space="0"/>
                  </w:tcBorders>
                  <w:noWrap w:val="0"/>
                  <w:vAlign w:val="center"/>
                </w:tcPr>
                <w:p w14:paraId="17161091">
                  <w:pPr>
                    <w:spacing w:line="240" w:lineRule="atLeast"/>
                    <w:jc w:val="center"/>
                    <w:rPr>
                      <w:rFonts w:hint="default" w:ascii="Times New Roman" w:hAnsi="Times New Roman" w:eastAsia="宋体" w:cs="Times New Roman"/>
                      <w:color w:val="FF0000"/>
                      <w:sz w:val="21"/>
                      <w:szCs w:val="21"/>
                    </w:rPr>
                  </w:pPr>
                </w:p>
              </w:tc>
              <w:tc>
                <w:tcPr>
                  <w:tcW w:w="861" w:type="pct"/>
                  <w:tcBorders>
                    <w:top w:val="single" w:color="000000" w:sz="12" w:space="0"/>
                    <w:left w:val="single" w:color="auto" w:sz="4" w:space="0"/>
                    <w:bottom w:val="single" w:color="auto" w:sz="4" w:space="0"/>
                    <w:right w:val="single" w:color="auto" w:sz="4" w:space="0"/>
                  </w:tcBorders>
                  <w:noWrap w:val="0"/>
                  <w:vAlign w:val="center"/>
                </w:tcPr>
                <w:p w14:paraId="32F9C5DB">
                  <w:pPr>
                    <w:spacing w:line="240" w:lineRule="atLeast"/>
                    <w:jc w:val="center"/>
                    <w:rPr>
                      <w:rFonts w:hint="default" w:ascii="Times New Roman" w:hAnsi="Times New Roman" w:eastAsia="宋体" w:cs="Times New Roman"/>
                      <w:color w:val="FF0000"/>
                      <w:sz w:val="21"/>
                      <w:szCs w:val="21"/>
                    </w:rPr>
                  </w:pPr>
                </w:p>
              </w:tc>
              <w:tc>
                <w:tcPr>
                  <w:tcW w:w="1400" w:type="pct"/>
                  <w:tcBorders>
                    <w:top w:val="single" w:color="000000" w:sz="12" w:space="0"/>
                    <w:left w:val="single" w:color="auto" w:sz="4" w:space="0"/>
                    <w:bottom w:val="single" w:color="auto" w:sz="4" w:space="0"/>
                    <w:right w:val="single" w:color="auto" w:sz="12" w:space="0"/>
                  </w:tcBorders>
                  <w:noWrap w:val="0"/>
                  <w:vAlign w:val="center"/>
                </w:tcPr>
                <w:p w14:paraId="2DB532CA">
                  <w:pPr>
                    <w:spacing w:line="240" w:lineRule="atLeast"/>
                    <w:jc w:val="center"/>
                    <w:rPr>
                      <w:rFonts w:hint="default" w:ascii="Times New Roman" w:hAnsi="Times New Roman" w:eastAsia="宋体" w:cs="Times New Roman"/>
                      <w:color w:val="FF0000"/>
                      <w:sz w:val="21"/>
                      <w:szCs w:val="21"/>
                    </w:rPr>
                  </w:pPr>
                </w:p>
              </w:tc>
            </w:tr>
            <w:tr w14:paraId="1764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4FFAD5DD">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1</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5B943374">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土方开挖</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4ABBC813">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3</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0EAD2686">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443.89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5B570419">
                  <w:pPr>
                    <w:spacing w:line="240" w:lineRule="atLeast"/>
                    <w:jc w:val="center"/>
                    <w:rPr>
                      <w:rFonts w:hint="default" w:ascii="Times New Roman" w:hAnsi="Times New Roman" w:eastAsia="宋体" w:cs="Times New Roman"/>
                      <w:color w:val="FF0000"/>
                      <w:sz w:val="21"/>
                      <w:szCs w:val="21"/>
                    </w:rPr>
                  </w:pPr>
                </w:p>
              </w:tc>
            </w:tr>
            <w:tr w14:paraId="67F2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2A49B521">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2</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7C956261">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基础砂砾石开挖（机械）</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5B2E63BB">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3</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318A8B00">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44451.54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0A32152C">
                  <w:pPr>
                    <w:spacing w:line="240" w:lineRule="atLeast"/>
                    <w:jc w:val="center"/>
                    <w:rPr>
                      <w:rFonts w:hint="default" w:ascii="Times New Roman" w:hAnsi="Times New Roman" w:eastAsia="宋体" w:cs="Times New Roman"/>
                      <w:color w:val="FF0000"/>
                      <w:sz w:val="21"/>
                      <w:szCs w:val="21"/>
                    </w:rPr>
                  </w:pPr>
                </w:p>
              </w:tc>
            </w:tr>
            <w:tr w14:paraId="7576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359559DA">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3</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31C44B5A">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河道疏浚（土方挖运500m）</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6A0BDB69">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3</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38F60F1C">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24987.81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4E527CF5">
                  <w:pPr>
                    <w:spacing w:line="240" w:lineRule="atLeast"/>
                    <w:jc w:val="center"/>
                    <w:rPr>
                      <w:rFonts w:hint="default" w:ascii="Times New Roman" w:hAnsi="Times New Roman" w:eastAsia="宋体" w:cs="Times New Roman"/>
                      <w:color w:val="FF0000"/>
                      <w:sz w:val="21"/>
                      <w:szCs w:val="21"/>
                    </w:rPr>
                  </w:pPr>
                </w:p>
              </w:tc>
            </w:tr>
            <w:tr w14:paraId="793D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2069E300">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4</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729366FF">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河道疏浚（土方挖运）</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579A7614">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3</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71A36599">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37481.71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7BEAF17A">
                  <w:pPr>
                    <w:spacing w:line="240" w:lineRule="atLeast"/>
                    <w:jc w:val="center"/>
                    <w:rPr>
                      <w:rFonts w:hint="default" w:ascii="Times New Roman" w:hAnsi="Times New Roman" w:eastAsia="宋体" w:cs="Times New Roman"/>
                      <w:color w:val="FF0000"/>
                      <w:sz w:val="21"/>
                      <w:szCs w:val="21"/>
                    </w:rPr>
                  </w:pPr>
                </w:p>
              </w:tc>
            </w:tr>
            <w:tr w14:paraId="169A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00E4959E">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5</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6AC22DA8">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基础回填</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6EAC46C1">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2</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355DAFE1">
                  <w:pPr>
                    <w:widowControl/>
                    <w:jc w:val="center"/>
                    <w:textAlignment w:val="center"/>
                    <w:rPr>
                      <w:rFonts w:hint="default" w:ascii="Times New Roman" w:hAnsi="Times New Roman" w:eastAsia="宋体" w:cs="Times New Roman"/>
                      <w:color w:val="FF0000"/>
                      <w:kern w:val="0"/>
                      <w:sz w:val="21"/>
                      <w:szCs w:val="21"/>
                      <w:lang w:val="en-US" w:bidi="ar"/>
                    </w:rPr>
                  </w:pPr>
                  <w:r>
                    <w:rPr>
                      <w:rFonts w:hint="eastAsia" w:ascii="Times New Roman" w:hAnsi="Times New Roman" w:eastAsia="宋体" w:cs="Times New Roman"/>
                      <w:color w:val="FF0000"/>
                      <w:kern w:val="0"/>
                      <w:sz w:val="21"/>
                      <w:szCs w:val="21"/>
                      <w:lang w:val="en-US" w:eastAsia="zh-CN" w:bidi="ar"/>
                    </w:rPr>
                    <w:t>107364</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269B7A48">
                  <w:pPr>
                    <w:spacing w:line="240" w:lineRule="atLeast"/>
                    <w:jc w:val="center"/>
                    <w:rPr>
                      <w:rFonts w:hint="default" w:ascii="Times New Roman" w:hAnsi="Times New Roman" w:eastAsia="宋体" w:cs="Times New Roman"/>
                      <w:color w:val="FF0000"/>
                      <w:sz w:val="21"/>
                      <w:szCs w:val="21"/>
                    </w:rPr>
                  </w:pPr>
                </w:p>
              </w:tc>
            </w:tr>
            <w:tr w14:paraId="1427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13A960DA">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6</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5C5DB14B">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人工修正边坡</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389A95D2">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2</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7068C05E">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40902.51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35CDD914">
                  <w:pPr>
                    <w:spacing w:line="240" w:lineRule="atLeast"/>
                    <w:jc w:val="center"/>
                    <w:rPr>
                      <w:rFonts w:hint="default" w:ascii="Times New Roman" w:hAnsi="Times New Roman" w:eastAsia="宋体" w:cs="Times New Roman"/>
                      <w:color w:val="FF0000"/>
                      <w:sz w:val="21"/>
                      <w:szCs w:val="21"/>
                    </w:rPr>
                  </w:pPr>
                </w:p>
              </w:tc>
            </w:tr>
            <w:tr w14:paraId="7BEF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07E91A02">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7</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39883463">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土工布铺设</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0B5C725B">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3</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72655096">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57669.70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38C459DB">
                  <w:pPr>
                    <w:spacing w:line="240" w:lineRule="atLeast"/>
                    <w:jc w:val="center"/>
                    <w:rPr>
                      <w:rFonts w:hint="default" w:ascii="Times New Roman" w:hAnsi="Times New Roman" w:eastAsia="宋体" w:cs="Times New Roman"/>
                      <w:color w:val="FF0000"/>
                      <w:sz w:val="21"/>
                      <w:szCs w:val="21"/>
                    </w:rPr>
                  </w:pPr>
                </w:p>
              </w:tc>
            </w:tr>
            <w:tr w14:paraId="4AB1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68EB1CAB">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8</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3EAE16BE">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C20砼压顶</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2F3F3795">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3</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797A54B9">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2145.60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7793EB93">
                  <w:pPr>
                    <w:spacing w:line="240" w:lineRule="atLeast"/>
                    <w:jc w:val="center"/>
                    <w:rPr>
                      <w:rFonts w:hint="default" w:ascii="Times New Roman" w:hAnsi="Times New Roman" w:eastAsia="宋体" w:cs="Times New Roman"/>
                      <w:color w:val="FF0000"/>
                      <w:sz w:val="21"/>
                      <w:szCs w:val="21"/>
                    </w:rPr>
                  </w:pPr>
                </w:p>
              </w:tc>
            </w:tr>
            <w:tr w14:paraId="1868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19F05EB4">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9</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17412400">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固滨笼块石</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3C57D50E">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3</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14ED4E3B">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7708.81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7C967676">
                  <w:pPr>
                    <w:spacing w:line="240" w:lineRule="atLeast"/>
                    <w:jc w:val="center"/>
                    <w:rPr>
                      <w:rFonts w:hint="default" w:ascii="Times New Roman" w:hAnsi="Times New Roman" w:eastAsia="宋体" w:cs="Times New Roman"/>
                      <w:color w:val="FF0000"/>
                      <w:sz w:val="21"/>
                      <w:szCs w:val="21"/>
                    </w:rPr>
                  </w:pPr>
                </w:p>
              </w:tc>
            </w:tr>
            <w:tr w14:paraId="67B2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3A9C3712">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10</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12134F8E">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固滨笼网栅</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0B2B7DBE">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2</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54BB11BF">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23126.43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7C58669C">
                  <w:pPr>
                    <w:spacing w:line="240" w:lineRule="atLeast"/>
                    <w:jc w:val="center"/>
                    <w:rPr>
                      <w:rFonts w:hint="default" w:ascii="Times New Roman" w:hAnsi="Times New Roman" w:eastAsia="宋体" w:cs="Times New Roman"/>
                      <w:color w:val="FF0000"/>
                      <w:sz w:val="21"/>
                      <w:szCs w:val="21"/>
                    </w:rPr>
                  </w:pPr>
                </w:p>
              </w:tc>
            </w:tr>
            <w:tr w14:paraId="6527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54759459">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11</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3049B060">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绿滨垫块石</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099E6F57">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3</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75462807">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12248.67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52426383">
                  <w:pPr>
                    <w:spacing w:line="240" w:lineRule="atLeast"/>
                    <w:jc w:val="center"/>
                    <w:rPr>
                      <w:rFonts w:hint="default" w:ascii="Times New Roman" w:hAnsi="Times New Roman" w:eastAsia="宋体" w:cs="Times New Roman"/>
                      <w:color w:val="FF0000"/>
                      <w:sz w:val="21"/>
                      <w:szCs w:val="21"/>
                    </w:rPr>
                  </w:pPr>
                </w:p>
              </w:tc>
            </w:tr>
            <w:tr w14:paraId="4E24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4372BC3D">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12</w:t>
                  </w:r>
                </w:p>
              </w:tc>
              <w:tc>
                <w:tcPr>
                  <w:tcW w:w="1813" w:type="pct"/>
                  <w:tcBorders>
                    <w:top w:val="single" w:color="auto" w:sz="4" w:space="0"/>
                    <w:left w:val="single" w:color="auto" w:sz="4" w:space="0"/>
                    <w:bottom w:val="single" w:color="auto" w:sz="4" w:space="0"/>
                    <w:right w:val="single" w:color="auto" w:sz="4" w:space="0"/>
                  </w:tcBorders>
                  <w:noWrap w:val="0"/>
                  <w:vAlign w:val="bottom"/>
                </w:tcPr>
                <w:p w14:paraId="3F27F3D2">
                  <w:pPr>
                    <w:widowControl/>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绿滨垫网栅</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4F4D9F10">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bidi="ar"/>
                    </w:rPr>
                    <w:t>m</w:t>
                  </w:r>
                  <w:r>
                    <w:rPr>
                      <w:rFonts w:hint="default" w:ascii="Times New Roman" w:hAnsi="Times New Roman" w:eastAsia="宋体" w:cs="Times New Roman"/>
                      <w:color w:val="FF0000"/>
                      <w:kern w:val="0"/>
                      <w:sz w:val="21"/>
                      <w:szCs w:val="21"/>
                      <w:vertAlign w:val="superscript"/>
                      <w:lang w:bidi="ar"/>
                    </w:rPr>
                    <w:t>2</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624A538C">
                  <w:pPr>
                    <w:widowControl/>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FF0000"/>
                      <w:kern w:val="0"/>
                      <w:sz w:val="21"/>
                      <w:szCs w:val="21"/>
                      <w:lang w:bidi="ar"/>
                    </w:rPr>
                    <w:t xml:space="preserve">110238.06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53EE0D33">
                  <w:pPr>
                    <w:spacing w:line="240" w:lineRule="atLeast"/>
                    <w:jc w:val="center"/>
                    <w:rPr>
                      <w:rFonts w:hint="default" w:ascii="Times New Roman" w:hAnsi="Times New Roman" w:eastAsia="宋体" w:cs="Times New Roman"/>
                      <w:color w:val="FF0000"/>
                      <w:sz w:val="21"/>
                      <w:szCs w:val="21"/>
                    </w:rPr>
                  </w:pPr>
                </w:p>
              </w:tc>
            </w:tr>
            <w:tr w14:paraId="3E2F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84" w:type="pct"/>
                  <w:tcBorders>
                    <w:top w:val="single" w:color="auto" w:sz="4" w:space="0"/>
                    <w:left w:val="single" w:color="auto" w:sz="12" w:space="0"/>
                    <w:bottom w:val="single" w:color="auto" w:sz="4" w:space="0"/>
                    <w:right w:val="single" w:color="auto" w:sz="4" w:space="0"/>
                  </w:tcBorders>
                  <w:noWrap w:val="0"/>
                  <w:vAlign w:val="center"/>
                </w:tcPr>
                <w:p w14:paraId="18635D71">
                  <w:pPr>
                    <w:spacing w:line="240" w:lineRule="atLeas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六</w:t>
                  </w:r>
                </w:p>
              </w:tc>
              <w:tc>
                <w:tcPr>
                  <w:tcW w:w="1813" w:type="pct"/>
                  <w:tcBorders>
                    <w:top w:val="single" w:color="auto" w:sz="4" w:space="0"/>
                    <w:left w:val="single" w:color="auto" w:sz="4" w:space="0"/>
                    <w:bottom w:val="single" w:color="auto" w:sz="4" w:space="0"/>
                    <w:right w:val="single" w:color="auto" w:sz="4" w:space="0"/>
                  </w:tcBorders>
                  <w:noWrap w:val="0"/>
                  <w:vAlign w:val="center"/>
                </w:tcPr>
                <w:p w14:paraId="70C0BC5F">
                  <w:pPr>
                    <w:spacing w:line="240" w:lineRule="atLeast"/>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工程总投资</w:t>
                  </w:r>
                </w:p>
              </w:tc>
              <w:tc>
                <w:tcPr>
                  <w:tcW w:w="439" w:type="pct"/>
                  <w:tcBorders>
                    <w:top w:val="single" w:color="auto" w:sz="4" w:space="0"/>
                    <w:left w:val="single" w:color="auto" w:sz="4" w:space="0"/>
                    <w:bottom w:val="single" w:color="auto" w:sz="4" w:space="0"/>
                    <w:right w:val="single" w:color="auto" w:sz="4" w:space="0"/>
                  </w:tcBorders>
                  <w:noWrap w:val="0"/>
                  <w:vAlign w:val="center"/>
                </w:tcPr>
                <w:p w14:paraId="1A70FD0B">
                  <w:pPr>
                    <w:spacing w:line="240" w:lineRule="atLeas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万元</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5B09FB24">
                  <w:pPr>
                    <w:widowControl/>
                    <w:spacing w:line="240" w:lineRule="atLeast"/>
                    <w:jc w:val="center"/>
                    <w:textAlignment w:val="center"/>
                    <w:rPr>
                      <w:rFonts w:hint="default" w:ascii="Times New Roman" w:hAnsi="Times New Roman" w:eastAsia="宋体" w:cs="Times New Roman"/>
                      <w:color w:val="FF0000"/>
                      <w:kern w:val="0"/>
                      <w:sz w:val="21"/>
                      <w:szCs w:val="21"/>
                      <w:lang w:bidi="ar"/>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3234.79</w:t>
                  </w:r>
                  <w:r>
                    <w:rPr>
                      <w:rFonts w:hint="default" w:ascii="Times New Roman" w:hAnsi="Times New Roman" w:eastAsia="宋体" w:cs="Times New Roman"/>
                      <w:color w:val="FF0000"/>
                      <w:kern w:val="0"/>
                      <w:sz w:val="21"/>
                      <w:szCs w:val="21"/>
                      <w:lang w:bidi="ar"/>
                    </w:rPr>
                    <w:t xml:space="preserve"> </w:t>
                  </w:r>
                </w:p>
              </w:tc>
              <w:tc>
                <w:tcPr>
                  <w:tcW w:w="1400" w:type="pct"/>
                  <w:tcBorders>
                    <w:top w:val="single" w:color="auto" w:sz="4" w:space="0"/>
                    <w:left w:val="single" w:color="auto" w:sz="4" w:space="0"/>
                    <w:bottom w:val="single" w:color="auto" w:sz="4" w:space="0"/>
                    <w:right w:val="single" w:color="auto" w:sz="12" w:space="0"/>
                  </w:tcBorders>
                  <w:noWrap w:val="0"/>
                  <w:vAlign w:val="center"/>
                </w:tcPr>
                <w:p w14:paraId="06FFD885">
                  <w:pPr>
                    <w:spacing w:line="240" w:lineRule="atLeast"/>
                    <w:jc w:val="center"/>
                    <w:rPr>
                      <w:rFonts w:hint="default" w:ascii="Times New Roman" w:hAnsi="Times New Roman" w:eastAsia="宋体" w:cs="Times New Roman"/>
                      <w:color w:val="FF0000"/>
                      <w:sz w:val="21"/>
                      <w:szCs w:val="21"/>
                    </w:rPr>
                  </w:pPr>
                </w:p>
              </w:tc>
            </w:tr>
          </w:tbl>
          <w:p w14:paraId="612CBB9A">
            <w:pPr>
              <w:spacing w:line="360" w:lineRule="auto"/>
              <w:contextualSpacing/>
              <w:jc w:val="left"/>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cs="宋体"/>
                <w:b/>
                <w:bCs/>
                <w:color w:val="000000" w:themeColor="text1"/>
                <w:sz w:val="24"/>
                <w:szCs w:val="24"/>
                <w:lang w:val="en-US" w:eastAsia="zh-CN"/>
                <w14:textFill>
                  <w14:solidFill>
                    <w14:schemeClr w14:val="tx1"/>
                  </w14:solidFill>
                </w14:textFill>
              </w:rPr>
              <w:t>防洪标准</w:t>
            </w:r>
          </w:p>
          <w:p w14:paraId="2845FA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kern w:val="0"/>
                <w:sz w:val="24"/>
                <w:szCs w:val="24"/>
                <w:lang w:val="en-GB" w:eastAsia="zh-CN" w:bidi="ar-SA"/>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宁县湘乐川前渠至宋庄段河道进行治理</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工程</w:t>
            </w:r>
            <w:r>
              <w:rPr>
                <w:rFonts w:hint="eastAsia" w:ascii="Times New Roman" w:hAnsi="Times New Roman" w:eastAsia="宋体" w:cs="宋体"/>
                <w:color w:val="000000" w:themeColor="text1"/>
                <w:kern w:val="0"/>
                <w:sz w:val="24"/>
                <w:szCs w:val="24"/>
                <w:lang w:val="en-GB" w:eastAsia="zh-CN" w:bidi="ar-SA"/>
                <w14:textFill>
                  <w14:solidFill>
                    <w14:schemeClr w14:val="tx1"/>
                  </w14:solidFill>
                </w14:textFill>
              </w:rPr>
              <w:t>，</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设计防洪标准:为</w:t>
            </w:r>
            <w:r>
              <w:rPr>
                <w:rFonts w:hint="eastAsia" w:cs="宋体"/>
                <w:color w:val="000000" w:themeColor="text1"/>
                <w:kern w:val="0"/>
                <w:sz w:val="24"/>
                <w:szCs w:val="24"/>
                <w:lang w:val="en-US" w:eastAsia="zh-CN" w:bidi="ar-SA"/>
                <w14:textFill>
                  <w14:solidFill>
                    <w14:schemeClr w14:val="tx1"/>
                  </w14:solidFill>
                </w14:textFill>
              </w:rPr>
              <w:t>10</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年一遇，相应工程区末端(11+410)控制断面洪峰流量为142.71m</w:t>
            </w:r>
            <w:r>
              <w:rPr>
                <w:rFonts w:hint="default" w:ascii="Times New Roman" w:hAnsi="Times New Roman" w:eastAsia="宋体" w:cs="宋体"/>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/s;工程区末端牛头沟以上(</w:t>
            </w:r>
            <w:r>
              <w:rPr>
                <w:rFonts w:hint="eastAsia" w:cs="宋体"/>
                <w:color w:val="000000" w:themeColor="text1"/>
                <w:kern w:val="0"/>
                <w:sz w:val="24"/>
                <w:szCs w:val="24"/>
                <w:lang w:val="en-US" w:eastAsia="zh-CN" w:bidi="ar-SA"/>
                <w14:textFill>
                  <w14:solidFill>
                    <w14:schemeClr w14:val="tx1"/>
                  </w14:solidFill>
                </w14:textFill>
              </w:rPr>
              <w:t>10</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+410)控制断面洪峰流量为124.30m</w:t>
            </w:r>
            <w:r>
              <w:rPr>
                <w:rFonts w:hint="default" w:ascii="Times New Roman" w:hAnsi="Times New Roman" w:eastAsia="宋体" w:cs="宋体"/>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/s;次要及临时工程洪水标准采用5年一遇，相应工程区末端(11+410)控制断面洪峰流量为49.10m</w:t>
            </w:r>
            <w:r>
              <w:rPr>
                <w:rFonts w:hint="default" w:ascii="Times New Roman" w:hAnsi="Times New Roman" w:eastAsia="宋体" w:cs="宋体"/>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/s;工程区末端牛头沟以上(</w:t>
            </w:r>
            <w:r>
              <w:rPr>
                <w:rFonts w:hint="eastAsia" w:cs="宋体"/>
                <w:color w:val="000000" w:themeColor="text1"/>
                <w:kern w:val="0"/>
                <w:sz w:val="24"/>
                <w:szCs w:val="24"/>
                <w:lang w:val="en-US" w:eastAsia="zh-CN" w:bidi="ar-SA"/>
                <w14:textFill>
                  <w14:solidFill>
                    <w14:schemeClr w14:val="tx1"/>
                  </w14:solidFill>
                </w14:textFill>
              </w:rPr>
              <w:t>10</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+410)控制断面洪峰流量为42.46m</w:t>
            </w:r>
            <w:r>
              <w:rPr>
                <w:rFonts w:hint="default" w:ascii="Times New Roman" w:hAnsi="Times New Roman" w:eastAsia="宋体" w:cs="宋体"/>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/s</w:t>
            </w:r>
            <w:r>
              <w:rPr>
                <w:rFonts w:hint="eastAsia" w:cs="宋体"/>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t xml:space="preserve"> 工程等别为V等，主要建筑物、次要建筑物和临时性建筑物均按5级设计，地震基本烈度为VI度。 </w:t>
            </w:r>
          </w:p>
          <w:p w14:paraId="061487D5">
            <w:pPr>
              <w:numPr>
                <w:ilvl w:val="0"/>
                <w:numId w:val="1"/>
              </w:numPr>
              <w:spacing w:line="360" w:lineRule="auto"/>
              <w:contextualSpacing/>
              <w:jc w:val="left"/>
              <w:rPr>
                <w:rFonts w:hint="eastAsia" w:cs="宋体"/>
                <w:b/>
                <w:bCs/>
                <w:color w:val="000000" w:themeColor="text1"/>
                <w:sz w:val="24"/>
                <w:szCs w:val="24"/>
                <w:lang w:val="en-US" w:eastAsia="zh-CN"/>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工程设计</w:t>
            </w:r>
          </w:p>
          <w:p w14:paraId="02A97D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 xml:space="preserve">（1）工程导线布置方案 </w:t>
            </w:r>
          </w:p>
          <w:p w14:paraId="77E05B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新</w:t>
            </w:r>
            <w:r>
              <w:rPr>
                <w:rFonts w:hint="default" w:cs="宋体"/>
                <w:color w:val="000000" w:themeColor="text1"/>
                <w:sz w:val="24"/>
                <w:szCs w:val="24"/>
                <w:lang w:val="en-US" w:eastAsia="zh-CN"/>
                <w14:textFill>
                  <w14:solidFill>
                    <w14:schemeClr w14:val="tx1"/>
                  </w14:solidFill>
                </w14:textFill>
              </w:rPr>
              <w:t>建堤防基本沿自然河堤线及阶地布置，固定凹岸，保持原有顺直微弯河段，设置弯道半径大于稳定河宽弯道半径，保证堤距满足稳定河宽不小于16.0m。</w:t>
            </w:r>
          </w:p>
          <w:p w14:paraId="124207C4">
            <w:pPr>
              <w:numPr>
                <w:ilvl w:val="0"/>
                <w:numId w:val="0"/>
              </w:numPr>
              <w:spacing w:line="360" w:lineRule="auto"/>
              <w:ind w:firstLine="480" w:firstLineChars="200"/>
              <w:contextualSpacing/>
              <w:jc w:val="left"/>
              <w:rPr>
                <w:rFonts w:hint="eastAsia" w:cs="宋体"/>
                <w:color w:val="FF0000"/>
                <w:sz w:val="24"/>
                <w:szCs w:val="24"/>
                <w:lang w:val="en-US" w:eastAsia="zh-CN"/>
              </w:rPr>
            </w:pPr>
            <w:r>
              <w:rPr>
                <w:rFonts w:hint="eastAsia" w:cs="宋体"/>
                <w:color w:val="FF0000"/>
                <w:sz w:val="24"/>
                <w:szCs w:val="24"/>
                <w:lang w:val="en-US" w:eastAsia="zh-CN"/>
              </w:rPr>
              <w:t>（2）护岸结构设计</w:t>
            </w:r>
          </w:p>
          <w:p w14:paraId="796CB04A">
            <w:pPr>
              <w:numPr>
                <w:ilvl w:val="0"/>
                <w:numId w:val="0"/>
              </w:numPr>
              <w:spacing w:line="360" w:lineRule="auto"/>
              <w:ind w:firstLine="480" w:firstLineChars="200"/>
              <w:contextualSpacing/>
              <w:jc w:val="left"/>
              <w:rPr>
                <w:rFonts w:hint="default" w:cs="宋体"/>
                <w:color w:val="FF0000"/>
                <w:sz w:val="24"/>
                <w:szCs w:val="24"/>
                <w:lang w:val="en-US" w:eastAsia="zh-CN"/>
              </w:rPr>
            </w:pPr>
            <w:r>
              <w:rPr>
                <w:rFonts w:hint="eastAsia" w:cs="宋体"/>
                <w:color w:val="FF0000"/>
                <w:sz w:val="24"/>
                <w:szCs w:val="24"/>
                <w:lang w:val="en-US" w:eastAsia="zh-CN"/>
              </w:rPr>
              <w:t>新</w:t>
            </w:r>
            <w:r>
              <w:rPr>
                <w:rFonts w:hint="default" w:cs="宋体"/>
                <w:color w:val="FF0000"/>
                <w:sz w:val="24"/>
                <w:szCs w:val="24"/>
                <w:lang w:val="en-US" w:eastAsia="zh-CN"/>
              </w:rPr>
              <w:t>建护岸采用复合式结构护岸:坡式护堤十墙式基础护岸，下部墙式格宾石笼基础;上部采用绿滨垫生态护坡至设计堤顶高程。墙式格宾石笼基础总高1.5m;格宾石笼墙顶宽lm，底宽1.5m，迎水面为台阶式，台阶宽度</w:t>
            </w:r>
            <w:r>
              <w:rPr>
                <w:rFonts w:hint="eastAsia" w:cs="宋体"/>
                <w:color w:val="FF0000"/>
                <w:sz w:val="24"/>
                <w:szCs w:val="24"/>
                <w:lang w:val="en-US" w:eastAsia="zh-CN"/>
              </w:rPr>
              <w:t>0.5</w:t>
            </w:r>
            <w:r>
              <w:rPr>
                <w:rFonts w:hint="default" w:cs="宋体"/>
                <w:color w:val="FF0000"/>
                <w:sz w:val="24"/>
                <w:szCs w:val="24"/>
                <w:lang w:val="en-US" w:eastAsia="zh-CN"/>
              </w:rPr>
              <w:t>m，高度1.0m，采用1.0m厚格宾网石笼层叠铺设，将格宾笼基础置于脚槽内;格宾网石笼与地基土之间均设一层300g/m</w:t>
            </w:r>
            <w:r>
              <w:rPr>
                <w:rFonts w:hint="default" w:cs="宋体"/>
                <w:color w:val="FF0000"/>
                <w:sz w:val="24"/>
                <w:szCs w:val="24"/>
                <w:vertAlign w:val="superscript"/>
                <w:lang w:val="en-US" w:eastAsia="zh-CN"/>
              </w:rPr>
              <w:t>2</w:t>
            </w:r>
            <w:r>
              <w:rPr>
                <w:rFonts w:hint="default" w:cs="宋体"/>
                <w:color w:val="FF0000"/>
                <w:sz w:val="24"/>
                <w:szCs w:val="24"/>
                <w:lang w:val="en-US" w:eastAsia="zh-CN"/>
              </w:rPr>
              <w:t>的反滤土工布，格宾笼尺寸规格选用长2.0m、宽</w:t>
            </w:r>
            <w:r>
              <w:rPr>
                <w:rFonts w:hint="eastAsia" w:cs="宋体"/>
                <w:color w:val="FF0000"/>
                <w:sz w:val="24"/>
                <w:szCs w:val="24"/>
                <w:lang w:val="en-US" w:eastAsia="zh-CN"/>
              </w:rPr>
              <w:t>1</w:t>
            </w:r>
            <w:r>
              <w:rPr>
                <w:rFonts w:hint="default" w:cs="宋体"/>
                <w:color w:val="FF0000"/>
                <w:sz w:val="24"/>
                <w:szCs w:val="24"/>
                <w:lang w:val="en-US" w:eastAsia="zh-CN"/>
              </w:rPr>
              <w:t>m、高lm，隔片数量为1片和长1.5m，宽1m、高1m 两种。墙式格宾石笼护脚上部采用绿滨垫生态护坡，</w:t>
            </w:r>
            <w:r>
              <w:rPr>
                <w:rFonts w:hint="eastAsia" w:cs="宋体"/>
                <w:color w:val="FF0000"/>
                <w:sz w:val="24"/>
                <w:szCs w:val="24"/>
                <w:lang w:val="en-US" w:eastAsia="zh-CN"/>
              </w:rPr>
              <w:t>迎</w:t>
            </w:r>
            <w:r>
              <w:rPr>
                <w:rFonts w:hint="default" w:cs="宋体"/>
                <w:color w:val="FF0000"/>
                <w:sz w:val="24"/>
                <w:szCs w:val="24"/>
                <w:lang w:val="en-US" w:eastAsia="zh-CN"/>
              </w:rPr>
              <w:t>水坡坡比1:1.5，绿滨垫厚度30cm，绿滨垫生态护坡采用C20硅压顶，压顶宽60cm，厚40cm。</w:t>
            </w:r>
          </w:p>
          <w:p w14:paraId="2EB00B39">
            <w:pPr>
              <w:numPr>
                <w:ilvl w:val="0"/>
                <w:numId w:val="0"/>
              </w:numPr>
              <w:spacing w:line="360" w:lineRule="auto"/>
              <w:ind w:firstLine="480" w:firstLineChars="200"/>
              <w:contextualSpacing/>
              <w:jc w:val="left"/>
              <w:rPr>
                <w:rFonts w:hint="eastAsia" w:cs="宋体"/>
                <w:color w:val="FF0000"/>
                <w:sz w:val="24"/>
                <w:szCs w:val="24"/>
                <w:lang w:val="en-US" w:eastAsia="zh-CN"/>
              </w:rPr>
            </w:pPr>
            <w:r>
              <w:rPr>
                <w:rFonts w:hint="default" w:cs="宋体"/>
                <w:color w:val="FF0000"/>
                <w:sz w:val="24"/>
                <w:szCs w:val="24"/>
                <w:lang w:val="en-US" w:eastAsia="zh-CN"/>
              </w:rPr>
              <w:t>新建坡式结构护脚:坡式护脚十格宾石笼基础护岸，下部格宾石笼基础作为上部绿滨垫生态护坡的支撑基础;上部采用绿滨垫生态护脚顶与现状岸坎齐平。格宾石笼基础0.8m</w:t>
            </w:r>
            <w:r>
              <w:rPr>
                <w:rFonts w:hint="eastAsia" w:cs="宋体"/>
                <w:color w:val="FF0000"/>
                <w:sz w:val="24"/>
                <w:szCs w:val="24"/>
                <w:lang w:val="en-US" w:eastAsia="zh-CN"/>
              </w:rPr>
              <w:t>*</w:t>
            </w:r>
            <w:r>
              <w:rPr>
                <w:rFonts w:hint="default" w:cs="宋体"/>
                <w:color w:val="FF0000"/>
                <w:sz w:val="24"/>
                <w:szCs w:val="24"/>
                <w:lang w:val="en-US" w:eastAsia="zh-CN"/>
              </w:rPr>
              <w:t>0.8m，将格宾笼基础置于脚槽内。格宾网石笼与地基土之间均设一层300g/m</w:t>
            </w:r>
            <w:r>
              <w:rPr>
                <w:rFonts w:hint="default" w:cs="宋体"/>
                <w:color w:val="FF0000"/>
                <w:sz w:val="24"/>
                <w:szCs w:val="24"/>
                <w:vertAlign w:val="superscript"/>
                <w:lang w:val="en-US" w:eastAsia="zh-CN"/>
              </w:rPr>
              <w:t>2</w:t>
            </w:r>
            <w:r>
              <w:rPr>
                <w:rFonts w:hint="default" w:cs="宋体"/>
                <w:color w:val="FF0000"/>
                <w:sz w:val="24"/>
                <w:szCs w:val="24"/>
                <w:lang w:val="en-US" w:eastAsia="zh-CN"/>
              </w:rPr>
              <w:t xml:space="preserve">的反滤土工布，格宾笼尺寸规格选用长2.0m、宽0.8m、高0.8m，隔片数量为1片和长1.5m，宽0.8m、高0.8m两种。 </w:t>
            </w:r>
          </w:p>
          <w:p w14:paraId="5CE1DC41">
            <w:pPr>
              <w:numPr>
                <w:ilvl w:val="0"/>
                <w:numId w:val="0"/>
              </w:numPr>
              <w:spacing w:line="360" w:lineRule="auto"/>
              <w:ind w:firstLine="480" w:firstLineChars="200"/>
              <w:contextualSpacing/>
              <w:jc w:val="left"/>
              <w:rPr>
                <w:rFonts w:hint="default" w:cs="宋体"/>
                <w:color w:val="FF0000"/>
                <w:sz w:val="24"/>
                <w:szCs w:val="24"/>
                <w:lang w:val="en-US" w:eastAsia="zh-CN"/>
              </w:rPr>
            </w:pPr>
            <w:r>
              <w:rPr>
                <w:rFonts w:hint="default" w:cs="宋体"/>
                <w:color w:val="FF0000"/>
                <w:sz w:val="24"/>
                <w:szCs w:val="24"/>
                <w:lang w:val="en-US" w:eastAsia="zh-CN"/>
              </w:rPr>
              <w:t>格宾石笼基础上部采用绿滨垫生态护坡，迎水坡坡比1:1.5，绿滨垫厚度30cm，绿滨垫生态护坡采用C20硅压顶，压顶宽60cm，厚40cm。新建墙式格宾石笼护脚:格宾石笼墙顶宽lm，基础迎水面为台阶式，台阶宽度0.5m，高度1.0m，采用1.0m厚格宾网石笼层叠铺设，将固宾笼基础置于脚槽内。格宾网石笼与地基土之间均设一层3008/m</w:t>
            </w:r>
            <w:r>
              <w:rPr>
                <w:rFonts w:hint="default" w:cs="宋体"/>
                <w:color w:val="FF0000"/>
                <w:sz w:val="24"/>
                <w:szCs w:val="24"/>
                <w:vertAlign w:val="superscript"/>
                <w:lang w:val="en-US" w:eastAsia="zh-CN"/>
              </w:rPr>
              <w:t>2</w:t>
            </w:r>
            <w:r>
              <w:rPr>
                <w:rFonts w:hint="default" w:cs="宋体"/>
                <w:color w:val="FF0000"/>
                <w:sz w:val="24"/>
                <w:szCs w:val="24"/>
                <w:lang w:val="en-US" w:eastAsia="zh-CN"/>
              </w:rPr>
              <w:t>的反滤土工布，格宾笼尺寸规格选用长2.0m、宽1.0m、高lm，隔片数量为1片和长1.5m，宽1m、高1m两种。护脚顶部与现状岸坎齐平。如若某处工程按上述原则确定的顶高程高低不一，平顺连接。</w:t>
            </w:r>
          </w:p>
          <w:p w14:paraId="0CA39BA0">
            <w:pPr>
              <w:numPr>
                <w:ilvl w:val="0"/>
                <w:numId w:val="0"/>
              </w:numPr>
              <w:spacing w:line="360" w:lineRule="auto"/>
              <w:ind w:firstLine="480" w:firstLineChars="200"/>
              <w:contextualSpacing/>
              <w:jc w:val="left"/>
              <w:rPr>
                <w:rFonts w:hint="eastAsia" w:cs="宋体"/>
                <w:color w:val="FF0000"/>
                <w:sz w:val="24"/>
                <w:szCs w:val="24"/>
                <w:lang w:val="en-US" w:eastAsia="zh-CN"/>
              </w:rPr>
            </w:pPr>
            <w:r>
              <w:rPr>
                <w:rFonts w:hint="default" w:cs="宋体"/>
                <w:color w:val="FF0000"/>
                <w:sz w:val="24"/>
                <w:szCs w:val="24"/>
                <w:lang w:val="en-US" w:eastAsia="zh-CN"/>
              </w:rPr>
              <w:t>治理河段护坡脚槽基础埋深中心桩号0+000-6+325段在深</w:t>
            </w:r>
            <w:r>
              <w:rPr>
                <w:rFonts w:hint="eastAsia" w:cs="宋体"/>
                <w:color w:val="FF0000"/>
                <w:sz w:val="24"/>
                <w:szCs w:val="24"/>
                <w:lang w:val="en-US" w:eastAsia="zh-CN"/>
              </w:rPr>
              <w:t>泓</w:t>
            </w:r>
            <w:r>
              <w:rPr>
                <w:rFonts w:hint="default" w:cs="宋体"/>
                <w:color w:val="FF0000"/>
                <w:sz w:val="24"/>
                <w:szCs w:val="24"/>
                <w:lang w:val="en-US" w:eastAsia="zh-CN"/>
              </w:rPr>
              <w:t>线以下1.0m、</w:t>
            </w:r>
            <w:r>
              <w:rPr>
                <w:rFonts w:hint="eastAsia" w:cs="宋体"/>
                <w:color w:val="FF0000"/>
                <w:sz w:val="24"/>
                <w:szCs w:val="24"/>
                <w:lang w:val="en-US" w:eastAsia="zh-CN"/>
              </w:rPr>
              <w:t>中</w:t>
            </w:r>
            <w:r>
              <w:rPr>
                <w:rFonts w:hint="default" w:cs="宋体"/>
                <w:color w:val="FF0000"/>
                <w:sz w:val="24"/>
                <w:szCs w:val="24"/>
                <w:lang w:val="en-US" w:eastAsia="zh-CN"/>
              </w:rPr>
              <w:t>心桩号6+325 -11+410段在深</w:t>
            </w:r>
            <w:r>
              <w:rPr>
                <w:rFonts w:hint="eastAsia" w:cs="宋体"/>
                <w:color w:val="FF0000"/>
                <w:sz w:val="24"/>
                <w:szCs w:val="24"/>
                <w:lang w:val="en-US" w:eastAsia="zh-CN"/>
              </w:rPr>
              <w:t>泓</w:t>
            </w:r>
            <w:r>
              <w:rPr>
                <w:rFonts w:hint="default" w:cs="宋体"/>
                <w:color w:val="FF0000"/>
                <w:sz w:val="24"/>
                <w:szCs w:val="24"/>
                <w:lang w:val="en-US" w:eastAsia="zh-CN"/>
              </w:rPr>
              <w:t>线以下1.2m</w:t>
            </w:r>
            <w:r>
              <w:rPr>
                <w:rFonts w:hint="eastAsia" w:cs="宋体"/>
                <w:color w:val="FF0000"/>
                <w:sz w:val="24"/>
                <w:szCs w:val="24"/>
                <w:lang w:val="en-US" w:eastAsia="zh-CN"/>
              </w:rPr>
              <w:t>。</w:t>
            </w:r>
          </w:p>
          <w:p w14:paraId="1B975A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5、原辅材料</w:t>
            </w:r>
          </w:p>
          <w:p w14:paraId="336B02C7">
            <w:pPr>
              <w:spacing w:after="0" w:line="360" w:lineRule="auto"/>
              <w:ind w:firstLine="480"/>
              <w:rPr>
                <w:rFonts w:ascii="Times New Roman" w:hAnsi="Times New Roman" w:eastAsia="宋体"/>
                <w:bCs/>
                <w:color w:val="FF0000"/>
                <w:sz w:val="24"/>
              </w:rPr>
            </w:pPr>
            <w:r>
              <w:rPr>
                <w:rFonts w:ascii="Times New Roman" w:hAnsi="Times New Roman" w:eastAsia="宋体"/>
                <w:bCs/>
                <w:color w:val="FF0000"/>
                <w:sz w:val="24"/>
              </w:rPr>
              <w:t>本项目主要原辅材料详见表2-</w:t>
            </w:r>
            <w:r>
              <w:rPr>
                <w:rFonts w:hint="eastAsia"/>
                <w:bCs/>
                <w:color w:val="FF0000"/>
                <w:sz w:val="24"/>
                <w:lang w:val="en-US" w:eastAsia="zh-CN"/>
              </w:rPr>
              <w:t>3</w:t>
            </w:r>
            <w:r>
              <w:rPr>
                <w:rFonts w:ascii="Times New Roman" w:hAnsi="Times New Roman" w:eastAsia="宋体"/>
                <w:bCs/>
                <w:color w:val="FF0000"/>
                <w:sz w:val="24"/>
              </w:rPr>
              <w:t>。</w:t>
            </w:r>
          </w:p>
          <w:p w14:paraId="304118DA">
            <w:pPr>
              <w:adjustRightInd w:val="0"/>
              <w:snapToGrid w:val="0"/>
              <w:spacing w:after="0"/>
              <w:jc w:val="center"/>
              <w:rPr>
                <w:rFonts w:ascii="Times New Roman" w:hAnsi="Times New Roman" w:eastAsia="宋体"/>
                <w:b/>
                <w:bCs/>
                <w:color w:val="FF0000"/>
                <w:sz w:val="24"/>
              </w:rPr>
            </w:pPr>
            <w:r>
              <w:rPr>
                <w:rFonts w:ascii="Times New Roman" w:hAnsi="Times New Roman" w:eastAsia="宋体"/>
                <w:b/>
                <w:bCs/>
                <w:color w:val="FF0000"/>
                <w:sz w:val="24"/>
              </w:rPr>
              <w:t>表2-</w:t>
            </w:r>
            <w:r>
              <w:rPr>
                <w:rFonts w:hint="eastAsia"/>
                <w:b/>
                <w:bCs/>
                <w:color w:val="FF0000"/>
                <w:sz w:val="24"/>
                <w:lang w:val="en-US" w:eastAsia="zh-CN"/>
              </w:rPr>
              <w:t>3</w:t>
            </w:r>
            <w:r>
              <w:rPr>
                <w:rFonts w:ascii="Times New Roman" w:hAnsi="Times New Roman" w:eastAsia="宋体"/>
                <w:b/>
                <w:bCs/>
                <w:color w:val="FF0000"/>
                <w:sz w:val="24"/>
              </w:rPr>
              <w:t xml:space="preserve"> 本项目主要原辅材料使用情况</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705"/>
              <w:gridCol w:w="2528"/>
              <w:gridCol w:w="2441"/>
            </w:tblGrid>
            <w:tr w14:paraId="60602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4" w:type="pct"/>
                  <w:tcBorders>
                    <w:tl2br w:val="nil"/>
                    <w:tr2bl w:val="nil"/>
                  </w:tcBorders>
                  <w:noWrap w:val="0"/>
                  <w:vAlign w:val="center"/>
                </w:tcPr>
                <w:p w14:paraId="276AB652">
                  <w:pPr>
                    <w:pStyle w:val="65"/>
                    <w:spacing w:after="0"/>
                    <w:jc w:val="center"/>
                    <w:rPr>
                      <w:rFonts w:ascii="Times New Roman" w:hAnsi="Times New Roman" w:eastAsia="宋体"/>
                      <w:b/>
                      <w:color w:val="FF0000"/>
                      <w:kern w:val="0"/>
                      <w:sz w:val="21"/>
                      <w:szCs w:val="21"/>
                    </w:rPr>
                  </w:pPr>
                  <w:r>
                    <w:rPr>
                      <w:rFonts w:ascii="Times New Roman" w:hAnsi="Times New Roman" w:eastAsia="宋体"/>
                      <w:b/>
                      <w:color w:val="FF0000"/>
                      <w:kern w:val="0"/>
                      <w:sz w:val="21"/>
                      <w:szCs w:val="21"/>
                    </w:rPr>
                    <w:t>序号</w:t>
                  </w:r>
                </w:p>
              </w:tc>
              <w:tc>
                <w:tcPr>
                  <w:tcW w:w="1118" w:type="pct"/>
                  <w:tcBorders>
                    <w:tl2br w:val="nil"/>
                    <w:tr2bl w:val="nil"/>
                  </w:tcBorders>
                  <w:noWrap w:val="0"/>
                  <w:vAlign w:val="center"/>
                </w:tcPr>
                <w:p w14:paraId="4E7BBCFE">
                  <w:pPr>
                    <w:pStyle w:val="65"/>
                    <w:spacing w:after="0"/>
                    <w:jc w:val="center"/>
                    <w:rPr>
                      <w:rFonts w:ascii="Times New Roman" w:hAnsi="Times New Roman" w:eastAsia="宋体"/>
                      <w:b/>
                      <w:color w:val="FF0000"/>
                      <w:kern w:val="0"/>
                      <w:sz w:val="21"/>
                      <w:szCs w:val="21"/>
                    </w:rPr>
                  </w:pPr>
                  <w:r>
                    <w:rPr>
                      <w:rFonts w:ascii="Times New Roman" w:hAnsi="Times New Roman" w:eastAsia="宋体"/>
                      <w:b/>
                      <w:color w:val="FF0000"/>
                      <w:kern w:val="0"/>
                      <w:sz w:val="21"/>
                      <w:szCs w:val="21"/>
                    </w:rPr>
                    <w:t>名称</w:t>
                  </w:r>
                </w:p>
              </w:tc>
              <w:tc>
                <w:tcPr>
                  <w:tcW w:w="1657" w:type="pct"/>
                  <w:tcBorders>
                    <w:tl2br w:val="nil"/>
                    <w:tr2bl w:val="nil"/>
                  </w:tcBorders>
                  <w:noWrap w:val="0"/>
                  <w:vAlign w:val="center"/>
                </w:tcPr>
                <w:p w14:paraId="002E0351">
                  <w:pPr>
                    <w:adjustRightInd w:val="0"/>
                    <w:snapToGrid w:val="0"/>
                    <w:spacing w:after="0"/>
                    <w:jc w:val="center"/>
                    <w:rPr>
                      <w:rFonts w:hint="eastAsia" w:ascii="Times New Roman" w:hAnsi="Times New Roman" w:eastAsia="宋体"/>
                      <w:b/>
                      <w:bCs/>
                      <w:color w:val="FF0000"/>
                      <w:kern w:val="0"/>
                      <w:sz w:val="21"/>
                      <w:szCs w:val="21"/>
                      <w:lang w:eastAsia="zh-CN"/>
                    </w:rPr>
                  </w:pPr>
                  <w:r>
                    <w:rPr>
                      <w:rFonts w:hint="eastAsia" w:ascii="Times New Roman" w:hAnsi="Times New Roman" w:eastAsia="宋体"/>
                      <w:b/>
                      <w:bCs/>
                      <w:color w:val="FF0000"/>
                      <w:kern w:val="0"/>
                      <w:sz w:val="21"/>
                      <w:szCs w:val="21"/>
                    </w:rPr>
                    <w:t>用量</w:t>
                  </w:r>
                </w:p>
              </w:tc>
              <w:tc>
                <w:tcPr>
                  <w:tcW w:w="1600" w:type="pct"/>
                  <w:tcBorders>
                    <w:tl2br w:val="nil"/>
                    <w:tr2bl w:val="nil"/>
                  </w:tcBorders>
                  <w:noWrap w:val="0"/>
                  <w:vAlign w:val="center"/>
                </w:tcPr>
                <w:p w14:paraId="1FF5558F">
                  <w:pPr>
                    <w:adjustRightInd w:val="0"/>
                    <w:snapToGrid w:val="0"/>
                    <w:spacing w:after="0"/>
                    <w:jc w:val="center"/>
                    <w:rPr>
                      <w:rFonts w:ascii="Times New Roman" w:hAnsi="Times New Roman" w:eastAsia="宋体"/>
                      <w:b/>
                      <w:color w:val="FF0000"/>
                      <w:kern w:val="0"/>
                      <w:sz w:val="21"/>
                      <w:szCs w:val="21"/>
                    </w:rPr>
                  </w:pPr>
                  <w:r>
                    <w:rPr>
                      <w:rFonts w:hint="eastAsia" w:ascii="Times New Roman" w:hAnsi="Times New Roman" w:eastAsia="宋体"/>
                      <w:b/>
                      <w:bCs/>
                      <w:color w:val="FF0000"/>
                      <w:kern w:val="0"/>
                      <w:sz w:val="21"/>
                      <w:szCs w:val="21"/>
                    </w:rPr>
                    <w:t>来源，</w:t>
                  </w:r>
                  <w:r>
                    <w:rPr>
                      <w:rFonts w:ascii="Times New Roman" w:hAnsi="Times New Roman" w:eastAsia="宋体"/>
                      <w:b/>
                      <w:bCs/>
                      <w:color w:val="FF0000"/>
                      <w:kern w:val="0"/>
                      <w:sz w:val="21"/>
                      <w:szCs w:val="21"/>
                    </w:rPr>
                    <w:t>运输方式</w:t>
                  </w:r>
                </w:p>
              </w:tc>
            </w:tr>
            <w:tr w14:paraId="6D245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24" w:type="pct"/>
                  <w:tcBorders>
                    <w:tl2br w:val="nil"/>
                    <w:tr2bl w:val="nil"/>
                  </w:tcBorders>
                  <w:noWrap w:val="0"/>
                  <w:vAlign w:val="center"/>
                </w:tcPr>
                <w:p w14:paraId="5D7C712C">
                  <w:pPr>
                    <w:widowControl/>
                    <w:adjustRightInd w:val="0"/>
                    <w:snapToGrid w:val="0"/>
                    <w:spacing w:after="0"/>
                    <w:jc w:val="center"/>
                    <w:rPr>
                      <w:rFonts w:hint="eastAsia" w:ascii="Times New Roman" w:hAnsi="Times New Roman" w:eastAsia="宋体"/>
                      <w:color w:val="FF0000"/>
                      <w:sz w:val="21"/>
                      <w:szCs w:val="21"/>
                      <w:lang w:val="en-US" w:eastAsia="zh-CN"/>
                    </w:rPr>
                  </w:pPr>
                  <w:r>
                    <w:rPr>
                      <w:rFonts w:hint="eastAsia" w:ascii="Times New Roman" w:hAnsi="Times New Roman" w:eastAsia="宋体"/>
                      <w:color w:val="FF0000"/>
                      <w:sz w:val="21"/>
                      <w:szCs w:val="21"/>
                      <w:lang w:val="en-US" w:eastAsia="zh-CN"/>
                    </w:rPr>
                    <w:t>1</w:t>
                  </w:r>
                </w:p>
              </w:tc>
              <w:tc>
                <w:tcPr>
                  <w:tcW w:w="1118" w:type="pct"/>
                  <w:tcBorders>
                    <w:tl2br w:val="nil"/>
                    <w:tr2bl w:val="nil"/>
                  </w:tcBorders>
                  <w:noWrap w:val="0"/>
                  <w:vAlign w:val="center"/>
                </w:tcPr>
                <w:p w14:paraId="30FBB3EF">
                  <w:pPr>
                    <w:adjustRightInd w:val="0"/>
                    <w:snapToGrid w:val="0"/>
                    <w:spacing w:after="0"/>
                    <w:jc w:val="center"/>
                    <w:rPr>
                      <w:rFonts w:hint="default" w:ascii="Times New Roman" w:hAnsi="Times New Roman" w:cs="Times New Roman"/>
                      <w:color w:val="FF0000"/>
                      <w:szCs w:val="21"/>
                      <w:lang w:val="en-US" w:eastAsia="zh-CN"/>
                    </w:rPr>
                  </w:pPr>
                  <w:r>
                    <w:rPr>
                      <w:rFonts w:hint="eastAsia" w:ascii="Times New Roman" w:hAnsi="Times New Roman" w:cs="Times New Roman"/>
                      <w:color w:val="FF0000"/>
                      <w:szCs w:val="21"/>
                      <w:lang w:val="en-US" w:eastAsia="zh-CN"/>
                    </w:rPr>
                    <w:t>水泥</w:t>
                  </w:r>
                </w:p>
              </w:tc>
              <w:tc>
                <w:tcPr>
                  <w:tcW w:w="1657" w:type="pct"/>
                  <w:tcBorders>
                    <w:tl2br w:val="nil"/>
                    <w:tr2bl w:val="nil"/>
                  </w:tcBorders>
                  <w:noWrap w:val="0"/>
                  <w:vAlign w:val="center"/>
                </w:tcPr>
                <w:p w14:paraId="65AF8644">
                  <w:pPr>
                    <w:adjustRightInd w:val="0"/>
                    <w:snapToGrid w:val="0"/>
                    <w:spacing w:after="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130</w:t>
                  </w:r>
                  <w:r>
                    <w:rPr>
                      <w:rFonts w:hint="eastAsia" w:ascii="Times New Roman" w:hAnsi="Times New Roman" w:eastAsia="宋体" w:cs="Times New Roman"/>
                      <w:color w:val="FF0000"/>
                      <w:sz w:val="21"/>
                      <w:szCs w:val="21"/>
                      <w:lang w:val="en-US" w:eastAsia="zh-CN"/>
                    </w:rPr>
                    <w:t>0t</w:t>
                  </w:r>
                </w:p>
              </w:tc>
              <w:tc>
                <w:tcPr>
                  <w:tcW w:w="1600" w:type="pct"/>
                  <w:tcBorders>
                    <w:tl2br w:val="nil"/>
                    <w:tr2bl w:val="nil"/>
                  </w:tcBorders>
                  <w:noWrap w:val="0"/>
                  <w:vAlign w:val="center"/>
                </w:tcPr>
                <w:p w14:paraId="75C2E831">
                  <w:pPr>
                    <w:adjustRightInd w:val="0"/>
                    <w:snapToGrid w:val="0"/>
                    <w:spacing w:after="0"/>
                    <w:jc w:val="center"/>
                    <w:rPr>
                      <w:rFonts w:hint="default" w:ascii="Times New Roman" w:hAnsi="Times New Roman" w:eastAsia="宋体"/>
                      <w:color w:val="FF0000"/>
                      <w:kern w:val="0"/>
                      <w:sz w:val="21"/>
                      <w:szCs w:val="21"/>
                      <w:lang w:val="en-US" w:eastAsia="zh-CN"/>
                    </w:rPr>
                  </w:pPr>
                  <w:r>
                    <w:rPr>
                      <w:rFonts w:hint="eastAsia" w:ascii="Times New Roman" w:hAnsi="Times New Roman" w:eastAsia="宋体"/>
                      <w:color w:val="FF0000"/>
                      <w:kern w:val="0"/>
                      <w:sz w:val="21"/>
                      <w:szCs w:val="21"/>
                      <w:lang w:val="en-US" w:eastAsia="zh-CN"/>
                    </w:rPr>
                    <w:t>市场购买</w:t>
                  </w:r>
                </w:p>
              </w:tc>
            </w:tr>
            <w:tr w14:paraId="27001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24" w:type="pct"/>
                  <w:tcBorders>
                    <w:tl2br w:val="nil"/>
                    <w:tr2bl w:val="nil"/>
                  </w:tcBorders>
                  <w:noWrap w:val="0"/>
                  <w:vAlign w:val="center"/>
                </w:tcPr>
                <w:p w14:paraId="3BC71C21">
                  <w:pPr>
                    <w:widowControl/>
                    <w:adjustRightInd w:val="0"/>
                    <w:snapToGrid w:val="0"/>
                    <w:spacing w:after="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2</w:t>
                  </w:r>
                </w:p>
              </w:tc>
              <w:tc>
                <w:tcPr>
                  <w:tcW w:w="1118" w:type="pct"/>
                  <w:tcBorders>
                    <w:tl2br w:val="nil"/>
                    <w:tr2bl w:val="nil"/>
                  </w:tcBorders>
                  <w:noWrap w:val="0"/>
                  <w:vAlign w:val="center"/>
                </w:tcPr>
                <w:p w14:paraId="78EB916E">
                  <w:pPr>
                    <w:adjustRightInd w:val="0"/>
                    <w:snapToGrid w:val="0"/>
                    <w:spacing w:after="0"/>
                    <w:jc w:val="center"/>
                    <w:rPr>
                      <w:rFonts w:hint="default" w:ascii="Times New Roman" w:hAnsi="Times New Roman" w:cs="Times New Roman"/>
                      <w:color w:val="FF0000"/>
                      <w:szCs w:val="21"/>
                      <w:lang w:val="en-US" w:eastAsia="zh-CN"/>
                    </w:rPr>
                  </w:pPr>
                  <w:r>
                    <w:rPr>
                      <w:rFonts w:hint="eastAsia" w:ascii="Times New Roman" w:hAnsi="Times New Roman" w:cs="Times New Roman"/>
                      <w:color w:val="FF0000"/>
                      <w:szCs w:val="21"/>
                      <w:lang w:val="en-US" w:eastAsia="zh-CN"/>
                    </w:rPr>
                    <w:t>石料</w:t>
                  </w:r>
                </w:p>
              </w:tc>
              <w:tc>
                <w:tcPr>
                  <w:tcW w:w="1657" w:type="pct"/>
                  <w:tcBorders>
                    <w:tl2br w:val="nil"/>
                    <w:tr2bl w:val="nil"/>
                  </w:tcBorders>
                  <w:noWrap w:val="0"/>
                  <w:vAlign w:val="center"/>
                </w:tcPr>
                <w:p w14:paraId="37A40FD2">
                  <w:pPr>
                    <w:adjustRightInd w:val="0"/>
                    <w:snapToGrid w:val="0"/>
                    <w:spacing w:after="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660</w:t>
                  </w:r>
                  <w:r>
                    <w:rPr>
                      <w:rFonts w:hint="eastAsia" w:ascii="Times New Roman" w:hAnsi="Times New Roman" w:eastAsia="宋体" w:cs="Times New Roman"/>
                      <w:color w:val="FF0000"/>
                      <w:sz w:val="21"/>
                      <w:szCs w:val="21"/>
                      <w:lang w:val="en-US" w:eastAsia="zh-CN"/>
                    </w:rPr>
                    <w:t>0t</w:t>
                  </w:r>
                </w:p>
              </w:tc>
              <w:tc>
                <w:tcPr>
                  <w:tcW w:w="1600" w:type="pct"/>
                  <w:tcBorders>
                    <w:tl2br w:val="nil"/>
                    <w:tr2bl w:val="nil"/>
                  </w:tcBorders>
                  <w:noWrap w:val="0"/>
                  <w:vAlign w:val="center"/>
                </w:tcPr>
                <w:p w14:paraId="0519F754">
                  <w:pPr>
                    <w:adjustRightInd w:val="0"/>
                    <w:snapToGrid w:val="0"/>
                    <w:spacing w:after="0"/>
                    <w:jc w:val="center"/>
                    <w:rPr>
                      <w:rFonts w:hint="default" w:ascii="Times New Roman" w:hAnsi="Times New Roman" w:eastAsia="宋体"/>
                      <w:color w:val="FF0000"/>
                      <w:kern w:val="0"/>
                      <w:sz w:val="21"/>
                      <w:szCs w:val="21"/>
                      <w:lang w:val="en-US" w:eastAsia="zh-CN"/>
                    </w:rPr>
                  </w:pPr>
                  <w:r>
                    <w:rPr>
                      <w:rFonts w:hint="eastAsia" w:ascii="Times New Roman" w:hAnsi="Times New Roman" w:eastAsia="宋体"/>
                      <w:color w:val="FF0000"/>
                      <w:kern w:val="0"/>
                      <w:sz w:val="21"/>
                      <w:szCs w:val="21"/>
                      <w:lang w:val="en-US" w:eastAsia="zh-CN"/>
                    </w:rPr>
                    <w:t>市场购买</w:t>
                  </w:r>
                </w:p>
              </w:tc>
            </w:tr>
            <w:tr w14:paraId="23D0C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24" w:type="pct"/>
                  <w:tcBorders>
                    <w:tl2br w:val="nil"/>
                    <w:tr2bl w:val="nil"/>
                  </w:tcBorders>
                  <w:noWrap w:val="0"/>
                  <w:vAlign w:val="center"/>
                </w:tcPr>
                <w:p w14:paraId="56F189B4">
                  <w:pPr>
                    <w:widowControl/>
                    <w:adjustRightInd w:val="0"/>
                    <w:snapToGrid w:val="0"/>
                    <w:spacing w:after="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3</w:t>
                  </w:r>
                </w:p>
              </w:tc>
              <w:tc>
                <w:tcPr>
                  <w:tcW w:w="1118" w:type="pct"/>
                  <w:tcBorders>
                    <w:tl2br w:val="nil"/>
                    <w:tr2bl w:val="nil"/>
                  </w:tcBorders>
                  <w:noWrap w:val="0"/>
                  <w:vAlign w:val="center"/>
                </w:tcPr>
                <w:p w14:paraId="4076EDF1">
                  <w:pPr>
                    <w:adjustRightInd w:val="0"/>
                    <w:snapToGrid w:val="0"/>
                    <w:spacing w:after="0"/>
                    <w:jc w:val="center"/>
                    <w:rPr>
                      <w:rFonts w:hint="default" w:ascii="Times New Roman" w:hAnsi="Times New Roman" w:cs="Times New Roman"/>
                      <w:color w:val="FF0000"/>
                      <w:szCs w:val="21"/>
                      <w:lang w:val="en-US" w:eastAsia="zh-CN"/>
                    </w:rPr>
                  </w:pPr>
                  <w:r>
                    <w:rPr>
                      <w:rFonts w:hint="eastAsia" w:ascii="Times New Roman" w:hAnsi="Times New Roman" w:cs="Times New Roman"/>
                      <w:color w:val="FF0000"/>
                      <w:szCs w:val="21"/>
                      <w:lang w:val="en-US" w:eastAsia="zh-CN"/>
                    </w:rPr>
                    <w:t>钢筋</w:t>
                  </w:r>
                </w:p>
              </w:tc>
              <w:tc>
                <w:tcPr>
                  <w:tcW w:w="1657" w:type="pct"/>
                  <w:tcBorders>
                    <w:tl2br w:val="nil"/>
                    <w:tr2bl w:val="nil"/>
                  </w:tcBorders>
                  <w:noWrap w:val="0"/>
                  <w:vAlign w:val="center"/>
                </w:tcPr>
                <w:p w14:paraId="47890E2E">
                  <w:pPr>
                    <w:adjustRightInd w:val="0"/>
                    <w:snapToGrid w:val="0"/>
                    <w:spacing w:after="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90</w:t>
                  </w:r>
                  <w:r>
                    <w:rPr>
                      <w:rFonts w:hint="eastAsia" w:ascii="Times New Roman" w:hAnsi="Times New Roman" w:eastAsia="宋体" w:cs="Times New Roman"/>
                      <w:color w:val="FF0000"/>
                      <w:sz w:val="21"/>
                      <w:szCs w:val="21"/>
                      <w:lang w:val="en-US" w:eastAsia="zh-CN"/>
                    </w:rPr>
                    <w:t>00t</w:t>
                  </w:r>
                </w:p>
              </w:tc>
              <w:tc>
                <w:tcPr>
                  <w:tcW w:w="1600" w:type="pct"/>
                  <w:tcBorders>
                    <w:tl2br w:val="nil"/>
                    <w:tr2bl w:val="nil"/>
                  </w:tcBorders>
                  <w:noWrap w:val="0"/>
                  <w:vAlign w:val="center"/>
                </w:tcPr>
                <w:p w14:paraId="7C839A7F">
                  <w:pPr>
                    <w:adjustRightInd w:val="0"/>
                    <w:snapToGrid w:val="0"/>
                    <w:spacing w:after="0"/>
                    <w:jc w:val="center"/>
                    <w:rPr>
                      <w:rFonts w:hint="default" w:ascii="Times New Roman" w:hAnsi="Times New Roman" w:eastAsia="宋体"/>
                      <w:color w:val="FF0000"/>
                      <w:kern w:val="0"/>
                      <w:sz w:val="21"/>
                      <w:szCs w:val="21"/>
                      <w:lang w:val="en-US" w:eastAsia="zh-CN"/>
                    </w:rPr>
                  </w:pPr>
                  <w:r>
                    <w:rPr>
                      <w:rFonts w:hint="eastAsia" w:ascii="Times New Roman" w:hAnsi="Times New Roman" w:eastAsia="宋体"/>
                      <w:color w:val="FF0000"/>
                      <w:kern w:val="0"/>
                      <w:sz w:val="21"/>
                      <w:szCs w:val="21"/>
                      <w:lang w:val="en-US" w:eastAsia="zh-CN"/>
                    </w:rPr>
                    <w:t>市场购买</w:t>
                  </w:r>
                </w:p>
              </w:tc>
            </w:tr>
          </w:tbl>
          <w:p w14:paraId="63BD5B44">
            <w:pPr>
              <w:numPr>
                <w:ilvl w:val="0"/>
                <w:numId w:val="0"/>
              </w:numPr>
              <w:spacing w:line="360" w:lineRule="auto"/>
              <w:ind w:leftChars="0"/>
              <w:contextualSpacing/>
              <w:jc w:val="left"/>
              <w:rPr>
                <w:rFonts w:ascii="宋体" w:hAnsi="宋体" w:cs="宋体"/>
                <w:color w:val="000000" w:themeColor="text1"/>
                <w:kern w:val="0"/>
                <w:sz w:val="24"/>
                <w:szCs w:val="24"/>
                <w14:textFill>
                  <w14:solidFill>
                    <w14:schemeClr w14:val="tx1"/>
                  </w14:solidFill>
                </w14:textFill>
              </w:rPr>
            </w:pPr>
          </w:p>
        </w:tc>
      </w:tr>
      <w:tr w14:paraId="0303F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678" w:type="dxa"/>
            <w:noWrap w:val="0"/>
            <w:vAlign w:val="center"/>
          </w:tcPr>
          <w:p w14:paraId="2497EB21">
            <w:pPr>
              <w:adjustRightInd w:val="0"/>
              <w:snapToGrid w:val="0"/>
              <w:jc w:val="center"/>
              <w:rPr>
                <w:rFonts w:ascii="宋体" w:hAnsi="宋体" w:cs="宋体"/>
                <w:color w:val="000000" w:themeColor="text1"/>
                <w:kern w:val="0"/>
                <w:sz w:val="24"/>
                <w:szCs w:val="24"/>
                <w:highlight w:val="gree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总平面及现场布置</w:t>
            </w:r>
          </w:p>
        </w:tc>
        <w:tc>
          <w:tcPr>
            <w:tcW w:w="7844" w:type="dxa"/>
            <w:noWrap w:val="0"/>
            <w:vAlign w:val="center"/>
          </w:tcPr>
          <w:p w14:paraId="599ED6CD">
            <w:pPr>
              <w:numPr>
                <w:ilvl w:val="0"/>
                <w:numId w:val="0"/>
              </w:numPr>
              <w:spacing w:line="360" w:lineRule="auto"/>
              <w:ind w:firstLine="480" w:firstLineChars="200"/>
              <w:contextualSpacing/>
              <w:jc w:val="left"/>
              <w:rPr>
                <w:rFonts w:hint="default" w:cs="宋体"/>
                <w:color w:val="000000" w:themeColor="text1"/>
                <w:sz w:val="24"/>
                <w:szCs w:val="24"/>
                <w:lang w:val="en-US" w:eastAsia="zh-CN"/>
                <w14:textFill>
                  <w14:solidFill>
                    <w14:schemeClr w14:val="tx1"/>
                  </w14:solidFill>
                </w14:textFill>
              </w:rPr>
            </w:pPr>
            <w:r>
              <w:rPr>
                <w:rFonts w:hint="default" w:cs="宋体"/>
                <w:color w:val="000000" w:themeColor="text1"/>
                <w:sz w:val="24"/>
                <w:szCs w:val="24"/>
                <w:lang w:val="en-US" w:eastAsia="zh-CN"/>
                <w14:textFill>
                  <w14:solidFill>
                    <w14:schemeClr w14:val="tx1"/>
                  </w14:solidFill>
                </w14:textFill>
              </w:rPr>
              <w:t>施工总布置遵照因地制宜、有利生产、易于管理、安全可靠、经济合理及少占耕地的原则；根据本工程特点，采取分散布置。</w:t>
            </w:r>
          </w:p>
          <w:p w14:paraId="505F1011">
            <w:pPr>
              <w:numPr>
                <w:ilvl w:val="0"/>
                <w:numId w:val="0"/>
              </w:numPr>
              <w:spacing w:line="360" w:lineRule="auto"/>
              <w:ind w:firstLine="480" w:firstLineChars="200"/>
              <w:contextualSpacing/>
              <w:jc w:val="left"/>
              <w:rPr>
                <w:rFonts w:hint="default" w:cs="宋体"/>
                <w:color w:val="000000" w:themeColor="text1"/>
                <w:sz w:val="24"/>
                <w:szCs w:val="24"/>
                <w:lang w:val="en-US" w:eastAsia="zh-CN"/>
                <w14:textFill>
                  <w14:solidFill>
                    <w14:schemeClr w14:val="tx1"/>
                  </w14:solidFill>
                </w14:textFill>
              </w:rPr>
            </w:pPr>
            <w:r>
              <w:rPr>
                <w:rFonts w:hint="default" w:cs="宋体"/>
                <w:color w:val="000000" w:themeColor="text1"/>
                <w:sz w:val="24"/>
                <w:szCs w:val="24"/>
                <w:lang w:val="en-US" w:eastAsia="zh-CN"/>
                <w14:textFill>
                  <w14:solidFill>
                    <w14:schemeClr w14:val="tx1"/>
                  </w14:solidFill>
                </w14:textFill>
              </w:rPr>
              <w:t>本工程施工用水，从河道取水，使用离心泵将水直接送至工作面，并在工作面设置铁皮水箱蓄水，以供施工之用。</w:t>
            </w:r>
          </w:p>
          <w:p w14:paraId="5B1C5B5C">
            <w:pPr>
              <w:numPr>
                <w:ilvl w:val="0"/>
                <w:numId w:val="0"/>
              </w:numPr>
              <w:spacing w:line="360" w:lineRule="auto"/>
              <w:ind w:firstLine="480" w:firstLineChars="200"/>
              <w:contextualSpacing/>
              <w:jc w:val="left"/>
              <w:rPr>
                <w:rFonts w:hint="default" w:cs="宋体"/>
                <w:color w:val="000000" w:themeColor="text1"/>
                <w:sz w:val="24"/>
                <w:szCs w:val="24"/>
                <w:lang w:val="en-US" w:eastAsia="zh-CN"/>
                <w14:textFill>
                  <w14:solidFill>
                    <w14:schemeClr w14:val="tx1"/>
                  </w14:solidFill>
                </w14:textFill>
              </w:rPr>
            </w:pPr>
            <w:r>
              <w:rPr>
                <w:rFonts w:hint="default" w:cs="宋体"/>
                <w:color w:val="000000" w:themeColor="text1"/>
                <w:sz w:val="24"/>
                <w:szCs w:val="24"/>
                <w:lang w:val="en-US" w:eastAsia="zh-CN"/>
                <w14:textFill>
                  <w14:solidFill>
                    <w14:schemeClr w14:val="tx1"/>
                  </w14:solidFill>
                </w14:textFill>
              </w:rPr>
              <w:t>工程区现有输电线路，施工供电在该线路上“T”接即可，只需架设少量的低压及照明线路。</w:t>
            </w:r>
          </w:p>
          <w:p w14:paraId="444A23D5">
            <w:pPr>
              <w:numPr>
                <w:ilvl w:val="0"/>
                <w:numId w:val="0"/>
              </w:numPr>
              <w:spacing w:line="360" w:lineRule="auto"/>
              <w:ind w:firstLine="480" w:firstLineChars="200"/>
              <w:contextualSpacing/>
              <w:jc w:val="left"/>
              <w:rPr>
                <w:color w:val="000000" w:themeColor="text1"/>
                <w:highlight w:val="green"/>
                <w14:textFill>
                  <w14:solidFill>
                    <w14:schemeClr w14:val="tx1"/>
                  </w14:solidFill>
                </w14:textFill>
              </w:rPr>
            </w:pPr>
            <w:r>
              <w:rPr>
                <w:rFonts w:hint="default" w:cs="宋体"/>
                <w:color w:val="000000" w:themeColor="text1"/>
                <w:sz w:val="24"/>
                <w:szCs w:val="24"/>
                <w:lang w:val="en-US" w:eastAsia="zh-CN"/>
                <w14:textFill>
                  <w14:solidFill>
                    <w14:schemeClr w14:val="tx1"/>
                  </w14:solidFill>
                </w14:textFill>
              </w:rPr>
              <w:t>拟修建临时房屋</w:t>
            </w:r>
            <w:r>
              <w:rPr>
                <w:rFonts w:hint="eastAsia" w:cs="宋体"/>
                <w:color w:val="000000" w:themeColor="text1"/>
                <w:sz w:val="24"/>
                <w:szCs w:val="24"/>
                <w:lang w:val="en-US" w:eastAsia="zh-CN"/>
                <w14:textFill>
                  <w14:solidFill>
                    <w14:schemeClr w14:val="tx1"/>
                  </w14:solidFill>
                </w14:textFill>
              </w:rPr>
              <w:t>30</w:t>
            </w:r>
            <w:r>
              <w:rPr>
                <w:rFonts w:hint="default" w:cs="宋体"/>
                <w:color w:val="000000" w:themeColor="text1"/>
                <w:sz w:val="24"/>
                <w:szCs w:val="24"/>
                <w:lang w:val="en-US" w:eastAsia="zh-CN"/>
                <w14:textFill>
                  <w14:solidFill>
                    <w14:schemeClr w14:val="tx1"/>
                  </w14:solidFill>
                </w14:textFill>
              </w:rPr>
              <w:t>0m</w:t>
            </w:r>
            <w:r>
              <w:rPr>
                <w:rFonts w:hint="default" w:cs="宋体"/>
                <w:color w:val="000000" w:themeColor="text1"/>
                <w:sz w:val="24"/>
                <w:szCs w:val="24"/>
                <w:vertAlign w:val="superscript"/>
                <w:lang w:val="en-US" w:eastAsia="zh-CN"/>
                <w14:textFill>
                  <w14:solidFill>
                    <w14:schemeClr w14:val="tx1"/>
                  </w14:solidFill>
                </w14:textFill>
              </w:rPr>
              <w:t>2</w:t>
            </w:r>
            <w:r>
              <w:rPr>
                <w:rFonts w:hint="default" w:cs="宋体"/>
                <w:color w:val="000000" w:themeColor="text1"/>
                <w:sz w:val="24"/>
                <w:szCs w:val="24"/>
                <w:lang w:val="en-US" w:eastAsia="zh-CN"/>
                <w14:textFill>
                  <w14:solidFill>
                    <w14:schemeClr w14:val="tx1"/>
                  </w14:solidFill>
                </w14:textFill>
              </w:rPr>
              <w:t>。</w:t>
            </w:r>
          </w:p>
        </w:tc>
      </w:tr>
      <w:tr w14:paraId="55268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78" w:type="dxa"/>
            <w:noWrap w:val="0"/>
            <w:vAlign w:val="center"/>
          </w:tcPr>
          <w:p w14:paraId="1BE6D563">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施工方案</w:t>
            </w:r>
          </w:p>
        </w:tc>
        <w:tc>
          <w:tcPr>
            <w:tcW w:w="7844" w:type="dxa"/>
            <w:noWrap w:val="0"/>
            <w:vAlign w:val="center"/>
          </w:tcPr>
          <w:p w14:paraId="47051AFA">
            <w:pPr>
              <w:keepNext w:val="0"/>
              <w:keepLines w:val="0"/>
              <w:pageBreakBefore w:val="0"/>
              <w:widowControl/>
              <w:kinsoku/>
              <w:wordWrap/>
              <w:overflowPunct/>
              <w:topLinePunct w:val="0"/>
              <w:autoSpaceDE/>
              <w:autoSpaceDN/>
              <w:bidi w:val="0"/>
              <w:adjustRightInd/>
              <w:snapToGrid/>
              <w:spacing w:line="360" w:lineRule="auto"/>
              <w:ind w:left="0" w:right="0"/>
              <w:jc w:val="left"/>
              <w:textAlignment w:val="auto"/>
              <w:outlineLvl w:val="2"/>
              <w:rPr>
                <w:rFonts w:hint="eastAsia" w:ascii="Times New Roman" w:hAnsi="Times New Roman"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1、</w:t>
            </w:r>
            <w:r>
              <w:rPr>
                <w:rFonts w:hint="eastAsia" w:ascii="Times New Roman" w:hAnsi="Times New Roman" w:cs="Times New Roman"/>
                <w:b/>
                <w:color w:val="000000" w:themeColor="text1"/>
                <w:sz w:val="24"/>
                <w:szCs w:val="24"/>
                <w:lang w:val="en-US" w:eastAsia="zh-CN"/>
                <w14:textFill>
                  <w14:solidFill>
                    <w14:schemeClr w14:val="tx1"/>
                  </w14:solidFill>
                </w14:textFill>
              </w:rPr>
              <w:t>护岸工程施工</w:t>
            </w:r>
          </w:p>
          <w:p w14:paraId="51A3AC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FF0000"/>
                <w:spacing w:val="-2"/>
                <w:sz w:val="24"/>
                <w:szCs w:val="24"/>
                <w:lang w:eastAsia="zh-CN"/>
              </w:rPr>
            </w:pPr>
            <w:r>
              <w:rPr>
                <w:rFonts w:hint="default" w:ascii="Times New Roman" w:hAnsi="Times New Roman" w:eastAsia="宋体" w:cs="Times New Roman"/>
                <w:color w:val="FF0000"/>
                <w:spacing w:val="-2"/>
                <w:sz w:val="24"/>
                <w:szCs w:val="24"/>
                <w:lang w:eastAsia="zh-CN"/>
              </w:rPr>
              <w:t>本工程施工以砂砾土料挖填和混凝土浇筑为主，且挖填量较大，因此工程采取分段施工法，以机械和人工相结合的施工方法。按照《堤防工程施工规范》(SL260-2014)的要求进行施工，严格控制施工质量和进度，保证按期完工。</w:t>
            </w:r>
          </w:p>
          <w:p w14:paraId="0E93D6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eastAsia" w:ascii="Times New Roman" w:hAnsi="Times New Roman" w:cs="Times New Roman"/>
                <w:color w:val="FF0000"/>
                <w:spacing w:val="-2"/>
                <w:sz w:val="24"/>
                <w:szCs w:val="24"/>
                <w:lang w:eastAsia="zh-CN"/>
              </w:rPr>
            </w:pPr>
            <w:r>
              <w:rPr>
                <w:rFonts w:hint="default" w:ascii="Times New Roman" w:hAnsi="Times New Roman" w:eastAsia="宋体" w:cs="Times New Roman"/>
                <w:color w:val="FF0000"/>
                <w:spacing w:val="-2"/>
                <w:sz w:val="24"/>
                <w:szCs w:val="24"/>
                <w:lang w:eastAsia="zh-CN"/>
              </w:rPr>
              <w:t>施工顺序为护堤基础开挖——河堤碾压——护岸砌筑——基坑回填。各分项施工须按国家有关施工规范进行，砾质土料碾压后要求压实系数不小于0.91。堤身碾压方向应平行与堤轴线，分层碾压，机械碾压时控制行车速度，不得在雨天施工</w:t>
            </w:r>
            <w:r>
              <w:rPr>
                <w:rFonts w:hint="eastAsia" w:ascii="Times New Roman" w:hAnsi="Times New Roman" w:cs="Times New Roman"/>
                <w:color w:val="FF0000"/>
                <w:spacing w:val="-2"/>
                <w:sz w:val="24"/>
                <w:szCs w:val="24"/>
                <w:lang w:eastAsia="zh-CN"/>
              </w:rPr>
              <w:t>施工流程图如下：</w:t>
            </w:r>
          </w:p>
          <w:p w14:paraId="449D7C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4836795" cy="3703320"/>
                  <wp:effectExtent l="0" t="0" r="0" b="0"/>
                  <wp:docPr id="6" name="ECB019B1-382A-4266-B25C-5B523AA43C14-1" descr="C:/Users/ADMINI~1/AppData/Local/Temp/qt_temp.KV522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ADMINI~1/AppData/Local/Temp/qt_temp.KV5224qt_temp"/>
                          <pic:cNvPicPr>
                            <a:picLocks noChangeAspect="1"/>
                          </pic:cNvPicPr>
                        </pic:nvPicPr>
                        <pic:blipFill>
                          <a:blip r:embed="rId8"/>
                          <a:stretch>
                            <a:fillRect/>
                          </a:stretch>
                        </pic:blipFill>
                        <pic:spPr>
                          <a:xfrm>
                            <a:off x="0" y="0"/>
                            <a:ext cx="4836795" cy="3703320"/>
                          </a:xfrm>
                          <a:prstGeom prst="rect">
                            <a:avLst/>
                          </a:prstGeom>
                          <a:noFill/>
                          <a:ln>
                            <a:noFill/>
                          </a:ln>
                        </pic:spPr>
                      </pic:pic>
                    </a:graphicData>
                  </a:graphic>
                </wp:inline>
              </w:drawing>
            </w:r>
            <w:r>
              <w:rPr>
                <w:rFonts w:hint="eastAsia"/>
                <w:b/>
                <w:bCs/>
                <w:color w:val="000000" w:themeColor="text1"/>
                <w:sz w:val="21"/>
                <w:szCs w:val="21"/>
                <w:highlight w:val="none"/>
                <w:lang w:eastAsia="zh-CN"/>
                <w14:textFill>
                  <w14:solidFill>
                    <w14:schemeClr w14:val="tx1"/>
                  </w14:solidFill>
                </w14:textFill>
              </w:rPr>
              <w:t>图</w:t>
            </w:r>
            <w:r>
              <w:rPr>
                <w:rFonts w:hint="eastAsia"/>
                <w:b/>
                <w:bCs/>
                <w:color w:val="000000" w:themeColor="text1"/>
                <w:sz w:val="21"/>
                <w:szCs w:val="21"/>
                <w:highlight w:val="none"/>
                <w:lang w:val="en-US" w:eastAsia="zh-CN"/>
                <w14:textFill>
                  <w14:solidFill>
                    <w14:schemeClr w14:val="tx1"/>
                  </w14:solidFill>
                </w14:textFill>
              </w:rPr>
              <w:t>2-1   护岸工程施工流程示意图</w:t>
            </w:r>
          </w:p>
          <w:p w14:paraId="19D037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w:t>
            </w:r>
            <w:r>
              <w:rPr>
                <w:rFonts w:hint="eastAsia" w:ascii="Times New Roman" w:hAnsi="Times New Roman" w:cs="Times New Roman"/>
                <w:color w:val="000000" w:themeColor="text1"/>
                <w:spacing w:val="-2"/>
                <w:sz w:val="24"/>
                <w:szCs w:val="24"/>
                <w:lang w:eastAsia="zh-CN"/>
                <w14:textFill>
                  <w14:solidFill>
                    <w14:schemeClr w14:val="tx1"/>
                  </w14:solidFill>
                </w14:textFill>
              </w:rPr>
              <w:t>基础</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开挖工程</w:t>
            </w:r>
          </w:p>
          <w:p w14:paraId="3C8401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基槽开挖线路长，从工程造价、工程效率、安全等方面考虑，基槽开挖以机械开挖为主，人工修整为辅。开挖料就近堆放，以备填筑所用，做到统筹安排、挖填结合。</w:t>
            </w:r>
          </w:p>
          <w:p w14:paraId="42EE23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(2)砂砾土方填筑</w:t>
            </w:r>
          </w:p>
          <w:p w14:paraId="3C4E1A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砂砾土近距离填筑施工时， 采用装载机配合推土机推运、摊铺、平整，压路机碾压，边角及狭窄部位以人工平整和蛙式打夯机夯实，当填筑施工段距料场较远时，采用装载机装自卸汽车运输的方案施工；填筑施工时严格按照“上料—— 摊铺——平整——碾压——质检——刨毛”的程序循环作业，用河床砾质土填筑，压实度不小于0.91。</w:t>
            </w:r>
          </w:p>
          <w:p w14:paraId="76ACCA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(3)混凝土工程施工</w:t>
            </w:r>
          </w:p>
          <w:p w14:paraId="4178D8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河床深泓线以上护坡采用铰链式护坡砌块铺设，坡比1 ：1.5，砌块为中空造型的C30干硬性砼预制块。</w:t>
            </w:r>
          </w:p>
          <w:p w14:paraId="162A64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(4)</w:t>
            </w:r>
            <w:r>
              <w:rPr>
                <w:sz w:val="24"/>
              </w:rPr>
              <w:t>格宾网工程</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施工</w:t>
            </w:r>
          </w:p>
          <w:p w14:paraId="04A88F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格宾网工程所需格宾网片由生产厂家按设计要求生产供货，运输至施工现场组装。格宾石笼的施工应严格按照格宾网施工规程进行，首先从施工面两侧开始，自下而上进行错缝垒筑。成品石笼就位后方可填充石料，人工辅助挖掘机装填，石料垒砌时外立面应摆放平整、美观。</w:t>
            </w:r>
          </w:p>
          <w:p w14:paraId="553CBA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填充石料应质地均匀，无裂缝，不风化，填充料的粒径应大于网片孔径并达到80%以上，剩余可采用级配良好的卵石填充，块石料由10～15t自卸汽车从块石料场运输。</w:t>
            </w:r>
          </w:p>
          <w:p w14:paraId="43139F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施工要点：</w:t>
            </w:r>
          </w:p>
          <w:p w14:paraId="6516BC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1)组装</w:t>
            </w:r>
            <w:r>
              <w:rPr>
                <w:sz w:val="24"/>
              </w:rPr>
              <w:t>格宾网</w:t>
            </w:r>
          </w:p>
          <w:p w14:paraId="13CF2E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a、此过程要在一块平整、坚硬的场地上开展作业，选择场地时请注意既要方便格宾护坡的组装、储存和搬运，又要不影响现场其它作业内容的实施。</w:t>
            </w:r>
          </w:p>
          <w:p w14:paraId="209DF0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b、打开成捆包装的格宾护坡，取出一个产品单元，采取两人一组的方式： 首先展开一个折叠的网面，由一人一端辅助牵引、一人用脚向前、向下用力踩踏的方式或钳子拉校正弯曲变形的部份，然后、依次顺折痕方向分步开展。此步骤目的是：a．展开格宾护坡的打包折叠弯曲部分；b．校正由于运输装卸过程中操作不当所产生的变形部分。应注意避免损失笼体和网丝表面的保护层。</w:t>
            </w:r>
          </w:p>
          <w:p w14:paraId="0C2C4D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c、立起各隔板及相邻的边板以及两端端板，将端板和隔板网面两端的边缘 钢丝延长段固定在两边边板的边缘钢丝上，并进行点扎。此过程要确保格宾护坡上部边缘在同一水平面上，所有隔板、边板及端板均应垂直于底部网面，且4个端角为直角。</w:t>
            </w:r>
          </w:p>
          <w:p w14:paraId="71C8B8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d、绞合时注意按每间隔10~15cm双圈一单圈一双圈交替进行绞合。</w:t>
            </w:r>
          </w:p>
          <w:p w14:paraId="65EBC2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e、隔板绞合时注意沿一条竖直线绞合，而且绞合后的隔板是在同一竖直面上。</w:t>
            </w:r>
          </w:p>
          <w:p w14:paraId="384297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f、用于转弯的格宾，绞合时前面板不绞合，折放到底板下，并用钢丝稍微绞几个点</w:t>
            </w:r>
            <w:r>
              <w:rPr>
                <w:rFonts w:hint="eastAsia" w:ascii="Times New Roman" w:hAnsi="Times New Roman"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方便移动安装。</w:t>
            </w:r>
          </w:p>
          <w:p w14:paraId="3855EA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g、组装格宾护坡的原则：形状规则、绞合牢固、所有竖直面板上边缘在同 一水平面上并且确倮盖板边缘能够与面板上端水平边缘绞合。</w:t>
            </w:r>
          </w:p>
          <w:p w14:paraId="2337FF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2)格宾护坡的摆放、联接</w:t>
            </w:r>
          </w:p>
          <w:p w14:paraId="73302B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a、进行格宾护坡摆放操作前，先检验坡比是否符合设计要求，再放线确定出格宾护坡摆放的位置。将组装好的格宾护坡按照一定的要求紧密整齐地摆放在恰当的位置上；摆放时应面对面、背对背，便于石料填充、盖板绞合及节约钢丝。</w:t>
            </w:r>
          </w:p>
          <w:p w14:paraId="55D803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b、摆放时格宾护坡用于坡面防护时隔板要平行于水流方向，用于护脚时隔 板垂直于水流方向。</w:t>
            </w:r>
          </w:p>
          <w:p w14:paraId="7C3937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c、格宾用于转弯地段时，可以通过裁剪或套接格宾护坡单元的方法进行处理。</w:t>
            </w:r>
          </w:p>
          <w:p w14:paraId="4FB30B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3)填充石料施工</w:t>
            </w:r>
          </w:p>
          <w:p w14:paraId="02D499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a、石料根据当地实际情况，可选择卵石、片石或块石， 空隙率不超过30%。</w:t>
            </w:r>
          </w:p>
          <w:p w14:paraId="5554DE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b、要求石料质地坚硬，块石饱和抗压强度不小于30Mpa，软化系数不小于0.75，比重不小于2.4t/m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，遇水不易崩解和水解，抗风化。</w:t>
            </w:r>
          </w:p>
          <w:p w14:paraId="1FD33C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c、50cm厚格宾护坡填石粒径100~200mm，中值粒径150mm。薄片、条状等形状的石料不宜采用。风化岩石、泥岩等亦不得用作充填石料。</w:t>
            </w:r>
          </w:p>
          <w:p w14:paraId="487A6C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d、装填方式可以采用人工装填，也可采用半人工半机械化进行装填作业。</w:t>
            </w:r>
          </w:p>
          <w:p w14:paraId="3DB108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e、在坡面上施工时，为防止施工过程中石料受重力影响或人工踩踏下滑而造成隔板弯曲，石料必须从坡脚往坡顶方向进行装填；同时相临隔板、边板两侧的石料也宜同时进行装填。</w:t>
            </w:r>
          </w:p>
          <w:p w14:paraId="547E2D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f、网箱内填充石料前，必须采取在网箱前后面绑扎竹竿或木棒等加固网箱面的措施，以保证网箱裸露面的平整度，待填充石料施工结束后拆除竹竿或木棒。</w:t>
            </w:r>
          </w:p>
          <w:p w14:paraId="47368A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g、必须分层、分级向网箱内填充石料，严禁将单格网箱一次性填满。</w:t>
            </w:r>
          </w:p>
          <w:p w14:paraId="0F886B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h、考虑到石头的沉降，装填时应有2.5cm~4cm 的超高为避免水流直接冲刷坡体护垫内必须装填两层以上的石头，且需用人工摆放，以尽量减少空隙率。</w:t>
            </w:r>
          </w:p>
          <w:p w14:paraId="7ACC68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i、表面部分是关系到整个格宾护坡护坡外观效果的关键所在，宜选择粒径较大、表面较为光滑的石料进行摆放，石料间应相互搭接，并且摆放要平整、密实。</w:t>
            </w:r>
          </w:p>
          <w:p w14:paraId="46BC2B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j 、石料的装填要两层以上且密实、表面平整。</w:t>
            </w:r>
          </w:p>
          <w:p w14:paraId="32F5AF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4)闭合盖板作业</w:t>
            </w:r>
          </w:p>
          <w:p w14:paraId="6C388B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a、绞合盖子之前，要对整体结构进行检查，对一些弯曲变形、表面不平整等不符合施工要求的地方进行校正；检查石料是否装填饱满、密实，上表面是否平整。</w:t>
            </w:r>
          </w:p>
          <w:p w14:paraId="024C08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b、出现隔板弯曲的现象，可通过将鼓出一边的石头移到另一方格，然后扳直隔板来加以纠正，或用钢钎拔直。</w:t>
            </w:r>
          </w:p>
          <w:p w14:paraId="6B3D1D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c、对于顶部被埋到石头下面、 绞合不到位的隔板，可用钢签将其撬起。用1.4m的钢丝单、双圈间隔绞合盖板边缘与竖直面板上边缘、盖板面板与隔板上边缘。</w:t>
            </w:r>
          </w:p>
          <w:p w14:paraId="460626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d、用一定长度的绞合钢丝将盖板与边板、端板、隔板的上边缘联接在一起。绞合严格按照间隔10~15cm单圈一双圈一单圈进行绞合，每绞合1m长的边缘采用1.35m~1.5m长的绞合钢丝，且每根钢丝连续绞合边缘的长度不超过1m；相邻护垫的端板或边板上边缘钢丝必须与盖板边缘钢丝紧密地绞合在一起。盖板绞合之后，所有绞合边缘成一条直线，而且绞合点的几根钢丝紧密靠拢，绞合不拢的地方必须用钢钎校正；同一层面的表面必须在同一水平面上。</w:t>
            </w:r>
          </w:p>
          <w:p w14:paraId="615FA5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e、土工布应铺在固宾笼与回填土的接合面，并且其端头上、下都应压入0.3m以上</w:t>
            </w:r>
            <w:r>
              <w:rPr>
                <w:rFonts w:hint="eastAsia" w:ascii="Times New Roman" w:hAnsi="Times New Roman"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以确保土工布边端被压住。</w:t>
            </w:r>
          </w:p>
          <w:p w14:paraId="25B75C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f、所有的边缘需绞合到位，所有被绞合边缘应呈一条直线，而且绞合点的几根边缘钢丝紧密靠拢。</w:t>
            </w:r>
          </w:p>
          <w:p w14:paraId="424AA8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(5)土工布铺设要求</w:t>
            </w:r>
          </w:p>
          <w:p w14:paraId="0F565172">
            <w:pPr>
              <w:keepNext w:val="0"/>
              <w:keepLines w:val="0"/>
              <w:pageBreakBefore w:val="0"/>
              <w:kinsoku/>
              <w:wordWrap/>
              <w:overflowPunct/>
              <w:topLinePunct w:val="0"/>
              <w:autoSpaceDE/>
              <w:autoSpaceDN/>
              <w:bidi w:val="0"/>
              <w:adjustRightInd/>
              <w:snapToGrid/>
              <w:spacing w:line="360" w:lineRule="auto"/>
              <w:ind w:right="0" w:firstLine="420" w:firstLineChars="200"/>
              <w:contextualSpacing/>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drawing>
                <wp:anchor distT="0" distB="0" distL="114300" distR="114300" simplePos="0" relativeHeight="251661312" behindDoc="1" locked="0" layoutInCell="1" allowOverlap="1">
                  <wp:simplePos x="0" y="0"/>
                  <wp:positionH relativeFrom="column">
                    <wp:posOffset>-45720</wp:posOffset>
                  </wp:positionH>
                  <wp:positionV relativeFrom="paragraph">
                    <wp:posOffset>854710</wp:posOffset>
                  </wp:positionV>
                  <wp:extent cx="4872355" cy="1974215"/>
                  <wp:effectExtent l="0" t="0" r="34925" b="6985"/>
                  <wp:wrapTight wrapText="bothSides">
                    <wp:wrapPolygon>
                      <wp:start x="0" y="0"/>
                      <wp:lineTo x="0" y="21510"/>
                      <wp:lineTo x="21552" y="21510"/>
                      <wp:lineTo x="21552"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rcRect l="3497" t="13870" r="1166" b="8719"/>
                          <a:stretch>
                            <a:fillRect/>
                          </a:stretch>
                        </pic:blipFill>
                        <pic:spPr>
                          <a:xfrm>
                            <a:off x="0" y="0"/>
                            <a:ext cx="4872355" cy="1974215"/>
                          </a:xfrm>
                          <a:prstGeom prst="rect">
                            <a:avLst/>
                          </a:prstGeom>
                          <a:noFill/>
                          <a:ln>
                            <a:noFill/>
                          </a:ln>
                        </pic:spPr>
                      </pic:pic>
                    </a:graphicData>
                  </a:graphic>
                </wp:anchor>
              </w:drawing>
            </w:r>
            <w:r>
              <w:rPr>
                <w:sz w:val="24"/>
              </w:rPr>
              <w:t>采用人工滚铺，必须按规定顺序和方向分区分块进行土工布的铺设，布面要平整，并采用波浪形松弛方式，适当留有变形余量，并避免人为硬折和损伤，土工布铺设时务必做好土工布的搭接</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14:paraId="484077BE">
            <w:pPr>
              <w:spacing w:line="520" w:lineRule="exact"/>
              <w:jc w:val="left"/>
              <w:rPr>
                <w:b/>
                <w:bCs/>
                <w:color w:val="FF0000"/>
                <w:sz w:val="24"/>
              </w:rPr>
            </w:pPr>
            <w:r>
              <w:rPr>
                <w:rFonts w:hint="eastAsia"/>
                <w:b/>
                <w:bCs/>
                <w:color w:val="000000" w:themeColor="text1"/>
                <w:sz w:val="21"/>
                <w:szCs w:val="21"/>
                <w:highlight w:val="none"/>
                <w:lang w:eastAsia="zh-CN"/>
                <w14:textFill>
                  <w14:solidFill>
                    <w14:schemeClr w14:val="tx1"/>
                  </w14:solidFill>
                </w14:textFill>
              </w:rPr>
              <w:t>图</w:t>
            </w:r>
            <w:r>
              <w:rPr>
                <w:rFonts w:hint="eastAsia"/>
                <w:b/>
                <w:bCs/>
                <w:color w:val="000000" w:themeColor="text1"/>
                <w:sz w:val="21"/>
                <w:szCs w:val="21"/>
                <w:highlight w:val="none"/>
                <w:lang w:val="en-US" w:eastAsia="zh-CN"/>
                <w14:textFill>
                  <w14:solidFill>
                    <w14:schemeClr w14:val="tx1"/>
                  </w14:solidFill>
                </w14:textFill>
              </w:rPr>
              <w:t xml:space="preserve">2-2 </w:t>
            </w:r>
            <w:r>
              <w:rPr>
                <w:b/>
                <w:bCs/>
                <w:sz w:val="24"/>
              </w:rPr>
              <w:t xml:space="preserve">    </w:t>
            </w:r>
            <w:r>
              <w:rPr>
                <w:b/>
                <w:bCs/>
                <w:color w:val="FF0000"/>
                <w:sz w:val="24"/>
              </w:rPr>
              <w:t>复合式结构护岸：墙式格宾石笼护脚+绿滨垫护岸典型横断面</w:t>
            </w:r>
          </w:p>
          <w:p w14:paraId="0FF31C44">
            <w:pPr>
              <w:keepNext w:val="0"/>
              <w:keepLines w:val="0"/>
              <w:pageBreakBefore w:val="0"/>
              <w:kinsoku/>
              <w:wordWrap/>
              <w:overflowPunct/>
              <w:topLinePunct w:val="0"/>
              <w:autoSpaceDE/>
              <w:autoSpaceDN/>
              <w:bidi w:val="0"/>
              <w:adjustRightInd/>
              <w:snapToGrid/>
              <w:spacing w:line="360" w:lineRule="auto"/>
              <w:ind w:right="0" w:firstLine="422" w:firstLineChars="200"/>
              <w:contextualSpacing/>
              <w:textAlignment w:val="auto"/>
              <w:rPr>
                <w:rFonts w:hint="eastAsia" w:cs="Times New Roman"/>
                <w:color w:val="FF0000"/>
                <w:sz w:val="24"/>
                <w:szCs w:val="24"/>
                <w:lang w:val="en-US" w:eastAsia="zh-CN"/>
              </w:rPr>
            </w:pPr>
            <w:r>
              <w:rPr>
                <w:rFonts w:hint="eastAsia"/>
                <w:b/>
                <w:bCs/>
                <w:color w:val="FF0000"/>
                <w:sz w:val="21"/>
                <w:szCs w:val="21"/>
                <w:highlight w:val="none"/>
                <w:lang w:eastAsia="zh-CN"/>
              </w:rPr>
              <w:t>图</w:t>
            </w:r>
            <w:r>
              <w:rPr>
                <w:rFonts w:hint="eastAsia"/>
                <w:b/>
                <w:bCs/>
                <w:color w:val="FF0000"/>
                <w:sz w:val="21"/>
                <w:szCs w:val="21"/>
                <w:highlight w:val="none"/>
                <w:lang w:val="en-US" w:eastAsia="zh-CN"/>
              </w:rPr>
              <w:t>2-3</w:t>
            </w:r>
            <w:r>
              <w:rPr>
                <w:b/>
                <w:bCs/>
                <w:color w:val="FF0000"/>
                <w:sz w:val="24"/>
              </w:rPr>
              <w:t xml:space="preserve">  坡式结构护脚：格宾石笼基础+绿滨垫护坡典型横断面</w:t>
            </w:r>
            <w:r>
              <w:rPr>
                <w:color w:val="FF0000"/>
              </w:rPr>
              <w:drawing>
                <wp:anchor distT="0" distB="0" distL="114300" distR="114300" simplePos="0" relativeHeight="251662336" behindDoc="1" locked="0" layoutInCell="1" allowOverlap="1">
                  <wp:simplePos x="0" y="0"/>
                  <wp:positionH relativeFrom="column">
                    <wp:posOffset>-15240</wp:posOffset>
                  </wp:positionH>
                  <wp:positionV relativeFrom="paragraph">
                    <wp:posOffset>5715</wp:posOffset>
                  </wp:positionV>
                  <wp:extent cx="4939030" cy="2271395"/>
                  <wp:effectExtent l="0" t="0" r="29210" b="14605"/>
                  <wp:wrapTight wrapText="bothSides">
                    <wp:wrapPolygon>
                      <wp:start x="0" y="0"/>
                      <wp:lineTo x="0" y="21449"/>
                      <wp:lineTo x="21528" y="21449"/>
                      <wp:lineTo x="21528"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rcRect l="4829" t="5945" r="2498" b="4756"/>
                          <a:stretch>
                            <a:fillRect/>
                          </a:stretch>
                        </pic:blipFill>
                        <pic:spPr>
                          <a:xfrm>
                            <a:off x="0" y="0"/>
                            <a:ext cx="4939030" cy="2271395"/>
                          </a:xfrm>
                          <a:prstGeom prst="rect">
                            <a:avLst/>
                          </a:prstGeom>
                          <a:noFill/>
                          <a:ln>
                            <a:noFill/>
                          </a:ln>
                        </pic:spPr>
                      </pic:pic>
                    </a:graphicData>
                  </a:graphic>
                </wp:anchor>
              </w:drawing>
            </w:r>
          </w:p>
          <w:p w14:paraId="5E637513">
            <w:pPr>
              <w:keepNext w:val="0"/>
              <w:keepLines w:val="0"/>
              <w:pageBreakBefore w:val="0"/>
              <w:kinsoku/>
              <w:wordWrap/>
              <w:overflowPunct/>
              <w:topLinePunct w:val="0"/>
              <w:autoSpaceDE/>
              <w:autoSpaceDN/>
              <w:bidi w:val="0"/>
              <w:adjustRightInd/>
              <w:snapToGrid/>
              <w:spacing w:line="360" w:lineRule="auto"/>
              <w:ind w:right="0" w:firstLine="480" w:firstLineChars="200"/>
              <w:contextualSpacing/>
              <w:textAlignment w:val="auto"/>
              <w:rPr>
                <w:rFonts w:hint="eastAsia" w:cs="Times New Roman"/>
                <w:color w:val="FF0000"/>
                <w:sz w:val="24"/>
                <w:szCs w:val="24"/>
                <w:lang w:val="en-US" w:eastAsia="zh-CN"/>
              </w:rPr>
            </w:pPr>
          </w:p>
          <w:p w14:paraId="710FF981">
            <w:pPr>
              <w:keepNext w:val="0"/>
              <w:keepLines w:val="0"/>
              <w:pageBreakBefore w:val="0"/>
              <w:kinsoku/>
              <w:wordWrap/>
              <w:overflowPunct/>
              <w:topLinePunct w:val="0"/>
              <w:autoSpaceDE/>
              <w:autoSpaceDN/>
              <w:bidi w:val="0"/>
              <w:adjustRightInd/>
              <w:snapToGrid/>
              <w:spacing w:line="360" w:lineRule="auto"/>
              <w:ind w:right="0"/>
              <w:contextualSpacing/>
              <w:jc w:val="center"/>
              <w:textAlignment w:val="auto"/>
              <w:rPr>
                <w:rFonts w:hint="eastAsia" w:cs="Times New Roman"/>
                <w:color w:val="FF0000"/>
                <w:sz w:val="24"/>
                <w:szCs w:val="24"/>
                <w:lang w:val="en-US" w:eastAsia="zh-CN"/>
              </w:rPr>
            </w:pPr>
            <w:r>
              <w:rPr>
                <w:rFonts w:hint="eastAsia"/>
                <w:b/>
                <w:bCs/>
                <w:color w:val="FF0000"/>
                <w:sz w:val="21"/>
                <w:szCs w:val="21"/>
                <w:highlight w:val="none"/>
                <w:lang w:eastAsia="zh-CN"/>
              </w:rPr>
              <w:t>图</w:t>
            </w:r>
            <w:r>
              <w:rPr>
                <w:rFonts w:hint="eastAsia"/>
                <w:b/>
                <w:bCs/>
                <w:color w:val="FF0000"/>
                <w:sz w:val="21"/>
                <w:szCs w:val="21"/>
                <w:highlight w:val="none"/>
                <w:lang w:val="en-US" w:eastAsia="zh-CN"/>
              </w:rPr>
              <w:t xml:space="preserve">2-4    </w:t>
            </w:r>
            <w:r>
              <w:rPr>
                <w:b/>
                <w:bCs/>
                <w:color w:val="FF0000"/>
                <w:sz w:val="24"/>
              </w:rPr>
              <w:t>墙式格宾石笼护脚典型横断面</w:t>
            </w:r>
            <w:r>
              <w:drawing>
                <wp:anchor distT="0" distB="0" distL="114300" distR="114300" simplePos="0" relativeHeight="251663360" behindDoc="1" locked="0" layoutInCell="1" allowOverlap="1">
                  <wp:simplePos x="0" y="0"/>
                  <wp:positionH relativeFrom="column">
                    <wp:posOffset>-144780</wp:posOffset>
                  </wp:positionH>
                  <wp:positionV relativeFrom="paragraph">
                    <wp:posOffset>-8054975</wp:posOffset>
                  </wp:positionV>
                  <wp:extent cx="4719955" cy="2748915"/>
                  <wp:effectExtent l="0" t="0" r="34925" b="9525"/>
                  <wp:wrapTight wrapText="bothSides">
                    <wp:wrapPolygon>
                      <wp:start x="0" y="0"/>
                      <wp:lineTo x="0" y="21435"/>
                      <wp:lineTo x="21551" y="21435"/>
                      <wp:lineTo x="21551" y="0"/>
                      <wp:lineTo x="0"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rcRect l="16818" t="5151" r="7660" b="5945"/>
                          <a:stretch>
                            <a:fillRect/>
                          </a:stretch>
                        </pic:blipFill>
                        <pic:spPr>
                          <a:xfrm>
                            <a:off x="0" y="0"/>
                            <a:ext cx="4719955" cy="2748915"/>
                          </a:xfrm>
                          <a:prstGeom prst="rect">
                            <a:avLst/>
                          </a:prstGeom>
                          <a:noFill/>
                          <a:ln>
                            <a:noFill/>
                          </a:ln>
                        </pic:spPr>
                      </pic:pic>
                    </a:graphicData>
                  </a:graphic>
                </wp:anchor>
              </w:drawing>
            </w:r>
          </w:p>
          <w:p w14:paraId="0207934C">
            <w:pPr>
              <w:keepNext w:val="0"/>
              <w:keepLines w:val="0"/>
              <w:pageBreakBefore w:val="0"/>
              <w:kinsoku/>
              <w:wordWrap/>
              <w:overflowPunct/>
              <w:topLinePunct w:val="0"/>
              <w:autoSpaceDE/>
              <w:autoSpaceDN/>
              <w:bidi w:val="0"/>
              <w:adjustRightInd/>
              <w:snapToGrid/>
              <w:spacing w:line="360" w:lineRule="auto"/>
              <w:ind w:right="0" w:firstLine="480" w:firstLineChars="200"/>
              <w:contextualSpacing/>
              <w:textAlignment w:val="auto"/>
              <w:rPr>
                <w:rFonts w:hint="eastAsia" w:ascii="Times New Roman" w:hAnsi="Times New Roman" w:eastAsia="宋体" w:cs="Times New Roman"/>
                <w:color w:val="FF0000"/>
                <w:sz w:val="24"/>
                <w:szCs w:val="24"/>
                <w:lang w:eastAsia="zh-CN"/>
              </w:rPr>
            </w:pPr>
            <w:r>
              <w:rPr>
                <w:rFonts w:hint="eastAsia" w:cs="Times New Roman"/>
                <w:color w:val="FF0000"/>
                <w:sz w:val="24"/>
                <w:szCs w:val="24"/>
                <w:lang w:val="en-US" w:eastAsia="zh-CN"/>
              </w:rPr>
              <w:t>4、</w:t>
            </w:r>
            <w:r>
              <w:rPr>
                <w:rFonts w:hint="eastAsia" w:ascii="Times New Roman" w:hAnsi="Times New Roman" w:eastAsia="宋体" w:cs="Times New Roman"/>
                <w:color w:val="FF0000"/>
                <w:sz w:val="24"/>
                <w:szCs w:val="24"/>
                <w:lang w:eastAsia="zh-CN"/>
              </w:rPr>
              <w:t>产污环节</w:t>
            </w:r>
          </w:p>
          <w:p w14:paraId="15EE64A7">
            <w:pPr>
              <w:pStyle w:val="64"/>
              <w:adjustRightInd w:val="0"/>
              <w:snapToGrid w:val="0"/>
              <w:ind w:firstLine="480"/>
              <w:rPr>
                <w:color w:val="FF0000"/>
                <w:kern w:val="0"/>
                <w:sz w:val="24"/>
                <w:szCs w:val="24"/>
              </w:rPr>
            </w:pPr>
            <w:r>
              <w:rPr>
                <w:color w:val="FF0000"/>
                <w:kern w:val="0"/>
                <w:sz w:val="24"/>
                <w:szCs w:val="24"/>
              </w:rPr>
              <w:t>废水</w:t>
            </w:r>
            <w:r>
              <w:rPr>
                <w:rFonts w:hint="eastAsia"/>
                <w:color w:val="FF0000"/>
                <w:kern w:val="0"/>
                <w:sz w:val="24"/>
                <w:szCs w:val="24"/>
                <w:lang w:eastAsia="zh-CN"/>
              </w:rPr>
              <w:t>：</w:t>
            </w:r>
            <w:r>
              <w:rPr>
                <w:color w:val="FF0000"/>
                <w:sz w:val="24"/>
              </w:rPr>
              <w:t>本项目</w:t>
            </w:r>
            <w:r>
              <w:rPr>
                <w:color w:val="FF0000"/>
                <w:kern w:val="0"/>
                <w:sz w:val="24"/>
                <w:szCs w:val="24"/>
              </w:rPr>
              <w:t>施工期废水主要是生活污水和施工废水。</w:t>
            </w:r>
          </w:p>
          <w:p w14:paraId="37ABE6E4">
            <w:pPr>
              <w:pStyle w:val="64"/>
              <w:adjustRightInd w:val="0"/>
              <w:snapToGrid w:val="0"/>
              <w:ind w:firstLine="480"/>
              <w:rPr>
                <w:color w:val="FF0000"/>
                <w:kern w:val="0"/>
                <w:sz w:val="24"/>
                <w:szCs w:val="24"/>
              </w:rPr>
            </w:pPr>
            <w:r>
              <w:rPr>
                <w:color w:val="FF0000"/>
                <w:kern w:val="0"/>
                <w:sz w:val="24"/>
                <w:szCs w:val="24"/>
              </w:rPr>
              <w:t>废气</w:t>
            </w:r>
            <w:r>
              <w:rPr>
                <w:rFonts w:hint="eastAsia"/>
                <w:color w:val="FF0000"/>
                <w:kern w:val="0"/>
                <w:sz w:val="24"/>
                <w:szCs w:val="24"/>
                <w:lang w:eastAsia="zh-CN"/>
              </w:rPr>
              <w:t>：</w:t>
            </w:r>
            <w:r>
              <w:rPr>
                <w:color w:val="FF0000"/>
                <w:sz w:val="24"/>
              </w:rPr>
              <w:t>本项目</w:t>
            </w:r>
            <w:r>
              <w:rPr>
                <w:color w:val="FF0000"/>
                <w:kern w:val="0"/>
                <w:sz w:val="24"/>
                <w:szCs w:val="24"/>
              </w:rPr>
              <w:t>施工期废气主要是施工扬尘、汽车尾气。</w:t>
            </w:r>
          </w:p>
          <w:p w14:paraId="103918AF">
            <w:pPr>
              <w:pStyle w:val="64"/>
              <w:adjustRightInd w:val="0"/>
              <w:snapToGrid w:val="0"/>
              <w:ind w:firstLine="480"/>
              <w:rPr>
                <w:color w:val="FF0000"/>
                <w:kern w:val="0"/>
                <w:sz w:val="24"/>
                <w:szCs w:val="24"/>
              </w:rPr>
            </w:pPr>
            <w:r>
              <w:rPr>
                <w:color w:val="FF0000"/>
                <w:kern w:val="0"/>
                <w:sz w:val="24"/>
                <w:szCs w:val="24"/>
              </w:rPr>
              <w:t>噪声</w:t>
            </w:r>
            <w:r>
              <w:rPr>
                <w:rFonts w:hint="eastAsia"/>
                <w:color w:val="FF0000"/>
                <w:kern w:val="0"/>
                <w:sz w:val="24"/>
                <w:szCs w:val="24"/>
                <w:lang w:eastAsia="zh-CN"/>
              </w:rPr>
              <w:t>：</w:t>
            </w:r>
            <w:r>
              <w:rPr>
                <w:color w:val="FF0000"/>
                <w:sz w:val="24"/>
              </w:rPr>
              <w:t>本项目</w:t>
            </w:r>
            <w:r>
              <w:rPr>
                <w:color w:val="FF0000"/>
                <w:kern w:val="0"/>
                <w:sz w:val="24"/>
                <w:szCs w:val="24"/>
              </w:rPr>
              <w:t>施工期噪声主要是机械设备噪声和交通噪声。</w:t>
            </w:r>
          </w:p>
          <w:p w14:paraId="6DC975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color w:val="FF0000"/>
                <w:kern w:val="0"/>
                <w:sz w:val="24"/>
                <w:szCs w:val="24"/>
              </w:rPr>
              <w:t>固废</w:t>
            </w:r>
            <w:r>
              <w:rPr>
                <w:rFonts w:hint="eastAsia"/>
                <w:color w:val="FF0000"/>
                <w:kern w:val="0"/>
                <w:sz w:val="24"/>
                <w:szCs w:val="24"/>
                <w:lang w:eastAsia="zh-CN"/>
              </w:rPr>
              <w:t>：</w:t>
            </w:r>
            <w:r>
              <w:rPr>
                <w:color w:val="FF0000"/>
                <w:sz w:val="24"/>
              </w:rPr>
              <w:t>本项目</w:t>
            </w:r>
            <w:r>
              <w:rPr>
                <w:color w:val="FF0000"/>
                <w:kern w:val="0"/>
                <w:sz w:val="24"/>
                <w:szCs w:val="24"/>
              </w:rPr>
              <w:t>施工期固废主要是生活垃圾</w:t>
            </w:r>
            <w:r>
              <w:rPr>
                <w:rFonts w:hint="eastAsia"/>
                <w:color w:val="FF0000"/>
                <w:kern w:val="0"/>
                <w:sz w:val="24"/>
                <w:szCs w:val="24"/>
                <w:lang w:eastAsia="zh-CN"/>
              </w:rPr>
              <w:t>、</w:t>
            </w:r>
            <w:r>
              <w:rPr>
                <w:rFonts w:hint="eastAsia"/>
                <w:color w:val="FF0000"/>
                <w:kern w:val="0"/>
                <w:sz w:val="24"/>
                <w:szCs w:val="24"/>
                <w:lang w:val="en-US" w:eastAsia="zh-CN"/>
              </w:rPr>
              <w:t>土方</w:t>
            </w:r>
            <w:r>
              <w:rPr>
                <w:color w:val="FF0000"/>
                <w:kern w:val="0"/>
                <w:sz w:val="24"/>
                <w:szCs w:val="24"/>
              </w:rPr>
              <w:t>和建筑垃圾。</w:t>
            </w:r>
          </w:p>
          <w:p w14:paraId="28676171">
            <w:pPr>
              <w:spacing w:line="360" w:lineRule="auto"/>
              <w:ind w:right="-1"/>
              <w:contextualSpacing/>
              <w:outlineLvl w:val="1"/>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项目建设周期</w:t>
            </w:r>
          </w:p>
          <w:p w14:paraId="0451CAE4">
            <w:pPr>
              <w:spacing w:line="360" w:lineRule="auto"/>
              <w:ind w:right="-1" w:firstLine="480" w:firstLineChars="200"/>
              <w:contextualSpacing/>
              <w:jc w:val="left"/>
              <w:rPr>
                <w:rFonts w:hint="eastAsia" w:ascii="Times New Roman" w:hAnsi="Times New Roman" w:eastAsia="宋体"/>
                <w:color w:val="000000" w:themeColor="text1"/>
                <w:sz w:val="24"/>
                <w:szCs w:val="24"/>
                <w:highlight w:val="none"/>
                <w:lang w:val="en-GB"/>
                <w14:textFill>
                  <w14:solidFill>
                    <w14:schemeClr w14:val="tx1"/>
                  </w14:solidFill>
                </w14:textFill>
              </w:rPr>
            </w:pPr>
            <w:r>
              <w:rPr>
                <w:rFonts w:hint="eastAsia" w:ascii="Times New Roman" w:hAnsi="Times New Roman" w:eastAsia="宋体"/>
                <w:color w:val="000000" w:themeColor="text1"/>
                <w:sz w:val="24"/>
                <w:szCs w:val="24"/>
                <w:highlight w:val="none"/>
                <w:lang w:val="en-GB"/>
                <w14:textFill>
                  <w14:solidFill>
                    <w14:schemeClr w14:val="tx1"/>
                  </w14:solidFill>
                </w14:textFill>
              </w:rPr>
              <w:t>本工程施工点相对分散，根据工程施工总体规划、投资情况、施工导流方案和主要项目施工工艺，本着早建成早受益的原则，本工程施工期(安排)为10个月，并分为三个阶段：</w:t>
            </w:r>
          </w:p>
          <w:p w14:paraId="790166A2">
            <w:pPr>
              <w:spacing w:line="360" w:lineRule="auto"/>
              <w:ind w:right="-1" w:firstLine="480" w:firstLineChars="200"/>
              <w:contextualSpacing/>
              <w:jc w:val="left"/>
              <w:rPr>
                <w:rFonts w:hint="eastAsia" w:ascii="Times New Roman" w:hAnsi="Times New Roman" w:eastAsia="宋体"/>
                <w:color w:val="000000" w:themeColor="text1"/>
                <w:sz w:val="24"/>
                <w:szCs w:val="24"/>
                <w:highlight w:val="none"/>
                <w:lang w:val="en-GB"/>
                <w14:textFill>
                  <w14:solidFill>
                    <w14:schemeClr w14:val="tx1"/>
                  </w14:solidFill>
                </w14:textFill>
              </w:rPr>
            </w:pPr>
            <w:r>
              <w:rPr>
                <w:rFonts w:hint="eastAsia" w:ascii="Times New Roman" w:hAnsi="Times New Roman" w:eastAsia="宋体"/>
                <w:color w:val="000000" w:themeColor="text1"/>
                <w:sz w:val="24"/>
                <w:szCs w:val="24"/>
                <w:highlight w:val="none"/>
                <w:lang w:val="en-GB"/>
                <w14:textFill>
                  <w14:solidFill>
                    <w14:schemeClr w14:val="tx1"/>
                  </w14:solidFill>
                </w14:textFill>
              </w:rPr>
              <w:t>(1)施工准备期：安排在202</w:t>
            </w:r>
            <w:r>
              <w:rPr>
                <w:rFonts w:hint="eastAsia"/>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olor w:val="000000" w:themeColor="text1"/>
                <w:sz w:val="24"/>
                <w:szCs w:val="24"/>
                <w:highlight w:val="none"/>
                <w:lang w:val="en-GB"/>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olor w:val="000000" w:themeColor="text1"/>
                <w:sz w:val="24"/>
                <w:szCs w:val="24"/>
                <w:highlight w:val="none"/>
                <w:lang w:val="en-GB"/>
                <w14:textFill>
                  <w14:solidFill>
                    <w14:schemeClr w14:val="tx1"/>
                  </w14:solidFill>
                </w14:textFill>
              </w:rPr>
              <w:t>月，时间1个月。主要工作是为部分工程施工做必要的准备。</w:t>
            </w:r>
          </w:p>
          <w:p w14:paraId="0D75C693">
            <w:pPr>
              <w:spacing w:line="360" w:lineRule="auto"/>
              <w:ind w:right="-1" w:firstLine="480" w:firstLineChars="200"/>
              <w:contextualSpacing/>
              <w:jc w:val="left"/>
              <w:rPr>
                <w:rFonts w:hint="eastAsia" w:ascii="Times New Roman" w:hAnsi="Times New Roman" w:eastAsia="宋体"/>
                <w:color w:val="000000" w:themeColor="text1"/>
                <w:sz w:val="24"/>
                <w:szCs w:val="24"/>
                <w:highlight w:val="none"/>
                <w:lang w:val="en-GB"/>
                <w14:textFill>
                  <w14:solidFill>
                    <w14:schemeClr w14:val="tx1"/>
                  </w14:solidFill>
                </w14:textFill>
              </w:rPr>
            </w:pPr>
            <w:r>
              <w:rPr>
                <w:rFonts w:hint="eastAsia" w:ascii="Times New Roman" w:hAnsi="Times New Roman" w:eastAsia="宋体"/>
                <w:color w:val="000000" w:themeColor="text1"/>
                <w:sz w:val="24"/>
                <w:szCs w:val="24"/>
                <w:highlight w:val="none"/>
                <w:lang w:val="en-GB"/>
                <w14:textFill>
                  <w14:solidFill>
                    <w14:schemeClr w14:val="tx1"/>
                  </w14:solidFill>
                </w14:textFill>
              </w:rPr>
              <w:t>(2)主体工程施工期：安排在202</w:t>
            </w:r>
            <w:r>
              <w:rPr>
                <w:rFonts w:hint="eastAsia"/>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olor w:val="000000" w:themeColor="text1"/>
                <w:sz w:val="24"/>
                <w:szCs w:val="24"/>
                <w:highlight w:val="none"/>
                <w:lang w:val="en-GB"/>
                <w14:textFill>
                  <w14:solidFill>
                    <w14:schemeClr w14:val="tx1"/>
                  </w14:solidFill>
                </w14:textFill>
              </w:rPr>
              <w:t>年1</w:t>
            </w:r>
            <w:r>
              <w:rPr>
                <w:rFonts w:hint="eastAsia"/>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olor w:val="000000" w:themeColor="text1"/>
                <w:sz w:val="24"/>
                <w:szCs w:val="24"/>
                <w:highlight w:val="none"/>
                <w:lang w:val="en-GB"/>
                <w14:textFill>
                  <w14:solidFill>
                    <w14:schemeClr w14:val="tx1"/>
                  </w14:solidFill>
                </w14:textFill>
              </w:rPr>
              <w:t>月~202</w:t>
            </w:r>
            <w:r>
              <w:rPr>
                <w:rFonts w:hint="eastAsia"/>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olor w:val="000000" w:themeColor="text1"/>
                <w:sz w:val="24"/>
                <w:szCs w:val="24"/>
                <w:highlight w:val="none"/>
                <w:lang w:val="en-GB"/>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olor w:val="000000" w:themeColor="text1"/>
                <w:sz w:val="24"/>
                <w:szCs w:val="24"/>
                <w:highlight w:val="none"/>
                <w:lang w:val="en-GB"/>
                <w14:textFill>
                  <w14:solidFill>
                    <w14:schemeClr w14:val="tx1"/>
                  </w14:solidFill>
                </w14:textFill>
              </w:rPr>
              <w:t>月，共</w:t>
            </w:r>
            <w:r>
              <w:rPr>
                <w:rFonts w:hint="eastAsia"/>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olor w:val="000000" w:themeColor="text1"/>
                <w:sz w:val="24"/>
                <w:szCs w:val="24"/>
                <w:highlight w:val="none"/>
                <w:lang w:val="en-GB"/>
                <w14:textFill>
                  <w14:solidFill>
                    <w14:schemeClr w14:val="tx1"/>
                  </w14:solidFill>
                </w14:textFill>
              </w:rPr>
              <w:t>个月时间。</w:t>
            </w:r>
          </w:p>
          <w:p w14:paraId="30D72041">
            <w:pPr>
              <w:spacing w:line="360" w:lineRule="auto"/>
              <w:ind w:right="-1" w:firstLine="480" w:firstLineChars="200"/>
              <w:contextualSpacing/>
              <w:jc w:val="left"/>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GB"/>
                <w14:textFill>
                  <w14:solidFill>
                    <w14:schemeClr w14:val="tx1"/>
                  </w14:solidFill>
                </w14:textFill>
              </w:rPr>
              <w:t>(3) 工程完建期：安排在202</w:t>
            </w:r>
            <w:r>
              <w:rPr>
                <w:rFonts w:hint="eastAsia"/>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olor w:val="000000" w:themeColor="text1"/>
                <w:sz w:val="24"/>
                <w:szCs w:val="24"/>
                <w:highlight w:val="none"/>
                <w:lang w:val="en-GB"/>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olor w:val="000000" w:themeColor="text1"/>
                <w:sz w:val="24"/>
                <w:szCs w:val="24"/>
                <w:highlight w:val="none"/>
                <w:lang w:val="en-GB"/>
                <w14:textFill>
                  <w14:solidFill>
                    <w14:schemeClr w14:val="tx1"/>
                  </w14:solidFill>
                </w14:textFill>
              </w:rPr>
              <w:t>月，共1个月。主要完成工程联合试运行及工程验收、施工场地清理等工作</w:t>
            </w:r>
            <w:r>
              <w:rPr>
                <w:rFonts w:ascii="Times New Roman" w:hAnsi="Times New Roman" w:eastAsia="宋体"/>
                <w:color w:val="000000" w:themeColor="text1"/>
                <w:sz w:val="24"/>
                <w:szCs w:val="24"/>
                <w14:textFill>
                  <w14:solidFill>
                    <w14:schemeClr w14:val="tx1"/>
                  </w14:solidFill>
                </w14:textFill>
              </w:rPr>
              <w:t>。</w:t>
            </w:r>
          </w:p>
        </w:tc>
      </w:tr>
      <w:tr w14:paraId="65694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noWrap w:val="0"/>
            <w:vAlign w:val="center"/>
          </w:tcPr>
          <w:p w14:paraId="6DC23BB3">
            <w:pPr>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其他</w:t>
            </w:r>
          </w:p>
        </w:tc>
        <w:tc>
          <w:tcPr>
            <w:tcW w:w="7844" w:type="dxa"/>
            <w:noWrap w:val="0"/>
            <w:vAlign w:val="bottom"/>
          </w:tcPr>
          <w:p w14:paraId="0FE32E74">
            <w:pPr>
              <w:pageBreakBefore w:val="0"/>
              <w:widowControl w:val="0"/>
              <w:kinsoku/>
              <w:wordWrap/>
              <w:overflowPunct/>
              <w:topLinePunct w:val="0"/>
              <w:autoSpaceDE/>
              <w:autoSpaceDN/>
              <w:bidi w:val="0"/>
              <w:adjustRightInd/>
              <w:snapToGrid/>
              <w:spacing w:line="360" w:lineRule="auto"/>
              <w:ind w:right="0"/>
              <w:contextualSpacing/>
              <w:jc w:val="left"/>
              <w:textAlignment w:val="auto"/>
              <w:outlineLvl w:val="1"/>
              <w:rPr>
                <w:rFonts w:hint="default" w:ascii="Times New Roman" w:hAnsi="Times New Roman"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rFonts w:hint="eastAsia" w:ascii="Times New Roman" w:hAnsi="Times New Roman" w:eastAsia="宋体"/>
                <w:b/>
                <w:bCs/>
                <w:color w:val="000000" w:themeColor="text1"/>
                <w:sz w:val="24"/>
                <w:szCs w:val="24"/>
                <w:lang w:val="en-US" w:eastAsia="zh-CN"/>
                <w14:textFill>
                  <w14:solidFill>
                    <w14:schemeClr w14:val="tx1"/>
                  </w14:solidFill>
                </w14:textFill>
              </w:rPr>
              <w:t>施工条件</w:t>
            </w:r>
          </w:p>
          <w:p w14:paraId="762A696F">
            <w:pPr>
              <w:pStyle w:val="4"/>
              <w:keepNext/>
              <w:keepLines/>
              <w:pageBreakBefore w:val="0"/>
              <w:widowControl w:val="0"/>
              <w:kinsoku/>
              <w:wordWrap/>
              <w:overflowPunct/>
              <w:topLinePunct w:val="0"/>
              <w:autoSpaceDE/>
              <w:autoSpaceDN/>
              <w:bidi w:val="0"/>
              <w:adjustRightInd/>
              <w:snapToGrid/>
              <w:spacing w:before="0" w:after="0" w:line="360" w:lineRule="auto"/>
              <w:ind w:right="0"/>
              <w:textAlignment w:val="auto"/>
              <w:outlineLvl w:val="1"/>
              <w:rPr>
                <w:rFonts w:hint="eastAsia" w:ascii="Times New Roman" w:hAnsi="Times New Roman" w:eastAsia="宋体" w:cs="宋体"/>
                <w:b/>
                <w:color w:val="000000" w:themeColor="text1"/>
                <w:sz w:val="24"/>
                <w:szCs w:val="24"/>
                <w:lang w:val="en-US" w:eastAsia="zh-CN"/>
                <w14:textFill>
                  <w14:solidFill>
                    <w14:schemeClr w14:val="tx1"/>
                  </w14:solidFill>
                </w14:textFill>
              </w:rPr>
            </w:pPr>
            <w:r>
              <w:rPr>
                <w:rFonts w:hint="eastAsia" w:ascii="Times New Roman" w:hAnsi="Times New Roman" w:eastAsia="宋体" w:cs="宋体"/>
                <w:b/>
                <w:color w:val="000000" w:themeColor="text1"/>
                <w:sz w:val="24"/>
                <w:szCs w:val="24"/>
                <w:lang w:val="en-US" w:eastAsia="zh-CN"/>
                <w14:textFill>
                  <w14:solidFill>
                    <w14:schemeClr w14:val="tx1"/>
                  </w14:solidFill>
                </w14:textFill>
              </w:rPr>
              <w:t>1）交通运输条件</w:t>
            </w:r>
          </w:p>
          <w:p w14:paraId="411034D7">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本工程对外交通条件便利，现有公路可以满足施工期外来物资的运输要求；所有治理河段沿河道两岸场地比较平坦、开阔，场内可利用的施工场地面积也较大，可满足施工场地的总体布置要求。</w:t>
            </w:r>
          </w:p>
          <w:p w14:paraId="5F674833">
            <w:pPr>
              <w:pStyle w:val="4"/>
              <w:keepNext/>
              <w:keepLines/>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outlineLvl w:val="1"/>
              <w:rPr>
                <w:rFonts w:hint="eastAsia" w:ascii="Times New Roman" w:hAnsi="Times New Roman" w:eastAsia="宋体" w:cs="宋体"/>
                <w:b/>
                <w:color w:val="FF0000"/>
                <w:sz w:val="24"/>
                <w:szCs w:val="24"/>
                <w:lang w:val="en-US" w:eastAsia="zh-CN"/>
              </w:rPr>
            </w:pPr>
            <w:r>
              <w:rPr>
                <w:rFonts w:hint="eastAsia" w:ascii="Times New Roman" w:hAnsi="Times New Roman" w:eastAsia="宋体" w:cs="宋体"/>
                <w:b/>
                <w:color w:val="FF0000"/>
                <w:sz w:val="24"/>
                <w:szCs w:val="24"/>
                <w:lang w:val="en-US" w:eastAsia="zh-CN"/>
              </w:rPr>
              <w:t>2）材料供应</w:t>
            </w:r>
          </w:p>
          <w:p w14:paraId="0628AD0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color w:val="FF0000"/>
                <w:sz w:val="24"/>
              </w:rPr>
              <w:t>主要建筑材料有水泥、砂子、石子等。砂子采用西峰巴家咀，石子由长庆桥供应，以上几种材料场均能满足</w:t>
            </w:r>
            <w:r>
              <w:rPr>
                <w:color w:val="FF0000"/>
                <w:kern w:val="44"/>
                <w:sz w:val="24"/>
              </w:rPr>
              <w:t>材料供应</w:t>
            </w:r>
            <w:r>
              <w:rPr>
                <w:color w:val="FF0000"/>
                <w:sz w:val="24"/>
              </w:rPr>
              <w:t>要求。</w:t>
            </w:r>
            <w:r>
              <w:rPr>
                <w:rFonts w:hint="eastAsia" w:ascii="Times New Roman" w:hAnsi="Times New Roman" w:eastAsia="宋体" w:cs="宋体"/>
                <w:color w:val="FF0000"/>
                <w:sz w:val="24"/>
                <w:szCs w:val="24"/>
                <w:highlight w:val="none"/>
                <w:lang w:eastAsia="zh-CN"/>
              </w:rPr>
              <w:t>所有工程所用混凝土</w:t>
            </w:r>
            <w:r>
              <w:rPr>
                <w:rFonts w:hint="eastAsia" w:cs="宋体"/>
                <w:color w:val="FF0000"/>
                <w:sz w:val="24"/>
                <w:szCs w:val="24"/>
                <w:highlight w:val="none"/>
                <w:lang w:eastAsia="zh-CN"/>
              </w:rPr>
              <w:t>均采用商品混凝土，不在现场进行搅拌，可从项目周边进行购买，因此</w:t>
            </w:r>
            <w:r>
              <w:rPr>
                <w:rFonts w:hint="eastAsia" w:ascii="Times New Roman" w:hAnsi="Times New Roman" w:eastAsia="宋体" w:cs="宋体"/>
                <w:color w:val="FF0000"/>
                <w:sz w:val="24"/>
                <w:szCs w:val="24"/>
                <w:highlight w:val="none"/>
                <w:lang w:eastAsia="zh-CN"/>
              </w:rPr>
              <w:t>满足施工需要。</w:t>
            </w:r>
          </w:p>
          <w:p w14:paraId="16E659B0">
            <w:pPr>
              <w:pStyle w:val="4"/>
              <w:keepNext/>
              <w:keepLines/>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outlineLvl w:val="1"/>
              <w:rPr>
                <w:rFonts w:hint="eastAsia" w:ascii="Times New Roman" w:hAnsi="Times New Roman" w:eastAsia="宋体" w:cs="宋体"/>
                <w:b/>
                <w:color w:val="000000" w:themeColor="text1"/>
                <w:sz w:val="24"/>
                <w:szCs w:val="24"/>
                <w:lang w:val="en-US" w:eastAsia="zh-CN"/>
                <w14:textFill>
                  <w14:solidFill>
                    <w14:schemeClr w14:val="tx1"/>
                  </w14:solidFill>
                </w14:textFill>
              </w:rPr>
            </w:pPr>
            <w:r>
              <w:rPr>
                <w:rFonts w:hint="eastAsia" w:ascii="Times New Roman" w:hAnsi="Times New Roman" w:eastAsia="宋体" w:cs="宋体"/>
                <w:b/>
                <w:color w:val="000000" w:themeColor="text1"/>
                <w:sz w:val="24"/>
                <w:szCs w:val="24"/>
                <w:lang w:val="en-US" w:eastAsia="zh-CN"/>
                <w14:textFill>
                  <w14:solidFill>
                    <w14:schemeClr w14:val="tx1"/>
                  </w14:solidFill>
                </w14:textFill>
              </w:rPr>
              <w:t>3）施工导流及围堰</w:t>
            </w:r>
          </w:p>
          <w:p w14:paraId="10CC7E5B">
            <w:pPr>
              <w:spacing w:line="360" w:lineRule="auto"/>
              <w:ind w:firstLine="480" w:firstLineChars="200"/>
              <w:contextualSpacing/>
              <w:jc w:val="left"/>
              <w:rPr>
                <w:rFonts w:hint="eastAsia" w:ascii="Times New Roman" w:hAnsi="Times New Roman" w:eastAsia="宋体" w:cs="宋体"/>
                <w:color w:val="000000" w:themeColor="text1"/>
                <w:sz w:val="24"/>
                <w:szCs w:val="24"/>
                <w:lang w:val="en-US" w:eastAsia="zh-CN"/>
                <w14:textFill>
                  <w14:solidFill>
                    <w14:schemeClr w14:val="tx1"/>
                  </w14:solidFill>
                </w14:textFill>
              </w:rPr>
            </w:pPr>
            <w:r>
              <w:rPr>
                <w:sz w:val="24"/>
              </w:rPr>
              <w:t>由于本工程治理河堤属5级，防洪标准按10年一遇洪水设计。根据《护岸工程施工规范》（SL260-2014）的规定，导流建筑物相应设计洪水重现期土石建筑物为3～5年一遇洪水，根据本工程结构形式和湘乐川洪水特点，选用5年一遇洪水标准。根据水文计算，汛期最大洪峰流量工程区末端</w:t>
            </w:r>
            <w:r>
              <w:rPr>
                <w:rFonts w:hint="eastAsia"/>
                <w:sz w:val="24"/>
              </w:rPr>
              <w:t>（11+410）</w:t>
            </w:r>
            <w:r>
              <w:rPr>
                <w:sz w:val="24"/>
              </w:rPr>
              <w:t>为</w:t>
            </w:r>
            <w:r>
              <w:rPr>
                <w:rFonts w:hint="eastAsia"/>
                <w:sz w:val="24"/>
              </w:rPr>
              <w:t xml:space="preserve">49.10 </w:t>
            </w:r>
            <w:r>
              <w:rPr>
                <w:sz w:val="24"/>
              </w:rPr>
              <w:t>m</w:t>
            </w:r>
            <w:r>
              <w:rPr>
                <w:sz w:val="24"/>
                <w:vertAlign w:val="superscript"/>
              </w:rPr>
              <w:t>3</w:t>
            </w:r>
            <w:r>
              <w:rPr>
                <w:sz w:val="24"/>
              </w:rPr>
              <w:t>/s</w:t>
            </w:r>
            <w:r>
              <w:rPr>
                <w:rFonts w:hint="eastAsia"/>
                <w:sz w:val="24"/>
              </w:rPr>
              <w:t>；</w:t>
            </w:r>
            <w:r>
              <w:rPr>
                <w:sz w:val="24"/>
              </w:rPr>
              <w:t>工程区</w:t>
            </w:r>
            <w:r>
              <w:rPr>
                <w:rFonts w:hint="eastAsia"/>
                <w:sz w:val="24"/>
              </w:rPr>
              <w:t>末端牛头沟以上控制断面（10+410）</w:t>
            </w:r>
            <w:r>
              <w:rPr>
                <w:sz w:val="24"/>
              </w:rPr>
              <w:t>为</w:t>
            </w:r>
            <w:r>
              <w:rPr>
                <w:rFonts w:hint="eastAsia"/>
                <w:sz w:val="24"/>
              </w:rPr>
              <w:t xml:space="preserve">42.46 </w:t>
            </w:r>
            <w:r>
              <w:rPr>
                <w:sz w:val="24"/>
              </w:rPr>
              <w:t>m</w:t>
            </w:r>
            <w:r>
              <w:rPr>
                <w:sz w:val="24"/>
                <w:vertAlign w:val="superscript"/>
              </w:rPr>
              <w:t>3</w:t>
            </w:r>
            <w:r>
              <w:rPr>
                <w:sz w:val="24"/>
              </w:rPr>
              <w:t>/s。经计算导流围堰高1～4.0m，顶宽2m，迎水坡坡比1:1.5，背水坡坡比1:1.25，用河床砂砾料填筑，相对密度0.65以上</w:t>
            </w:r>
            <w:r>
              <w:rPr>
                <w:rFonts w:hint="eastAsia" w:ascii="Times New Roman" w:hAnsi="Times New Roman" w:eastAsia="宋体" w:cs="宋体"/>
                <w:color w:val="000000" w:themeColor="text1"/>
                <w:sz w:val="24"/>
                <w:szCs w:val="24"/>
                <w:lang w:val="en-US" w:eastAsia="zh-CN"/>
                <w14:textFill>
                  <w14:solidFill>
                    <w14:schemeClr w14:val="tx1"/>
                  </w14:solidFill>
                </w14:textFill>
              </w:rPr>
              <w:t>。</w:t>
            </w:r>
          </w:p>
          <w:p w14:paraId="0756BF4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工程分段作砾质土围堰，以满足施工导流的需要和工程安全，基础工程需挖集水坑，采用水泵排水，以保证施工顺利进行</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41DFBED3">
            <w:pPr>
              <w:pageBreakBefore w:val="0"/>
              <w:widowControl w:val="0"/>
              <w:kinsoku/>
              <w:wordWrap/>
              <w:overflowPunct/>
              <w:topLinePunct w:val="0"/>
              <w:autoSpaceDE/>
              <w:autoSpaceDN/>
              <w:bidi w:val="0"/>
              <w:adjustRightInd/>
              <w:snapToGrid/>
              <w:spacing w:line="360" w:lineRule="auto"/>
              <w:ind w:right="0"/>
              <w:jc w:val="left"/>
              <w:textAlignment w:val="auto"/>
              <w:outlineLvl w:val="1"/>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工程占地</w:t>
            </w:r>
          </w:p>
          <w:p w14:paraId="4D0C696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宋体"/>
                <w:color w:val="FF0000"/>
                <w:sz w:val="24"/>
                <w:szCs w:val="24"/>
                <w:lang w:val="en-US" w:eastAsia="zh-CN"/>
              </w:rPr>
            </w:pPr>
            <w:r>
              <w:rPr>
                <w:rFonts w:hint="eastAsia" w:ascii="Times New Roman" w:hAnsi="Times New Roman" w:eastAsia="宋体" w:cs="宋体"/>
                <w:color w:val="FF0000"/>
                <w:sz w:val="24"/>
                <w:szCs w:val="24"/>
                <w:lang w:val="en-US" w:eastAsia="zh-CN"/>
              </w:rPr>
              <w:t>永久占地：宁县湘乐川前渠至宋庄段防洪治理工程主占地主要为</w:t>
            </w:r>
            <w:r>
              <w:rPr>
                <w:rFonts w:hint="eastAsia" w:cs="Times New Roman"/>
                <w:b w:val="0"/>
                <w:bCs w:val="0"/>
                <w:color w:val="FF0000"/>
                <w:sz w:val="24"/>
                <w:szCs w:val="24"/>
                <w:lang w:val="en-US" w:eastAsia="zh-CN"/>
              </w:rPr>
              <w:t>内陆滩涂</w:t>
            </w:r>
            <w:r>
              <w:rPr>
                <w:rFonts w:hint="eastAsia" w:ascii="Times New Roman" w:hAnsi="Times New Roman" w:eastAsia="宋体" w:cs="宋体"/>
                <w:color w:val="FF0000"/>
                <w:sz w:val="24"/>
                <w:szCs w:val="24"/>
                <w:lang w:val="en-US" w:eastAsia="zh-CN"/>
              </w:rPr>
              <w:t>。经计算工程永久占地面积81.33亩。</w:t>
            </w:r>
          </w:p>
          <w:p w14:paraId="08F3368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宋体"/>
                <w:color w:val="FF0000"/>
                <w:sz w:val="24"/>
                <w:szCs w:val="24"/>
                <w:lang w:val="en-US" w:eastAsia="zh-CN"/>
              </w:rPr>
            </w:pPr>
            <w:r>
              <w:rPr>
                <w:rFonts w:hint="eastAsia" w:ascii="Times New Roman" w:hAnsi="Times New Roman" w:eastAsia="宋体" w:cs="宋体"/>
                <w:color w:val="FF0000"/>
                <w:sz w:val="24"/>
                <w:szCs w:val="24"/>
                <w:lang w:val="en-US" w:eastAsia="zh-CN"/>
              </w:rPr>
              <w:t>临时占地：根据工程施工需要，</w:t>
            </w:r>
            <w:r>
              <w:rPr>
                <w:rFonts w:hint="eastAsia" w:cs="宋体"/>
                <w:color w:val="FF0000"/>
                <w:sz w:val="24"/>
                <w:szCs w:val="24"/>
                <w:lang w:val="en-US" w:eastAsia="zh-CN"/>
              </w:rPr>
              <w:t>临时</w:t>
            </w:r>
            <w:r>
              <w:rPr>
                <w:rFonts w:hint="eastAsia" w:ascii="Times New Roman" w:hAnsi="Times New Roman" w:eastAsia="宋体" w:cs="宋体"/>
                <w:color w:val="FF0000"/>
                <w:sz w:val="24"/>
                <w:szCs w:val="24"/>
                <w:lang w:val="en-US" w:eastAsia="zh-CN"/>
              </w:rPr>
              <w:t>占地50.24亩，</w:t>
            </w:r>
            <w:r>
              <w:rPr>
                <w:rFonts w:hint="eastAsia" w:cs="宋体"/>
                <w:color w:val="FF0000"/>
                <w:sz w:val="24"/>
                <w:szCs w:val="24"/>
                <w:lang w:val="en-US" w:eastAsia="zh-CN"/>
              </w:rPr>
              <w:t>占地类型为</w:t>
            </w:r>
            <w:r>
              <w:rPr>
                <w:rFonts w:hint="eastAsia" w:cs="Times New Roman"/>
                <w:b w:val="0"/>
                <w:bCs w:val="0"/>
                <w:color w:val="FF0000"/>
                <w:sz w:val="24"/>
                <w:szCs w:val="24"/>
                <w:lang w:val="en-US" w:eastAsia="zh-CN"/>
              </w:rPr>
              <w:t>内陆滩涂</w:t>
            </w:r>
            <w:r>
              <w:rPr>
                <w:rFonts w:hint="eastAsia" w:ascii="Times New Roman" w:hAnsi="Times New Roman" w:eastAsia="宋体" w:cs="宋体"/>
                <w:color w:val="FF0000"/>
                <w:sz w:val="24"/>
                <w:szCs w:val="24"/>
                <w:lang w:val="en-US" w:eastAsia="zh-CN"/>
              </w:rPr>
              <w:t>。</w:t>
            </w:r>
          </w:p>
          <w:p w14:paraId="5D1B4D08">
            <w:pPr>
              <w:pageBreakBefore w:val="0"/>
              <w:widowControl w:val="0"/>
              <w:kinsoku/>
              <w:wordWrap/>
              <w:overflowPunct/>
              <w:topLinePunct w:val="0"/>
              <w:autoSpaceDE w:val="0"/>
              <w:autoSpaceDN w:val="0"/>
              <w:bidi w:val="0"/>
              <w:adjustRightInd/>
              <w:snapToGrid/>
              <w:spacing w:line="360" w:lineRule="auto"/>
              <w:ind w:right="0"/>
              <w:contextualSpacing/>
              <w:textAlignment w:val="auto"/>
              <w:outlineLvl w:val="1"/>
              <w:rPr>
                <w:rFonts w:hint="eastAsia" w:eastAsia="宋体"/>
                <w:b/>
                <w:bCs/>
                <w:color w:val="000000" w:themeColor="text1"/>
                <w:sz w:val="24"/>
                <w:szCs w:val="24"/>
                <w:lang w:val="en-US" w:eastAsia="zh-CN"/>
                <w14:textFill>
                  <w14:solidFill>
                    <w14:schemeClr w14:val="tx1"/>
                  </w14:solidFill>
                </w14:textFill>
              </w:rPr>
            </w:pPr>
            <w:r>
              <w:rPr>
                <w:rFonts w:hint="eastAsia" w:eastAsia="宋体"/>
                <w:b/>
                <w:bCs/>
                <w:color w:val="000000" w:themeColor="text1"/>
                <w:sz w:val="24"/>
                <w:szCs w:val="24"/>
                <w:lang w:val="en-US" w:eastAsia="zh-CN"/>
                <w14:textFill>
                  <w14:solidFill>
                    <w14:schemeClr w14:val="tx1"/>
                  </w14:solidFill>
                </w14:textFill>
              </w:rPr>
              <w:t>3、工程地质条件</w:t>
            </w:r>
          </w:p>
          <w:p w14:paraId="328BFF9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）地形地貌</w:t>
            </w:r>
          </w:p>
          <w:p w14:paraId="79DBE0C5">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工程区地处关山—六盘山褶皱带移动的鄂尔多斯地台东南部，宁县境内基本地貌为：东部梁峁沟壑交错，中西部多川台河谷与高原沟壑相间，地形为东北高，西南低，东西长、南北窄，海拔在860m～1760m之间，相对高差900m。根据地貌的成因类型及形态特征分为黄土梁峁、黄土残塬、谷地等地貌单元，各单元内又有一系列的冲沟、陷穴、掌地、崾岘等次级地貌类型，现分别简述如下：</w:t>
            </w:r>
          </w:p>
          <w:p w14:paraId="5EB5472C">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黄土梁峁</w:t>
            </w:r>
            <w:r>
              <w:rPr>
                <w:rFonts w:hint="eastAsia"/>
                <w:color w:val="000000" w:themeColor="text1"/>
                <w:spacing w:val="0"/>
                <w:sz w:val="24"/>
                <w:szCs w:val="24"/>
                <w:lang w:eastAsia="zh-CN"/>
                <w14:textFill>
                  <w14:solidFill>
                    <w14:schemeClr w14:val="tx1"/>
                  </w14:solidFill>
                </w14:textFill>
              </w:rPr>
              <w:t>：</w:t>
            </w:r>
            <w:r>
              <w:rPr>
                <w:rFonts w:hint="eastAsia"/>
                <w:color w:val="000000" w:themeColor="text1"/>
                <w:spacing w:val="0"/>
                <w:sz w:val="24"/>
                <w:szCs w:val="24"/>
                <w14:textFill>
                  <w14:solidFill>
                    <w14:schemeClr w14:val="tx1"/>
                  </w14:solidFill>
                </w14:textFill>
              </w:rPr>
              <w:t>主要分布于东部。黄土梁一般长0.2～3.0km，梁顶宽 30～500m，相对高差100～400m，为黄土斜梁，局部呈峁状凸起，梁峁顶高程 900m～1700m，两侧斜坡坡度10～35º，梁间发育宽浅的掌形洼地及深切的冲沟，冲沟的溯源侵蚀作用较强烈，沟道两侧小型滑坡、崩塌发育，沟内多伴有泥石流的活动。梁峁地带的地层结构特点是上部被黄土覆盖，下部为白垩系泥质粉砂岩及砂岩。</w:t>
            </w:r>
          </w:p>
          <w:p w14:paraId="2A9F7C19">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黄土残塬</w:t>
            </w:r>
            <w:r>
              <w:rPr>
                <w:rFonts w:hint="eastAsia"/>
                <w:color w:val="000000" w:themeColor="text1"/>
                <w:spacing w:val="0"/>
                <w:sz w:val="24"/>
                <w:szCs w:val="24"/>
                <w:lang w:eastAsia="zh-CN"/>
                <w14:textFill>
                  <w14:solidFill>
                    <w14:schemeClr w14:val="tx1"/>
                  </w14:solidFill>
                </w14:textFill>
              </w:rPr>
              <w:t>：</w:t>
            </w:r>
            <w:r>
              <w:rPr>
                <w:rFonts w:hint="eastAsia"/>
                <w:color w:val="000000" w:themeColor="text1"/>
                <w:spacing w:val="0"/>
                <w:sz w:val="24"/>
                <w:szCs w:val="24"/>
                <w14:textFill>
                  <w14:solidFill>
                    <w14:schemeClr w14:val="tx1"/>
                  </w14:solidFill>
                </w14:textFill>
              </w:rPr>
              <w:t>分布于黄土梁峁区以及河流谷地外围各次级支沟间，塬面长4～12km不等，一般宽约0.6～2.0km，最宽处可达3km以上。塬面最小面积不足2.5km</w:t>
            </w:r>
            <w:r>
              <w:rPr>
                <w:rFonts w:hint="eastAsia"/>
                <w:color w:val="000000" w:themeColor="text1"/>
                <w:spacing w:val="0"/>
                <w:sz w:val="24"/>
                <w:szCs w:val="24"/>
                <w:vertAlign w:val="superscript"/>
                <w14:textFill>
                  <w14:solidFill>
                    <w14:schemeClr w14:val="tx1"/>
                  </w14:solidFill>
                </w14:textFill>
              </w:rPr>
              <w:t>2</w:t>
            </w:r>
            <w:r>
              <w:rPr>
                <w:rFonts w:hint="eastAsia"/>
                <w:color w:val="000000" w:themeColor="text1"/>
                <w:spacing w:val="0"/>
                <w:sz w:val="24"/>
                <w:szCs w:val="24"/>
                <w14:textFill>
                  <w14:solidFill>
                    <w14:schemeClr w14:val="tx1"/>
                  </w14:solidFill>
                </w14:textFill>
              </w:rPr>
              <w:t>，最大面积可达11km</w:t>
            </w:r>
            <w:r>
              <w:rPr>
                <w:rFonts w:hint="eastAsia"/>
                <w:color w:val="000000" w:themeColor="text1"/>
                <w:spacing w:val="0"/>
                <w:sz w:val="24"/>
                <w:szCs w:val="24"/>
                <w:vertAlign w:val="superscript"/>
                <w14:textFill>
                  <w14:solidFill>
                    <w14:schemeClr w14:val="tx1"/>
                  </w14:solidFill>
                </w14:textFill>
              </w:rPr>
              <w:t>2</w:t>
            </w:r>
            <w:r>
              <w:rPr>
                <w:rFonts w:hint="eastAsia"/>
                <w:color w:val="000000" w:themeColor="text1"/>
                <w:spacing w:val="0"/>
                <w:sz w:val="24"/>
                <w:szCs w:val="24"/>
                <w14:textFill>
                  <w14:solidFill>
                    <w14:schemeClr w14:val="tx1"/>
                  </w14:solidFill>
                </w14:textFill>
              </w:rPr>
              <w:t>左右，平坦开阔,塬侧四周为沟壑，次级冲沟发育，切割深度在200～350m，基底主要为白垩系下统环河组（K1hh）粉砂质泥岩及砂岩。残塬狭窄处形成崾岘地形，塬边斜坡地带黄土冲蚀、溶蚀地貌发育，自然坡度15～40º。</w:t>
            </w:r>
          </w:p>
          <w:p w14:paraId="1C49717C">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 xml:space="preserve"> 谷地</w:t>
            </w:r>
            <w:r>
              <w:rPr>
                <w:rFonts w:hint="eastAsia"/>
                <w:color w:val="000000" w:themeColor="text1"/>
                <w:spacing w:val="0"/>
                <w:sz w:val="24"/>
                <w:szCs w:val="24"/>
                <w:lang w:eastAsia="zh-CN"/>
                <w14:textFill>
                  <w14:solidFill>
                    <w14:schemeClr w14:val="tx1"/>
                  </w14:solidFill>
                </w14:textFill>
              </w:rPr>
              <w:t>：</w:t>
            </w:r>
            <w:r>
              <w:rPr>
                <w:rFonts w:hint="eastAsia"/>
                <w:color w:val="000000" w:themeColor="text1"/>
                <w:spacing w:val="0"/>
                <w:sz w:val="24"/>
                <w:szCs w:val="24"/>
                <w14:textFill>
                  <w14:solidFill>
                    <w14:schemeClr w14:val="tx1"/>
                  </w14:solidFill>
                </w14:textFill>
              </w:rPr>
              <w:t>系中更新世晚期以来，在区域地壳上升，侵蚀切割作用加剧后，由黄土沟谷发展而形成的“U”型河谷，河谷宽约0.2～2.5km，总体走向由北向南。河谷两侧为支离破碎的残塬，谷底低于外围塬面200～500m。现代河道宽约40～400m，河曲较发育，在两岸河谷共发育有Ⅰ～Ⅲ级河谷阶地。</w:t>
            </w:r>
          </w:p>
          <w:p w14:paraId="15F8EB7D">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湘乐河两岸谷地，Ⅰ级阶地较发育，为堆积阶地，阶面较平坦，微倾向河床，阶面高出现代河床约5～8m；Ⅱ级阶地基本成连续分布，亦为堆积阶地，Ⅱ级阶面宽约200～500m，表面平坦，阶面高于现代河床15～20m。Ⅲ级阶地两岸零星分布，不连续、不对称，阶面略向河床倾斜，横向坡降 5～10‰，宽50～100m，高出河床30～40m，后缘与河谷谷坡相接，阶面上冲沟发育，并延伸至谷坡之上。</w:t>
            </w:r>
          </w:p>
          <w:p w14:paraId="7824757E">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color w:val="000000" w:themeColor="text1"/>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次级地貌</w:t>
            </w:r>
            <w:r>
              <w:rPr>
                <w:rFonts w:hint="eastAsia"/>
                <w:color w:val="000000" w:themeColor="text1"/>
                <w:spacing w:val="0"/>
                <w:sz w:val="24"/>
                <w:szCs w:val="24"/>
                <w:lang w:eastAsia="zh-CN"/>
                <w14:textFill>
                  <w14:solidFill>
                    <w14:schemeClr w14:val="tx1"/>
                  </w14:solidFill>
                </w14:textFill>
              </w:rPr>
              <w:t>：</w:t>
            </w:r>
            <w:r>
              <w:rPr>
                <w:rFonts w:hint="eastAsia"/>
                <w:color w:val="000000" w:themeColor="text1"/>
                <w:spacing w:val="0"/>
                <w:sz w:val="24"/>
                <w:szCs w:val="24"/>
                <w14:textFill>
                  <w14:solidFill>
                    <w14:schemeClr w14:val="tx1"/>
                  </w14:solidFill>
                </w14:textFill>
              </w:rPr>
              <w:t>工程区内主要有发育于梁峁间的狭长洼地、掌地，发育于梁峁及残塬间的崾岘和各类地貌单元内的冲沟、陷穴</w:t>
            </w:r>
            <w:r>
              <w:rPr>
                <w:color w:val="000000" w:themeColor="text1"/>
                <w:sz w:val="24"/>
                <w:szCs w:val="24"/>
                <w14:textFill>
                  <w14:solidFill>
                    <w14:schemeClr w14:val="tx1"/>
                  </w14:solidFill>
                </w14:textFill>
              </w:rPr>
              <w:t>。</w:t>
            </w:r>
          </w:p>
          <w:p w14:paraId="063292F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）水文地质条件</w:t>
            </w:r>
          </w:p>
          <w:p w14:paraId="3B6DFBC5">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第四系孔隙潜水：赋存于塬区黄土及沟谷砂砾石层中。塬区含水层为老黄土及古黄土，地下水受大气降水补给，且多赋存于黄土孔洞、裂隙和孔隙中，在古土壤层形成局部上层滞水，水位埋深一般 </w:t>
            </w:r>
            <w:r>
              <w:rPr>
                <w:rFonts w:ascii="Times New Roman" w:eastAsia="Times New Roman"/>
                <w:color w:val="000000" w:themeColor="text1"/>
                <w:sz w:val="24"/>
                <w:szCs w:val="24"/>
                <w14:textFill>
                  <w14:solidFill>
                    <w14:schemeClr w14:val="tx1"/>
                  </w14:solidFill>
                </w14:textFill>
              </w:rPr>
              <w:t>20</w:t>
            </w:r>
            <w:r>
              <w:rPr>
                <w:color w:val="000000" w:themeColor="text1"/>
                <w:sz w:val="24"/>
                <w:szCs w:val="24"/>
                <w14:textFill>
                  <w14:solidFill>
                    <w14:schemeClr w14:val="tx1"/>
                  </w14:solidFill>
                </w14:textFill>
              </w:rPr>
              <w:t>～</w:t>
            </w:r>
            <w:r>
              <w:rPr>
                <w:rFonts w:ascii="Times New Roman" w:eastAsia="Times New Roman"/>
                <w:color w:val="000000" w:themeColor="text1"/>
                <w:sz w:val="24"/>
                <w:szCs w:val="24"/>
                <w14:textFill>
                  <w14:solidFill>
                    <w14:schemeClr w14:val="tx1"/>
                  </w14:solidFill>
                </w14:textFill>
              </w:rPr>
              <w:t>30m</w:t>
            </w:r>
            <w:r>
              <w:rPr>
                <w:color w:val="000000" w:themeColor="text1"/>
                <w:sz w:val="24"/>
                <w:szCs w:val="24"/>
                <w14:textFill>
                  <w14:solidFill>
                    <w14:schemeClr w14:val="tx1"/>
                  </w14:solidFill>
                </w14:textFill>
              </w:rPr>
              <w:t>，为当地村民生活用水源，在冲沟中以泉水形式排出，对普通水泥无腐蚀性。沟谷区地下水受大气降水及残塬区潜水补给，向河道及其下游排泄，水量小。</w:t>
            </w:r>
          </w:p>
          <w:p w14:paraId="45A83FEA">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基岩裂隙水：赋存于白垩系泥质砂岩夹页岩、细砂岩裂隙及风化带中，受第四系孔隙性潜水补给，向河谷排泄或以泉水溢出，水量较小。湘乐川河Ⅰ级阶地地下水埋深</w:t>
            </w:r>
            <w:r>
              <w:rPr>
                <w:rFonts w:ascii="Times New Roman" w:hAnsi="Times New Roman" w:eastAsia="Times New Roman"/>
                <w:color w:val="000000" w:themeColor="text1"/>
                <w:sz w:val="24"/>
                <w:szCs w:val="24"/>
                <w14:textFill>
                  <w14:solidFill>
                    <w14:schemeClr w14:val="tx1"/>
                  </w14:solidFill>
                </w14:textFill>
              </w:rPr>
              <w:t>10m</w:t>
            </w:r>
            <w:r>
              <w:rPr>
                <w:color w:val="000000" w:themeColor="text1"/>
                <w:sz w:val="24"/>
                <w:szCs w:val="24"/>
                <w14:textFill>
                  <w14:solidFill>
                    <w14:schemeClr w14:val="tx1"/>
                  </w14:solidFill>
                </w14:textFill>
              </w:rPr>
              <w:t>，河漫滩地下水埋深</w:t>
            </w:r>
            <w:r>
              <w:rPr>
                <w:rFonts w:ascii="Times New Roman" w:hAnsi="Times New Roman" w:eastAsia="Times New Roman"/>
                <w:color w:val="000000" w:themeColor="text1"/>
                <w:sz w:val="24"/>
                <w:szCs w:val="24"/>
                <w14:textFill>
                  <w14:solidFill>
                    <w14:schemeClr w14:val="tx1"/>
                  </w14:solidFill>
                </w14:textFill>
              </w:rPr>
              <w:t>1.5m</w:t>
            </w:r>
            <w:r>
              <w:rPr>
                <w:color w:val="000000" w:themeColor="text1"/>
                <w:sz w:val="24"/>
                <w:szCs w:val="24"/>
                <w14:textFill>
                  <w14:solidFill>
                    <w14:schemeClr w14:val="tx1"/>
                  </w14:solidFill>
                </w14:textFill>
              </w:rPr>
              <w:t>。分布于河床、河漫滩及Ⅰ阶地。</w:t>
            </w:r>
          </w:p>
          <w:p w14:paraId="204F9DD7">
            <w:pPr>
              <w:pStyle w:val="9"/>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page">
                        <wp:posOffset>2729230</wp:posOffset>
                      </wp:positionH>
                      <wp:positionV relativeFrom="paragraph">
                        <wp:posOffset>439420</wp:posOffset>
                      </wp:positionV>
                      <wp:extent cx="536575" cy="762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36575" cy="76200"/>
                              </a:xfrm>
                              <a:prstGeom prst="rect">
                                <a:avLst/>
                              </a:prstGeom>
                              <a:noFill/>
                              <a:ln>
                                <a:noFill/>
                              </a:ln>
                            </wps:spPr>
                            <wps:txbx>
                              <w:txbxContent>
                                <w:p w14:paraId="1F8F52FF">
                                  <w:pPr>
                                    <w:tabs>
                                      <w:tab w:val="left" w:pos="784"/>
                                    </w:tabs>
                                    <w:spacing w:before="0" w:line="120" w:lineRule="exact"/>
                                    <w:ind w:left="0" w:right="0" w:firstLine="0"/>
                                    <w:jc w:val="left"/>
                                    <w:rPr>
                                      <w:sz w:val="12"/>
                                    </w:rPr>
                                  </w:pPr>
                                  <w:r>
                                    <w:rPr>
                                      <w:sz w:val="12"/>
                                    </w:rPr>
                                    <w:t>3</w:t>
                                  </w:r>
                                  <w:r>
                                    <w:rPr>
                                      <w:sz w:val="12"/>
                                    </w:rPr>
                                    <w:tab/>
                                  </w:r>
                                  <w:r>
                                    <w:rPr>
                                      <w:spacing w:val="-20"/>
                                      <w:sz w:val="12"/>
                                    </w:rPr>
                                    <w:t>4</w:t>
                                  </w:r>
                                </w:p>
                              </w:txbxContent>
                            </wps:txbx>
                            <wps:bodyPr lIns="0" tIns="0" rIns="0" bIns="0" upright="1"/>
                          </wps:wsp>
                        </a:graphicData>
                      </a:graphic>
                    </wp:anchor>
                  </w:drawing>
                </mc:Choice>
                <mc:Fallback>
                  <w:pict>
                    <v:shape id="_x0000_s1026" o:spid="_x0000_s1026" o:spt="202" type="#_x0000_t202" style="position:absolute;left:0pt;margin-left:214.9pt;margin-top:34.6pt;height:6pt;width:42.25pt;mso-position-horizontal-relative:page;z-index:-251657216;mso-width-relative:page;mso-height-relative:page;" filled="f" stroked="f" coordsize="21600,21600" o:gfxdata="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JYof3ZAAAACQEAAA8AAAAAAAAAAQAgAAAAIgAAAGRycy9kb3ducmV2LnhtbFBLAQIU&#10;ABQAAAAIAIdO4kALeW0/uQEAAHADAAAOAAAAAAAAAAEAIAAAACgBAABkcnMvZTJvRG9jLnhtbFBL&#10;BQYAAAAABgAGAFkBAABTBQAAAAA=&#10;">
                      <v:fill on="f" focussize="0,0"/>
                      <v:stroke on="f"/>
                      <v:imagedata o:title=""/>
                      <o:lock v:ext="edit" aspectratio="f"/>
                      <v:textbox inset="0mm,0mm,0mm,0mm">
                        <w:txbxContent>
                          <w:p w14:paraId="1F8F52FF">
                            <w:pPr>
                              <w:tabs>
                                <w:tab w:val="left" w:pos="784"/>
                              </w:tabs>
                              <w:spacing w:before="0" w:line="120" w:lineRule="exact"/>
                              <w:ind w:left="0" w:right="0" w:firstLine="0"/>
                              <w:jc w:val="left"/>
                              <w:rPr>
                                <w:sz w:val="12"/>
                              </w:rPr>
                            </w:pPr>
                            <w:r>
                              <w:rPr>
                                <w:sz w:val="12"/>
                              </w:rPr>
                              <w:t>3</w:t>
                            </w:r>
                            <w:r>
                              <w:rPr>
                                <w:sz w:val="12"/>
                              </w:rPr>
                              <w:tab/>
                            </w:r>
                            <w:r>
                              <w:rPr>
                                <w:spacing w:val="-20"/>
                                <w:sz w:val="12"/>
                              </w:rPr>
                              <w:t>4</w:t>
                            </w:r>
                          </w:p>
                        </w:txbxContent>
                      </v:textbox>
                    </v:shape>
                  </w:pict>
                </mc:Fallback>
              </mc:AlternateContent>
            </w:r>
            <w:r>
              <w:rPr>
                <w:color w:val="000000" w:themeColor="text1"/>
                <w:spacing w:val="-5"/>
                <w:sz w:val="24"/>
                <w:szCs w:val="24"/>
                <w14:textFill>
                  <w14:solidFill>
                    <w14:schemeClr w14:val="tx1"/>
                  </w14:solidFill>
                </w14:textFill>
              </w:rPr>
              <w:t>本阶段在治理河段采取</w:t>
            </w:r>
            <w:r>
              <w:rPr>
                <w:color w:val="000000" w:themeColor="text1"/>
                <w:sz w:val="24"/>
                <w:szCs w:val="24"/>
                <w14:textFill>
                  <w14:solidFill>
                    <w14:schemeClr w14:val="tx1"/>
                  </w14:solidFill>
                </w14:textFill>
              </w:rPr>
              <w:t>1</w:t>
            </w:r>
            <w:r>
              <w:rPr>
                <w:color w:val="000000" w:themeColor="text1"/>
                <w:spacing w:val="-6"/>
                <w:sz w:val="24"/>
                <w:szCs w:val="24"/>
                <w14:textFill>
                  <w14:solidFill>
                    <w14:schemeClr w14:val="tx1"/>
                  </w14:solidFill>
                </w14:textFill>
              </w:rPr>
              <w:t>组水样，水质分析成果见水质化验单，湘乐川治理河</w:t>
            </w:r>
            <w:r>
              <w:rPr>
                <w:color w:val="000000" w:themeColor="text1"/>
                <w:spacing w:val="20"/>
                <w:sz w:val="24"/>
                <w:szCs w:val="24"/>
                <w14:textFill>
                  <w14:solidFill>
                    <w14:schemeClr w14:val="tx1"/>
                  </w14:solidFill>
                </w14:textFill>
              </w:rPr>
              <w:t>段河水水质类型为</w:t>
            </w:r>
            <w:r>
              <w:rPr>
                <w:color w:val="000000" w:themeColor="text1"/>
                <w:sz w:val="21"/>
                <w:szCs w:val="21"/>
                <w14:textFill>
                  <w14:solidFill>
                    <w14:schemeClr w14:val="tx1"/>
                  </w14:solidFill>
                </w14:textFill>
              </w:rPr>
              <w:t>HC0</w:t>
            </w:r>
            <w:r>
              <w:rPr>
                <w:color w:val="000000" w:themeColor="text1"/>
                <w:spacing w:val="2"/>
                <w14:textFill>
                  <w14:solidFill>
                    <w14:schemeClr w14:val="tx1"/>
                  </w14:solidFill>
                </w14:textFill>
              </w:rPr>
              <w:t xml:space="preserve"> </w:t>
            </w:r>
            <w:r>
              <w:rPr>
                <w:color w:val="000000" w:themeColor="text1"/>
                <w:spacing w:val="-15"/>
                <w:position w:val="12"/>
                <w:sz w:val="12"/>
                <w14:textFill>
                  <w14:solidFill>
                    <w14:schemeClr w14:val="tx1"/>
                  </w14:solidFill>
                </w14:textFill>
              </w:rPr>
              <w:t xml:space="preserve">一 </w:t>
            </w:r>
            <w:r>
              <w:rPr>
                <w:color w:val="000000" w:themeColor="text1"/>
                <w:spacing w:val="-45"/>
                <w14:textFill>
                  <w14:solidFill>
                    <w14:schemeClr w14:val="tx1"/>
                  </w14:solidFill>
                </w14:textFill>
              </w:rPr>
              <w:t xml:space="preserve">— </w:t>
            </w:r>
            <w:r>
              <w:rPr>
                <w:color w:val="000000" w:themeColor="text1"/>
                <w14:textFill>
                  <w14:solidFill>
                    <w14:schemeClr w14:val="tx1"/>
                  </w14:solidFill>
                </w14:textFill>
              </w:rPr>
              <w:t>S0</w:t>
            </w:r>
            <w:r>
              <w:rPr>
                <w:color w:val="000000" w:themeColor="text1"/>
                <w:spacing w:val="-60"/>
                <w14:textFill>
                  <w14:solidFill>
                    <w14:schemeClr w14:val="tx1"/>
                  </w14:solidFill>
                </w14:textFill>
              </w:rPr>
              <w:t xml:space="preserve"> </w:t>
            </w:r>
            <w:r>
              <w:rPr>
                <w:color w:val="000000" w:themeColor="text1"/>
                <w:position w:val="12"/>
                <w:sz w:val="12"/>
                <w14:textFill>
                  <w14:solidFill>
                    <w14:schemeClr w14:val="tx1"/>
                  </w14:solidFill>
                </w14:textFill>
              </w:rPr>
              <w:t>2</w:t>
            </w:r>
            <w:r>
              <w:rPr>
                <w:color w:val="000000" w:themeColor="text1"/>
                <w:spacing w:val="-27"/>
                <w:position w:val="12"/>
                <w:sz w:val="12"/>
                <w14:textFill>
                  <w14:solidFill>
                    <w14:schemeClr w14:val="tx1"/>
                  </w14:solidFill>
                </w14:textFill>
              </w:rPr>
              <w:t xml:space="preserve"> </w:t>
            </w:r>
            <w:r>
              <w:rPr>
                <w:color w:val="000000" w:themeColor="text1"/>
                <w:spacing w:val="-45"/>
                <w14:textFill>
                  <w14:solidFill>
                    <w14:schemeClr w14:val="tx1"/>
                  </w14:solidFill>
                </w14:textFill>
              </w:rPr>
              <w:t xml:space="preserve">— </w:t>
            </w:r>
            <w:r>
              <w:rPr>
                <w:color w:val="000000" w:themeColor="text1"/>
                <w14:textFill>
                  <w14:solidFill>
                    <w14:schemeClr w14:val="tx1"/>
                  </w14:solidFill>
                </w14:textFill>
              </w:rPr>
              <w:t>Ca</w:t>
            </w:r>
            <w:r>
              <w:rPr>
                <w:color w:val="000000" w:themeColor="text1"/>
                <w:position w:val="12"/>
                <w:sz w:val="12"/>
                <w14:textFill>
                  <w14:solidFill>
                    <w14:schemeClr w14:val="tx1"/>
                  </w14:solidFill>
                </w14:textFill>
              </w:rPr>
              <w:t>2+</w:t>
            </w:r>
            <w:r>
              <w:rPr>
                <w:color w:val="000000" w:themeColor="text1"/>
                <w:spacing w:val="-27"/>
                <w:position w:val="12"/>
                <w:sz w:val="12"/>
                <w14:textFill>
                  <w14:solidFill>
                    <w14:schemeClr w14:val="tx1"/>
                  </w14:solidFill>
                </w14:textFill>
              </w:rPr>
              <w:t xml:space="preserve"> </w:t>
            </w:r>
            <w:r>
              <w:rPr>
                <w:color w:val="000000" w:themeColor="text1"/>
                <w:spacing w:val="-45"/>
                <w14:textFill>
                  <w14:solidFill>
                    <w14:schemeClr w14:val="tx1"/>
                  </w14:solidFill>
                </w14:textFill>
              </w:rPr>
              <w:t xml:space="preserve">— </w:t>
            </w:r>
            <w:r>
              <w:rPr>
                <w:color w:val="000000" w:themeColor="text1"/>
                <w14:textFill>
                  <w14:solidFill>
                    <w14:schemeClr w14:val="tx1"/>
                  </w14:solidFill>
                </w14:textFill>
              </w:rPr>
              <w:t>K</w:t>
            </w:r>
            <w:r>
              <w:rPr>
                <w:color w:val="000000" w:themeColor="text1"/>
                <w:position w:val="12"/>
                <w:sz w:val="12"/>
                <w14:textFill>
                  <w14:solidFill>
                    <w14:schemeClr w14:val="tx1"/>
                  </w14:solidFill>
                </w14:textFill>
              </w:rPr>
              <w:t>+</w:t>
            </w:r>
            <w:r>
              <w:rPr>
                <w:color w:val="000000" w:themeColor="text1"/>
                <w14:textFill>
                  <w14:solidFill>
                    <w14:schemeClr w14:val="tx1"/>
                  </w14:solidFill>
                </w14:textFill>
              </w:rPr>
              <w:t>+Na</w:t>
            </w:r>
            <w:r>
              <w:rPr>
                <w:color w:val="000000" w:themeColor="text1"/>
                <w:spacing w:val="-15"/>
                <w:position w:val="12"/>
                <w:sz w:val="12"/>
                <w14:textFill>
                  <w14:solidFill>
                    <w14:schemeClr w14:val="tx1"/>
                  </w14:solidFill>
                </w14:textFill>
              </w:rPr>
              <w:t xml:space="preserve">+ </w:t>
            </w:r>
            <w:r>
              <w:rPr>
                <w:color w:val="000000" w:themeColor="text1"/>
                <w:spacing w:val="-44"/>
                <w14:textFill>
                  <w14:solidFill>
                    <w14:schemeClr w14:val="tx1"/>
                  </w14:solidFill>
                </w14:textFill>
              </w:rPr>
              <w:t xml:space="preserve">— </w:t>
            </w:r>
            <w:r>
              <w:rPr>
                <w:color w:val="000000" w:themeColor="text1"/>
                <w14:textFill>
                  <w14:solidFill>
                    <w14:schemeClr w14:val="tx1"/>
                  </w14:solidFill>
                </w14:textFill>
              </w:rPr>
              <w:t>Mg</w:t>
            </w:r>
            <w:r>
              <w:rPr>
                <w:color w:val="000000" w:themeColor="text1"/>
                <w:position w:val="12"/>
                <w:sz w:val="12"/>
                <w14:textFill>
                  <w14:solidFill>
                    <w14:schemeClr w14:val="tx1"/>
                  </w14:solidFill>
                </w14:textFill>
              </w:rPr>
              <w:t>2+</w:t>
            </w:r>
            <w:r>
              <w:rPr>
                <w:color w:val="000000" w:themeColor="text1"/>
                <w:spacing w:val="-29"/>
                <w:position w:val="12"/>
                <w:sz w:val="12"/>
                <w14:textFill>
                  <w14:solidFill>
                    <w14:schemeClr w14:val="tx1"/>
                  </w14:solidFill>
                </w14:textFill>
              </w:rPr>
              <w:t xml:space="preserve"> </w:t>
            </w:r>
            <w:r>
              <w:rPr>
                <w:rFonts w:hint="eastAsia"/>
                <w:color w:val="000000" w:themeColor="text1"/>
                <w:spacing w:val="14"/>
                <w:sz w:val="24"/>
                <w:szCs w:val="24"/>
                <w:lang w:val="en-US" w:eastAsia="zh-CN"/>
                <w14:textFill>
                  <w14:solidFill>
                    <w14:schemeClr w14:val="tx1"/>
                  </w14:solidFill>
                </w14:textFill>
              </w:rPr>
              <w:t>,</w:t>
            </w:r>
            <w:r>
              <w:rPr>
                <w:color w:val="000000" w:themeColor="text1"/>
                <w:spacing w:val="14"/>
                <w:sz w:val="24"/>
                <w:szCs w:val="24"/>
                <w14:textFill>
                  <w14:solidFill>
                    <w14:schemeClr w14:val="tx1"/>
                  </w14:solidFill>
                </w14:textFill>
              </w:rPr>
              <w:t>硫酸根离子含量为462.00mg/L，</w:t>
            </w:r>
            <w:r>
              <w:rPr>
                <w:rFonts w:ascii="Times New Roman" w:hAnsi="Times New Roman" w:eastAsia="Times New Roman"/>
                <w:color w:val="000000" w:themeColor="text1"/>
                <w:spacing w:val="14"/>
                <w:sz w:val="24"/>
                <w:szCs w:val="24"/>
                <w14:textFill>
                  <w14:solidFill>
                    <w14:schemeClr w14:val="tx1"/>
                  </w14:solidFill>
                </w14:textFill>
              </w:rPr>
              <w:t>PH</w:t>
            </w:r>
            <w:r>
              <w:rPr>
                <w:color w:val="000000" w:themeColor="text1"/>
                <w:sz w:val="24"/>
                <w:szCs w:val="24"/>
                <w14:textFill>
                  <w14:solidFill>
                    <w14:schemeClr w14:val="tx1"/>
                  </w14:solidFill>
                </w14:textFill>
              </w:rPr>
              <w:t>值：</w:t>
            </w:r>
            <w:r>
              <w:rPr>
                <w:rFonts w:ascii="Times New Roman" w:hAnsi="Times New Roman" w:eastAsia="Times New Roman"/>
                <w:color w:val="000000" w:themeColor="text1"/>
                <w:sz w:val="24"/>
                <w:szCs w:val="24"/>
                <w14:textFill>
                  <w14:solidFill>
                    <w14:schemeClr w14:val="tx1"/>
                  </w14:solidFill>
                </w14:textFill>
              </w:rPr>
              <w:t>8.02mg/L</w:t>
            </w:r>
            <w:r>
              <w:rPr>
                <w:color w:val="000000" w:themeColor="text1"/>
                <w:sz w:val="24"/>
                <w:szCs w:val="24"/>
                <w14:textFill>
                  <w14:solidFill>
                    <w14:schemeClr w14:val="tx1"/>
                  </w14:solidFill>
                </w14:textFill>
              </w:rPr>
              <w:t>，镁：</w:t>
            </w:r>
            <w:r>
              <w:rPr>
                <w:rFonts w:ascii="Times New Roman" w:hAnsi="Times New Roman" w:eastAsia="Times New Roman"/>
                <w:color w:val="000000" w:themeColor="text1"/>
                <w:sz w:val="24"/>
                <w:szCs w:val="24"/>
                <w14:textFill>
                  <w14:solidFill>
                    <w14:schemeClr w14:val="tx1"/>
                  </w14:solidFill>
                </w14:textFill>
              </w:rPr>
              <w:t>1.69mg/L</w:t>
            </w:r>
            <w:r>
              <w:rPr>
                <w:color w:val="000000" w:themeColor="text1"/>
                <w:sz w:val="24"/>
                <w:szCs w:val="24"/>
                <w14:textFill>
                  <w14:solidFill>
                    <w14:schemeClr w14:val="tx1"/>
                  </w14:solidFill>
                </w14:textFill>
              </w:rPr>
              <w:t>，河水对混凝土结构无腐蚀性。</w:t>
            </w:r>
          </w:p>
          <w:p w14:paraId="6D8F756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）工程地质条件</w:t>
            </w:r>
          </w:p>
          <w:p w14:paraId="7822D66D">
            <w:pPr>
              <w:pStyle w:val="48"/>
              <w:keepNext w:val="0"/>
              <w:keepLines w:val="0"/>
              <w:pageBreakBefore w:val="0"/>
              <w:numPr>
                <w:ilvl w:val="0"/>
                <w:numId w:val="0"/>
              </w:numPr>
              <w:tabs>
                <w:tab w:val="left" w:pos="1002"/>
              </w:tabs>
              <w:kinsoku/>
              <w:wordWrap/>
              <w:overflowPunct/>
              <w:topLinePunct w:val="0"/>
              <w:autoSpaceDE/>
              <w:autoSpaceDN/>
              <w:bidi w:val="0"/>
              <w:adjustRightInd/>
              <w:snapToGrid/>
              <w:spacing w:line="360" w:lineRule="auto"/>
              <w:ind w:right="0" w:rightChars="0" w:firstLine="480" w:firstLineChars="200"/>
              <w:jc w:val="left"/>
              <w:textAlignment w:val="auto"/>
              <w:rPr>
                <w:color w:val="000000" w:themeColor="text1"/>
                <w:sz w:val="24"/>
                <w:szCs w:val="24"/>
                <w14:textFill>
                  <w14:solidFill>
                    <w14:schemeClr w14:val="tx1"/>
                  </w14:solidFill>
                </w14:textFill>
              </w:rPr>
            </w:pPr>
            <w:r>
              <w:rPr>
                <w:color w:val="000000" w:themeColor="text1"/>
                <w:position w:val="2"/>
                <w:sz w:val="24"/>
                <w:szCs w:val="24"/>
                <w14:textFill>
                  <w14:solidFill>
                    <w14:schemeClr w14:val="tx1"/>
                  </w14:solidFill>
                </w14:textFill>
              </w:rPr>
              <w:t>拟建护岸工程堤基岩性为第四系全新统</w:t>
            </w:r>
            <w:r>
              <w:rPr>
                <w:rFonts w:ascii="Times New Roman" w:eastAsia="Times New Roman"/>
                <w:color w:val="000000" w:themeColor="text1"/>
                <w:position w:val="2"/>
                <w:sz w:val="24"/>
                <w:szCs w:val="24"/>
                <w14:textFill>
                  <w14:solidFill>
                    <w14:schemeClr w14:val="tx1"/>
                  </w14:solidFill>
                </w14:textFill>
              </w:rPr>
              <w:t>(Q</w:t>
            </w:r>
            <w:r>
              <w:rPr>
                <w:rFonts w:ascii="Times New Roman" w:eastAsia="Times New Roman"/>
                <w:color w:val="000000" w:themeColor="text1"/>
                <w:position w:val="2"/>
                <w:sz w:val="24"/>
                <w:szCs w:val="24"/>
                <w:vertAlign w:val="subscript"/>
                <w14:textFill>
                  <w14:solidFill>
                    <w14:schemeClr w14:val="tx1"/>
                  </w14:solidFill>
                </w14:textFill>
              </w:rPr>
              <w:t>4</w:t>
            </w:r>
            <w:r>
              <w:rPr>
                <w:rFonts w:ascii="Times New Roman" w:eastAsia="Times New Roman"/>
                <w:color w:val="000000" w:themeColor="text1"/>
                <w:position w:val="2"/>
                <w:sz w:val="24"/>
                <w:szCs w:val="24"/>
                <w:vertAlign w:val="baseline"/>
                <w14:textFill>
                  <w14:solidFill>
                    <w14:schemeClr w14:val="tx1"/>
                  </w14:solidFill>
                </w14:textFill>
              </w:rPr>
              <w:t>)</w:t>
            </w:r>
            <w:r>
              <w:rPr>
                <w:color w:val="000000" w:themeColor="text1"/>
                <w:spacing w:val="-2"/>
                <w:position w:val="2"/>
                <w:sz w:val="24"/>
                <w:szCs w:val="24"/>
                <w:vertAlign w:val="baseline"/>
                <w14:textFill>
                  <w14:solidFill>
                    <w14:schemeClr w14:val="tx1"/>
                  </w14:solidFill>
                </w14:textFill>
              </w:rPr>
              <w:t>冲洪积砂卵砾石，堤基范围内无</w:t>
            </w:r>
            <w:r>
              <w:rPr>
                <w:color w:val="000000" w:themeColor="text1"/>
                <w:sz w:val="24"/>
                <w:szCs w:val="24"/>
                <w:vertAlign w:val="baseline"/>
                <w14:textFill>
                  <w14:solidFill>
                    <w14:schemeClr w14:val="tx1"/>
                  </w14:solidFill>
                </w14:textFill>
              </w:rPr>
              <w:t>不良堤基土分布，地基承载力高，抗滑稳定条件好。</w:t>
            </w:r>
          </w:p>
          <w:p w14:paraId="1A70F276">
            <w:pPr>
              <w:autoSpaceDE w:val="0"/>
              <w:autoSpaceDN w:val="0"/>
              <w:adjustRightInd w:val="0"/>
              <w:spacing w:line="360" w:lineRule="auto"/>
              <w:ind w:right="-1"/>
              <w:contextualSpacing/>
              <w:outlineLvl w:val="1"/>
              <w:rPr>
                <w:rFonts w:hint="eastAsia" w:eastAsia="宋体"/>
                <w:b/>
                <w:bCs/>
                <w:color w:val="000000" w:themeColor="text1"/>
                <w:sz w:val="24"/>
                <w:szCs w:val="24"/>
                <w:lang w:val="en-US" w:eastAsia="zh-CN"/>
                <w14:textFill>
                  <w14:solidFill>
                    <w14:schemeClr w14:val="tx1"/>
                  </w14:solidFill>
                </w14:textFill>
              </w:rPr>
            </w:pPr>
            <w:r>
              <w:rPr>
                <w:color w:val="000000" w:themeColor="text1"/>
                <w:spacing w:val="-6"/>
                <w:sz w:val="24"/>
                <w:szCs w:val="24"/>
                <w14:textFill>
                  <w14:solidFill>
                    <w14:schemeClr w14:val="tx1"/>
                  </w14:solidFill>
                </w14:textFill>
              </w:rPr>
              <w:t>抗冲刷条件：治理河段属冲刷堆积型河道，治理河段为暴雨排洪段，洪水季</w:t>
            </w:r>
            <w:r>
              <w:rPr>
                <w:color w:val="000000" w:themeColor="text1"/>
                <w:spacing w:val="-10"/>
                <w:sz w:val="24"/>
                <w:szCs w:val="24"/>
                <w14:textFill>
                  <w14:solidFill>
                    <w14:schemeClr w14:val="tx1"/>
                  </w14:solidFill>
                </w14:textFill>
              </w:rPr>
              <w:t>节水流侧蚀疆烈。砂卵砾石地基抗冲刷能力较差，堤基础需置于最大冲刷深度以下</w:t>
            </w:r>
            <w:r>
              <w:rPr>
                <w:rFonts w:hint="eastAsia"/>
                <w:color w:val="000000" w:themeColor="text1"/>
                <w:spacing w:val="-10"/>
                <w:sz w:val="24"/>
                <w:szCs w:val="24"/>
                <w:lang w:eastAsia="zh-CN"/>
                <w14:textFill>
                  <w14:solidFill>
                    <w14:schemeClr w14:val="tx1"/>
                  </w14:solidFill>
                </w14:textFill>
              </w:rPr>
              <w:t>。</w:t>
            </w:r>
          </w:p>
          <w:p w14:paraId="0276A2A1">
            <w:pPr>
              <w:autoSpaceDE w:val="0"/>
              <w:autoSpaceDN w:val="0"/>
              <w:adjustRightInd w:val="0"/>
              <w:spacing w:line="360" w:lineRule="auto"/>
              <w:ind w:right="-1"/>
              <w:contextualSpacing/>
              <w:outlineLvl w:val="1"/>
              <w:rPr>
                <w:rFonts w:ascii="Times New Roman" w:hAnsi="Times New Roman" w:eastAsia="宋体"/>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ascii="Times New Roman" w:hAnsi="Times New Roman" w:eastAsia="宋体"/>
                <w:b/>
                <w:bCs/>
                <w:color w:val="000000" w:themeColor="text1"/>
                <w:sz w:val="24"/>
                <w:szCs w:val="24"/>
                <w14:textFill>
                  <w14:solidFill>
                    <w14:schemeClr w14:val="tx1"/>
                  </w14:solidFill>
                </w14:textFill>
              </w:rPr>
              <w:t>劳动定员与工作制度</w:t>
            </w:r>
          </w:p>
          <w:p w14:paraId="5830CA32">
            <w:pPr>
              <w:spacing w:line="360" w:lineRule="auto"/>
              <w:ind w:firstLine="480" w:firstLineChars="200"/>
              <w:rPr>
                <w:rFonts w:ascii="Times New Roman" w:hAnsi="Times New Roman" w:eastAsia="宋体"/>
                <w:color w:val="000000" w:themeColor="text1"/>
                <w:kern w:val="0"/>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本项目施工期施工平均人数为</w:t>
            </w:r>
            <w:r>
              <w:rPr>
                <w:rFonts w:hint="eastAsia"/>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人。</w:t>
            </w:r>
            <w:r>
              <w:rPr>
                <w:rFonts w:hint="eastAsia" w:ascii="Times New Roman" w:hAnsi="Times New Roman" w:eastAsia="宋体"/>
                <w:color w:val="000000" w:themeColor="text1"/>
                <w:sz w:val="24"/>
                <w:szCs w:val="24"/>
                <w:highlight w:val="none"/>
                <w14:textFill>
                  <w14:solidFill>
                    <w14:schemeClr w14:val="tx1"/>
                  </w14:solidFill>
                </w14:textFill>
              </w:rPr>
              <w:t>运</w:t>
            </w:r>
            <w:r>
              <w:rPr>
                <w:rFonts w:hint="eastAsia" w:ascii="Times New Roman" w:hAnsi="Times New Roman" w:eastAsia="宋体"/>
                <w:color w:val="000000" w:themeColor="text1"/>
                <w:sz w:val="24"/>
                <w:szCs w:val="24"/>
                <w:highlight w:val="none"/>
                <w:lang w:eastAsia="zh-CN"/>
                <w14:textFill>
                  <w14:solidFill>
                    <w14:schemeClr w14:val="tx1"/>
                  </w14:solidFill>
                </w14:textFill>
              </w:rPr>
              <w:t>营</w:t>
            </w:r>
            <w:r>
              <w:rPr>
                <w:rFonts w:hint="eastAsia" w:ascii="Times New Roman" w:hAnsi="Times New Roman" w:eastAsia="宋体"/>
                <w:color w:val="000000" w:themeColor="text1"/>
                <w:sz w:val="24"/>
                <w:szCs w:val="24"/>
                <w:highlight w:val="none"/>
                <w14:textFill>
                  <w14:solidFill>
                    <w14:schemeClr w14:val="tx1"/>
                  </w14:solidFill>
                </w14:textFill>
              </w:rPr>
              <w:t>期的人员</w:t>
            </w:r>
            <w:r>
              <w:rPr>
                <w:rFonts w:hint="eastAsia" w:ascii="Times New Roman" w:hAnsi="Times New Roman" w:eastAsia="宋体"/>
                <w:color w:val="000000" w:themeColor="text1"/>
                <w:sz w:val="24"/>
                <w:szCs w:val="24"/>
                <w:highlight w:val="none"/>
                <w:lang w:eastAsia="zh-CN"/>
                <w14:textFill>
                  <w14:solidFill>
                    <w14:schemeClr w14:val="tx1"/>
                  </w14:solidFill>
                </w14:textFill>
              </w:rPr>
              <w:t>为宁县</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水务局</w:t>
            </w:r>
            <w:r>
              <w:rPr>
                <w:rFonts w:hint="eastAsia" w:ascii="Times New Roman" w:hAnsi="Times New Roman" w:eastAsia="宋体"/>
                <w:color w:val="000000" w:themeColor="text1"/>
                <w:sz w:val="24"/>
                <w:szCs w:val="24"/>
                <w:highlight w:val="none"/>
                <w:lang w:eastAsia="zh-CN"/>
                <w14:textFill>
                  <w14:solidFill>
                    <w14:schemeClr w14:val="tx1"/>
                  </w14:solidFill>
                </w14:textFill>
              </w:rPr>
              <w:t>人员</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eastAsia="zh-CN"/>
                <w14:textFill>
                  <w14:solidFill>
                    <w14:schemeClr w14:val="tx1"/>
                  </w14:solidFill>
                </w14:textFill>
              </w:rPr>
              <w:t>主要兼顾该项目</w:t>
            </w:r>
            <w:r>
              <w:rPr>
                <w:rFonts w:hint="eastAsia" w:ascii="Times New Roman" w:hAnsi="Times New Roman" w:eastAsia="宋体"/>
                <w:color w:val="000000" w:themeColor="text1"/>
                <w:sz w:val="24"/>
                <w:szCs w:val="24"/>
                <w:highlight w:val="none"/>
                <w14:textFill>
                  <w14:solidFill>
                    <w14:schemeClr w14:val="tx1"/>
                  </w14:solidFill>
                </w14:textFill>
              </w:rPr>
              <w:t>巡护管理</w:t>
            </w:r>
            <w:r>
              <w:rPr>
                <w:rFonts w:hint="eastAsia" w:ascii="Times New Roman" w:hAnsi="Times New Roman" w:eastAsia="宋体"/>
                <w:color w:val="000000" w:themeColor="text1"/>
                <w:sz w:val="24"/>
                <w:szCs w:val="24"/>
                <w:highlight w:val="none"/>
                <w:lang w:eastAsia="zh-CN"/>
                <w14:textFill>
                  <w14:solidFill>
                    <w14:schemeClr w14:val="tx1"/>
                  </w14:solidFill>
                </w14:textFill>
              </w:rPr>
              <w:t>工作</w:t>
            </w:r>
            <w:r>
              <w:rPr>
                <w:rFonts w:hint="eastAsia" w:ascii="Times New Roman" w:hAnsi="Times New Roman" w:eastAsia="宋体"/>
                <w:color w:val="000000" w:themeColor="text1"/>
                <w:sz w:val="24"/>
                <w:szCs w:val="24"/>
                <w:highlight w:val="none"/>
                <w14:textFill>
                  <w14:solidFill>
                    <w14:schemeClr w14:val="tx1"/>
                  </w14:solidFill>
                </w14:textFill>
              </w:rPr>
              <w:t>。</w:t>
            </w:r>
          </w:p>
          <w:p w14:paraId="392F737B">
            <w:pPr>
              <w:autoSpaceDE w:val="0"/>
              <w:autoSpaceDN w:val="0"/>
              <w:adjustRightInd w:val="0"/>
              <w:spacing w:line="360" w:lineRule="auto"/>
              <w:ind w:right="-1"/>
              <w:contextualSpacing/>
              <w:outlineLvl w:val="1"/>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工程投资及环保投资</w:t>
            </w:r>
          </w:p>
          <w:p w14:paraId="79F0533A">
            <w:pPr>
              <w:spacing w:line="360" w:lineRule="auto"/>
              <w:ind w:right="-1" w:rightChars="0" w:firstLine="420" w:firstLineChars="175"/>
              <w:contextualSpacing/>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本项目总投资</w:t>
            </w:r>
            <w:r>
              <w:rPr>
                <w:rFonts w:hint="eastAsia"/>
                <w:color w:val="000000" w:themeColor="text1"/>
                <w:spacing w:val="10"/>
                <w:sz w:val="24"/>
                <w:szCs w:val="21"/>
                <w:highlight w:val="none"/>
                <w:lang w:val="en-US" w:eastAsia="zh-CN"/>
                <w14:textFill>
                  <w14:solidFill>
                    <w14:schemeClr w14:val="tx1"/>
                  </w14:solidFill>
                </w14:textFill>
              </w:rPr>
              <w:t>3234.79</w:t>
            </w:r>
            <w:r>
              <w:rPr>
                <w:rFonts w:ascii="Times New Roman" w:hAnsi="Times New Roman" w:eastAsia="宋体"/>
                <w:color w:val="000000" w:themeColor="text1"/>
                <w:sz w:val="24"/>
                <w:szCs w:val="24"/>
                <w:highlight w:val="none"/>
                <w14:textFill>
                  <w14:solidFill>
                    <w14:schemeClr w14:val="tx1"/>
                  </w14:solidFill>
                </w14:textFill>
              </w:rPr>
              <w:t>万元，其中，环保投资</w:t>
            </w:r>
            <w:r>
              <w:rPr>
                <w:rFonts w:hint="eastAsia" w:ascii="宋体" w:hAnsi="宋体" w:cs="宋体"/>
                <w:color w:val="000000" w:themeColor="text1"/>
                <w:sz w:val="24"/>
                <w:szCs w:val="21"/>
                <w:highlight w:val="none"/>
                <w:lang w:val="en-US" w:eastAsia="zh-CN"/>
                <w14:textFill>
                  <w14:solidFill>
                    <w14:schemeClr w14:val="tx1"/>
                  </w14:solidFill>
                </w14:textFill>
              </w:rPr>
              <w:t>39</w:t>
            </w:r>
            <w:r>
              <w:rPr>
                <w:rFonts w:ascii="Times New Roman" w:hAnsi="Times New Roman" w:eastAsia="宋体"/>
                <w:color w:val="000000" w:themeColor="text1"/>
                <w:sz w:val="24"/>
                <w:szCs w:val="24"/>
                <w:highlight w:val="none"/>
                <w14:textFill>
                  <w14:solidFill>
                    <w14:schemeClr w14:val="tx1"/>
                  </w14:solidFill>
                </w14:textFill>
              </w:rPr>
              <w:t>万元，占工程投资的</w:t>
            </w:r>
            <w:r>
              <w:rPr>
                <w:rFonts w:hint="eastAsia"/>
                <w:color w:val="000000" w:themeColor="text1"/>
                <w:sz w:val="24"/>
                <w:szCs w:val="24"/>
                <w:highlight w:val="none"/>
                <w:lang w:val="en-US" w:eastAsia="zh-CN"/>
                <w14:textFill>
                  <w14:solidFill>
                    <w14:schemeClr w14:val="tx1"/>
                  </w14:solidFill>
                </w14:textFill>
              </w:rPr>
              <w:t>1.2</w:t>
            </w:r>
            <w:r>
              <w:rPr>
                <w:rFonts w:hint="eastAsia"/>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w:t>
            </w:r>
          </w:p>
          <w:p w14:paraId="54D0068D">
            <w:pPr>
              <w:spacing w:line="360" w:lineRule="auto"/>
              <w:ind w:right="-1" w:rightChars="0" w:firstLine="420" w:firstLineChars="175"/>
              <w:contextualSpacing/>
              <w:rPr>
                <w:rFonts w:ascii="Times New Roman" w:hAnsi="Times New Roman" w:eastAsia="宋体"/>
                <w:color w:val="000000" w:themeColor="text1"/>
                <w:sz w:val="24"/>
                <w:szCs w:val="24"/>
                <w:highlight w:val="none"/>
                <w14:textFill>
                  <w14:solidFill>
                    <w14:schemeClr w14:val="tx1"/>
                  </w14:solidFill>
                </w14:textFill>
              </w:rPr>
            </w:pPr>
          </w:p>
          <w:p w14:paraId="12E6AB83">
            <w:pPr>
              <w:spacing w:line="360" w:lineRule="auto"/>
              <w:ind w:right="-1" w:rightChars="0" w:firstLine="420" w:firstLineChars="175"/>
              <w:contextualSpacing/>
              <w:rPr>
                <w:rFonts w:ascii="Times New Roman" w:hAnsi="Times New Roman" w:eastAsia="宋体"/>
                <w:color w:val="000000" w:themeColor="text1"/>
                <w:sz w:val="24"/>
                <w:szCs w:val="24"/>
                <w:highlight w:val="none"/>
                <w14:textFill>
                  <w14:solidFill>
                    <w14:schemeClr w14:val="tx1"/>
                  </w14:solidFill>
                </w14:textFill>
              </w:rPr>
            </w:pPr>
          </w:p>
          <w:p w14:paraId="66133EC1">
            <w:pPr>
              <w:spacing w:line="360" w:lineRule="auto"/>
              <w:ind w:right="-1" w:rightChars="0"/>
              <w:contextualSpacing/>
              <w:rPr>
                <w:rFonts w:hint="default" w:ascii="Times New Roman" w:hAnsi="Times New Roman" w:eastAsia="宋体"/>
                <w:color w:val="000000" w:themeColor="text1"/>
                <w:sz w:val="24"/>
                <w:szCs w:val="24"/>
                <w:highlight w:val="none"/>
                <w:lang w:val="en-US" w:eastAsia="zh-CN"/>
                <w14:textFill>
                  <w14:solidFill>
                    <w14:schemeClr w14:val="tx1"/>
                  </w14:solidFill>
                </w14:textFill>
              </w:rPr>
            </w:pPr>
          </w:p>
        </w:tc>
      </w:tr>
    </w:tbl>
    <w:p w14:paraId="3CF685E6">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eastAsia="仿宋_GB2312"/>
          <w:b/>
          <w:bCs/>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三、生态环境现状、保护目标及评价标准</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0"/>
      </w:tblGrid>
      <w:tr w14:paraId="33363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4" w:type="dxa"/>
            <w:noWrap w:val="0"/>
            <w:vAlign w:val="center"/>
          </w:tcPr>
          <w:p w14:paraId="0EFFBADE">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生态环境现状</w:t>
            </w:r>
          </w:p>
        </w:tc>
        <w:tc>
          <w:tcPr>
            <w:tcW w:w="8253" w:type="dxa"/>
            <w:noWrap w:val="0"/>
            <w:vAlign w:val="center"/>
          </w:tcPr>
          <w:p w14:paraId="1A60DC11">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1、</w:t>
            </w:r>
            <w:r>
              <w:rPr>
                <w:rFonts w:hint="eastAsia" w:ascii="Times New Roman" w:hAnsi="Times New Roman" w:eastAsia="宋体"/>
                <w:b/>
                <w:color w:val="000000" w:themeColor="text1"/>
                <w:sz w:val="24"/>
                <w:szCs w:val="24"/>
                <w:lang w:eastAsia="zh-CN"/>
                <w14:textFill>
                  <w14:solidFill>
                    <w14:schemeClr w14:val="tx1"/>
                  </w14:solidFill>
                </w14:textFill>
              </w:rPr>
              <w:t>生态</w:t>
            </w:r>
            <w:r>
              <w:rPr>
                <w:rFonts w:hint="eastAsia" w:ascii="Times New Roman" w:hAnsi="Times New Roman" w:eastAsia="宋体"/>
                <w:b/>
                <w:color w:val="000000" w:themeColor="text1"/>
                <w:sz w:val="24"/>
                <w:szCs w:val="24"/>
                <w14:textFill>
                  <w14:solidFill>
                    <w14:schemeClr w14:val="tx1"/>
                  </w14:solidFill>
                </w14:textFill>
              </w:rPr>
              <w:t>环境功能区划分</w:t>
            </w:r>
          </w:p>
          <w:p w14:paraId="2B78A1C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olor w:val="000000" w:themeColor="text1"/>
                <w:kern w:val="0"/>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生态功能区划</w:t>
            </w:r>
          </w:p>
          <w:p w14:paraId="5D66FE73">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根据《</w:t>
            </w:r>
            <w:r>
              <w:rPr>
                <w:rFonts w:hint="default" w:ascii="Times New Roman" w:hAnsi="Times New Roman" w:cs="Times New Roman"/>
                <w:color w:val="000000" w:themeColor="text1"/>
                <w:kern w:val="24"/>
                <w:sz w:val="24"/>
                <w:szCs w:val="21"/>
                <w14:textFill>
                  <w14:solidFill>
                    <w14:schemeClr w14:val="tx1"/>
                  </w14:solidFill>
                </w14:textFill>
              </w:rPr>
              <w:t>甘肃省生态功能区划</w:t>
            </w:r>
            <w:r>
              <w:rPr>
                <w:rFonts w:hint="eastAsia" w:ascii="Times New Roman" w:hAnsi="Times New Roman" w:eastAsia="宋体" w:cs="Times New Roman"/>
                <w:color w:val="000000" w:themeColor="text1"/>
                <w:sz w:val="24"/>
                <w:lang w:eastAsia="zh-CN"/>
                <w14:textFill>
                  <w14:solidFill>
                    <w14:schemeClr w14:val="tx1"/>
                  </w14:solidFill>
                </w14:textFill>
              </w:rPr>
              <w:t>》本项目位于宁南-陇东黄土丘陵农业生态亚区中的黄土残塬旱作农业强烈水土流失生态功能区范围内。</w:t>
            </w:r>
          </w:p>
          <w:p w14:paraId="37CD8E5E">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根据《庆阳市生态功能区划图》，本项目位于</w:t>
            </w:r>
            <w:r>
              <w:rPr>
                <w:rFonts w:hint="eastAsia"/>
                <w:color w:val="000000" w:themeColor="text1"/>
                <w:sz w:val="24"/>
                <w:szCs w:val="24"/>
                <w:highlight w:val="none"/>
                <w:lang w:eastAsia="zh-CN"/>
                <w14:textFill>
                  <w14:solidFill>
                    <w14:schemeClr w14:val="tx1"/>
                  </w14:solidFill>
                </w14:textFill>
              </w:rPr>
              <w:t>宁县城北河和湘乐川流域</w:t>
            </w:r>
            <w:r>
              <w:rPr>
                <w:rFonts w:hint="eastAsia" w:ascii="Times New Roman" w:hAnsi="Times New Roman" w:eastAsia="宋体"/>
                <w:color w:val="000000" w:themeColor="text1"/>
                <w:sz w:val="24"/>
                <w:szCs w:val="24"/>
                <w:highlight w:val="none"/>
                <w:lang w:eastAsia="zh-CN"/>
                <w14:textFill>
                  <w14:solidFill>
                    <w14:schemeClr w14:val="tx1"/>
                  </w14:solidFill>
                </w14:textFill>
              </w:rPr>
              <w:t>，所处生态环境功能区为Ⅱ-2中南部生态工业集中发展亚区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p>
          <w:p w14:paraId="17C9AD13">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olor w:val="000000" w:themeColor="text1"/>
                <w:kern w:val="0"/>
                <w:sz w:val="24"/>
                <w14:textFill>
                  <w14:solidFill>
                    <w14:schemeClr w14:val="tx1"/>
                  </w14:solidFill>
                </w14:textFill>
              </w:rPr>
            </w:pPr>
            <w:r>
              <w:rPr>
                <w:rFonts w:hint="eastAsia" w:ascii="Times New Roman" w:hAnsi="Times New Roman" w:eastAsia="宋体"/>
                <w:color w:val="000000" w:themeColor="text1"/>
                <w:kern w:val="0"/>
                <w:sz w:val="24"/>
                <w14:textFill>
                  <w14:solidFill>
                    <w14:schemeClr w14:val="tx1"/>
                  </w14:solidFill>
                </w14:textFill>
              </w:rPr>
              <w:t>（2）大气</w:t>
            </w:r>
          </w:p>
          <w:p w14:paraId="212D9A38">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kern w:val="0"/>
                <w:sz w:val="24"/>
                <w14:textFill>
                  <w14:solidFill>
                    <w14:schemeClr w14:val="tx1"/>
                  </w14:solidFill>
                </w14:textFill>
              </w:rPr>
            </w:pPr>
            <w:r>
              <w:rPr>
                <w:rFonts w:hint="eastAsia" w:ascii="Times New Roman" w:hAnsi="Times New Roman" w:eastAsia="宋体"/>
                <w:color w:val="000000" w:themeColor="text1"/>
                <w:kern w:val="0"/>
                <w:sz w:val="24"/>
                <w14:textFill>
                  <w14:solidFill>
                    <w14:schemeClr w14:val="tx1"/>
                  </w14:solidFill>
                </w14:textFill>
              </w:rPr>
              <w:t>根据《关于印发&lt;庆阳地区环境空气质量功能区划分方案&gt;的通知》</w:t>
            </w:r>
            <w:r>
              <w:rPr>
                <w:rFonts w:ascii="Times New Roman" w:hAnsi="Times New Roman" w:eastAsia="宋体"/>
                <w:color w:val="000000" w:themeColor="text1"/>
                <w:kern w:val="0"/>
                <w:sz w:val="24"/>
                <w14:textFill>
                  <w14:solidFill>
                    <w14:schemeClr w14:val="tx1"/>
                  </w14:solidFill>
                </w14:textFill>
              </w:rPr>
              <w:t>，庆阳市除</w:t>
            </w:r>
            <w:r>
              <w:rPr>
                <w:rFonts w:ascii="Times New Roman" w:hAnsi="Times New Roman" w:eastAsia="宋体"/>
                <w:color w:val="000000" w:themeColor="text1"/>
                <w:sz w:val="24"/>
                <w14:textFill>
                  <w14:solidFill>
                    <w14:schemeClr w14:val="tx1"/>
                  </w14:solidFill>
                </w14:textFill>
              </w:rPr>
              <w:t>子午岭林区执行一级标准外，其余区域全部</w:t>
            </w:r>
            <w:r>
              <w:rPr>
                <w:rFonts w:ascii="Times New Roman" w:hAnsi="Times New Roman" w:eastAsia="宋体"/>
                <w:color w:val="000000" w:themeColor="text1"/>
                <w:kern w:val="0"/>
                <w:sz w:val="24"/>
                <w14:textFill>
                  <w14:solidFill>
                    <w14:schemeClr w14:val="tx1"/>
                  </w14:solidFill>
                </w14:textFill>
              </w:rPr>
              <w:t>执行《环境空气质量标准》二级标准，本项目执行二级标准。</w:t>
            </w:r>
          </w:p>
          <w:p w14:paraId="5FD5C160">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olor w:val="000000" w:themeColor="text1"/>
                <w:kern w:val="0"/>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（3）</w:t>
            </w:r>
            <w:r>
              <w:rPr>
                <w:rFonts w:hint="eastAsia" w:ascii="Times New Roman" w:hAnsi="Times New Roman" w:eastAsia="宋体"/>
                <w:color w:val="000000" w:themeColor="text1"/>
                <w:kern w:val="0"/>
                <w:sz w:val="24"/>
                <w14:textFill>
                  <w14:solidFill>
                    <w14:schemeClr w14:val="tx1"/>
                  </w14:solidFill>
                </w14:textFill>
              </w:rPr>
              <w:t>地表水</w:t>
            </w:r>
          </w:p>
          <w:p w14:paraId="5346DCB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根据《甘肃省</w:t>
            </w:r>
            <w:r>
              <w:rPr>
                <w:rFonts w:hint="eastAsia" w:ascii="Times New Roman" w:hAnsi="Times New Roman" w:eastAsia="宋体"/>
                <w:color w:val="000000" w:themeColor="text1"/>
                <w:sz w:val="24"/>
                <w14:textFill>
                  <w14:solidFill>
                    <w14:schemeClr w14:val="tx1"/>
                  </w14:solidFill>
                </w14:textFill>
              </w:rPr>
              <w:t>地表</w:t>
            </w:r>
            <w:r>
              <w:rPr>
                <w:rFonts w:ascii="Times New Roman" w:hAnsi="Times New Roman" w:eastAsia="宋体"/>
                <w:color w:val="000000" w:themeColor="text1"/>
                <w:sz w:val="24"/>
                <w14:textFill>
                  <w14:solidFill>
                    <w14:schemeClr w14:val="tx1"/>
                  </w14:solidFill>
                </w14:textFill>
              </w:rPr>
              <w:t>水功能区划》（201</w:t>
            </w:r>
            <w:r>
              <w:rPr>
                <w:rFonts w:hint="eastAsia" w:ascii="Times New Roman" w:hAnsi="Times New Roman" w:eastAsia="宋体"/>
                <w:color w:val="000000" w:themeColor="text1"/>
                <w:sz w:val="24"/>
                <w14:textFill>
                  <w14:solidFill>
                    <w14:schemeClr w14:val="tx1"/>
                  </w14:solidFill>
                </w14:textFill>
              </w:rPr>
              <w:t>2-2030</w:t>
            </w:r>
            <w:r>
              <w:rPr>
                <w:rFonts w:ascii="Times New Roman" w:hAnsi="Times New Roman" w:eastAsia="宋体"/>
                <w:color w:val="000000" w:themeColor="text1"/>
                <w:sz w:val="24"/>
                <w14:textFill>
                  <w14:solidFill>
                    <w14:schemeClr w14:val="tx1"/>
                  </w14:solidFill>
                </w14:textFill>
              </w:rPr>
              <w:t>年）的划分结果，本项目</w:t>
            </w:r>
            <w:r>
              <w:rPr>
                <w:rFonts w:hint="eastAsia" w:ascii="Times New Roman" w:hAnsi="Times New Roman" w:eastAsia="宋体"/>
                <w:color w:val="000000" w:themeColor="text1"/>
                <w:sz w:val="24"/>
                <w:lang w:eastAsia="zh-CN"/>
                <w14:textFill>
                  <w14:solidFill>
                    <w14:schemeClr w14:val="tx1"/>
                  </w14:solidFill>
                </w14:textFill>
              </w:rPr>
              <w:t>为</w:t>
            </w:r>
            <w:r>
              <w:rPr>
                <w:rFonts w:hint="eastAsia"/>
                <w:color w:val="000000" w:themeColor="text1"/>
                <w:sz w:val="24"/>
                <w:lang w:eastAsia="zh-CN"/>
                <w14:textFill>
                  <w14:solidFill>
                    <w14:schemeClr w14:val="tx1"/>
                  </w14:solidFill>
                </w14:textFill>
              </w:rPr>
              <w:t>湘乐川，</w:t>
            </w:r>
            <w:r>
              <w:rPr>
                <w:rFonts w:ascii="Times New Roman" w:hAnsi="Times New Roman" w:eastAsia="宋体"/>
                <w:color w:val="000000" w:themeColor="text1"/>
                <w:sz w:val="24"/>
                <w14:textFill>
                  <w14:solidFill>
                    <w14:schemeClr w14:val="tx1"/>
                  </w14:solidFill>
                </w14:textFill>
              </w:rPr>
              <w:t>地表水执行</w:t>
            </w:r>
            <w:r>
              <w:rPr>
                <w:rFonts w:ascii="Times New Roman" w:hAnsi="Times New Roman" w:eastAsia="宋体"/>
                <w:bCs/>
                <w:color w:val="000000" w:themeColor="text1"/>
                <w:sz w:val="24"/>
                <w14:textFill>
                  <w14:solidFill>
                    <w14:schemeClr w14:val="tx1"/>
                  </w14:solidFill>
                </w14:textFill>
              </w:rPr>
              <w:t>《地表水环境质量标准》（GB3838-2002）</w:t>
            </w:r>
            <w:r>
              <w:rPr>
                <w:rFonts w:hint="eastAsia" w:ascii="Times New Roman" w:hAnsi="Times New Roman" w:eastAsia="宋体"/>
                <w:color w:val="000000" w:themeColor="text1"/>
                <w:sz w:val="24"/>
                <w14:textFill>
                  <w14:solidFill>
                    <w14:schemeClr w14:val="tx1"/>
                  </w14:solidFill>
                </w14:textFill>
              </w:rPr>
              <w:t>III</w:t>
            </w:r>
            <w:r>
              <w:rPr>
                <w:rFonts w:ascii="Times New Roman" w:hAnsi="Times New Roman" w:eastAsia="宋体"/>
                <w:color w:val="000000" w:themeColor="text1"/>
                <w:sz w:val="24"/>
                <w14:textFill>
                  <w14:solidFill>
                    <w14:schemeClr w14:val="tx1"/>
                  </w14:solidFill>
                </w14:textFill>
              </w:rPr>
              <w:t>类水质标准</w:t>
            </w:r>
            <w:r>
              <w:rPr>
                <w:rFonts w:hint="eastAsia" w:ascii="Times New Roman" w:hAnsi="Times New Roman" w:eastAsia="宋体"/>
                <w:color w:val="000000" w:themeColor="text1"/>
                <w:sz w:val="24"/>
                <w14:textFill>
                  <w14:solidFill>
                    <w14:schemeClr w14:val="tx1"/>
                  </w14:solidFill>
                </w14:textFill>
              </w:rPr>
              <w:t>。</w:t>
            </w:r>
          </w:p>
          <w:p w14:paraId="7274B6D5">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olor w:val="000000" w:themeColor="text1"/>
                <w:kern w:val="0"/>
                <w:sz w:val="24"/>
                <w14:textFill>
                  <w14:solidFill>
                    <w14:schemeClr w14:val="tx1"/>
                  </w14:solidFill>
                </w14:textFill>
              </w:rPr>
            </w:pPr>
            <w:r>
              <w:rPr>
                <w:rFonts w:hint="eastAsia" w:ascii="Times New Roman" w:hAnsi="Times New Roman" w:eastAsia="宋体"/>
                <w:color w:val="000000" w:themeColor="text1"/>
                <w:kern w:val="0"/>
                <w:sz w:val="24"/>
                <w14:textFill>
                  <w14:solidFill>
                    <w14:schemeClr w14:val="tx1"/>
                  </w14:solidFill>
                </w14:textFill>
              </w:rPr>
              <w:t>（4）地下水</w:t>
            </w:r>
          </w:p>
          <w:p w14:paraId="5172670D">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olor w:val="000000" w:themeColor="text1"/>
                <w:kern w:val="0"/>
                <w:sz w:val="24"/>
                <w14:textFill>
                  <w14:solidFill>
                    <w14:schemeClr w14:val="tx1"/>
                  </w14:solidFill>
                </w14:textFill>
              </w:rPr>
            </w:pPr>
            <w:r>
              <w:rPr>
                <w:rFonts w:hint="eastAsia" w:ascii="Times New Roman" w:hAnsi="Times New Roman" w:eastAsia="宋体"/>
                <w:color w:val="000000" w:themeColor="text1"/>
                <w:kern w:val="0"/>
                <w:sz w:val="24"/>
                <w14:textFill>
                  <w14:solidFill>
                    <w14:schemeClr w14:val="tx1"/>
                  </w14:solidFill>
                </w14:textFill>
              </w:rPr>
              <w:t>根据《地下水质量标准》（GB/T14848-2017）中地下水分类，本项目地下水执行《地下水质量标准》中III类标准。</w:t>
            </w:r>
          </w:p>
          <w:p w14:paraId="17E7CE9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声环境</w:t>
            </w:r>
          </w:p>
          <w:p w14:paraId="4B7D4083">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本项目地声环境执行《声环境质量标准》（GB3096-2008）2类标准。</w:t>
            </w:r>
          </w:p>
          <w:p w14:paraId="55FDC0AE">
            <w:pPr>
              <w:pStyle w:val="8"/>
              <w:pageBreakBefore w:val="0"/>
              <w:widowControl w:val="0"/>
              <w:kinsoku/>
              <w:wordWrap/>
              <w:overflowPunct/>
              <w:topLinePunct w:val="0"/>
              <w:autoSpaceDE/>
              <w:autoSpaceDN/>
              <w:bidi w:val="0"/>
              <w:adjustRightInd/>
              <w:snapToGrid/>
              <w:spacing w:line="360" w:lineRule="auto"/>
              <w:textAlignment w:val="auto"/>
              <w:rPr>
                <w:rFonts w:hint="eastAsia"/>
                <w:b/>
                <w:color w:val="000000" w:themeColor="text1"/>
                <w:sz w:val="24"/>
                <w:szCs w:val="24"/>
                <w:lang w:val="en-US"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2、生态现状</w:t>
            </w:r>
          </w:p>
          <w:p w14:paraId="117A4DB5">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）主体功能区规划</w:t>
            </w:r>
          </w:p>
          <w:p w14:paraId="60D1CF87">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highlight w:val="green"/>
                <w:lang w:eastAsia="zh-CN"/>
                <w14:textFill>
                  <w14:solidFill>
                    <w14:schemeClr w14:val="tx1"/>
                  </w14:solidFill>
                </w14:textFill>
              </w:rPr>
            </w:pPr>
            <w:r>
              <w:rPr>
                <w:rFonts w:hint="eastAsia" w:ascii="Times New Roman" w:hAnsi="Times New Roman" w:eastAsia="宋体" w:cs="Times New Roman"/>
                <w:color w:val="FF0000"/>
                <w:kern w:val="0"/>
                <w:sz w:val="24"/>
                <w:szCs w:val="24"/>
                <w:lang w:val="en-US" w:eastAsia="zh-CN" w:bidi="ar-SA"/>
              </w:rPr>
              <w:t>根据《</w:t>
            </w:r>
            <w:r>
              <w:rPr>
                <w:rFonts w:hint="default" w:ascii="Times New Roman" w:hAnsi="Times New Roman" w:eastAsia="宋体" w:cs="Times New Roman"/>
                <w:color w:val="FF0000"/>
                <w:kern w:val="0"/>
                <w:sz w:val="24"/>
                <w:szCs w:val="24"/>
                <w:lang w:val="en-US" w:eastAsia="zh-CN" w:bidi="ar-SA"/>
              </w:rPr>
              <w:t>宁县国土空间总体规划</w:t>
            </w:r>
            <w:r>
              <w:rPr>
                <w:rFonts w:hint="eastAsia" w:ascii="Times New Roman" w:hAnsi="Times New Roman" w:eastAsia="宋体" w:cs="Times New Roman"/>
                <w:color w:val="FF0000"/>
                <w:kern w:val="0"/>
                <w:sz w:val="24"/>
                <w:szCs w:val="24"/>
                <w:lang w:val="en-US" w:eastAsia="zh-CN" w:bidi="ar-SA"/>
              </w:rPr>
              <w:t>》</w:t>
            </w:r>
            <w:r>
              <w:rPr>
                <w:rFonts w:hint="default" w:ascii="Times New Roman" w:hAnsi="Times New Roman" w:eastAsia="宋体" w:cs="Times New Roman"/>
                <w:color w:val="FF0000"/>
                <w:kern w:val="0"/>
                <w:sz w:val="24"/>
                <w:szCs w:val="24"/>
                <w:lang w:val="en-US" w:eastAsia="zh-CN" w:bidi="ar-SA"/>
              </w:rPr>
              <w:t>（2021-2035年）</w:t>
            </w:r>
            <w:r>
              <w:rPr>
                <w:rFonts w:hint="eastAsia" w:ascii="Times New Roman" w:hAnsi="Times New Roman" w:eastAsia="宋体" w:cs="Times New Roman"/>
                <w:color w:val="FF0000"/>
                <w:kern w:val="0"/>
                <w:sz w:val="24"/>
                <w:szCs w:val="24"/>
                <w:lang w:val="en-US" w:eastAsia="zh-CN" w:bidi="ar-SA"/>
              </w:rPr>
              <w:t>，项目区属于重点开发区，本项目为防洪除涝工程，符合其“加大是水资源和环境保护力度，推进流域综合治理，崔进节水型社会建设”的发展目标，因此本项目的建设符合</w:t>
            </w:r>
            <w:r>
              <w:rPr>
                <w:rFonts w:hint="default" w:ascii="Times New Roman" w:hAnsi="Times New Roman" w:eastAsia="宋体" w:cs="Times New Roman"/>
                <w:color w:val="FF0000"/>
                <w:kern w:val="0"/>
                <w:sz w:val="24"/>
                <w:szCs w:val="24"/>
                <w:lang w:val="en-US" w:eastAsia="zh-CN" w:bidi="ar-SA"/>
              </w:rPr>
              <w:t>《宁县国土空间总体规划》（2021-2035年）的要求</w:t>
            </w:r>
            <w:r>
              <w:rPr>
                <w:rFonts w:hint="eastAsia" w:ascii="Times New Roman" w:hAnsi="Times New Roman" w:eastAsia="宋体" w:cs="Times New Roman"/>
                <w:color w:val="FF0000"/>
                <w:kern w:val="0"/>
                <w:sz w:val="24"/>
                <w:szCs w:val="24"/>
                <w:lang w:val="en-US" w:eastAsia="zh-CN" w:bidi="ar-SA"/>
              </w:rPr>
              <w:t>。</w:t>
            </w:r>
          </w:p>
          <w:p w14:paraId="1045577D">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2</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土地利用类型</w:t>
            </w:r>
          </w:p>
          <w:p w14:paraId="4AAC22A6">
            <w:pPr>
              <w:pStyle w:val="53"/>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rPr>
              <w:t>根据现场勘查，项目拟建地土地利用类型为</w:t>
            </w:r>
            <w:r>
              <w:rPr>
                <w:rFonts w:hint="eastAsia" w:cs="Times New Roman"/>
                <w:b w:val="0"/>
                <w:bCs w:val="0"/>
                <w:color w:val="FF0000"/>
                <w:sz w:val="24"/>
                <w:szCs w:val="24"/>
                <w:lang w:val="en-US" w:eastAsia="zh-CN"/>
              </w:rPr>
              <w:t>内陆滩涂。</w:t>
            </w:r>
          </w:p>
          <w:p w14:paraId="458F4CC6">
            <w:pPr>
              <w:pStyle w:val="53"/>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根据《甘肃宁县湘乐塬不同产量苹果园深层土壤养分含量及分布特征》调查分析结果，项目区干燥度2.13＜2.5，含盐量1.6＜2，pH值为7.8，根</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据《环境影响评价技术导则 土壤环境</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》生态影响型敏感程度分析，项目区为不敏感，项目属于</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fldChar w:fldCharType="begin"/>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instrText xml:space="preserve"> = 3 \* ROMAN \* MERGEFORMAT </w:instrTex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fldChar w:fldCharType="separate"/>
            </w:r>
            <w:r>
              <w:rPr>
                <w:color w:val="000000" w:themeColor="text1"/>
                <w14:textFill>
                  <w14:solidFill>
                    <w14:schemeClr w14:val="tx1"/>
                  </w14:solidFill>
                </w14:textFill>
              </w:rPr>
              <w:t>III</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fldChar w:fldCharType="end"/>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类项目，因此不需要进行土壤评价，不进行土壤现状监测。</w:t>
            </w:r>
          </w:p>
          <w:p w14:paraId="74C94633">
            <w:pPr>
              <w:pStyle w:val="53"/>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根据调查结果，项目区土壤类型主要为黄绵土和黑垆土，黄绵土是由黄土母质直接耕翻形成的初育土。由于土壤侵蚀严重，表层耕层长期遭侵蚀，只得加深耕作黄土母质层，因而母质特性明显，无明显发育，为 A-C 型土。由于风成黄土富含细粉粒，质地、结构均一，疏松绵软，富含石灰，磷钾储量较丰，但有效性差，土壤有机质缺乏，含量仅 5g/kg。速效磷含量3～5mg/kg；</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黑垆土由黄土发育，具低有机质含量 l0g/kg，但腐殖质层却很深厚(lm或更深)的土壤。原位粘化，但无明显粘化层，具假菌丝状石灰累积。</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结合《环境影响平技术导则 土壤环境》附录D，本项目区域</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的土壤盐化分级结果为</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轻</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度盐化，土壤酸化、碱化强度分级结果多为</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无酸化或碱化</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p>
          <w:p w14:paraId="297D4693">
            <w:pPr>
              <w:pStyle w:val="53"/>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所在区域地质条件</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本项目属陇东黄土高原地貌，植被发育良好。受地质构造控制区内沟壑纵横发育、梁峁规律分布、河谷平坦宽阔，水系纵横交叉，侵蚀与堆积相辅相成。山区海拔一般约1130～1350m，相对高差约100～220m左右。按地貌形态成因不同，可划分为两个地貌单元，黄土低山丘陵区地貌：工程区内沟谷密布，沟坡陡立，与河谷边垂直，Ⅲ级阶地以及各地貌由于地形连绵起伏，冲沟、黄土塬、梁、峁等黄土地貌形态交错分布，沟谷坡段常显黄土陷穴、落水洞等黄土地貌景观</w:t>
            </w:r>
            <w:r>
              <w:rPr>
                <w:rFonts w:hint="eastAsia" w:ascii="Times New Roman" w:hAnsi="Times New Roman" w:eastAsia="宋体" w:cs="宋体"/>
                <w:color w:val="000000" w:themeColor="text1"/>
                <w:sz w:val="24"/>
                <w:szCs w:val="24"/>
                <w:highlight w:val="none"/>
                <w14:textFill>
                  <w14:solidFill>
                    <w14:schemeClr w14:val="tx1"/>
                  </w14:solidFill>
                </w14:textFill>
              </w:rPr>
              <w:t>。</w:t>
            </w:r>
          </w:p>
          <w:p w14:paraId="159DB474">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植被类型</w:t>
            </w:r>
          </w:p>
          <w:p w14:paraId="7BDD01FC">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影响范围内植被类型主要为草丛与农业植被，其中草丛主要分布于黄土谷坡，植被种类为白羊草、长芒草、达乌里胡枝子、茭蒿、铁杆蒿等草本植物以及狼牙刺、酸枣、荆条、黄刺玫、胡颓子等；农作物种类以小麦为主，其次为高粱、玉米、谷子、糜子、豆类、油菜等，农业植被主要分布于黄土塬与河流阶地；灌丛面积植被种类主要为黄刺玫、蒿属灌丛，同时有狼牙刺、酸枣、荆条等。阔叶林主要为刺槐林，树木种类主要为刺槐、泡桐、山杨、油松等乔木，以刺槐为为主，林下混生有少量狼牙刺、酸枣、荆条、黄刺玫等灌木。项目评价范围内无珍稀保护物种。</w:t>
            </w:r>
          </w:p>
          <w:p w14:paraId="79150EE7">
            <w:pPr>
              <w:keepNext w:val="0"/>
              <w:keepLines w:val="0"/>
              <w:pageBreakBefore w:val="0"/>
              <w:widowControl w:val="0"/>
              <w:kinsoku/>
              <w:wordWrap/>
              <w:overflowPunct/>
              <w:topLinePunct w:val="0"/>
              <w:autoSpaceDE/>
              <w:autoSpaceDN/>
              <w:bidi w:val="0"/>
              <w:adjustRightInd/>
              <w:snapToGrid/>
              <w:spacing w:line="360" w:lineRule="auto"/>
              <w:contextualSpacing/>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sz w:val="21"/>
              </w:rPr>
              <mc:AlternateContent>
                <mc:Choice Requires="wps">
                  <w:drawing>
                    <wp:anchor distT="0" distB="0" distL="114300" distR="114300" simplePos="0" relativeHeight="251664384" behindDoc="0" locked="0" layoutInCell="1" allowOverlap="1">
                      <wp:simplePos x="0" y="0"/>
                      <wp:positionH relativeFrom="column">
                        <wp:posOffset>2063750</wp:posOffset>
                      </wp:positionH>
                      <wp:positionV relativeFrom="paragraph">
                        <wp:posOffset>1127760</wp:posOffset>
                      </wp:positionV>
                      <wp:extent cx="914400" cy="276225"/>
                      <wp:effectExtent l="6350" t="6350" r="8890" b="250825"/>
                      <wp:wrapNone/>
                      <wp:docPr id="9" name="圆角矩形标注 9"/>
                      <wp:cNvGraphicFramePr/>
                      <a:graphic xmlns:a="http://schemas.openxmlformats.org/drawingml/2006/main">
                        <a:graphicData uri="http://schemas.microsoft.com/office/word/2010/wordprocessingShape">
                          <wps:wsp>
                            <wps:cNvSpPr/>
                            <wps:spPr>
                              <a:xfrm>
                                <a:off x="3493770" y="2350770"/>
                                <a:ext cx="914400" cy="276225"/>
                              </a:xfrm>
                              <a:prstGeom prst="wedgeRoundRectCallout">
                                <a:avLst>
                                  <a:gd name="adj1" fmla="val -5833"/>
                                  <a:gd name="adj2" fmla="val 136896"/>
                                  <a:gd name="adj3" fmla="val 16667"/>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2241BA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2.5pt;margin-top:88.8pt;height:21.75pt;width:72pt;z-index:251664384;v-text-anchor:middle;mso-width-relative:page;mso-height-relative:page;" filled="f" stroked="t" coordsize="21600,21600" o:gfxdata="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BmLyjvYAAAACwEAAA8AAAAAAAAA&#10;AQAgAAAAIgAAAGRycy9kb3ducmV2LnhtbFBLAQIUABQAAAAIAIdO4kAJCrpyvAIAAF0FAAAOAAAA&#10;AAAAAAEAIAAAACcBAABkcnMvZTJvRG9jLnhtbFBLBQYAAAAABgAGAFkBAABVBgAAAAA=&#10;" adj="9540,40370,14400">
                      <v:fill on="f" focussize="0,0"/>
                      <v:stroke weight="1pt" color="#000000 [3213]" joinstyle="round"/>
                      <v:imagedata o:title=""/>
                      <o:lock v:ext="edit" aspectratio="f"/>
                      <v:textbox>
                        <w:txbxContent>
                          <w:p w14:paraId="12241BA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drawing>
                <wp:inline distT="0" distB="0" distL="114300" distR="114300">
                  <wp:extent cx="5072380" cy="3232150"/>
                  <wp:effectExtent l="0" t="0" r="2540"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072380" cy="3232150"/>
                          </a:xfrm>
                          <a:prstGeom prst="rect">
                            <a:avLst/>
                          </a:prstGeom>
                          <a:noFill/>
                          <a:ln>
                            <a:noFill/>
                          </a:ln>
                        </pic:spPr>
                      </pic:pic>
                    </a:graphicData>
                  </a:graphic>
                </wp:inline>
              </w:drawing>
            </w:r>
          </w:p>
          <w:p w14:paraId="109986A6">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图3-1  植被覆盖图</w:t>
            </w:r>
          </w:p>
          <w:p w14:paraId="4958EBF8">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动物资源现状</w:t>
            </w:r>
          </w:p>
          <w:p w14:paraId="3B4CA98A">
            <w:pPr>
              <w:pStyle w:val="56"/>
              <w:bidi w:val="0"/>
              <w:rPr>
                <w:rFonts w:hint="eastAsia"/>
                <w:color w:val="000000" w:themeColor="text1"/>
                <w:lang w:val="zh-CN" w:eastAsia="zh-CN"/>
                <w14:textFill>
                  <w14:solidFill>
                    <w14:schemeClr w14:val="tx1"/>
                  </w14:solidFill>
                </w14:textFill>
              </w:rPr>
            </w:pPr>
            <w:r>
              <w:rPr>
                <w:rFonts w:hint="eastAsia"/>
                <w:color w:val="000000" w:themeColor="text1"/>
                <w:sz w:val="24"/>
                <w:szCs w:val="24"/>
                <w14:textFill>
                  <w14:solidFill>
                    <w14:schemeClr w14:val="tx1"/>
                  </w14:solidFill>
                </w14:textFill>
              </w:rPr>
              <w:t>根据调查，评价区的动物组成比较简单，种类较少，多为常见种类，物种组成以小型兽类和鸟类为主。兽类主要有黄鼬、狗獾、蒙古兔、花鼠、达吾尔黄鼠、大仓鼠、小家鼠等；野生禽类主要有啄木鸟、杜鹃、小沙百灵、家燕、喜鹊、大嘴乌鸦、麻雀等。野生动物主要分布在林地及灌草丛中。</w:t>
            </w:r>
          </w:p>
          <w:p w14:paraId="231C58E4">
            <w:pPr>
              <w:pStyle w:val="53"/>
              <w:ind w:firstLine="480"/>
              <w:rPr>
                <w:rFonts w:hint="eastAsia"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项目评价范围内无珍稀保护物种</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p>
          <w:p w14:paraId="4CCE174A">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（5）城北河现状</w:t>
            </w:r>
          </w:p>
          <w:p w14:paraId="47AFCB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000000" w:themeColor="text1"/>
                <w:sz w:val="24"/>
                <w:szCs w:val="24"/>
                <w:vertAlign w:val="baseline"/>
                <w:lang w:eastAsia="zh-CN"/>
                <w14:textFill>
                  <w14:solidFill>
                    <w14:schemeClr w14:val="tx1"/>
                  </w14:solidFill>
                </w14:textFill>
              </w:rPr>
            </w:pPr>
            <w:r>
              <w:rPr>
                <w:rFonts w:hint="eastAsia" w:ascii="Times New Roman" w:hAnsi="Times New Roman" w:cs="Times New Roman"/>
                <w:color w:val="000000" w:themeColor="text1"/>
                <w:sz w:val="24"/>
                <w:szCs w:val="24"/>
                <w:vertAlign w:val="baseline"/>
                <w:lang w:eastAsia="zh-CN"/>
                <w14:textFill>
                  <w14:solidFill>
                    <w14:schemeClr w14:val="tx1"/>
                  </w14:solidFill>
                </w14:textFill>
              </w:rPr>
              <w:t>根据调查，</w:t>
            </w:r>
            <w:r>
              <w:rPr>
                <w:rFonts w:hint="eastAsia" w:ascii="宋体" w:hAnsi="宋体"/>
                <w:color w:val="000000" w:themeColor="text1"/>
                <w:sz w:val="24"/>
                <w:szCs w:val="24"/>
                <w:lang w:eastAsia="zh-CN"/>
                <w14:textFill>
                  <w14:solidFill>
                    <w14:schemeClr w14:val="tx1"/>
                  </w14:solidFill>
                </w14:textFill>
              </w:rPr>
              <w:t>湘乐川河无水文测站，根据在湘乐村庞川村庞川桥头</w:t>
            </w:r>
            <w:r>
              <w:rPr>
                <w:rFonts w:hint="eastAsia" w:ascii="宋体" w:hAnsi="宋体"/>
                <w:color w:val="000000" w:themeColor="text1"/>
                <w:sz w:val="24"/>
                <w:szCs w:val="24"/>
                <w:lang w:val="en-US" w:eastAsia="zh-CN"/>
                <w14:textFill>
                  <w14:solidFill>
                    <w14:schemeClr w14:val="tx1"/>
                  </w14:solidFill>
                </w14:textFill>
              </w:rPr>
              <w:t>例行</w:t>
            </w:r>
            <w:r>
              <w:rPr>
                <w:rFonts w:hint="eastAsia" w:ascii="宋体" w:hAnsi="宋体"/>
                <w:color w:val="000000" w:themeColor="text1"/>
                <w:sz w:val="24"/>
                <w:szCs w:val="24"/>
                <w:lang w:eastAsia="zh-CN"/>
                <w14:textFill>
                  <w14:solidFill>
                    <w14:schemeClr w14:val="tx1"/>
                  </w14:solidFill>
                </w14:textFill>
              </w:rPr>
              <w:t>监测数据，湘乐川水域水质良好。</w:t>
            </w:r>
          </w:p>
          <w:p w14:paraId="686FFCD3">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（6）水生生物现状</w:t>
            </w:r>
          </w:p>
          <w:p w14:paraId="63AE1E3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经查阅相关资料后，可知区域内水生生物现状为：</w:t>
            </w:r>
          </w:p>
          <w:p w14:paraId="6A1BBB66">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浮游植物</w:t>
            </w:r>
          </w:p>
          <w:p w14:paraId="7FD9B46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浮游植物是水体中能进行光合作用的低等植物，能利用阳光和水体中的有机物进行光合作用，作为水生态系统中的初级生产者，浮游植物在水体物质循环和能量流动中起着十分重要的作用，也是许多水生动物的天然饵料，同时也是产生水体自净作用的基础。</w:t>
            </w:r>
          </w:p>
          <w:p w14:paraId="1A7CED0B">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项目区</w:t>
            </w:r>
            <w:r>
              <w:rPr>
                <w:rFonts w:hint="default" w:ascii="Times New Roman" w:hAnsi="Times New Roman" w:cs="Times New Roman"/>
                <w:color w:val="000000" w:themeColor="text1"/>
                <w:sz w:val="24"/>
                <w14:textFill>
                  <w14:solidFill>
                    <w14:schemeClr w14:val="tx1"/>
                  </w14:solidFill>
                </w14:textFill>
              </w:rPr>
              <w:t>浮游植物4门33属，其中硅藻门13属、绿藻门15属、兰藻门3属、裸藻门2属。优势种有硅藻门曲壳藻属（Achnanthes），小环藻属（Cyclotella），绿藻门的小球藻属（Chlorella）</w:t>
            </w:r>
            <w:r>
              <w:rPr>
                <w:rFonts w:hint="default" w:ascii="Times New Roman" w:hAnsi="Times New Roman" w:cs="Times New Roman"/>
                <w:color w:val="000000" w:themeColor="text1"/>
                <w:sz w:val="24"/>
                <w:lang w:eastAsia="zh-CN"/>
                <w14:textFill>
                  <w14:solidFill>
                    <w14:schemeClr w14:val="tx1"/>
                  </w14:solidFill>
                </w14:textFill>
              </w:rPr>
              <w:t>。</w:t>
            </w:r>
          </w:p>
          <w:p w14:paraId="18DCF93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其中以硅藻门种类占优势，分布广泛。因为这些种类对生境要求不高，因而在物种竞争方面占优势，利于建群和生存，因此易于成为优势类群。水量波动和水温影响浮游植物的生长发育，从而导致河流浮游植物数量和生物量上的差异。主要是由于</w:t>
            </w:r>
            <w:r>
              <w:rPr>
                <w:rFonts w:hint="eastAsia"/>
                <w:color w:val="000000" w:themeColor="text1"/>
                <w:sz w:val="24"/>
                <w:lang w:eastAsia="zh-CN"/>
                <w14:textFill>
                  <w14:solidFill>
                    <w14:schemeClr w14:val="tx1"/>
                  </w14:solidFill>
                </w14:textFill>
              </w:rPr>
              <w:t>城北河</w:t>
            </w:r>
            <w:r>
              <w:rPr>
                <w:color w:val="000000" w:themeColor="text1"/>
                <w:sz w:val="24"/>
                <w14:textFill>
                  <w14:solidFill>
                    <w14:schemeClr w14:val="tx1"/>
                  </w14:solidFill>
                </w14:textFill>
              </w:rPr>
              <w:t>水量少，水流较缓，水质清澈，为浮游植物的生长提供了良好的条件。</w:t>
            </w:r>
          </w:p>
          <w:p w14:paraId="70C92733">
            <w:pPr>
              <w:spacing w:line="360" w:lineRule="auto"/>
              <w:ind w:firstLine="480" w:firstLineChars="200"/>
              <w:rPr>
                <w:color w:val="FF0000"/>
                <w:sz w:val="24"/>
              </w:rPr>
            </w:pPr>
            <w:r>
              <w:rPr>
                <w:rFonts w:hint="eastAsia" w:ascii="宋体" w:hAnsi="宋体" w:cs="宋体"/>
                <w:color w:val="FF0000"/>
                <w:sz w:val="24"/>
              </w:rPr>
              <w:t>②</w:t>
            </w:r>
            <w:r>
              <w:rPr>
                <w:color w:val="FF0000"/>
                <w:sz w:val="24"/>
              </w:rPr>
              <w:t>浮游动物</w:t>
            </w:r>
          </w:p>
          <w:p w14:paraId="6F6A905C">
            <w:pPr>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color w:val="FF0000"/>
                <w:sz w:val="24"/>
              </w:rPr>
              <w:t>从浮游动物种类上看，物种组成比较简单，仅有原生动物和轮虫，未发现到枝角类和桡足类，与</w:t>
            </w:r>
            <w:r>
              <w:rPr>
                <w:rFonts w:hint="default" w:ascii="Times New Roman" w:hAnsi="Times New Roman" w:cs="Times New Roman"/>
                <w:color w:val="FF0000"/>
                <w:sz w:val="24"/>
                <w:lang w:eastAsia="zh-CN"/>
              </w:rPr>
              <w:t>城北河</w:t>
            </w:r>
            <w:r>
              <w:rPr>
                <w:rFonts w:hint="default" w:ascii="Times New Roman" w:hAnsi="Times New Roman" w:cs="Times New Roman"/>
                <w:color w:val="FF0000"/>
                <w:sz w:val="24"/>
              </w:rPr>
              <w:t>上游水温低有关</w:t>
            </w:r>
            <w:r>
              <w:rPr>
                <w:rFonts w:hint="default" w:ascii="Times New Roman" w:hAnsi="Times New Roman" w:cs="Times New Roman"/>
                <w:color w:val="FF0000"/>
                <w:sz w:val="24"/>
                <w:lang w:eastAsia="zh-CN"/>
              </w:rPr>
              <w:t>，</w:t>
            </w:r>
            <w:r>
              <w:rPr>
                <w:rFonts w:hint="eastAsia" w:ascii="Times New Roman" w:hAnsi="Times New Roman" w:cs="Times New Roman"/>
                <w:color w:val="FF0000"/>
                <w:sz w:val="24"/>
                <w:lang w:eastAsia="zh-CN"/>
              </w:rPr>
              <w:t>项目区</w:t>
            </w:r>
            <w:r>
              <w:rPr>
                <w:rFonts w:hint="default" w:ascii="Times New Roman" w:hAnsi="Times New Roman" w:cs="Times New Roman"/>
                <w:color w:val="FF0000"/>
                <w:sz w:val="24"/>
                <w:lang w:eastAsia="zh-CN"/>
              </w:rPr>
              <w:t>浮游动物4类11种，其中原生动物7种，轮虫类2种，枝角类1种，桡足类1种。优势种有原生动物的砂壳虫（Dittugia），轮虫类的晶囊轮虫(Asplanchna)</w:t>
            </w:r>
            <w:r>
              <w:rPr>
                <w:rFonts w:hint="default" w:ascii="Times New Roman" w:hAnsi="Times New Roman" w:cs="Times New Roman"/>
                <w:color w:val="FF0000"/>
                <w:sz w:val="24"/>
              </w:rPr>
              <w:t>。</w:t>
            </w:r>
          </w:p>
          <w:p w14:paraId="5432DBEF">
            <w:pPr>
              <w:spacing w:line="360" w:lineRule="auto"/>
              <w:ind w:firstLine="480" w:firstLineChars="200"/>
              <w:rPr>
                <w:color w:val="FF0000"/>
                <w:sz w:val="24"/>
              </w:rPr>
            </w:pPr>
            <w:r>
              <w:rPr>
                <w:rFonts w:hint="eastAsia" w:ascii="宋体" w:hAnsi="宋体" w:cs="宋体"/>
                <w:color w:val="FF0000"/>
                <w:sz w:val="24"/>
              </w:rPr>
              <w:t>③</w:t>
            </w:r>
            <w:r>
              <w:rPr>
                <w:color w:val="FF0000"/>
                <w:sz w:val="24"/>
              </w:rPr>
              <w:t>底栖动物</w:t>
            </w:r>
          </w:p>
          <w:p w14:paraId="2A9DB17F">
            <w:pPr>
              <w:spacing w:line="360" w:lineRule="auto"/>
              <w:ind w:firstLine="480" w:firstLineChars="200"/>
              <w:rPr>
                <w:color w:val="FF0000"/>
                <w:sz w:val="24"/>
              </w:rPr>
            </w:pPr>
            <w:r>
              <w:rPr>
                <w:color w:val="FF0000"/>
                <w:sz w:val="24"/>
              </w:rPr>
              <w:t>大型底栖动物是水生态系统中分布最为广泛的物种之一，不仅是流水水体（河流）同样也是静水水体(湖泊和水库)以及河口生态系统的重要组成部分。大型底栖动物以着生藻类、悬浮有机物颗粒以及河岸带的凋落物为食物来源，并为处于水生态系统食物链最高级的鱼类提供食物。大型底栖动物的类群组成决定了河流中物质循环和能量流动的方式。</w:t>
            </w:r>
          </w:p>
          <w:p w14:paraId="61E3A9A2">
            <w:pPr>
              <w:spacing w:line="360" w:lineRule="auto"/>
              <w:ind w:firstLine="480" w:firstLineChars="200"/>
              <w:rPr>
                <w:color w:val="FF0000"/>
                <w:sz w:val="24"/>
              </w:rPr>
            </w:pPr>
            <w:r>
              <w:rPr>
                <w:rFonts w:hint="eastAsia"/>
                <w:color w:val="FF0000"/>
                <w:sz w:val="24"/>
                <w:lang w:eastAsia="zh-CN"/>
              </w:rPr>
              <w:t>项目区</w:t>
            </w:r>
            <w:r>
              <w:rPr>
                <w:rFonts w:hint="eastAsia"/>
                <w:color w:val="FF0000"/>
                <w:sz w:val="24"/>
              </w:rPr>
              <w:t>底栖动物9种，分属2门2目2纲2科9属（种）。其中节肢动物门摇蚊科幼虫6种；环节动物门水生寡毛类（Oligochaeta）3种。未发现陆生昆虫的蛹、端足类及其它种类。</w:t>
            </w:r>
            <w:r>
              <w:rPr>
                <w:color w:val="FF0000"/>
                <w:sz w:val="24"/>
              </w:rPr>
              <w:t>本项目涉及区域的底栖动物密度极低，水丝蚓相对多一些，这与水生寡毛类耐低氧、适应性强的生存能力有关。另外浮游植物和浮游动物密度和生物量都较小，底栖动物没有足够的食物来源。</w:t>
            </w:r>
          </w:p>
          <w:p w14:paraId="685F49BB">
            <w:pPr>
              <w:spacing w:line="360" w:lineRule="auto"/>
              <w:ind w:firstLine="480" w:firstLineChars="200"/>
              <w:rPr>
                <w:color w:val="FF0000"/>
                <w:sz w:val="24"/>
                <w:szCs w:val="24"/>
              </w:rPr>
            </w:pPr>
            <w:r>
              <w:rPr>
                <w:rFonts w:hint="eastAsia" w:ascii="宋体" w:hAnsi="宋体" w:cs="宋体"/>
                <w:color w:val="FF0000"/>
                <w:sz w:val="24"/>
                <w:szCs w:val="24"/>
              </w:rPr>
              <w:t>④</w:t>
            </w:r>
            <w:r>
              <w:rPr>
                <w:color w:val="FF0000"/>
                <w:sz w:val="24"/>
                <w:szCs w:val="24"/>
              </w:rPr>
              <w:t>鱼类</w:t>
            </w:r>
          </w:p>
          <w:p w14:paraId="7485E441">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根据王丕贤对陇东地区的资料显示，陇东地区共有鱼类16种，隶属3目、5科。这16种鱼类中，以鲤科鱼类最多，达10种，占总数的62.5%；鲰科鱼类3种，占18.8%。其次鲑科、塘醴科、电虎科各1种，各占6.3%。可见陇东鱼类以鲤科为主体。</w:t>
            </w:r>
            <w:r>
              <w:rPr>
                <w:rFonts w:hint="eastAsia" w:ascii="Calibri" w:hAnsi="Calibri" w:cs="Times New Roman"/>
                <w:color w:val="FF0000"/>
                <w:sz w:val="24"/>
                <w:lang w:eastAsia="zh-CN"/>
              </w:rPr>
              <w:t>主要为鲤鱼、鲫鱼、泥鳅、草鱼为主。</w:t>
            </w:r>
          </w:p>
          <w:p w14:paraId="4F60C235">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草鱼Ctenopharyngodon idellus体略呈圆筒形，头部稍平扁，尾部侧扁；口呈弧形，无须；上颌略长于下颌；体呈浅茶黄色，背部青灰，腹部灰白，胸、腹鳍略带灰黄，其他各鳍浅灰色。</w:t>
            </w:r>
          </w:p>
          <w:p w14:paraId="4C760D20">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草鱼是典型的草食性鱼类，栖息于平原地区的江河湖泊，一般喜居于水的中下层和近岸多水草区域。性活泼，游泳迅速，常成群觅食。草鱼幼鱼期则食幼虫，藻类等，草鱼也吃一些荤食，如蚯蚓，蜻蜓等。</w:t>
            </w:r>
          </w:p>
          <w:p w14:paraId="6DA39AA5">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鲫鱼Carassius auratus体长15~20cm。呈流线型(也叫梭型)，体高而侧扁，前半部弧形，背部轮廓隆起，尾柄宽；腹部圆形，无肉稜。头短小，吻钝。无须。鳞片大。侧线微弯。背鳍长，外缘较平直。鳃耙细长，呈针状，排列紧密，鳃耙数100-200。背鳍、臀鳍第3根硬刺较强，后缘有锯齿。胸鳍末端可达腹鳍起点。尾鳍深叉形体背银灰色而略带黄色光泽，腹部银白而略带黄色，各鳍灰白色。</w:t>
            </w:r>
          </w:p>
          <w:p w14:paraId="3E04D619">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鲤鱼Cyprinus carpio体形高而稍侧扁。吻钝圆。头中等大。口端位。上颌稍突出于下颌。须2对，口角须较发达。眼中大，侧上位。背鳍起点在腹鳍之前。臀鳍起点与背鳍4~6根分枝鳍条相对，末根不分枝鳍条为硬刺，其后缘有锯状齿。体色通常灰黑或黄褐，腹部浅灰或银灰，体侧金黄</w:t>
            </w:r>
            <w:r>
              <w:rPr>
                <w:rFonts w:hint="eastAsia" w:ascii="Calibri" w:hAnsi="Calibri" w:cs="Times New Roman"/>
                <w:color w:val="FF0000"/>
                <w:sz w:val="24"/>
                <w:lang w:eastAsia="zh-CN"/>
              </w:rPr>
              <w:t>，</w:t>
            </w:r>
            <w:r>
              <w:rPr>
                <w:rFonts w:hint="eastAsia" w:ascii="Calibri" w:hAnsi="Calibri" w:eastAsia="宋体" w:cs="Times New Roman"/>
                <w:color w:val="FF0000"/>
                <w:sz w:val="24"/>
                <w:lang w:eastAsia="zh-CN"/>
              </w:rPr>
              <w:t>杂食性。</w:t>
            </w:r>
          </w:p>
          <w:p w14:paraId="705C3087">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泥鳅Triplophysa anguillicaudatus 体细长，前段略呈圆筒形。后部侧扁，腹部圆，头小。口小、下位，马蹄形。眼小，无眼下刺。须5对。鳞极其细小，圆形，埋于皮下。体背部及两侧灰黑色，全体有许多小的黑斑点，头部和各鳍上亦有许多黑色斑点，背鳍和尾鳍膜上的斑点排列成行，尾柄基部有一明显的黑斑。其他各鳍灰白色。</w:t>
            </w:r>
          </w:p>
          <w:p w14:paraId="03BAF049">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FF0000"/>
                <w:sz w:val="24"/>
                <w:lang w:eastAsia="zh-CN"/>
              </w:rPr>
            </w:pPr>
            <w:r>
              <w:rPr>
                <w:rFonts w:hint="default" w:ascii="Times New Roman" w:hAnsi="Times New Roman" w:eastAsia="宋体" w:cs="Times New Roman"/>
                <w:color w:val="FF0000"/>
                <w:sz w:val="24"/>
                <w:lang w:eastAsia="zh-CN"/>
              </w:rPr>
              <w:t>栖息于静水的底层，常出没于湖泊、池塘、沟渠和水田底部富有植物碎屑的淤泥表层，捕食浮游生物、水生昆虫、甲壳动物、水生高等植物碎屑以及藻类等，有时亦摄取水底腐植质或泥渣。</w:t>
            </w:r>
          </w:p>
          <w:p w14:paraId="6E60D64B">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FF0000"/>
                <w:sz w:val="24"/>
                <w:lang w:eastAsia="zh-CN"/>
              </w:rPr>
            </w:pPr>
            <w:r>
              <w:rPr>
                <w:rFonts w:hint="default" w:ascii="Times New Roman" w:hAnsi="Times New Roman" w:eastAsia="宋体" w:cs="Times New Roman"/>
                <w:color w:val="FF0000"/>
                <w:sz w:val="24"/>
                <w:lang w:eastAsia="zh-CN"/>
              </w:rPr>
              <w:t>（</w:t>
            </w:r>
            <w:r>
              <w:rPr>
                <w:rFonts w:hint="default" w:ascii="Times New Roman" w:hAnsi="Times New Roman" w:eastAsia="宋体" w:cs="Times New Roman"/>
                <w:color w:val="FF0000"/>
                <w:sz w:val="24"/>
                <w:lang w:val="en-US" w:eastAsia="zh-CN"/>
              </w:rPr>
              <w:t>7</w:t>
            </w:r>
            <w:r>
              <w:rPr>
                <w:rFonts w:hint="default" w:ascii="Times New Roman" w:hAnsi="Times New Roman" w:eastAsia="宋体" w:cs="Times New Roman"/>
                <w:color w:val="FF0000"/>
                <w:sz w:val="24"/>
                <w:lang w:eastAsia="zh-CN"/>
              </w:rPr>
              <w:t>）水文调查</w:t>
            </w:r>
          </w:p>
          <w:p w14:paraId="4BC68517">
            <w:pPr>
              <w:pStyle w:val="6"/>
              <w:ind w:left="0" w:leftChars="0"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湘乐川河发源于子午岭西麓的兴隆关，由东北向西南汇入城北河，总面积573km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（不包括平道川），河长64km，河道平均比降为11.9‰，上游白吉坡水库以上流域地貌多为林区，集水面积252km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，河长19km，平均坡降14.5‰，平道川发源于子午岭西麓的芦邑庄，于湘乐镇汇入湘乐川，流域面积233.7km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，河长38.0km，河道平均坡降13.7‰。支流工程区以上区间控制流域面积559km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，主河道长45km，河道平均比降2.9‰，属子午岭林区及黄土川区过渡带。</w:t>
            </w:r>
          </w:p>
          <w:p w14:paraId="598F073F">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FF0000"/>
                <w:sz w:val="24"/>
                <w:lang w:eastAsia="zh-CN"/>
              </w:rPr>
            </w:pPr>
            <w:r>
              <w:rPr>
                <w:rFonts w:hint="default" w:ascii="Times New Roman" w:hAnsi="Times New Roman" w:eastAsia="宋体" w:cs="Times New Roman"/>
                <w:color w:val="FF0000"/>
                <w:sz w:val="24"/>
                <w:lang w:eastAsia="zh-CN"/>
              </w:rPr>
              <w:t>（</w:t>
            </w:r>
            <w:r>
              <w:rPr>
                <w:rFonts w:hint="default" w:ascii="Times New Roman" w:hAnsi="Times New Roman" w:eastAsia="宋体" w:cs="Times New Roman"/>
                <w:color w:val="FF0000"/>
                <w:sz w:val="24"/>
                <w:lang w:val="en-US" w:eastAsia="zh-CN"/>
              </w:rPr>
              <w:t>8</w:t>
            </w:r>
            <w:r>
              <w:rPr>
                <w:rFonts w:hint="default" w:ascii="Times New Roman" w:hAnsi="Times New Roman" w:eastAsia="宋体" w:cs="Times New Roman"/>
                <w:color w:val="FF0000"/>
                <w:sz w:val="24"/>
                <w:lang w:eastAsia="zh-CN"/>
              </w:rPr>
              <w:t>）水土流失现状</w:t>
            </w:r>
          </w:p>
          <w:p w14:paraId="43106D54">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eastAsia="zh-CN"/>
              </w:rPr>
              <w:t>工程区位于甘肃宁县盘克镇湘乐川，农作物种植以玉米作物为主，苗圃等经济作物为辅，流域内植被较好。水土流失类型主要有水力侵蚀、重力侵蚀，工程区以水力侵蚀为主，</w:t>
            </w:r>
            <w:r>
              <w:rPr>
                <w:rFonts w:hint="default" w:ascii="Times New Roman" w:hAnsi="Times New Roman" w:eastAsia="宋体" w:cs="Times New Roman"/>
                <w:color w:val="FF0000"/>
                <w:sz w:val="24"/>
                <w:lang w:val="en-US" w:eastAsia="zh-CN"/>
              </w:rPr>
              <w:t>经</w:t>
            </w:r>
            <w:r>
              <w:rPr>
                <w:rFonts w:hint="default" w:ascii="Times New Roman" w:hAnsi="Times New Roman" w:eastAsia="宋体" w:cs="Times New Roman"/>
                <w:color w:val="FF0000"/>
                <w:sz w:val="24"/>
                <w:lang w:eastAsia="zh-CN"/>
              </w:rPr>
              <w:t>查《甘肃省地表水资源》多年平均侵蚀模数等值线图，工程区多年平土壤侵蚀模数为200t/km</w:t>
            </w:r>
            <w:r>
              <w:rPr>
                <w:rFonts w:hint="default" w:ascii="Times New Roman" w:hAnsi="Times New Roman" w:eastAsia="宋体" w:cs="Times New Roman"/>
                <w:color w:val="FF0000"/>
                <w:sz w:val="24"/>
                <w:vertAlign w:val="superscript"/>
                <w:lang w:eastAsia="zh-CN"/>
              </w:rPr>
              <w:t>2</w:t>
            </w:r>
            <w:r>
              <w:rPr>
                <w:rFonts w:hint="default" w:ascii="Times New Roman" w:hAnsi="Times New Roman" w:eastAsia="宋体" w:cs="Times New Roman"/>
                <w:color w:val="FF0000"/>
                <w:sz w:val="24"/>
                <w:lang w:eastAsia="zh-CN"/>
              </w:rPr>
              <w:t>，依据《土壤侵蚀分类分级标准》（SL190-2007），属中度侵蚀。</w:t>
            </w:r>
          </w:p>
          <w:p w14:paraId="27D6C1B4">
            <w:pPr>
              <w:keepNext w:val="0"/>
              <w:keepLines w:val="0"/>
              <w:pageBreakBefore w:val="0"/>
              <w:widowControl/>
              <w:kinsoku/>
              <w:wordWrap/>
              <w:overflowPunct/>
              <w:topLinePunct w:val="0"/>
              <w:autoSpaceDE/>
              <w:autoSpaceDN/>
              <w:bidi w:val="0"/>
              <w:adjustRightInd/>
              <w:snapToGrid/>
              <w:spacing w:line="360" w:lineRule="auto"/>
              <w:ind w:right="0"/>
              <w:contextualSpacing/>
              <w:jc w:val="left"/>
              <w:textAlignment w:val="auto"/>
              <w:outlineLvl w:val="1"/>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3、</w:t>
            </w:r>
            <w:r>
              <w:rPr>
                <w:rFonts w:ascii="Times New Roman" w:hAnsi="Times New Roman" w:eastAsia="宋体"/>
                <w:b/>
                <w:color w:val="000000" w:themeColor="text1"/>
                <w:sz w:val="24"/>
                <w:szCs w:val="24"/>
                <w14:textFill>
                  <w14:solidFill>
                    <w14:schemeClr w14:val="tx1"/>
                  </w14:solidFill>
                </w14:textFill>
              </w:rPr>
              <w:t>环境质量现状</w:t>
            </w:r>
          </w:p>
          <w:p w14:paraId="0E9F58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1</w:t>
            </w:r>
            <w:r>
              <w:rPr>
                <w:rFonts w:hint="eastAsia" w:ascii="Times New Roman" w:hAnsi="Times New Roman" w:eastAsia="宋体" w:cs="宋体"/>
                <w:color w:val="000000" w:themeColor="text1"/>
                <w:sz w:val="24"/>
                <w:lang w:eastAsia="zh-CN"/>
                <w14:textFill>
                  <w14:solidFill>
                    <w14:schemeClr w14:val="tx1"/>
                  </w14:solidFill>
                </w14:textFill>
              </w:rPr>
              <w:t>）空气环境质量现状</w:t>
            </w:r>
          </w:p>
          <w:p w14:paraId="2F4428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大气环境》（HJ2.2-2018）第6.2.1.1条“项目所在区域达标判定，优先选用国家或地方生态主管部门公开发布的评价基准年环境质量公告或环境质量公告中的数据或结论”。本次评价引用生态环境部—环境空气质量模型技术支持服务系统（http://data.lem.org.cn/eamds/apply/tostepone.html）。</w:t>
            </w:r>
          </w:p>
          <w:p w14:paraId="081BDAE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本次评价收集了庆阳市宁县202</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年全年SO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、NO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2.5</w:t>
            </w:r>
            <w:r>
              <w:rPr>
                <w:rFonts w:hint="default" w:ascii="Times New Roman" w:hAnsi="Times New Roman" w:eastAsia="宋体" w:cs="Times New Roman"/>
                <w:color w:val="000000" w:themeColor="text1"/>
                <w:sz w:val="24"/>
                <w14:textFill>
                  <w14:solidFill>
                    <w14:schemeClr w14:val="tx1"/>
                  </w14:solidFill>
                </w14:textFill>
              </w:rPr>
              <w:t>、CO和O</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六项基本污染物逐日监测数据（数据来源于中国空气质量在线监测分析平台历史逐日数据）进行基本污染物的环境质量现状评价，具体指标详见表</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-1。</w:t>
            </w:r>
          </w:p>
          <w:p w14:paraId="78B817B6">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表3-1   20</w:t>
            </w:r>
            <w:r>
              <w:rPr>
                <w:rFonts w:hint="default" w:ascii="Times New Roman" w:hAnsi="Times New Roman" w:eastAsia="宋体" w:cs="Times New Roman"/>
                <w:color w:val="FF0000"/>
                <w:sz w:val="21"/>
                <w:szCs w:val="21"/>
                <w:lang w:val="en-US" w:eastAsia="zh-CN"/>
              </w:rPr>
              <w:t>2</w:t>
            </w:r>
            <w:r>
              <w:rPr>
                <w:rFonts w:hint="eastAsia" w:ascii="Times New Roman" w:hAnsi="Times New Roman" w:eastAsia="宋体" w:cs="Times New Roman"/>
                <w:color w:val="FF0000"/>
                <w:sz w:val="21"/>
                <w:szCs w:val="21"/>
                <w:lang w:val="en-US" w:eastAsia="zh-CN"/>
              </w:rPr>
              <w:t>3</w:t>
            </w:r>
            <w:r>
              <w:rPr>
                <w:rFonts w:hint="default" w:ascii="Times New Roman" w:hAnsi="Times New Roman" w:eastAsia="宋体" w:cs="Times New Roman"/>
                <w:color w:val="FF0000"/>
                <w:sz w:val="21"/>
                <w:szCs w:val="21"/>
              </w:rPr>
              <w:t>年</w:t>
            </w:r>
            <w:r>
              <w:rPr>
                <w:rFonts w:hint="default" w:ascii="Times New Roman" w:hAnsi="Times New Roman" w:eastAsia="宋体" w:cs="Times New Roman"/>
                <w:color w:val="FF0000"/>
                <w:sz w:val="21"/>
                <w:szCs w:val="21"/>
                <w:lang w:eastAsia="zh-CN"/>
              </w:rPr>
              <w:t>宁县</w:t>
            </w:r>
            <w:r>
              <w:rPr>
                <w:rFonts w:hint="default" w:ascii="Times New Roman" w:hAnsi="Times New Roman" w:eastAsia="宋体" w:cs="Times New Roman"/>
                <w:color w:val="FF0000"/>
                <w:sz w:val="21"/>
                <w:szCs w:val="21"/>
              </w:rPr>
              <w:t>环境空气年均值情况表</w:t>
            </w:r>
          </w:p>
          <w:tbl>
            <w:tblPr>
              <w:tblStyle w:val="20"/>
              <w:tblW w:w="765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02"/>
              <w:gridCol w:w="848"/>
              <w:gridCol w:w="1058"/>
              <w:gridCol w:w="1062"/>
              <w:gridCol w:w="866"/>
              <w:gridCol w:w="1026"/>
              <w:gridCol w:w="1295"/>
            </w:tblGrid>
            <w:tr w14:paraId="1E7F31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1502" w:type="dxa"/>
                  <w:tcBorders>
                    <w:tl2br w:val="nil"/>
                    <w:tr2bl w:val="nil"/>
                  </w:tcBorders>
                  <w:noWrap w:val="0"/>
                  <w:vAlign w:val="center"/>
                </w:tcPr>
                <w:p w14:paraId="5AFB70C9">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日期</w:t>
                  </w:r>
                </w:p>
              </w:tc>
              <w:tc>
                <w:tcPr>
                  <w:tcW w:w="848" w:type="dxa"/>
                  <w:tcBorders>
                    <w:tl2br w:val="nil"/>
                    <w:tr2bl w:val="nil"/>
                  </w:tcBorders>
                  <w:noWrap w:val="0"/>
                  <w:vAlign w:val="center"/>
                </w:tcPr>
                <w:p w14:paraId="551CDE05">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SO</w:t>
                  </w:r>
                  <w:r>
                    <w:rPr>
                      <w:rFonts w:hint="default" w:ascii="Times New Roman" w:hAnsi="Times New Roman" w:eastAsia="宋体" w:cs="Times New Roman"/>
                      <w:color w:val="FF0000"/>
                      <w:sz w:val="21"/>
                      <w:szCs w:val="21"/>
                      <w:vertAlign w:val="subscript"/>
                    </w:rPr>
                    <w:t>2</w:t>
                  </w:r>
                </w:p>
              </w:tc>
              <w:tc>
                <w:tcPr>
                  <w:tcW w:w="1058" w:type="dxa"/>
                  <w:tcBorders>
                    <w:tl2br w:val="nil"/>
                    <w:tr2bl w:val="nil"/>
                  </w:tcBorders>
                  <w:noWrap w:val="0"/>
                  <w:vAlign w:val="center"/>
                </w:tcPr>
                <w:p w14:paraId="25F88784">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NO</w:t>
                  </w:r>
                  <w:r>
                    <w:rPr>
                      <w:rFonts w:hint="default" w:ascii="Times New Roman" w:hAnsi="Times New Roman" w:eastAsia="宋体" w:cs="Times New Roman"/>
                      <w:color w:val="FF0000"/>
                      <w:sz w:val="21"/>
                      <w:szCs w:val="21"/>
                      <w:vertAlign w:val="subscript"/>
                    </w:rPr>
                    <w:t>2</w:t>
                  </w:r>
                </w:p>
              </w:tc>
              <w:tc>
                <w:tcPr>
                  <w:tcW w:w="1062" w:type="dxa"/>
                  <w:tcBorders>
                    <w:tl2br w:val="nil"/>
                    <w:tr2bl w:val="nil"/>
                  </w:tcBorders>
                  <w:noWrap w:val="0"/>
                  <w:vAlign w:val="center"/>
                </w:tcPr>
                <w:p w14:paraId="7AA3CDA5">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PM</w:t>
                  </w:r>
                  <w:r>
                    <w:rPr>
                      <w:rFonts w:hint="default" w:ascii="Times New Roman" w:hAnsi="Times New Roman" w:eastAsia="宋体" w:cs="Times New Roman"/>
                      <w:color w:val="FF0000"/>
                      <w:sz w:val="21"/>
                      <w:szCs w:val="21"/>
                      <w:vertAlign w:val="subscript"/>
                    </w:rPr>
                    <w:t>10</w:t>
                  </w:r>
                </w:p>
              </w:tc>
              <w:tc>
                <w:tcPr>
                  <w:tcW w:w="866" w:type="dxa"/>
                  <w:tcBorders>
                    <w:tl2br w:val="nil"/>
                    <w:tr2bl w:val="nil"/>
                  </w:tcBorders>
                  <w:noWrap w:val="0"/>
                  <w:vAlign w:val="center"/>
                </w:tcPr>
                <w:p w14:paraId="0D42AA72">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PM</w:t>
                  </w:r>
                  <w:r>
                    <w:rPr>
                      <w:rFonts w:hint="default" w:ascii="Times New Roman" w:hAnsi="Times New Roman" w:eastAsia="宋体" w:cs="Times New Roman"/>
                      <w:color w:val="FF0000"/>
                      <w:sz w:val="21"/>
                      <w:szCs w:val="21"/>
                      <w:vertAlign w:val="subscript"/>
                    </w:rPr>
                    <w:t>2.5</w:t>
                  </w:r>
                </w:p>
              </w:tc>
              <w:tc>
                <w:tcPr>
                  <w:tcW w:w="1026" w:type="dxa"/>
                  <w:tcBorders>
                    <w:tl2br w:val="nil"/>
                    <w:tr2bl w:val="nil"/>
                  </w:tcBorders>
                  <w:noWrap w:val="0"/>
                  <w:vAlign w:val="center"/>
                </w:tcPr>
                <w:p w14:paraId="27A7BC7C">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CO第95百分位数</w:t>
                  </w:r>
                </w:p>
              </w:tc>
              <w:tc>
                <w:tcPr>
                  <w:tcW w:w="1295" w:type="dxa"/>
                  <w:tcBorders>
                    <w:tl2br w:val="nil"/>
                    <w:tr2bl w:val="nil"/>
                  </w:tcBorders>
                  <w:noWrap w:val="0"/>
                  <w:vAlign w:val="center"/>
                </w:tcPr>
                <w:p w14:paraId="58AB76BB">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O3_8h第90百分位数</w:t>
                  </w:r>
                </w:p>
              </w:tc>
            </w:tr>
            <w:tr w14:paraId="611231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502" w:type="dxa"/>
                  <w:tcBorders>
                    <w:tl2br w:val="nil"/>
                    <w:tr2bl w:val="nil"/>
                  </w:tcBorders>
                  <w:noWrap w:val="0"/>
                  <w:vAlign w:val="center"/>
                </w:tcPr>
                <w:p w14:paraId="4F9B9365">
                  <w:pPr>
                    <w:widowControl/>
                    <w:jc w:val="center"/>
                    <w:textAlignment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年均值</w:t>
                  </w:r>
                </w:p>
              </w:tc>
              <w:tc>
                <w:tcPr>
                  <w:tcW w:w="848" w:type="dxa"/>
                  <w:tcBorders>
                    <w:tl2br w:val="nil"/>
                    <w:tr2bl w:val="nil"/>
                  </w:tcBorders>
                  <w:noWrap w:val="0"/>
                  <w:vAlign w:val="center"/>
                </w:tcPr>
                <w:p w14:paraId="1EC1EA9F">
                  <w:pPr>
                    <w:widowControl/>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9</w:t>
                  </w:r>
                </w:p>
              </w:tc>
              <w:tc>
                <w:tcPr>
                  <w:tcW w:w="1058" w:type="dxa"/>
                  <w:tcBorders>
                    <w:tl2br w:val="nil"/>
                    <w:tr2bl w:val="nil"/>
                  </w:tcBorders>
                  <w:noWrap w:val="0"/>
                  <w:vAlign w:val="center"/>
                </w:tcPr>
                <w:p w14:paraId="76F288F1">
                  <w:pPr>
                    <w:widowControl/>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15</w:t>
                  </w:r>
                </w:p>
              </w:tc>
              <w:tc>
                <w:tcPr>
                  <w:tcW w:w="1062" w:type="dxa"/>
                  <w:tcBorders>
                    <w:tl2br w:val="nil"/>
                    <w:tr2bl w:val="nil"/>
                  </w:tcBorders>
                  <w:noWrap w:val="0"/>
                  <w:vAlign w:val="center"/>
                </w:tcPr>
                <w:p w14:paraId="0D73251A">
                  <w:pPr>
                    <w:widowControl/>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53</w:t>
                  </w:r>
                </w:p>
              </w:tc>
              <w:tc>
                <w:tcPr>
                  <w:tcW w:w="866" w:type="dxa"/>
                  <w:tcBorders>
                    <w:tl2br w:val="nil"/>
                    <w:tr2bl w:val="nil"/>
                  </w:tcBorders>
                  <w:noWrap w:val="0"/>
                  <w:vAlign w:val="center"/>
                </w:tcPr>
                <w:p w14:paraId="72173800">
                  <w:pPr>
                    <w:widowControl/>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21</w:t>
                  </w:r>
                </w:p>
              </w:tc>
              <w:tc>
                <w:tcPr>
                  <w:tcW w:w="1026" w:type="dxa"/>
                  <w:tcBorders>
                    <w:tl2br w:val="nil"/>
                    <w:tr2bl w:val="nil"/>
                  </w:tcBorders>
                  <w:noWrap w:val="0"/>
                  <w:vAlign w:val="center"/>
                </w:tcPr>
                <w:p w14:paraId="7FE9A37B">
                  <w:pPr>
                    <w:widowControl/>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0.7</w:t>
                  </w:r>
                </w:p>
              </w:tc>
              <w:tc>
                <w:tcPr>
                  <w:tcW w:w="1295" w:type="dxa"/>
                  <w:tcBorders>
                    <w:tl2br w:val="nil"/>
                    <w:tr2bl w:val="nil"/>
                  </w:tcBorders>
                  <w:noWrap w:val="0"/>
                  <w:vAlign w:val="center"/>
                </w:tcPr>
                <w:p w14:paraId="3425F65D">
                  <w:pPr>
                    <w:widowControl/>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121</w:t>
                  </w:r>
                </w:p>
              </w:tc>
            </w:tr>
            <w:tr w14:paraId="72509D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502" w:type="dxa"/>
                  <w:tcBorders>
                    <w:tl2br w:val="nil"/>
                    <w:tr2bl w:val="nil"/>
                  </w:tcBorders>
                  <w:noWrap w:val="0"/>
                  <w:vAlign w:val="center"/>
                </w:tcPr>
                <w:p w14:paraId="5E350155">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标准值</w:t>
                  </w:r>
                </w:p>
              </w:tc>
              <w:tc>
                <w:tcPr>
                  <w:tcW w:w="848" w:type="dxa"/>
                  <w:tcBorders>
                    <w:tl2br w:val="nil"/>
                    <w:tr2bl w:val="nil"/>
                  </w:tcBorders>
                  <w:noWrap w:val="0"/>
                  <w:vAlign w:val="center"/>
                </w:tcPr>
                <w:p w14:paraId="0CCECA68">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150</w:t>
                  </w:r>
                </w:p>
              </w:tc>
              <w:tc>
                <w:tcPr>
                  <w:tcW w:w="1058" w:type="dxa"/>
                  <w:tcBorders>
                    <w:tl2br w:val="nil"/>
                    <w:tr2bl w:val="nil"/>
                  </w:tcBorders>
                  <w:noWrap w:val="0"/>
                  <w:vAlign w:val="center"/>
                </w:tcPr>
                <w:p w14:paraId="7C37E172">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80</w:t>
                  </w:r>
                </w:p>
              </w:tc>
              <w:tc>
                <w:tcPr>
                  <w:tcW w:w="1062" w:type="dxa"/>
                  <w:tcBorders>
                    <w:tl2br w:val="nil"/>
                    <w:tr2bl w:val="nil"/>
                  </w:tcBorders>
                  <w:noWrap w:val="0"/>
                  <w:vAlign w:val="center"/>
                </w:tcPr>
                <w:p w14:paraId="425F971C">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150</w:t>
                  </w:r>
                </w:p>
              </w:tc>
              <w:tc>
                <w:tcPr>
                  <w:tcW w:w="866" w:type="dxa"/>
                  <w:tcBorders>
                    <w:tl2br w:val="nil"/>
                    <w:tr2bl w:val="nil"/>
                  </w:tcBorders>
                  <w:noWrap w:val="0"/>
                  <w:vAlign w:val="center"/>
                </w:tcPr>
                <w:p w14:paraId="6EEF527B">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75</w:t>
                  </w:r>
                </w:p>
              </w:tc>
              <w:tc>
                <w:tcPr>
                  <w:tcW w:w="1026" w:type="dxa"/>
                  <w:tcBorders>
                    <w:tl2br w:val="nil"/>
                    <w:tr2bl w:val="nil"/>
                  </w:tcBorders>
                  <w:noWrap w:val="0"/>
                  <w:vAlign w:val="center"/>
                </w:tcPr>
                <w:p w14:paraId="036F63AF">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w:t>
                  </w:r>
                </w:p>
              </w:tc>
              <w:tc>
                <w:tcPr>
                  <w:tcW w:w="1295" w:type="dxa"/>
                  <w:tcBorders>
                    <w:tl2br w:val="nil"/>
                    <w:tr2bl w:val="nil"/>
                  </w:tcBorders>
                  <w:noWrap w:val="0"/>
                  <w:vAlign w:val="center"/>
                </w:tcPr>
                <w:p w14:paraId="53668DA0">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160</w:t>
                  </w:r>
                </w:p>
              </w:tc>
            </w:tr>
            <w:tr w14:paraId="39CB33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502" w:type="dxa"/>
                  <w:tcBorders>
                    <w:tl2br w:val="nil"/>
                    <w:tr2bl w:val="nil"/>
                  </w:tcBorders>
                  <w:noWrap w:val="0"/>
                  <w:vAlign w:val="center"/>
                </w:tcPr>
                <w:p w14:paraId="0E3D814D">
                  <w:pPr>
                    <w:tabs>
                      <w:tab w:val="left" w:pos="220"/>
                      <w:tab w:val="left" w:pos="430"/>
                    </w:tabs>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超标倍数</w:t>
                  </w:r>
                </w:p>
              </w:tc>
              <w:tc>
                <w:tcPr>
                  <w:tcW w:w="848" w:type="dxa"/>
                  <w:tcBorders>
                    <w:tl2br w:val="nil"/>
                    <w:tr2bl w:val="nil"/>
                  </w:tcBorders>
                  <w:noWrap w:val="0"/>
                  <w:vAlign w:val="center"/>
                </w:tcPr>
                <w:p w14:paraId="37ED0886">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w:t>
                  </w:r>
                </w:p>
              </w:tc>
              <w:tc>
                <w:tcPr>
                  <w:tcW w:w="1058" w:type="dxa"/>
                  <w:tcBorders>
                    <w:tl2br w:val="nil"/>
                    <w:tr2bl w:val="nil"/>
                  </w:tcBorders>
                  <w:noWrap w:val="0"/>
                  <w:vAlign w:val="center"/>
                </w:tcPr>
                <w:p w14:paraId="76359AF6">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w:t>
                  </w:r>
                </w:p>
              </w:tc>
              <w:tc>
                <w:tcPr>
                  <w:tcW w:w="1062" w:type="dxa"/>
                  <w:tcBorders>
                    <w:tl2br w:val="nil"/>
                    <w:tr2bl w:val="nil"/>
                  </w:tcBorders>
                  <w:noWrap w:val="0"/>
                  <w:vAlign w:val="center"/>
                </w:tcPr>
                <w:p w14:paraId="4949EE0C">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w:t>
                  </w:r>
                </w:p>
              </w:tc>
              <w:tc>
                <w:tcPr>
                  <w:tcW w:w="866" w:type="dxa"/>
                  <w:tcBorders>
                    <w:tl2br w:val="nil"/>
                    <w:tr2bl w:val="nil"/>
                  </w:tcBorders>
                  <w:noWrap w:val="0"/>
                  <w:vAlign w:val="center"/>
                </w:tcPr>
                <w:p w14:paraId="0D2EE309">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w:t>
                  </w:r>
                </w:p>
              </w:tc>
              <w:tc>
                <w:tcPr>
                  <w:tcW w:w="1026" w:type="dxa"/>
                  <w:tcBorders>
                    <w:tl2br w:val="nil"/>
                    <w:tr2bl w:val="nil"/>
                  </w:tcBorders>
                  <w:noWrap w:val="0"/>
                  <w:vAlign w:val="center"/>
                </w:tcPr>
                <w:p w14:paraId="38391C9A">
                  <w:pPr>
                    <w:widowControl/>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w:t>
                  </w:r>
                </w:p>
              </w:tc>
              <w:tc>
                <w:tcPr>
                  <w:tcW w:w="1295" w:type="dxa"/>
                  <w:tcBorders>
                    <w:tl2br w:val="nil"/>
                    <w:tr2bl w:val="nil"/>
                  </w:tcBorders>
                  <w:noWrap w:val="0"/>
                  <w:vAlign w:val="center"/>
                </w:tcPr>
                <w:p w14:paraId="2E05E5D1">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w:t>
                  </w:r>
                </w:p>
              </w:tc>
            </w:tr>
          </w:tbl>
          <w:p w14:paraId="44C08B76">
            <w:pPr>
              <w:spacing w:line="360" w:lineRule="auto"/>
              <w:ind w:firstLine="480" w:firstLineChars="200"/>
              <w:jc w:val="left"/>
              <w:rPr>
                <w:rFonts w:hint="eastAsia" w:ascii="Times New Roman" w:hAnsi="Times New Roman" w:eastAsia="宋体"/>
                <w:color w:val="000000" w:themeColor="text1"/>
                <w:kern w:val="24"/>
                <w:sz w:val="24"/>
                <w:szCs w:val="24"/>
                <w:highlight w:val="none"/>
                <w14:textFill>
                  <w14:solidFill>
                    <w14:schemeClr w14:val="tx1"/>
                  </w14:solidFill>
                </w14:textFill>
              </w:rPr>
            </w:pPr>
            <w:r>
              <w:rPr>
                <w:rFonts w:ascii="Times New Roman" w:hAnsi="Times New Roman" w:eastAsia="宋体"/>
                <w:color w:val="000000" w:themeColor="text1"/>
                <w:kern w:val="24"/>
                <w:sz w:val="24"/>
                <w:szCs w:val="24"/>
                <w:highlight w:val="none"/>
                <w14:textFill>
                  <w14:solidFill>
                    <w14:schemeClr w14:val="tx1"/>
                  </w14:solidFill>
                </w14:textFill>
              </w:rPr>
              <w:t>根据上述数据，宁县202</w:t>
            </w:r>
            <w:r>
              <w:rPr>
                <w:rFonts w:hint="eastAsia"/>
                <w:color w:val="000000" w:themeColor="text1"/>
                <w:kern w:val="24"/>
                <w:sz w:val="24"/>
                <w:szCs w:val="24"/>
                <w:highlight w:val="none"/>
                <w:lang w:val="en-US" w:eastAsia="zh-CN"/>
                <w14:textFill>
                  <w14:solidFill>
                    <w14:schemeClr w14:val="tx1"/>
                  </w14:solidFill>
                </w14:textFill>
              </w:rPr>
              <w:t>3</w:t>
            </w:r>
            <w:r>
              <w:rPr>
                <w:rFonts w:ascii="Times New Roman" w:hAnsi="Times New Roman" w:eastAsia="宋体"/>
                <w:color w:val="000000" w:themeColor="text1"/>
                <w:kern w:val="24"/>
                <w:sz w:val="24"/>
                <w:szCs w:val="24"/>
                <w:highlight w:val="none"/>
                <w14:textFill>
                  <w14:solidFill>
                    <w14:schemeClr w14:val="tx1"/>
                  </w14:solidFill>
                </w14:textFill>
              </w:rPr>
              <w:t>年环境空气监测数据中二氧化硫、二氧化氮、可吸入颗粒物（PM10）、细颗粒物（PM2.5）、臭氧、一氧化碳均达到《环境空气质量标准》（GB3095-2012）二级标准，项目所在地属于达标区。</w:t>
            </w:r>
          </w:p>
          <w:p w14:paraId="01A94D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FF0000"/>
                <w:sz w:val="24"/>
                <w:lang w:val="en-US" w:eastAsia="zh-CN"/>
              </w:rPr>
            </w:pPr>
            <w:r>
              <w:rPr>
                <w:rFonts w:hint="eastAsia" w:ascii="Times New Roman" w:hAnsi="Times New Roman" w:eastAsia="宋体" w:cs="宋体"/>
                <w:color w:val="FF0000"/>
                <w:sz w:val="24"/>
                <w:lang w:eastAsia="zh-CN"/>
              </w:rPr>
              <w:t>（</w:t>
            </w:r>
            <w:r>
              <w:rPr>
                <w:rFonts w:hint="eastAsia" w:ascii="Times New Roman" w:hAnsi="Times New Roman" w:eastAsia="宋体" w:cs="宋体"/>
                <w:color w:val="FF0000"/>
                <w:sz w:val="24"/>
                <w:lang w:val="en-US" w:eastAsia="zh-CN"/>
              </w:rPr>
              <w:t>2</w:t>
            </w:r>
            <w:r>
              <w:rPr>
                <w:rFonts w:hint="eastAsia" w:ascii="Times New Roman" w:hAnsi="Times New Roman" w:eastAsia="宋体" w:cs="宋体"/>
                <w:color w:val="FF0000"/>
                <w:sz w:val="24"/>
                <w:lang w:eastAsia="zh-CN"/>
              </w:rPr>
              <w:t>）地表水环境质量现状</w:t>
            </w:r>
          </w:p>
          <w:p w14:paraId="53A2FE50">
            <w:pPr>
              <w:spacing w:line="360" w:lineRule="auto"/>
              <w:ind w:firstLine="480" w:firstLineChars="200"/>
              <w:jc w:val="left"/>
              <w:rPr>
                <w:rFonts w:hint="eastAsia" w:ascii="Times New Roman" w:hAnsi="Times New Roman" w:eastAsia="宋体"/>
                <w:color w:val="FF0000"/>
                <w:kern w:val="24"/>
                <w:sz w:val="24"/>
                <w:szCs w:val="24"/>
              </w:rPr>
            </w:pPr>
            <w:r>
              <w:rPr>
                <w:rFonts w:hint="eastAsia"/>
                <w:color w:val="FF0000"/>
                <w:sz w:val="24"/>
                <w:szCs w:val="32"/>
                <w:lang w:val="en-US" w:eastAsia="zh-CN"/>
              </w:rPr>
              <w:t>本项目地表水为湘乐川河（城北河支流），根据庆阳市人民政府网公布的关于2023年1—12月份庆阳市河流地表水环境质量的公示</w:t>
            </w:r>
            <w:r>
              <w:rPr>
                <w:color w:val="FF0000"/>
                <w:sz w:val="24"/>
                <w:szCs w:val="32"/>
              </w:rPr>
              <w:t>。</w:t>
            </w:r>
            <w:r>
              <w:rPr>
                <w:rFonts w:hint="eastAsia"/>
                <w:color w:val="FF0000"/>
                <w:sz w:val="24"/>
                <w:lang w:val="en-US" w:eastAsia="zh-CN"/>
              </w:rPr>
              <w:t>项目地表水</w:t>
            </w:r>
            <w:r>
              <w:rPr>
                <w:rFonts w:hint="eastAsia"/>
                <w:color w:val="FF0000"/>
                <w:sz w:val="24"/>
              </w:rPr>
              <w:t>符合</w:t>
            </w:r>
            <w:r>
              <w:rPr>
                <w:color w:val="FF0000"/>
                <w:sz w:val="24"/>
                <w:szCs w:val="32"/>
              </w:rPr>
              <w:t>Ⅲ</w:t>
            </w:r>
            <w:r>
              <w:rPr>
                <w:rFonts w:hint="eastAsia"/>
                <w:color w:val="FF0000"/>
                <w:sz w:val="24"/>
              </w:rPr>
              <w:t>类水质标准。</w:t>
            </w:r>
            <w:r>
              <w:rPr>
                <w:color w:val="FF0000"/>
                <w:sz w:val="24"/>
              </w:rPr>
              <w:t>区域地表水环境质量</w:t>
            </w:r>
            <w:r>
              <w:rPr>
                <w:rFonts w:hint="eastAsia"/>
                <w:color w:val="FF0000"/>
                <w:sz w:val="24"/>
              </w:rPr>
              <w:t>较好</w:t>
            </w:r>
            <w:r>
              <w:rPr>
                <w:rFonts w:hint="eastAsia" w:ascii="Times New Roman" w:hAnsi="Times New Roman" w:eastAsia="宋体"/>
                <w:color w:val="FF0000"/>
                <w:kern w:val="24"/>
                <w:sz w:val="24"/>
                <w:szCs w:val="24"/>
              </w:rPr>
              <w:t>。</w:t>
            </w:r>
          </w:p>
          <w:p w14:paraId="5B7E181C">
            <w:pPr>
              <w:pStyle w:val="16"/>
              <w:shd w:val="clear" w:color="auto" w:fill="FFFFFF"/>
              <w:spacing w:before="0" w:beforeAutospacing="0" w:after="0" w:afterAutospacing="0"/>
              <w:jc w:val="center"/>
              <w:rPr>
                <w:rFonts w:ascii="Times New Roman" w:hAnsi="Times New Roman"/>
                <w:b/>
                <w:bCs/>
                <w:color w:val="FF0000"/>
                <w:sz w:val="21"/>
                <w:szCs w:val="16"/>
                <w:lang w:val="en-US" w:eastAsia="zh-CN"/>
              </w:rPr>
            </w:pPr>
            <w:r>
              <w:rPr>
                <w:rFonts w:ascii="Times New Roman" w:hAnsi="Times New Roman"/>
                <w:b/>
                <w:bCs/>
                <w:color w:val="FF0000"/>
                <w:sz w:val="21"/>
                <w:szCs w:val="16"/>
                <w:lang w:val="en-US" w:eastAsia="zh-CN"/>
              </w:rPr>
              <w:t>表3-</w:t>
            </w:r>
            <w:r>
              <w:rPr>
                <w:rFonts w:hint="eastAsia" w:ascii="Times New Roman" w:hAnsi="Times New Roman"/>
                <w:b/>
                <w:bCs/>
                <w:color w:val="FF0000"/>
                <w:sz w:val="21"/>
                <w:szCs w:val="16"/>
                <w:lang w:val="en-US" w:eastAsia="zh-CN"/>
              </w:rPr>
              <w:t>2</w:t>
            </w:r>
            <w:r>
              <w:rPr>
                <w:rFonts w:ascii="Times New Roman" w:hAnsi="Times New Roman"/>
                <w:b/>
                <w:bCs/>
                <w:color w:val="FF0000"/>
                <w:sz w:val="21"/>
                <w:szCs w:val="16"/>
                <w:lang w:val="en-US" w:eastAsia="zh-CN"/>
              </w:rPr>
              <w:t xml:space="preserve">    地表水质统计（20</w:t>
            </w:r>
            <w:r>
              <w:rPr>
                <w:rFonts w:hint="eastAsia" w:ascii="Times New Roman" w:hAnsi="Times New Roman"/>
                <w:b/>
                <w:bCs/>
                <w:color w:val="FF0000"/>
                <w:sz w:val="21"/>
                <w:szCs w:val="16"/>
                <w:lang w:val="en-US" w:eastAsia="zh-CN"/>
              </w:rPr>
              <w:t>24</w:t>
            </w:r>
            <w:r>
              <w:rPr>
                <w:rFonts w:ascii="Times New Roman" w:hAnsi="Times New Roman"/>
                <w:b/>
                <w:bCs/>
                <w:color w:val="FF0000"/>
                <w:sz w:val="21"/>
                <w:szCs w:val="16"/>
                <w:lang w:val="en-US" w:eastAsia="zh-CN"/>
              </w:rPr>
              <w:t>年）</w:t>
            </w:r>
          </w:p>
          <w:tbl>
            <w:tblPr>
              <w:tblStyle w:val="20"/>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823"/>
              <w:gridCol w:w="1102"/>
              <w:gridCol w:w="1003"/>
              <w:gridCol w:w="1237"/>
              <w:gridCol w:w="1085"/>
              <w:gridCol w:w="1977"/>
            </w:tblGrid>
            <w:tr w14:paraId="542F37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6" w:type="pct"/>
                  <w:vMerge w:val="restart"/>
                  <w:noWrap w:val="0"/>
                  <w:vAlign w:val="center"/>
                </w:tcPr>
                <w:p w14:paraId="17FFAEBF">
                  <w:pPr>
                    <w:pStyle w:val="16"/>
                    <w:spacing w:before="0" w:beforeAutospacing="0" w:after="0" w:afterAutospacing="0"/>
                    <w:jc w:val="center"/>
                    <w:rPr>
                      <w:rFonts w:ascii="Times New Roman" w:hAnsi="Times New Roman"/>
                      <w:color w:val="FF0000"/>
                      <w:sz w:val="21"/>
                      <w:szCs w:val="21"/>
                      <w:lang w:val="en-US" w:eastAsia="zh-CN"/>
                    </w:rPr>
                  </w:pPr>
                  <w:r>
                    <w:rPr>
                      <w:rFonts w:ascii="Times New Roman" w:hAnsi="Times New Roman"/>
                      <w:color w:val="FF0000"/>
                      <w:sz w:val="21"/>
                      <w:szCs w:val="21"/>
                      <w:lang w:val="en-US" w:eastAsia="zh-CN"/>
                    </w:rPr>
                    <w:t>序号</w:t>
                  </w:r>
                </w:p>
              </w:tc>
              <w:tc>
                <w:tcPr>
                  <w:tcW w:w="524" w:type="pct"/>
                  <w:vMerge w:val="restart"/>
                  <w:noWrap w:val="0"/>
                  <w:vAlign w:val="center"/>
                </w:tcPr>
                <w:p w14:paraId="33F443D0">
                  <w:pPr>
                    <w:pStyle w:val="16"/>
                    <w:spacing w:before="0" w:beforeAutospacing="0" w:after="0" w:afterAutospacing="0"/>
                    <w:jc w:val="center"/>
                    <w:rPr>
                      <w:rFonts w:ascii="Times New Roman" w:hAnsi="Times New Roman"/>
                      <w:color w:val="FF0000"/>
                      <w:sz w:val="21"/>
                      <w:szCs w:val="21"/>
                      <w:lang w:val="en-US" w:eastAsia="zh-CN"/>
                    </w:rPr>
                  </w:pPr>
                  <w:r>
                    <w:rPr>
                      <w:rFonts w:ascii="Times New Roman" w:hAnsi="Times New Roman"/>
                      <w:color w:val="FF0000"/>
                      <w:sz w:val="21"/>
                      <w:szCs w:val="21"/>
                      <w:lang w:val="en-US" w:eastAsia="zh-CN"/>
                    </w:rPr>
                    <w:t>河流</w:t>
                  </w:r>
                </w:p>
              </w:tc>
              <w:tc>
                <w:tcPr>
                  <w:tcW w:w="702" w:type="pct"/>
                  <w:vMerge w:val="restart"/>
                  <w:noWrap w:val="0"/>
                  <w:vAlign w:val="center"/>
                </w:tcPr>
                <w:p w14:paraId="7DDB8A9E">
                  <w:pPr>
                    <w:pStyle w:val="16"/>
                    <w:spacing w:before="0" w:beforeAutospacing="0" w:after="0" w:afterAutospacing="0"/>
                    <w:jc w:val="center"/>
                    <w:rPr>
                      <w:rFonts w:hint="eastAsia" w:ascii="Times New Roman" w:hAnsi="Times New Roman"/>
                      <w:color w:val="FF0000"/>
                      <w:sz w:val="21"/>
                      <w:szCs w:val="21"/>
                      <w:lang w:val="en-US" w:eastAsia="zh-CN"/>
                    </w:rPr>
                  </w:pPr>
                  <w:r>
                    <w:rPr>
                      <w:rFonts w:hint="eastAsia" w:ascii="Times New Roman" w:hAnsi="Times New Roman"/>
                      <w:color w:val="FF0000"/>
                      <w:sz w:val="21"/>
                      <w:szCs w:val="21"/>
                      <w:lang w:val="en-US" w:eastAsia="zh-CN"/>
                    </w:rPr>
                    <w:t>断面名称</w:t>
                  </w:r>
                </w:p>
              </w:tc>
              <w:tc>
                <w:tcPr>
                  <w:tcW w:w="639" w:type="pct"/>
                  <w:vMerge w:val="restart"/>
                  <w:noWrap w:val="0"/>
                  <w:vAlign w:val="center"/>
                </w:tcPr>
                <w:p w14:paraId="6FD71C7B">
                  <w:pPr>
                    <w:pStyle w:val="16"/>
                    <w:spacing w:before="0" w:beforeAutospacing="0" w:after="0" w:afterAutospacing="0"/>
                    <w:jc w:val="center"/>
                    <w:rPr>
                      <w:rFonts w:ascii="Times New Roman" w:hAnsi="Times New Roman"/>
                      <w:color w:val="FF0000"/>
                      <w:sz w:val="21"/>
                      <w:szCs w:val="21"/>
                      <w:lang w:val="en-US" w:eastAsia="zh-CN"/>
                    </w:rPr>
                  </w:pPr>
                  <w:r>
                    <w:rPr>
                      <w:rFonts w:ascii="Times New Roman" w:hAnsi="Times New Roman"/>
                      <w:color w:val="FF0000"/>
                      <w:sz w:val="21"/>
                      <w:szCs w:val="21"/>
                      <w:lang w:val="en-US" w:eastAsia="zh-CN"/>
                    </w:rPr>
                    <w:t>水质现状</w:t>
                  </w:r>
                </w:p>
              </w:tc>
              <w:tc>
                <w:tcPr>
                  <w:tcW w:w="788" w:type="pct"/>
                  <w:vMerge w:val="restart"/>
                  <w:noWrap w:val="0"/>
                  <w:vAlign w:val="center"/>
                </w:tcPr>
                <w:p w14:paraId="3551AABB">
                  <w:pPr>
                    <w:pStyle w:val="16"/>
                    <w:spacing w:before="0" w:beforeAutospacing="0" w:after="0" w:afterAutospacing="0"/>
                    <w:jc w:val="center"/>
                    <w:rPr>
                      <w:rFonts w:ascii="Times New Roman" w:hAnsi="Times New Roman"/>
                      <w:color w:val="FF0000"/>
                      <w:sz w:val="21"/>
                      <w:szCs w:val="21"/>
                      <w:lang w:val="en-US" w:eastAsia="zh-CN"/>
                    </w:rPr>
                  </w:pPr>
                  <w:r>
                    <w:rPr>
                      <w:rFonts w:hint="eastAsia" w:ascii="Times New Roman" w:hAnsi="Times New Roman"/>
                      <w:color w:val="FF0000"/>
                      <w:sz w:val="21"/>
                      <w:szCs w:val="21"/>
                      <w:lang w:val="en-US" w:eastAsia="zh-CN"/>
                    </w:rPr>
                    <w:t>水质目标</w:t>
                  </w:r>
                </w:p>
              </w:tc>
              <w:tc>
                <w:tcPr>
                  <w:tcW w:w="691" w:type="pct"/>
                  <w:vMerge w:val="restart"/>
                  <w:noWrap w:val="0"/>
                  <w:vAlign w:val="center"/>
                </w:tcPr>
                <w:p w14:paraId="1A7CE2A8">
                  <w:pPr>
                    <w:pStyle w:val="16"/>
                    <w:spacing w:before="0" w:beforeAutospacing="0" w:after="0" w:afterAutospacing="0"/>
                    <w:jc w:val="center"/>
                    <w:rPr>
                      <w:rFonts w:hint="eastAsia" w:ascii="Times New Roman" w:hAnsi="Times New Roman"/>
                      <w:color w:val="FF0000"/>
                      <w:sz w:val="21"/>
                      <w:szCs w:val="21"/>
                      <w:lang w:val="en-US" w:eastAsia="zh-CN"/>
                    </w:rPr>
                  </w:pPr>
                  <w:r>
                    <w:rPr>
                      <w:rFonts w:hint="eastAsia" w:ascii="Times New Roman" w:hAnsi="Times New Roman"/>
                      <w:color w:val="FF0000"/>
                      <w:sz w:val="21"/>
                      <w:szCs w:val="21"/>
                      <w:lang w:val="en-US" w:eastAsia="zh-CN"/>
                    </w:rPr>
                    <w:t>水质评价</w:t>
                  </w:r>
                </w:p>
              </w:tc>
              <w:tc>
                <w:tcPr>
                  <w:tcW w:w="1258" w:type="pct"/>
                  <w:vMerge w:val="restart"/>
                  <w:noWrap w:val="0"/>
                  <w:vAlign w:val="center"/>
                </w:tcPr>
                <w:p w14:paraId="449B25D1">
                  <w:pPr>
                    <w:pStyle w:val="16"/>
                    <w:spacing w:before="0" w:beforeAutospacing="0" w:after="0" w:afterAutospacing="0"/>
                    <w:jc w:val="center"/>
                    <w:rPr>
                      <w:rFonts w:ascii="Times New Roman" w:hAnsi="Times New Roman"/>
                      <w:color w:val="FF0000"/>
                      <w:sz w:val="21"/>
                      <w:szCs w:val="21"/>
                      <w:lang w:val="en-US" w:eastAsia="zh-CN"/>
                    </w:rPr>
                  </w:pPr>
                  <w:r>
                    <w:rPr>
                      <w:rFonts w:ascii="Times New Roman" w:hAnsi="Times New Roman"/>
                      <w:color w:val="FF0000"/>
                      <w:sz w:val="21"/>
                      <w:szCs w:val="21"/>
                      <w:lang w:val="en-US" w:eastAsia="zh-CN"/>
                    </w:rPr>
                    <w:t>距勘探区位置</w:t>
                  </w:r>
                </w:p>
              </w:tc>
            </w:tr>
            <w:tr w14:paraId="2E90D4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6" w:type="pct"/>
                  <w:vMerge w:val="continue"/>
                  <w:noWrap w:val="0"/>
                  <w:vAlign w:val="center"/>
                </w:tcPr>
                <w:p w14:paraId="05FE5FEF">
                  <w:pPr>
                    <w:pStyle w:val="16"/>
                    <w:spacing w:before="0" w:beforeAutospacing="0" w:after="0" w:afterAutospacing="0"/>
                    <w:jc w:val="center"/>
                    <w:rPr>
                      <w:rFonts w:ascii="Times New Roman" w:hAnsi="Times New Roman"/>
                      <w:color w:val="FF0000"/>
                      <w:sz w:val="21"/>
                      <w:szCs w:val="21"/>
                      <w:lang w:val="en-US" w:eastAsia="zh-CN"/>
                    </w:rPr>
                  </w:pPr>
                </w:p>
              </w:tc>
              <w:tc>
                <w:tcPr>
                  <w:tcW w:w="524" w:type="pct"/>
                  <w:vMerge w:val="continue"/>
                  <w:noWrap w:val="0"/>
                  <w:vAlign w:val="center"/>
                </w:tcPr>
                <w:p w14:paraId="36F26FC3">
                  <w:pPr>
                    <w:pStyle w:val="16"/>
                    <w:spacing w:before="0" w:beforeAutospacing="0" w:after="0" w:afterAutospacing="0"/>
                    <w:jc w:val="center"/>
                    <w:rPr>
                      <w:rFonts w:ascii="Times New Roman" w:hAnsi="Times New Roman"/>
                      <w:color w:val="FF0000"/>
                      <w:sz w:val="21"/>
                      <w:szCs w:val="21"/>
                      <w:lang w:val="en-US" w:eastAsia="zh-CN"/>
                    </w:rPr>
                  </w:pPr>
                </w:p>
              </w:tc>
              <w:tc>
                <w:tcPr>
                  <w:tcW w:w="702" w:type="pct"/>
                  <w:vMerge w:val="continue"/>
                  <w:noWrap w:val="0"/>
                  <w:vAlign w:val="center"/>
                </w:tcPr>
                <w:p w14:paraId="42A0CBDD">
                  <w:pPr>
                    <w:pStyle w:val="16"/>
                    <w:spacing w:before="0" w:beforeAutospacing="0" w:after="0" w:afterAutospacing="0"/>
                    <w:jc w:val="center"/>
                    <w:rPr>
                      <w:rFonts w:ascii="Times New Roman" w:hAnsi="Times New Roman"/>
                      <w:color w:val="FF0000"/>
                      <w:sz w:val="21"/>
                      <w:szCs w:val="21"/>
                      <w:lang w:val="en-US" w:eastAsia="zh-CN"/>
                    </w:rPr>
                  </w:pPr>
                </w:p>
              </w:tc>
              <w:tc>
                <w:tcPr>
                  <w:tcW w:w="639" w:type="pct"/>
                  <w:vMerge w:val="continue"/>
                  <w:noWrap w:val="0"/>
                  <w:vAlign w:val="center"/>
                </w:tcPr>
                <w:p w14:paraId="50FC5759">
                  <w:pPr>
                    <w:pStyle w:val="16"/>
                    <w:spacing w:before="0" w:beforeAutospacing="0" w:after="0" w:afterAutospacing="0"/>
                    <w:jc w:val="center"/>
                    <w:rPr>
                      <w:rFonts w:ascii="Times New Roman" w:hAnsi="Times New Roman"/>
                      <w:color w:val="FF0000"/>
                      <w:sz w:val="21"/>
                      <w:szCs w:val="21"/>
                      <w:lang w:val="en-US" w:eastAsia="zh-CN"/>
                    </w:rPr>
                  </w:pPr>
                </w:p>
              </w:tc>
              <w:tc>
                <w:tcPr>
                  <w:tcW w:w="788" w:type="pct"/>
                  <w:vMerge w:val="continue"/>
                  <w:noWrap w:val="0"/>
                  <w:vAlign w:val="center"/>
                </w:tcPr>
                <w:p w14:paraId="3067978D">
                  <w:pPr>
                    <w:pStyle w:val="16"/>
                    <w:spacing w:before="0" w:beforeAutospacing="0" w:after="0" w:afterAutospacing="0"/>
                    <w:jc w:val="center"/>
                    <w:rPr>
                      <w:rFonts w:ascii="Times New Roman" w:hAnsi="Times New Roman"/>
                      <w:color w:val="FF0000"/>
                      <w:sz w:val="21"/>
                      <w:szCs w:val="21"/>
                      <w:lang w:val="en-US" w:eastAsia="zh-CN"/>
                    </w:rPr>
                  </w:pPr>
                </w:p>
              </w:tc>
              <w:tc>
                <w:tcPr>
                  <w:tcW w:w="691" w:type="pct"/>
                  <w:vMerge w:val="continue"/>
                  <w:noWrap w:val="0"/>
                  <w:vAlign w:val="center"/>
                </w:tcPr>
                <w:p w14:paraId="01B2C469">
                  <w:pPr>
                    <w:pStyle w:val="16"/>
                    <w:spacing w:before="0" w:beforeAutospacing="0" w:after="0" w:afterAutospacing="0"/>
                    <w:jc w:val="center"/>
                    <w:rPr>
                      <w:rFonts w:ascii="Times New Roman" w:hAnsi="Times New Roman"/>
                      <w:color w:val="FF0000"/>
                      <w:sz w:val="21"/>
                      <w:szCs w:val="21"/>
                      <w:lang w:val="en-US" w:eastAsia="zh-CN"/>
                    </w:rPr>
                  </w:pPr>
                </w:p>
              </w:tc>
              <w:tc>
                <w:tcPr>
                  <w:tcW w:w="1258" w:type="pct"/>
                  <w:vMerge w:val="continue"/>
                  <w:noWrap w:val="0"/>
                  <w:vAlign w:val="center"/>
                </w:tcPr>
                <w:p w14:paraId="5E1E543F">
                  <w:pPr>
                    <w:pStyle w:val="16"/>
                    <w:spacing w:before="0" w:beforeAutospacing="0" w:after="0" w:afterAutospacing="0"/>
                    <w:jc w:val="center"/>
                    <w:rPr>
                      <w:rFonts w:ascii="Times New Roman" w:hAnsi="Times New Roman"/>
                      <w:color w:val="FF0000"/>
                      <w:sz w:val="21"/>
                      <w:szCs w:val="21"/>
                      <w:lang w:val="en-US" w:eastAsia="zh-CN"/>
                    </w:rPr>
                  </w:pPr>
                </w:p>
              </w:tc>
            </w:tr>
            <w:tr w14:paraId="00D6A8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noWrap w:val="0"/>
                  <w:vAlign w:val="center"/>
                </w:tcPr>
                <w:p w14:paraId="03366250">
                  <w:pPr>
                    <w:pStyle w:val="16"/>
                    <w:spacing w:before="0" w:beforeAutospacing="0" w:after="0" w:afterAutospacing="0"/>
                    <w:jc w:val="center"/>
                    <w:rPr>
                      <w:rFonts w:hint="eastAsia" w:ascii="Times New Roman" w:hAnsi="Times New Roman"/>
                      <w:color w:val="FF0000"/>
                      <w:sz w:val="21"/>
                      <w:szCs w:val="21"/>
                      <w:lang w:val="en-US" w:eastAsia="zh-CN"/>
                    </w:rPr>
                  </w:pPr>
                  <w:r>
                    <w:rPr>
                      <w:rFonts w:hint="eastAsia" w:ascii="Times New Roman" w:hAnsi="Times New Roman"/>
                      <w:color w:val="FF0000"/>
                      <w:sz w:val="21"/>
                      <w:szCs w:val="21"/>
                      <w:lang w:val="en-US" w:eastAsia="zh-CN"/>
                    </w:rPr>
                    <w:t>2</w:t>
                  </w:r>
                </w:p>
              </w:tc>
              <w:tc>
                <w:tcPr>
                  <w:tcW w:w="524" w:type="pct"/>
                  <w:noWrap w:val="0"/>
                  <w:vAlign w:val="center"/>
                </w:tcPr>
                <w:p w14:paraId="1E361C62">
                  <w:pPr>
                    <w:pStyle w:val="16"/>
                    <w:spacing w:before="0" w:beforeAutospacing="0" w:after="0" w:afterAutospacing="0"/>
                    <w:jc w:val="center"/>
                    <w:rPr>
                      <w:rFonts w:ascii="Times New Roman" w:hAnsi="Times New Roman"/>
                      <w:color w:val="FF0000"/>
                      <w:sz w:val="21"/>
                      <w:szCs w:val="21"/>
                      <w:lang w:val="en-US" w:eastAsia="zh-CN"/>
                    </w:rPr>
                  </w:pPr>
                  <w:r>
                    <w:rPr>
                      <w:rFonts w:hint="eastAsia" w:ascii="Times New Roman" w:hAnsi="Times New Roman"/>
                      <w:color w:val="FF0000"/>
                      <w:sz w:val="21"/>
                      <w:szCs w:val="21"/>
                      <w:lang w:val="en-US" w:eastAsia="zh-CN"/>
                    </w:rPr>
                    <w:t>湘乐川</w:t>
                  </w:r>
                </w:p>
              </w:tc>
              <w:tc>
                <w:tcPr>
                  <w:tcW w:w="702" w:type="pct"/>
                  <w:noWrap w:val="0"/>
                  <w:vAlign w:val="center"/>
                </w:tcPr>
                <w:p w14:paraId="41B4D853">
                  <w:pPr>
                    <w:pStyle w:val="16"/>
                    <w:spacing w:before="0" w:beforeAutospacing="0" w:after="0" w:afterAutospacing="0"/>
                    <w:jc w:val="center"/>
                    <w:rPr>
                      <w:rFonts w:hint="eastAsia" w:ascii="Times New Roman" w:hAnsi="Times New Roman"/>
                      <w:color w:val="FF0000"/>
                      <w:sz w:val="21"/>
                      <w:szCs w:val="21"/>
                      <w:lang w:val="en-US" w:eastAsia="zh-CN"/>
                    </w:rPr>
                  </w:pPr>
                  <w:r>
                    <w:rPr>
                      <w:rFonts w:hint="eastAsia" w:ascii="Times New Roman" w:hAnsi="Times New Roman"/>
                      <w:color w:val="FF0000"/>
                      <w:sz w:val="21"/>
                      <w:szCs w:val="21"/>
                      <w:lang w:val="en-US" w:eastAsia="zh-CN"/>
                    </w:rPr>
                    <w:t>玉皇沟</w:t>
                  </w:r>
                </w:p>
              </w:tc>
              <w:tc>
                <w:tcPr>
                  <w:tcW w:w="639" w:type="pct"/>
                  <w:noWrap w:val="0"/>
                  <w:vAlign w:val="center"/>
                </w:tcPr>
                <w:p w14:paraId="35CFEDEE">
                  <w:pPr>
                    <w:pStyle w:val="16"/>
                    <w:spacing w:before="0" w:beforeAutospacing="0" w:after="0" w:afterAutospacing="0"/>
                    <w:jc w:val="center"/>
                    <w:rPr>
                      <w:rFonts w:ascii="Times New Roman" w:hAnsi="Times New Roman"/>
                      <w:color w:val="FF0000"/>
                      <w:sz w:val="21"/>
                      <w:szCs w:val="21"/>
                      <w:lang w:val="en-US" w:eastAsia="zh-CN"/>
                    </w:rPr>
                  </w:pPr>
                  <w:r>
                    <w:rPr>
                      <w:rFonts w:hint="eastAsia" w:ascii="Times New Roman" w:hAnsi="Times New Roman"/>
                      <w:color w:val="FF0000"/>
                      <w:sz w:val="21"/>
                      <w:szCs w:val="21"/>
                      <w:lang w:val="en-US" w:eastAsia="zh-CN"/>
                    </w:rPr>
                    <w:t>Ⅲ</w:t>
                  </w:r>
                </w:p>
              </w:tc>
              <w:tc>
                <w:tcPr>
                  <w:tcW w:w="788" w:type="pct"/>
                  <w:noWrap w:val="0"/>
                  <w:vAlign w:val="center"/>
                </w:tcPr>
                <w:p w14:paraId="1EB672B3">
                  <w:pPr>
                    <w:pStyle w:val="16"/>
                    <w:spacing w:before="0" w:beforeAutospacing="0" w:after="0" w:afterAutospacing="0"/>
                    <w:jc w:val="center"/>
                    <w:rPr>
                      <w:rFonts w:ascii="Times New Roman" w:hAnsi="Times New Roman"/>
                      <w:color w:val="FF0000"/>
                      <w:sz w:val="21"/>
                      <w:szCs w:val="21"/>
                      <w:lang w:val="en-US" w:eastAsia="zh-CN"/>
                    </w:rPr>
                  </w:pPr>
                  <w:r>
                    <w:rPr>
                      <w:rFonts w:ascii="Times New Roman" w:hAnsi="Times New Roman"/>
                      <w:color w:val="FF0000"/>
                      <w:sz w:val="21"/>
                      <w:szCs w:val="21"/>
                      <w:lang w:val="en-US" w:eastAsia="zh-CN"/>
                    </w:rPr>
                    <w:t>Ⅱ</w:t>
                  </w:r>
                </w:p>
              </w:tc>
              <w:tc>
                <w:tcPr>
                  <w:tcW w:w="691" w:type="pct"/>
                  <w:noWrap w:val="0"/>
                  <w:vAlign w:val="center"/>
                </w:tcPr>
                <w:p w14:paraId="70BC6E46">
                  <w:pPr>
                    <w:pStyle w:val="16"/>
                    <w:spacing w:before="0" w:beforeAutospacing="0" w:after="0" w:afterAutospacing="0"/>
                    <w:jc w:val="center"/>
                    <w:rPr>
                      <w:rFonts w:ascii="Times New Roman" w:hAnsi="Times New Roman"/>
                      <w:color w:val="FF0000"/>
                      <w:sz w:val="21"/>
                      <w:szCs w:val="21"/>
                      <w:lang w:val="en-US" w:eastAsia="zh-CN"/>
                    </w:rPr>
                  </w:pPr>
                  <w:r>
                    <w:rPr>
                      <w:rFonts w:hint="eastAsia" w:ascii="Times New Roman" w:hAnsi="Times New Roman"/>
                      <w:color w:val="FF0000"/>
                      <w:sz w:val="21"/>
                      <w:szCs w:val="21"/>
                      <w:lang w:val="en-US" w:eastAsia="zh-CN"/>
                    </w:rPr>
                    <w:t>达标</w:t>
                  </w:r>
                </w:p>
              </w:tc>
              <w:tc>
                <w:tcPr>
                  <w:tcW w:w="1258" w:type="pct"/>
                  <w:noWrap w:val="0"/>
                  <w:vAlign w:val="center"/>
                </w:tcPr>
                <w:p w14:paraId="282FAFB5">
                  <w:pPr>
                    <w:pStyle w:val="16"/>
                    <w:spacing w:before="0" w:beforeAutospacing="0" w:after="0" w:afterAutospacing="0"/>
                    <w:jc w:val="center"/>
                    <w:rPr>
                      <w:rFonts w:ascii="Times New Roman" w:hAnsi="Times New Roman"/>
                      <w:color w:val="FF0000"/>
                      <w:sz w:val="21"/>
                      <w:szCs w:val="21"/>
                      <w:lang w:val="en-US" w:eastAsia="zh-CN"/>
                    </w:rPr>
                  </w:pPr>
                  <w:r>
                    <w:rPr>
                      <w:rFonts w:hint="eastAsia" w:ascii="Times New Roman" w:hAnsi="Times New Roman"/>
                      <w:color w:val="FF0000"/>
                      <w:sz w:val="21"/>
                      <w:szCs w:val="21"/>
                      <w:lang w:val="en-US" w:eastAsia="zh-CN"/>
                    </w:rPr>
                    <w:t>项目区下游</w:t>
                  </w:r>
                </w:p>
              </w:tc>
            </w:tr>
          </w:tbl>
          <w:p w14:paraId="7B90DF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lang w:eastAsia="zh-CN"/>
              </w:rPr>
            </w:pPr>
            <w:r>
              <w:rPr>
                <w:rFonts w:hint="eastAsia" w:cs="Times New Roman"/>
                <w:color w:val="FF0000"/>
                <w:sz w:val="24"/>
                <w:lang w:val="en-US" w:eastAsia="zh-CN"/>
              </w:rPr>
              <w:t>（3）</w:t>
            </w:r>
            <w:r>
              <w:rPr>
                <w:rFonts w:hint="default" w:ascii="Times New Roman" w:hAnsi="Times New Roman" w:eastAsia="宋体" w:cs="Times New Roman"/>
                <w:color w:val="FF0000"/>
                <w:sz w:val="24"/>
                <w:lang w:eastAsia="zh-CN"/>
              </w:rPr>
              <w:t>声环境质量现状</w:t>
            </w:r>
          </w:p>
          <w:p w14:paraId="1066E2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本次环评声环境现状委托</w:t>
            </w:r>
            <w:r>
              <w:rPr>
                <w:rFonts w:hint="default" w:ascii="Times New Roman" w:hAnsi="Times New Roman" w:eastAsia="宋体" w:cs="Times New Roman"/>
                <w:color w:val="FF0000"/>
                <w:sz w:val="24"/>
                <w:szCs w:val="24"/>
                <w:lang w:eastAsia="zh-CN"/>
              </w:rPr>
              <w:t>甘肃清绿源环境检测有限公司</w:t>
            </w:r>
            <w:r>
              <w:rPr>
                <w:rFonts w:hint="default" w:ascii="Times New Roman" w:hAnsi="Times New Roman" w:eastAsia="宋体" w:cs="Times New Roman"/>
                <w:bCs/>
                <w:color w:val="FF0000"/>
                <w:sz w:val="24"/>
              </w:rPr>
              <w:t>进行监测。</w:t>
            </w:r>
          </w:p>
          <w:p w14:paraId="6D7AFB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监测点的布设</w:t>
            </w:r>
          </w:p>
          <w:p w14:paraId="1A9427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声环境质量监测布设</w:t>
            </w:r>
            <w:r>
              <w:rPr>
                <w:rFonts w:hint="eastAsia" w:cs="Times New Roman"/>
                <w:bCs/>
                <w:color w:val="FF0000"/>
                <w:sz w:val="24"/>
                <w:lang w:val="en-US" w:eastAsia="zh-CN"/>
              </w:rPr>
              <w:t>2</w:t>
            </w:r>
            <w:r>
              <w:rPr>
                <w:rFonts w:hint="default" w:ascii="Times New Roman" w:hAnsi="Times New Roman" w:eastAsia="宋体" w:cs="Times New Roman"/>
                <w:bCs/>
                <w:color w:val="FF0000"/>
                <w:sz w:val="24"/>
              </w:rPr>
              <w:t>个监测点，具体位置见表</w:t>
            </w:r>
            <w:r>
              <w:rPr>
                <w:rFonts w:hint="eastAsia" w:cs="Times New Roman"/>
                <w:bCs/>
                <w:color w:val="FF0000"/>
                <w:sz w:val="24"/>
                <w:lang w:val="en-US" w:eastAsia="zh-CN"/>
              </w:rPr>
              <w:t>3-3</w:t>
            </w:r>
            <w:r>
              <w:rPr>
                <w:rFonts w:hint="default" w:ascii="Times New Roman" w:hAnsi="Times New Roman" w:eastAsia="宋体" w:cs="Times New Roman"/>
                <w:bCs/>
                <w:color w:val="FF0000"/>
                <w:sz w:val="24"/>
              </w:rPr>
              <w:t>。</w:t>
            </w:r>
          </w:p>
          <w:p w14:paraId="77273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FF0000"/>
                <w:sz w:val="21"/>
                <w:szCs w:val="21"/>
                <w:lang w:val="en-US" w:eastAsia="zh-CN"/>
              </w:rPr>
            </w:pPr>
            <w:r>
              <w:rPr>
                <w:rFonts w:hint="default" w:ascii="Times New Roman" w:hAnsi="Times New Roman" w:eastAsia="宋体" w:cs="Times New Roman"/>
                <w:b/>
                <w:color w:val="FF0000"/>
                <w:sz w:val="21"/>
                <w:szCs w:val="21"/>
              </w:rPr>
              <w:t>表</w:t>
            </w:r>
            <w:r>
              <w:rPr>
                <w:rFonts w:hint="default" w:ascii="Times New Roman" w:hAnsi="Times New Roman" w:eastAsia="宋体" w:cs="Times New Roman"/>
                <w:b/>
                <w:color w:val="FF0000"/>
                <w:sz w:val="21"/>
                <w:szCs w:val="21"/>
                <w:lang w:val="en-US" w:eastAsia="zh-CN"/>
              </w:rPr>
              <w:t>3-</w:t>
            </w:r>
            <w:r>
              <w:rPr>
                <w:rFonts w:hint="eastAsia" w:cs="Times New Roman"/>
                <w:b/>
                <w:color w:val="FF0000"/>
                <w:sz w:val="21"/>
                <w:szCs w:val="21"/>
                <w:lang w:val="en-US" w:eastAsia="zh-CN"/>
              </w:rPr>
              <w:t>3</w:t>
            </w:r>
            <w:r>
              <w:rPr>
                <w:rFonts w:hint="default" w:ascii="Times New Roman" w:hAnsi="Times New Roman" w:eastAsia="宋体" w:cs="Times New Roman"/>
                <w:b/>
                <w:color w:val="FF0000"/>
                <w:sz w:val="21"/>
                <w:szCs w:val="21"/>
                <w:lang w:val="en-US" w:eastAsia="zh-CN"/>
              </w:rPr>
              <w:t>声环境检测点位</w:t>
            </w:r>
            <w:r>
              <w:rPr>
                <w:rFonts w:hint="default" w:ascii="Times New Roman" w:hAnsi="Times New Roman" w:eastAsia="宋体" w:cs="Times New Roman"/>
                <w:b/>
                <w:color w:val="FF0000"/>
                <w:sz w:val="21"/>
                <w:szCs w:val="21"/>
              </w:rPr>
              <w:t>布点</w:t>
            </w:r>
            <w:r>
              <w:rPr>
                <w:rFonts w:hint="default" w:ascii="Times New Roman" w:hAnsi="Times New Roman" w:eastAsia="宋体" w:cs="Times New Roman"/>
                <w:b/>
                <w:color w:val="FF0000"/>
                <w:sz w:val="21"/>
                <w:szCs w:val="21"/>
                <w:lang w:val="en-US" w:eastAsia="zh-CN"/>
              </w:rPr>
              <w:t>情况</w:t>
            </w:r>
          </w:p>
          <w:tbl>
            <w:tblPr>
              <w:tblStyle w:val="20"/>
              <w:tblW w:w="513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2856"/>
              <w:gridCol w:w="3848"/>
            </w:tblGrid>
            <w:tr w14:paraId="5F5CB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47" w:type="pct"/>
                  <w:tcBorders>
                    <w:tl2br w:val="nil"/>
                    <w:tr2bl w:val="nil"/>
                  </w:tcBorders>
                  <w:noWrap w:val="0"/>
                  <w:vAlign w:val="center"/>
                </w:tcPr>
                <w:p w14:paraId="5B880867">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序号</w:t>
                  </w:r>
                </w:p>
              </w:tc>
              <w:tc>
                <w:tcPr>
                  <w:tcW w:w="1769" w:type="pct"/>
                  <w:tcBorders>
                    <w:tl2br w:val="nil"/>
                    <w:tr2bl w:val="nil"/>
                  </w:tcBorders>
                  <w:noWrap w:val="0"/>
                  <w:vAlign w:val="center"/>
                </w:tcPr>
                <w:p w14:paraId="6D8E554D">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监测点位</w:t>
                  </w:r>
                </w:p>
              </w:tc>
              <w:tc>
                <w:tcPr>
                  <w:tcW w:w="2383" w:type="pct"/>
                  <w:tcBorders>
                    <w:tl2br w:val="nil"/>
                    <w:tr2bl w:val="nil"/>
                  </w:tcBorders>
                  <w:noWrap w:val="0"/>
                  <w:vAlign w:val="center"/>
                </w:tcPr>
                <w:p w14:paraId="2A6E7432">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备注</w:t>
                  </w:r>
                </w:p>
              </w:tc>
            </w:tr>
            <w:tr w14:paraId="0B8FC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pct"/>
                  <w:tcBorders>
                    <w:tl2br w:val="nil"/>
                    <w:tr2bl w:val="nil"/>
                  </w:tcBorders>
                  <w:noWrap w:val="0"/>
                  <w:vAlign w:val="center"/>
                </w:tcPr>
                <w:p w14:paraId="75D31767">
                  <w:pPr>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1#</w:t>
                  </w:r>
                </w:p>
              </w:tc>
              <w:tc>
                <w:tcPr>
                  <w:tcW w:w="1769" w:type="pct"/>
                  <w:tcBorders>
                    <w:tl2br w:val="nil"/>
                    <w:tr2bl w:val="nil"/>
                  </w:tcBorders>
                  <w:noWrap w:val="0"/>
                  <w:vAlign w:val="center"/>
                </w:tcPr>
                <w:p w14:paraId="5B374AB0">
                  <w:pPr>
                    <w:adjustRightInd w:val="0"/>
                    <w:snapToGrid w:val="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宋体"/>
                      <w:color w:val="FF0000"/>
                      <w:sz w:val="21"/>
                      <w:szCs w:val="21"/>
                      <w:lang w:val="en-US" w:eastAsia="zh-CN"/>
                    </w:rPr>
                    <w:t>前渠村</w:t>
                  </w:r>
                </w:p>
              </w:tc>
              <w:tc>
                <w:tcPr>
                  <w:tcW w:w="2383" w:type="pct"/>
                  <w:tcBorders>
                    <w:tl2br w:val="nil"/>
                    <w:tr2bl w:val="nil"/>
                  </w:tcBorders>
                  <w:noWrap w:val="0"/>
                  <w:vAlign w:val="center"/>
                </w:tcPr>
                <w:p w14:paraId="24C4F41E">
                  <w:pPr>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宋体"/>
                      <w:color w:val="FF0000"/>
                      <w:sz w:val="21"/>
                      <w:szCs w:val="21"/>
                      <w:lang w:eastAsia="zh-CN"/>
                    </w:rPr>
                    <w:t>108.1503239，35.4103219</w:t>
                  </w:r>
                </w:p>
              </w:tc>
            </w:tr>
            <w:tr w14:paraId="2ACF0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pct"/>
                  <w:tcBorders>
                    <w:tl2br w:val="nil"/>
                    <w:tr2bl w:val="nil"/>
                  </w:tcBorders>
                  <w:noWrap w:val="0"/>
                  <w:vAlign w:val="center"/>
                </w:tcPr>
                <w:p w14:paraId="50B8F350">
                  <w:pPr>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2#</w:t>
                  </w:r>
                </w:p>
              </w:tc>
              <w:tc>
                <w:tcPr>
                  <w:tcW w:w="1769" w:type="pct"/>
                  <w:tcBorders>
                    <w:tl2br w:val="nil"/>
                    <w:tr2bl w:val="nil"/>
                  </w:tcBorders>
                  <w:noWrap w:val="0"/>
                  <w:vAlign w:val="center"/>
                </w:tcPr>
                <w:p w14:paraId="4C0301AB">
                  <w:pPr>
                    <w:adjustRightInd w:val="0"/>
                    <w:snapToGrid w:val="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宋体"/>
                      <w:color w:val="FF0000"/>
                      <w:sz w:val="21"/>
                      <w:szCs w:val="21"/>
                      <w:lang w:val="en-US" w:eastAsia="zh-CN"/>
                    </w:rPr>
                    <w:t>杨家台村</w:t>
                  </w:r>
                </w:p>
              </w:tc>
              <w:tc>
                <w:tcPr>
                  <w:tcW w:w="2383" w:type="pct"/>
                  <w:tcBorders>
                    <w:tl2br w:val="nil"/>
                    <w:tr2bl w:val="nil"/>
                  </w:tcBorders>
                  <w:noWrap w:val="0"/>
                  <w:vAlign w:val="center"/>
                </w:tcPr>
                <w:p w14:paraId="7714A162">
                  <w:pPr>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宋体"/>
                      <w:color w:val="FF0000"/>
                      <w:sz w:val="21"/>
                      <w:szCs w:val="21"/>
                      <w:lang w:val="en-US" w:eastAsia="zh-CN"/>
                    </w:rPr>
                    <w:t>108.1305237，35.4000466</w:t>
                  </w:r>
                </w:p>
              </w:tc>
            </w:tr>
          </w:tbl>
          <w:p w14:paraId="59B2DB8A">
            <w:pPr>
              <w:spacing w:line="500" w:lineRule="exact"/>
              <w:ind w:firstLine="480" w:firstLineChars="200"/>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监测时间</w:t>
            </w:r>
          </w:p>
          <w:p w14:paraId="7F6067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20</w:t>
            </w:r>
            <w:r>
              <w:rPr>
                <w:rFonts w:hint="default" w:ascii="Times New Roman" w:hAnsi="Times New Roman" w:eastAsia="宋体" w:cs="Times New Roman"/>
                <w:bCs/>
                <w:color w:val="FF0000"/>
                <w:sz w:val="24"/>
                <w:lang w:val="en-US" w:eastAsia="zh-CN"/>
              </w:rPr>
              <w:t>2</w:t>
            </w:r>
            <w:r>
              <w:rPr>
                <w:rFonts w:hint="eastAsia" w:cs="Times New Roman"/>
                <w:bCs/>
                <w:color w:val="FF0000"/>
                <w:sz w:val="24"/>
                <w:lang w:val="en-US" w:eastAsia="zh-CN"/>
              </w:rPr>
              <w:t>4</w:t>
            </w:r>
            <w:r>
              <w:rPr>
                <w:rFonts w:hint="default" w:ascii="Times New Roman" w:hAnsi="Times New Roman" w:eastAsia="宋体" w:cs="Times New Roman"/>
                <w:bCs/>
                <w:color w:val="FF0000"/>
                <w:sz w:val="24"/>
              </w:rPr>
              <w:t>年</w:t>
            </w:r>
            <w:r>
              <w:rPr>
                <w:rFonts w:hint="eastAsia" w:cs="Times New Roman"/>
                <w:bCs/>
                <w:color w:val="FF0000"/>
                <w:sz w:val="24"/>
                <w:lang w:val="en-US" w:eastAsia="zh-CN"/>
              </w:rPr>
              <w:t>8</w:t>
            </w:r>
            <w:r>
              <w:rPr>
                <w:rFonts w:hint="default" w:ascii="Times New Roman" w:hAnsi="Times New Roman" w:eastAsia="宋体" w:cs="Times New Roman"/>
                <w:bCs/>
                <w:color w:val="FF0000"/>
                <w:sz w:val="24"/>
              </w:rPr>
              <w:t>月</w:t>
            </w:r>
            <w:r>
              <w:rPr>
                <w:rFonts w:hint="eastAsia" w:cs="Times New Roman"/>
                <w:bCs/>
                <w:color w:val="FF0000"/>
                <w:sz w:val="24"/>
                <w:lang w:val="en-US" w:eastAsia="zh-CN"/>
              </w:rPr>
              <w:t>7</w:t>
            </w:r>
            <w:r>
              <w:rPr>
                <w:rFonts w:hint="default" w:ascii="Times New Roman" w:hAnsi="Times New Roman" w:eastAsia="宋体" w:cs="Times New Roman"/>
                <w:bCs/>
                <w:color w:val="FF0000"/>
                <w:sz w:val="24"/>
              </w:rPr>
              <w:t>日~</w:t>
            </w:r>
            <w:r>
              <w:rPr>
                <w:rFonts w:hint="eastAsia" w:cs="Times New Roman"/>
                <w:bCs/>
                <w:color w:val="FF0000"/>
                <w:sz w:val="24"/>
                <w:lang w:val="en-US" w:eastAsia="zh-CN"/>
              </w:rPr>
              <w:t>8</w:t>
            </w:r>
            <w:r>
              <w:rPr>
                <w:rFonts w:hint="default" w:ascii="Times New Roman" w:hAnsi="Times New Roman" w:eastAsia="宋体" w:cs="Times New Roman"/>
                <w:bCs/>
                <w:color w:val="FF0000"/>
                <w:sz w:val="24"/>
              </w:rPr>
              <w:t>月</w:t>
            </w:r>
            <w:r>
              <w:rPr>
                <w:rFonts w:hint="eastAsia" w:cs="Times New Roman"/>
                <w:bCs/>
                <w:color w:val="FF0000"/>
                <w:sz w:val="24"/>
                <w:lang w:val="en-US" w:eastAsia="zh-CN"/>
              </w:rPr>
              <w:t>8</w:t>
            </w:r>
            <w:r>
              <w:rPr>
                <w:rFonts w:hint="default" w:ascii="Times New Roman" w:hAnsi="Times New Roman" w:eastAsia="宋体" w:cs="Times New Roman"/>
                <w:bCs/>
                <w:color w:val="FF0000"/>
                <w:sz w:val="24"/>
              </w:rPr>
              <w:t>日。</w:t>
            </w:r>
          </w:p>
          <w:p w14:paraId="4D7792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监测项目</w:t>
            </w:r>
          </w:p>
          <w:p w14:paraId="171AFE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等效连续A声级。</w:t>
            </w:r>
          </w:p>
          <w:p w14:paraId="74FAD2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监测方法与频次</w:t>
            </w:r>
          </w:p>
          <w:p w14:paraId="32DA8E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执行《声环境质量标准》（GB/T3096-2008）。本次噪声监测仪器使用AWA6228型噪声频谱分析仪，检出限28~120dB(A)，各噪声点位连续监测2天，昼、夜各监测一次。</w:t>
            </w:r>
          </w:p>
          <w:p w14:paraId="465C32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监测结果及现状评价</w:t>
            </w:r>
          </w:p>
          <w:p w14:paraId="30B9B7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FF0000"/>
                <w:sz w:val="24"/>
              </w:rPr>
            </w:pPr>
            <w:r>
              <w:rPr>
                <w:rFonts w:hint="default" w:ascii="Times New Roman" w:hAnsi="Times New Roman" w:eastAsia="宋体" w:cs="Times New Roman"/>
                <w:bCs/>
                <w:color w:val="FF0000"/>
                <w:sz w:val="24"/>
              </w:rPr>
              <w:t>监测结果及分析与评价统计情况见表3-</w:t>
            </w:r>
            <w:r>
              <w:rPr>
                <w:rFonts w:hint="eastAsia" w:cs="Times New Roman"/>
                <w:bCs/>
                <w:color w:val="FF0000"/>
                <w:sz w:val="24"/>
                <w:lang w:val="en-US" w:eastAsia="zh-CN"/>
              </w:rPr>
              <w:t>4</w:t>
            </w:r>
            <w:r>
              <w:rPr>
                <w:rFonts w:hint="default" w:ascii="Times New Roman" w:hAnsi="Times New Roman" w:eastAsia="宋体" w:cs="Times New Roman"/>
                <w:bCs/>
                <w:color w:val="FF0000"/>
                <w:sz w:val="24"/>
              </w:rPr>
              <w:t>。</w:t>
            </w:r>
          </w:p>
          <w:p w14:paraId="0323B5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FF0000"/>
                <w:szCs w:val="21"/>
              </w:rPr>
            </w:pPr>
            <w:r>
              <w:rPr>
                <w:rFonts w:hint="default" w:ascii="Times New Roman" w:hAnsi="Times New Roman" w:eastAsia="宋体" w:cs="Times New Roman"/>
                <w:b/>
                <w:color w:val="FF0000"/>
                <w:szCs w:val="21"/>
              </w:rPr>
              <w:t>表3-</w:t>
            </w:r>
            <w:r>
              <w:rPr>
                <w:rFonts w:hint="eastAsia" w:cs="Times New Roman"/>
                <w:b/>
                <w:color w:val="FF0000"/>
                <w:szCs w:val="21"/>
                <w:lang w:val="en-US" w:eastAsia="zh-CN"/>
              </w:rPr>
              <w:t>4</w:t>
            </w:r>
            <w:r>
              <w:rPr>
                <w:rFonts w:hint="default" w:ascii="Times New Roman" w:hAnsi="Times New Roman" w:eastAsia="宋体" w:cs="Times New Roman"/>
                <w:b/>
                <w:color w:val="FF0000"/>
                <w:szCs w:val="21"/>
              </w:rPr>
              <w:t xml:space="preserve">  环境噪声监测结果一览表  单位：dB(A)</w:t>
            </w:r>
          </w:p>
          <w:tbl>
            <w:tblPr>
              <w:tblStyle w:val="20"/>
              <w:tblW w:w="76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55"/>
              <w:gridCol w:w="3003"/>
              <w:gridCol w:w="1000"/>
              <w:gridCol w:w="1002"/>
              <w:gridCol w:w="1000"/>
              <w:gridCol w:w="999"/>
            </w:tblGrid>
            <w:tr w14:paraId="4603E4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2" w:hRule="atLeast"/>
                <w:jc w:val="center"/>
              </w:trPr>
              <w:tc>
                <w:tcPr>
                  <w:tcW w:w="655" w:type="dxa"/>
                  <w:vMerge w:val="restart"/>
                  <w:tcBorders>
                    <w:tl2br w:val="nil"/>
                    <w:tr2bl w:val="nil"/>
                  </w:tcBorders>
                  <w:shd w:val="clear" w:color="auto" w:fill="auto"/>
                  <w:vAlign w:val="center"/>
                </w:tcPr>
                <w:p w14:paraId="17FA0047">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检测项目</w:t>
                  </w:r>
                </w:p>
              </w:tc>
              <w:tc>
                <w:tcPr>
                  <w:tcW w:w="3003" w:type="dxa"/>
                  <w:vMerge w:val="restart"/>
                  <w:tcBorders>
                    <w:tl2br w:val="nil"/>
                    <w:tr2bl w:val="nil"/>
                  </w:tcBorders>
                  <w:shd w:val="clear" w:color="auto" w:fill="auto"/>
                  <w:vAlign w:val="center"/>
                </w:tcPr>
                <w:p w14:paraId="76575B01">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点位名称</w:t>
                  </w:r>
                </w:p>
              </w:tc>
              <w:tc>
                <w:tcPr>
                  <w:tcW w:w="4001" w:type="dxa"/>
                  <w:gridSpan w:val="4"/>
                  <w:tcBorders>
                    <w:tl2br w:val="nil"/>
                    <w:tr2bl w:val="nil"/>
                  </w:tcBorders>
                  <w:shd w:val="clear" w:color="auto" w:fill="auto"/>
                  <w:vAlign w:val="center"/>
                </w:tcPr>
                <w:p w14:paraId="292309A6">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测定结果(dB(A))</w:t>
                  </w:r>
                </w:p>
              </w:tc>
            </w:tr>
            <w:tr w14:paraId="0F3D12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655" w:type="dxa"/>
                  <w:vMerge w:val="continue"/>
                  <w:tcBorders>
                    <w:tl2br w:val="nil"/>
                    <w:tr2bl w:val="nil"/>
                  </w:tcBorders>
                  <w:shd w:val="clear" w:color="auto" w:fill="auto"/>
                  <w:vAlign w:val="center"/>
                </w:tcPr>
                <w:p w14:paraId="7D3DE4F1">
                  <w:pPr>
                    <w:jc w:val="center"/>
                    <w:rPr>
                      <w:rFonts w:hint="default" w:ascii="Times New Roman" w:hAnsi="Times New Roman" w:eastAsia="宋体" w:cs="Times New Roman"/>
                      <w:i w:val="0"/>
                      <w:iCs w:val="0"/>
                      <w:color w:val="FF0000"/>
                      <w:sz w:val="21"/>
                      <w:szCs w:val="21"/>
                      <w:u w:val="none"/>
                    </w:rPr>
                  </w:pPr>
                </w:p>
              </w:tc>
              <w:tc>
                <w:tcPr>
                  <w:tcW w:w="3003" w:type="dxa"/>
                  <w:vMerge w:val="continue"/>
                  <w:tcBorders>
                    <w:tl2br w:val="nil"/>
                    <w:tr2bl w:val="nil"/>
                  </w:tcBorders>
                  <w:shd w:val="clear" w:color="auto" w:fill="auto"/>
                  <w:vAlign w:val="center"/>
                </w:tcPr>
                <w:p w14:paraId="533D2C7B">
                  <w:pPr>
                    <w:jc w:val="center"/>
                    <w:rPr>
                      <w:rFonts w:hint="default" w:ascii="Times New Roman" w:hAnsi="Times New Roman" w:eastAsia="宋体" w:cs="Times New Roman"/>
                      <w:i w:val="0"/>
                      <w:iCs w:val="0"/>
                      <w:color w:val="FF0000"/>
                      <w:sz w:val="21"/>
                      <w:szCs w:val="21"/>
                      <w:u w:val="none"/>
                    </w:rPr>
                  </w:pPr>
                </w:p>
              </w:tc>
              <w:tc>
                <w:tcPr>
                  <w:tcW w:w="2002" w:type="dxa"/>
                  <w:gridSpan w:val="2"/>
                  <w:tcBorders>
                    <w:tl2br w:val="nil"/>
                    <w:tr2bl w:val="nil"/>
                  </w:tcBorders>
                  <w:shd w:val="clear" w:color="auto" w:fill="auto"/>
                  <w:vAlign w:val="center"/>
                </w:tcPr>
                <w:p w14:paraId="09614FFB">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202</w:t>
                  </w:r>
                  <w:r>
                    <w:rPr>
                      <w:rFonts w:hint="eastAsia" w:cs="Times New Roman"/>
                      <w:i w:val="0"/>
                      <w:iCs w:val="0"/>
                      <w:color w:val="FF0000"/>
                      <w:kern w:val="0"/>
                      <w:sz w:val="21"/>
                      <w:szCs w:val="21"/>
                      <w:u w:val="none"/>
                      <w:lang w:val="en-US" w:eastAsia="zh-CN" w:bidi="ar"/>
                    </w:rPr>
                    <w:t>4</w:t>
                  </w:r>
                  <w:r>
                    <w:rPr>
                      <w:rFonts w:hint="default" w:ascii="Times New Roman" w:hAnsi="Times New Roman" w:eastAsia="宋体" w:cs="Times New Roman"/>
                      <w:i w:val="0"/>
                      <w:iCs w:val="0"/>
                      <w:color w:val="FF0000"/>
                      <w:kern w:val="0"/>
                      <w:sz w:val="21"/>
                      <w:szCs w:val="21"/>
                      <w:u w:val="none"/>
                      <w:lang w:val="en-US" w:eastAsia="zh-CN" w:bidi="ar"/>
                    </w:rPr>
                    <w:t>年</w:t>
                  </w:r>
                  <w:r>
                    <w:rPr>
                      <w:rFonts w:hint="eastAsia" w:cs="Times New Roman"/>
                      <w:i w:val="0"/>
                      <w:iCs w:val="0"/>
                      <w:color w:val="FF0000"/>
                      <w:kern w:val="0"/>
                      <w:sz w:val="21"/>
                      <w:szCs w:val="21"/>
                      <w:u w:val="none"/>
                      <w:lang w:val="en-US" w:eastAsia="zh-CN" w:bidi="ar"/>
                    </w:rPr>
                    <w:t>8</w:t>
                  </w:r>
                  <w:r>
                    <w:rPr>
                      <w:rFonts w:hint="default" w:ascii="Times New Roman" w:hAnsi="Times New Roman" w:eastAsia="宋体" w:cs="Times New Roman"/>
                      <w:i w:val="0"/>
                      <w:iCs w:val="0"/>
                      <w:color w:val="FF0000"/>
                      <w:kern w:val="0"/>
                      <w:sz w:val="21"/>
                      <w:szCs w:val="21"/>
                      <w:u w:val="none"/>
                      <w:lang w:val="en-US" w:eastAsia="zh-CN" w:bidi="ar"/>
                    </w:rPr>
                    <w:t>月</w:t>
                  </w:r>
                  <w:r>
                    <w:rPr>
                      <w:rFonts w:hint="eastAsia" w:cs="Times New Roman"/>
                      <w:i w:val="0"/>
                      <w:iCs w:val="0"/>
                      <w:color w:val="FF0000"/>
                      <w:kern w:val="0"/>
                      <w:sz w:val="21"/>
                      <w:szCs w:val="21"/>
                      <w:u w:val="none"/>
                      <w:lang w:val="en-US" w:eastAsia="zh-CN" w:bidi="ar"/>
                    </w:rPr>
                    <w:t>7</w:t>
                  </w:r>
                  <w:r>
                    <w:rPr>
                      <w:rFonts w:hint="default" w:ascii="Times New Roman" w:hAnsi="Times New Roman" w:eastAsia="宋体" w:cs="Times New Roman"/>
                      <w:i w:val="0"/>
                      <w:iCs w:val="0"/>
                      <w:color w:val="FF0000"/>
                      <w:kern w:val="0"/>
                      <w:sz w:val="21"/>
                      <w:szCs w:val="21"/>
                      <w:u w:val="none"/>
                      <w:lang w:val="en-US" w:eastAsia="zh-CN" w:bidi="ar"/>
                    </w:rPr>
                    <w:t>日</w:t>
                  </w:r>
                </w:p>
              </w:tc>
              <w:tc>
                <w:tcPr>
                  <w:tcW w:w="1999" w:type="dxa"/>
                  <w:gridSpan w:val="2"/>
                  <w:tcBorders>
                    <w:tl2br w:val="nil"/>
                    <w:tr2bl w:val="nil"/>
                  </w:tcBorders>
                  <w:shd w:val="clear" w:color="auto" w:fill="auto"/>
                  <w:vAlign w:val="center"/>
                </w:tcPr>
                <w:p w14:paraId="07294A97">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202</w:t>
                  </w:r>
                  <w:r>
                    <w:rPr>
                      <w:rFonts w:hint="eastAsia" w:cs="Times New Roman"/>
                      <w:i w:val="0"/>
                      <w:iCs w:val="0"/>
                      <w:color w:val="FF0000"/>
                      <w:kern w:val="0"/>
                      <w:sz w:val="21"/>
                      <w:szCs w:val="21"/>
                      <w:u w:val="none"/>
                      <w:lang w:val="en-US" w:eastAsia="zh-CN" w:bidi="ar"/>
                    </w:rPr>
                    <w:t>4</w:t>
                  </w:r>
                  <w:r>
                    <w:rPr>
                      <w:rFonts w:hint="default" w:ascii="Times New Roman" w:hAnsi="Times New Roman" w:eastAsia="宋体" w:cs="Times New Roman"/>
                      <w:i w:val="0"/>
                      <w:iCs w:val="0"/>
                      <w:color w:val="FF0000"/>
                      <w:kern w:val="0"/>
                      <w:sz w:val="21"/>
                      <w:szCs w:val="21"/>
                      <w:u w:val="none"/>
                      <w:lang w:val="en-US" w:eastAsia="zh-CN" w:bidi="ar"/>
                    </w:rPr>
                    <w:t>年</w:t>
                  </w:r>
                  <w:r>
                    <w:rPr>
                      <w:rFonts w:hint="eastAsia" w:cs="Times New Roman"/>
                      <w:i w:val="0"/>
                      <w:iCs w:val="0"/>
                      <w:color w:val="FF0000"/>
                      <w:kern w:val="0"/>
                      <w:sz w:val="21"/>
                      <w:szCs w:val="21"/>
                      <w:u w:val="none"/>
                      <w:lang w:val="en-US" w:eastAsia="zh-CN" w:bidi="ar"/>
                    </w:rPr>
                    <w:t>8</w:t>
                  </w:r>
                  <w:r>
                    <w:rPr>
                      <w:rFonts w:hint="default" w:ascii="Times New Roman" w:hAnsi="Times New Roman" w:eastAsia="宋体" w:cs="Times New Roman"/>
                      <w:i w:val="0"/>
                      <w:iCs w:val="0"/>
                      <w:color w:val="FF0000"/>
                      <w:kern w:val="0"/>
                      <w:sz w:val="21"/>
                      <w:szCs w:val="21"/>
                      <w:u w:val="none"/>
                      <w:lang w:val="en-US" w:eastAsia="zh-CN" w:bidi="ar"/>
                    </w:rPr>
                    <w:t>月</w:t>
                  </w:r>
                  <w:r>
                    <w:rPr>
                      <w:rFonts w:hint="eastAsia" w:cs="Times New Roman"/>
                      <w:i w:val="0"/>
                      <w:iCs w:val="0"/>
                      <w:color w:val="FF0000"/>
                      <w:kern w:val="0"/>
                      <w:sz w:val="21"/>
                      <w:szCs w:val="21"/>
                      <w:u w:val="none"/>
                      <w:lang w:val="en-US" w:eastAsia="zh-CN" w:bidi="ar"/>
                    </w:rPr>
                    <w:t>8</w:t>
                  </w:r>
                  <w:r>
                    <w:rPr>
                      <w:rFonts w:hint="default" w:ascii="Times New Roman" w:hAnsi="Times New Roman" w:eastAsia="宋体" w:cs="Times New Roman"/>
                      <w:i w:val="0"/>
                      <w:iCs w:val="0"/>
                      <w:color w:val="FF0000"/>
                      <w:kern w:val="0"/>
                      <w:sz w:val="21"/>
                      <w:szCs w:val="21"/>
                      <w:u w:val="none"/>
                      <w:lang w:val="en-US" w:eastAsia="zh-CN" w:bidi="ar"/>
                    </w:rPr>
                    <w:t>日</w:t>
                  </w:r>
                </w:p>
              </w:tc>
            </w:tr>
            <w:tr w14:paraId="09D53D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8" w:hRule="atLeast"/>
                <w:jc w:val="center"/>
              </w:trPr>
              <w:tc>
                <w:tcPr>
                  <w:tcW w:w="655" w:type="dxa"/>
                  <w:vMerge w:val="continue"/>
                  <w:tcBorders>
                    <w:tl2br w:val="nil"/>
                    <w:tr2bl w:val="nil"/>
                  </w:tcBorders>
                  <w:shd w:val="clear" w:color="auto" w:fill="auto"/>
                  <w:vAlign w:val="center"/>
                </w:tcPr>
                <w:p w14:paraId="39DC7B4D">
                  <w:pPr>
                    <w:jc w:val="center"/>
                    <w:rPr>
                      <w:rFonts w:hint="default" w:ascii="Times New Roman" w:hAnsi="Times New Roman" w:eastAsia="宋体" w:cs="Times New Roman"/>
                      <w:i w:val="0"/>
                      <w:iCs w:val="0"/>
                      <w:color w:val="FF0000"/>
                      <w:sz w:val="21"/>
                      <w:szCs w:val="21"/>
                      <w:u w:val="none"/>
                    </w:rPr>
                  </w:pPr>
                </w:p>
              </w:tc>
              <w:tc>
                <w:tcPr>
                  <w:tcW w:w="3003" w:type="dxa"/>
                  <w:vMerge w:val="continue"/>
                  <w:tcBorders>
                    <w:tl2br w:val="nil"/>
                    <w:tr2bl w:val="nil"/>
                  </w:tcBorders>
                  <w:shd w:val="clear" w:color="auto" w:fill="auto"/>
                  <w:vAlign w:val="center"/>
                </w:tcPr>
                <w:p w14:paraId="5D9C4CF4">
                  <w:pPr>
                    <w:jc w:val="center"/>
                    <w:rPr>
                      <w:rFonts w:hint="default" w:ascii="Times New Roman" w:hAnsi="Times New Roman" w:eastAsia="宋体" w:cs="Times New Roman"/>
                      <w:i w:val="0"/>
                      <w:iCs w:val="0"/>
                      <w:color w:val="FF0000"/>
                      <w:sz w:val="21"/>
                      <w:szCs w:val="21"/>
                      <w:u w:val="none"/>
                    </w:rPr>
                  </w:pPr>
                </w:p>
              </w:tc>
              <w:tc>
                <w:tcPr>
                  <w:tcW w:w="1000" w:type="dxa"/>
                  <w:tcBorders>
                    <w:tl2br w:val="nil"/>
                    <w:tr2bl w:val="nil"/>
                  </w:tcBorders>
                  <w:shd w:val="clear" w:color="auto" w:fill="auto"/>
                  <w:vAlign w:val="center"/>
                </w:tcPr>
                <w:p w14:paraId="06BA92CE">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昼间</w:t>
                  </w:r>
                </w:p>
              </w:tc>
              <w:tc>
                <w:tcPr>
                  <w:tcW w:w="1002" w:type="dxa"/>
                  <w:tcBorders>
                    <w:tl2br w:val="nil"/>
                    <w:tr2bl w:val="nil"/>
                  </w:tcBorders>
                  <w:shd w:val="clear" w:color="auto" w:fill="auto"/>
                  <w:vAlign w:val="center"/>
                </w:tcPr>
                <w:p w14:paraId="43C1FBB3">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夜间</w:t>
                  </w:r>
                </w:p>
              </w:tc>
              <w:tc>
                <w:tcPr>
                  <w:tcW w:w="1000" w:type="dxa"/>
                  <w:tcBorders>
                    <w:tl2br w:val="nil"/>
                    <w:tr2bl w:val="nil"/>
                  </w:tcBorders>
                  <w:shd w:val="clear" w:color="auto" w:fill="auto"/>
                  <w:vAlign w:val="center"/>
                </w:tcPr>
                <w:p w14:paraId="4724D067">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昼间</w:t>
                  </w:r>
                </w:p>
              </w:tc>
              <w:tc>
                <w:tcPr>
                  <w:tcW w:w="999" w:type="dxa"/>
                  <w:tcBorders>
                    <w:tl2br w:val="nil"/>
                    <w:tr2bl w:val="nil"/>
                  </w:tcBorders>
                  <w:shd w:val="clear" w:color="auto" w:fill="auto"/>
                  <w:vAlign w:val="center"/>
                </w:tcPr>
                <w:p w14:paraId="31120D5C">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夜间</w:t>
                  </w:r>
                </w:p>
              </w:tc>
            </w:tr>
            <w:tr w14:paraId="7142F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6" w:hRule="atLeast"/>
                <w:jc w:val="center"/>
              </w:trPr>
              <w:tc>
                <w:tcPr>
                  <w:tcW w:w="655" w:type="dxa"/>
                  <w:vMerge w:val="restart"/>
                  <w:tcBorders>
                    <w:tl2br w:val="nil"/>
                    <w:tr2bl w:val="nil"/>
                  </w:tcBorders>
                  <w:shd w:val="clear" w:color="auto" w:fill="auto"/>
                  <w:vAlign w:val="center"/>
                </w:tcPr>
                <w:p w14:paraId="38D319CE">
                  <w:pPr>
                    <w:keepNext w:val="0"/>
                    <w:keepLines w:val="0"/>
                    <w:widowControl/>
                    <w:suppressLineNumbers w:val="0"/>
                    <w:jc w:val="center"/>
                    <w:textAlignment w:val="top"/>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噪声</w:t>
                  </w:r>
                </w:p>
              </w:tc>
              <w:tc>
                <w:tcPr>
                  <w:tcW w:w="3003" w:type="dxa"/>
                  <w:tcBorders>
                    <w:tl2br w:val="nil"/>
                    <w:tr2bl w:val="nil"/>
                  </w:tcBorders>
                  <w:shd w:val="clear" w:color="auto" w:fill="auto"/>
                  <w:vAlign w:val="center"/>
                </w:tcPr>
                <w:p w14:paraId="142F0683">
                  <w:pPr>
                    <w:adjustRightInd w:val="0"/>
                    <w:snapToGrid w:val="0"/>
                    <w:jc w:val="center"/>
                    <w:rPr>
                      <w:rFonts w:hint="default" w:ascii="Times New Roman" w:hAnsi="Times New Roman" w:eastAsia="宋体" w:cs="Times New Roman"/>
                      <w:i w:val="0"/>
                      <w:iCs w:val="0"/>
                      <w:color w:val="FF0000"/>
                      <w:sz w:val="21"/>
                      <w:szCs w:val="21"/>
                      <w:u w:val="none"/>
                    </w:rPr>
                  </w:pPr>
                  <w:r>
                    <w:rPr>
                      <w:rFonts w:hint="eastAsia" w:ascii="Times New Roman" w:hAnsi="Times New Roman" w:eastAsia="宋体" w:cs="宋体"/>
                      <w:color w:val="FF0000"/>
                      <w:sz w:val="21"/>
                      <w:szCs w:val="21"/>
                      <w:lang w:val="en-US" w:eastAsia="zh-CN"/>
                    </w:rPr>
                    <w:t>前渠村</w:t>
                  </w:r>
                </w:p>
              </w:tc>
              <w:tc>
                <w:tcPr>
                  <w:tcW w:w="1000" w:type="dxa"/>
                  <w:tcBorders>
                    <w:tl2br w:val="nil"/>
                    <w:tr2bl w:val="nil"/>
                  </w:tcBorders>
                  <w:shd w:val="clear" w:color="auto" w:fill="auto"/>
                  <w:vAlign w:val="center"/>
                </w:tcPr>
                <w:p w14:paraId="5673705A">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color w:val="FF0000"/>
                      <w:kern w:val="0"/>
                      <w:sz w:val="21"/>
                      <w:szCs w:val="21"/>
                      <w:u w:val="none"/>
                      <w:lang w:val="en-US" w:eastAsia="zh-CN" w:bidi="ar"/>
                    </w:rPr>
                    <w:t>52.2</w:t>
                  </w:r>
                </w:p>
              </w:tc>
              <w:tc>
                <w:tcPr>
                  <w:tcW w:w="1002" w:type="dxa"/>
                  <w:tcBorders>
                    <w:tl2br w:val="nil"/>
                    <w:tr2bl w:val="nil"/>
                  </w:tcBorders>
                  <w:shd w:val="clear" w:color="auto" w:fill="auto"/>
                  <w:vAlign w:val="center"/>
                </w:tcPr>
                <w:p w14:paraId="762E0656">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color w:val="FF0000"/>
                      <w:kern w:val="0"/>
                      <w:sz w:val="21"/>
                      <w:szCs w:val="21"/>
                      <w:u w:val="none"/>
                      <w:lang w:val="en-US" w:eastAsia="zh-CN" w:bidi="ar"/>
                    </w:rPr>
                    <w:t>40.9</w:t>
                  </w:r>
                </w:p>
              </w:tc>
              <w:tc>
                <w:tcPr>
                  <w:tcW w:w="1000" w:type="dxa"/>
                  <w:tcBorders>
                    <w:tl2br w:val="nil"/>
                    <w:tr2bl w:val="nil"/>
                  </w:tcBorders>
                  <w:shd w:val="clear" w:color="auto" w:fill="auto"/>
                  <w:vAlign w:val="center"/>
                </w:tcPr>
                <w:p w14:paraId="59285E97">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color w:val="FF0000"/>
                      <w:kern w:val="0"/>
                      <w:sz w:val="21"/>
                      <w:szCs w:val="21"/>
                      <w:u w:val="none"/>
                      <w:lang w:val="en-US" w:eastAsia="zh-CN" w:bidi="ar"/>
                    </w:rPr>
                    <w:t>53.4</w:t>
                  </w:r>
                </w:p>
              </w:tc>
              <w:tc>
                <w:tcPr>
                  <w:tcW w:w="999" w:type="dxa"/>
                  <w:tcBorders>
                    <w:tl2br w:val="nil"/>
                    <w:tr2bl w:val="nil"/>
                  </w:tcBorders>
                  <w:shd w:val="clear" w:color="auto" w:fill="auto"/>
                  <w:vAlign w:val="center"/>
                </w:tcPr>
                <w:p w14:paraId="0D105233">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color w:val="FF0000"/>
                      <w:kern w:val="0"/>
                      <w:sz w:val="21"/>
                      <w:szCs w:val="21"/>
                      <w:u w:val="none"/>
                      <w:lang w:val="en-US" w:eastAsia="zh-CN" w:bidi="ar"/>
                    </w:rPr>
                    <w:t>41.2</w:t>
                  </w:r>
                </w:p>
              </w:tc>
            </w:tr>
            <w:tr w14:paraId="05B4A2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2" w:hRule="atLeast"/>
                <w:jc w:val="center"/>
              </w:trPr>
              <w:tc>
                <w:tcPr>
                  <w:tcW w:w="655" w:type="dxa"/>
                  <w:vMerge w:val="continue"/>
                  <w:tcBorders>
                    <w:tl2br w:val="nil"/>
                    <w:tr2bl w:val="nil"/>
                  </w:tcBorders>
                  <w:shd w:val="clear" w:color="auto" w:fill="auto"/>
                  <w:vAlign w:val="center"/>
                </w:tcPr>
                <w:p w14:paraId="216E12F6">
                  <w:pPr>
                    <w:jc w:val="center"/>
                    <w:rPr>
                      <w:rFonts w:hint="default" w:ascii="Times New Roman" w:hAnsi="Times New Roman" w:eastAsia="宋体" w:cs="Times New Roman"/>
                      <w:i w:val="0"/>
                      <w:iCs w:val="0"/>
                      <w:color w:val="FF0000"/>
                      <w:sz w:val="21"/>
                      <w:szCs w:val="21"/>
                      <w:u w:val="none"/>
                    </w:rPr>
                  </w:pPr>
                </w:p>
              </w:tc>
              <w:tc>
                <w:tcPr>
                  <w:tcW w:w="3003" w:type="dxa"/>
                  <w:tcBorders>
                    <w:tl2br w:val="nil"/>
                    <w:tr2bl w:val="nil"/>
                  </w:tcBorders>
                  <w:shd w:val="clear" w:color="auto" w:fill="auto"/>
                  <w:vAlign w:val="center"/>
                </w:tcPr>
                <w:p w14:paraId="7BA24CE7">
                  <w:pPr>
                    <w:adjustRightInd w:val="0"/>
                    <w:snapToGrid w:val="0"/>
                    <w:jc w:val="center"/>
                    <w:rPr>
                      <w:rFonts w:hint="default" w:ascii="Times New Roman" w:hAnsi="Times New Roman" w:eastAsia="宋体" w:cs="Times New Roman"/>
                      <w:i w:val="0"/>
                      <w:iCs w:val="0"/>
                      <w:color w:val="FF0000"/>
                      <w:sz w:val="21"/>
                      <w:szCs w:val="21"/>
                      <w:u w:val="none"/>
                    </w:rPr>
                  </w:pPr>
                  <w:r>
                    <w:rPr>
                      <w:rFonts w:hint="eastAsia" w:ascii="Times New Roman" w:hAnsi="Times New Roman" w:eastAsia="宋体" w:cs="宋体"/>
                      <w:color w:val="FF0000"/>
                      <w:sz w:val="21"/>
                      <w:szCs w:val="21"/>
                      <w:lang w:val="en-US" w:eastAsia="zh-CN"/>
                    </w:rPr>
                    <w:t>杨家台村</w:t>
                  </w:r>
                </w:p>
              </w:tc>
              <w:tc>
                <w:tcPr>
                  <w:tcW w:w="1000" w:type="dxa"/>
                  <w:tcBorders>
                    <w:tl2br w:val="nil"/>
                    <w:tr2bl w:val="nil"/>
                  </w:tcBorders>
                  <w:shd w:val="clear" w:color="auto" w:fill="auto"/>
                  <w:vAlign w:val="center"/>
                </w:tcPr>
                <w:p w14:paraId="0A8B8703">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color w:val="FF0000"/>
                      <w:kern w:val="0"/>
                      <w:sz w:val="21"/>
                      <w:szCs w:val="21"/>
                      <w:u w:val="none"/>
                      <w:lang w:val="en-US" w:eastAsia="zh-CN" w:bidi="ar"/>
                    </w:rPr>
                    <w:t>53.4</w:t>
                  </w:r>
                </w:p>
              </w:tc>
              <w:tc>
                <w:tcPr>
                  <w:tcW w:w="1002" w:type="dxa"/>
                  <w:tcBorders>
                    <w:tl2br w:val="nil"/>
                    <w:tr2bl w:val="nil"/>
                  </w:tcBorders>
                  <w:shd w:val="clear" w:color="auto" w:fill="auto"/>
                  <w:vAlign w:val="center"/>
                </w:tcPr>
                <w:p w14:paraId="3A8CCBDB">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color w:val="FF0000"/>
                      <w:kern w:val="0"/>
                      <w:sz w:val="21"/>
                      <w:szCs w:val="21"/>
                      <w:u w:val="none"/>
                      <w:lang w:val="en-US" w:eastAsia="zh-CN" w:bidi="ar"/>
                    </w:rPr>
                    <w:t>38.8</w:t>
                  </w:r>
                </w:p>
              </w:tc>
              <w:tc>
                <w:tcPr>
                  <w:tcW w:w="1000" w:type="dxa"/>
                  <w:tcBorders>
                    <w:tl2br w:val="nil"/>
                    <w:tr2bl w:val="nil"/>
                  </w:tcBorders>
                  <w:shd w:val="clear" w:color="auto" w:fill="auto"/>
                  <w:vAlign w:val="center"/>
                </w:tcPr>
                <w:p w14:paraId="2C646570">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color w:val="FF0000"/>
                      <w:kern w:val="0"/>
                      <w:sz w:val="21"/>
                      <w:szCs w:val="21"/>
                      <w:u w:val="none"/>
                      <w:lang w:val="en-US" w:eastAsia="zh-CN" w:bidi="ar"/>
                    </w:rPr>
                    <w:t>52.8</w:t>
                  </w:r>
                </w:p>
              </w:tc>
              <w:tc>
                <w:tcPr>
                  <w:tcW w:w="999" w:type="dxa"/>
                  <w:tcBorders>
                    <w:tl2br w:val="nil"/>
                    <w:tr2bl w:val="nil"/>
                  </w:tcBorders>
                  <w:shd w:val="clear" w:color="auto" w:fill="auto"/>
                  <w:vAlign w:val="center"/>
                </w:tcPr>
                <w:p w14:paraId="7CB3DC1B">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color w:val="FF0000"/>
                      <w:kern w:val="0"/>
                      <w:sz w:val="21"/>
                      <w:szCs w:val="21"/>
                      <w:u w:val="none"/>
                      <w:lang w:val="en-US" w:eastAsia="zh-CN" w:bidi="ar"/>
                    </w:rPr>
                    <w:t>39.6</w:t>
                  </w:r>
                </w:p>
              </w:tc>
            </w:tr>
            <w:tr w14:paraId="76DAA2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3658" w:type="dxa"/>
                  <w:gridSpan w:val="2"/>
                  <w:tcBorders>
                    <w:tl2br w:val="nil"/>
                    <w:tr2bl w:val="nil"/>
                  </w:tcBorders>
                  <w:shd w:val="clear" w:color="auto" w:fill="auto"/>
                  <w:vAlign w:val="center"/>
                </w:tcPr>
                <w:p w14:paraId="4A9B69FD">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限值</w:t>
                  </w:r>
                </w:p>
              </w:tc>
              <w:tc>
                <w:tcPr>
                  <w:tcW w:w="1000" w:type="dxa"/>
                  <w:tcBorders>
                    <w:tl2br w:val="nil"/>
                    <w:tr2bl w:val="nil"/>
                  </w:tcBorders>
                  <w:shd w:val="clear" w:color="auto" w:fill="auto"/>
                  <w:vAlign w:val="center"/>
                </w:tcPr>
                <w:p w14:paraId="250D8F89">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60</w:t>
                  </w:r>
                </w:p>
              </w:tc>
              <w:tc>
                <w:tcPr>
                  <w:tcW w:w="1002" w:type="dxa"/>
                  <w:tcBorders>
                    <w:tl2br w:val="nil"/>
                    <w:tr2bl w:val="nil"/>
                  </w:tcBorders>
                  <w:shd w:val="clear" w:color="auto" w:fill="auto"/>
                  <w:vAlign w:val="center"/>
                </w:tcPr>
                <w:p w14:paraId="48FFABC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50</w:t>
                  </w:r>
                </w:p>
              </w:tc>
              <w:tc>
                <w:tcPr>
                  <w:tcW w:w="1000" w:type="dxa"/>
                  <w:tcBorders>
                    <w:tl2br w:val="nil"/>
                    <w:tr2bl w:val="nil"/>
                  </w:tcBorders>
                  <w:shd w:val="clear" w:color="auto" w:fill="auto"/>
                  <w:vAlign w:val="center"/>
                </w:tcPr>
                <w:p w14:paraId="06643426">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60</w:t>
                  </w:r>
                </w:p>
              </w:tc>
              <w:tc>
                <w:tcPr>
                  <w:tcW w:w="999" w:type="dxa"/>
                  <w:tcBorders>
                    <w:tl2br w:val="nil"/>
                    <w:tr2bl w:val="nil"/>
                  </w:tcBorders>
                  <w:shd w:val="clear" w:color="auto" w:fill="auto"/>
                  <w:vAlign w:val="center"/>
                </w:tcPr>
                <w:p w14:paraId="0921B4A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50</w:t>
                  </w:r>
                </w:p>
              </w:tc>
            </w:tr>
          </w:tbl>
          <w:p w14:paraId="536CDE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Cs/>
                <w:color w:val="FF0000"/>
                <w:sz w:val="24"/>
              </w:rPr>
            </w:pPr>
            <w:r>
              <w:rPr>
                <w:rFonts w:hint="default" w:ascii="Times New Roman" w:hAnsi="Times New Roman" w:eastAsia="宋体" w:cs="Times New Roman"/>
                <w:bCs/>
                <w:color w:val="FF0000"/>
                <w:sz w:val="24"/>
              </w:rPr>
              <w:t>由监测结果可知，项目</w:t>
            </w:r>
            <w:r>
              <w:rPr>
                <w:rFonts w:hint="default" w:ascii="Times New Roman" w:hAnsi="Times New Roman" w:eastAsia="宋体" w:cs="Times New Roman"/>
                <w:bCs/>
                <w:color w:val="FF0000"/>
                <w:sz w:val="24"/>
                <w:lang w:eastAsia="zh-CN"/>
              </w:rPr>
              <w:t>各监测点位均</w:t>
            </w:r>
            <w:r>
              <w:rPr>
                <w:rFonts w:hint="default" w:ascii="Times New Roman" w:hAnsi="Times New Roman" w:eastAsia="宋体" w:cs="Times New Roman"/>
                <w:bCs/>
                <w:color w:val="FF0000"/>
                <w:sz w:val="24"/>
              </w:rPr>
              <w:t>符合《声环境质量标准》（GB3096-2008）</w:t>
            </w:r>
            <w:r>
              <w:rPr>
                <w:rFonts w:hint="default" w:ascii="Times New Roman" w:hAnsi="Times New Roman" w:eastAsia="宋体" w:cs="Times New Roman"/>
                <w:bCs/>
                <w:color w:val="FF0000"/>
                <w:sz w:val="24"/>
                <w:lang w:val="en-US" w:eastAsia="zh-CN"/>
              </w:rPr>
              <w:t>2</w:t>
            </w:r>
            <w:r>
              <w:rPr>
                <w:rFonts w:hint="default" w:ascii="Times New Roman" w:hAnsi="Times New Roman" w:eastAsia="宋体" w:cs="Times New Roman"/>
                <w:bCs/>
                <w:color w:val="FF0000"/>
                <w:sz w:val="24"/>
              </w:rPr>
              <w:t>类标准，可见项目建设地周围声环境质量良好</w:t>
            </w:r>
            <w:r>
              <w:rPr>
                <w:rFonts w:hint="default" w:ascii="Times New Roman" w:hAnsi="Times New Roman" w:eastAsia="宋体" w:cs="Times New Roman"/>
                <w:bCs/>
                <w:color w:val="FF0000"/>
                <w:sz w:val="24"/>
                <w:lang w:val="en-US" w:eastAsia="zh-CN"/>
              </w:rPr>
              <w:t>。</w:t>
            </w:r>
          </w:p>
          <w:p w14:paraId="2DB3BF95">
            <w:pPr>
              <w:pStyle w:val="2"/>
              <w:rPr>
                <w:rFonts w:hint="eastAsia" w:ascii="Times New Roman" w:hAnsi="Times New Roman" w:eastAsia="宋体"/>
                <w:color w:val="000000" w:themeColor="text1"/>
                <w:kern w:val="24"/>
                <w:sz w:val="24"/>
                <w:szCs w:val="24"/>
                <w14:textFill>
                  <w14:solidFill>
                    <w14:schemeClr w14:val="tx1"/>
                  </w14:solidFill>
                </w14:textFill>
              </w:rPr>
            </w:pPr>
          </w:p>
          <w:p w14:paraId="25C8FB0E">
            <w:pPr>
              <w:pStyle w:val="2"/>
              <w:rPr>
                <w:rFonts w:hint="eastAsia" w:ascii="Times New Roman" w:hAnsi="Times New Roman" w:eastAsia="宋体"/>
                <w:color w:val="000000" w:themeColor="text1"/>
                <w:kern w:val="24"/>
                <w:sz w:val="24"/>
                <w:szCs w:val="24"/>
                <w14:textFill>
                  <w14:solidFill>
                    <w14:schemeClr w14:val="tx1"/>
                  </w14:solidFill>
                </w14:textFill>
              </w:rPr>
            </w:pPr>
          </w:p>
        </w:tc>
      </w:tr>
      <w:tr w14:paraId="3F0E7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904" w:type="dxa"/>
            <w:noWrap w:val="0"/>
            <w:vAlign w:val="center"/>
          </w:tcPr>
          <w:p w14:paraId="032E5431">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与项目有关的原有环境污染和生态破坏问题</w:t>
            </w:r>
          </w:p>
        </w:tc>
        <w:tc>
          <w:tcPr>
            <w:tcW w:w="8253" w:type="dxa"/>
            <w:noWrap w:val="0"/>
            <w:vAlign w:val="center"/>
          </w:tcPr>
          <w:p w14:paraId="18708501">
            <w:pPr>
              <w:spacing w:line="360" w:lineRule="auto"/>
              <w:ind w:left="0" w:leftChars="0" w:firstLine="0" w:firstLineChars="0"/>
              <w:contextualSpacing/>
              <w:jc w:val="left"/>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流域现状</w:t>
            </w:r>
          </w:p>
          <w:p w14:paraId="6B91BC5D">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湘乐川系城北河支流，发源于子午岭西麓的兴隆关，由东北向西南于南义乡的寨子河村汇入城北河，流域位于东经107°58′～108°32′、北纬35°33′～35°48′之间，河长64km，流域面积573km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(不包括平道川)，河道平均坡降2.8‰，多年平均流量为0.58m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/s。</w:t>
            </w:r>
          </w:p>
          <w:p w14:paraId="20598482">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湘乐川上游19km处建有白吉坡水库，流域面积252km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为子午岭林区，平均坡降14.5‰，由于植被较好，侵蚀模数较小，产汇流时间长，地表水质良好；白吉坡水库以下到盘克镇的平道川汇合口河长26km，平均坡降5.8‰。从盘克镇至寨子河村河长19km，平均坡降1.9‰。平道川发源于子午岭西越的芦邑庄，于盘克镇汇入湘乐川，流域面积233. 7km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，河长38km。</w:t>
            </w:r>
          </w:p>
          <w:p w14:paraId="3529F9D4">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宁县湘乐川前渠至宋庄段防洪治理工程位于宁县湘乐川盘克镇境内，起始于盘克镇宋庄村李家庄，末端结束于下游盘克镇前渠村牛头沟，治理河道总长11.355km，工程区以上控制流域面积379km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，河道长度32km，河道平均比降5.6‰。</w:t>
            </w:r>
          </w:p>
          <w:p w14:paraId="45AFE731">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宁县湘乐川前渠至宋庄段防洪治理工程位于宁县湘乐川盘克镇境内，起始于盘克镇宋庄村李家庄，末端结束于下游盘克镇前渠村牛头沟，治理河道总长11.80km，共辖盘克镇前渠、宋庄2个行政村，涉及612户2783人，5030亩川台地。该工程区地处陇东黄土高原梁峁丘陵区，沟壑纵横，植被稀疏，覆土松散。夏季是暴雨比较集中的时期，而且历时短，强度大，形成的洪水陡涨陡落，湘乐川河床两岸土体松散，两岸防护设施较少，由于洪水冲淘，造成塌岸严重。</w:t>
            </w:r>
          </w:p>
          <w:p w14:paraId="1C49C63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2021年10月2日～9日，宁县出现了大范围持续性降雨天气。湘乐川降雨量累计达243.7mm。强降雨天气导致湘乐川河流水位上涨，造成部分水利设施受损，冲毁乡村道路84处，29处山洪沟道发生山洪灾害，同时造成湘乐川河道内一级阶地前缘多出坍塌，农田淹没，泥流漫灌，河道内淤泥淤塞。本次湘乐川洪灾造成经济损失约9200万元。</w:t>
            </w:r>
          </w:p>
          <w:p w14:paraId="4DEDBC1D">
            <w:pPr>
              <w:spacing w:line="360" w:lineRule="auto"/>
              <w:ind w:firstLine="480" w:firstLineChars="200"/>
              <w:rPr>
                <w:rFonts w:hint="eastAsia" w:ascii="宋体" w:hAnsi="宋体" w:eastAsia="宋体" w:cs="宋体"/>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宁县湘乐川前渠至宋庄段防洪治理工程的实施，提高该区域的防洪标准，为防洪保护区内人民生命财产安全提供了有效的保障，而且达到了改善生态环境的目的</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14:paraId="60402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904" w:type="dxa"/>
            <w:noWrap w:val="0"/>
            <w:vAlign w:val="center"/>
          </w:tcPr>
          <w:p w14:paraId="50B19AB8">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生态环境保护目标</w:t>
            </w:r>
          </w:p>
        </w:tc>
        <w:tc>
          <w:tcPr>
            <w:tcW w:w="8253" w:type="dxa"/>
            <w:noWrap w:val="0"/>
            <w:vAlign w:val="center"/>
          </w:tcPr>
          <w:p w14:paraId="39B647CD">
            <w:pPr>
              <w:spacing w:line="360" w:lineRule="auto"/>
              <w:ind w:firstLine="471"/>
              <w:contextualSpacing/>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（1）大气环境：按照环境影响评价相关技术导则要求确定评价范围并识别环境保护目标</w:t>
            </w:r>
            <w:r>
              <w:rPr>
                <w:rFonts w:hint="eastAsia"/>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本项目为河道治理项目，属于生态类项目，</w:t>
            </w:r>
            <w:r>
              <w:rPr>
                <w:rFonts w:hint="eastAsia"/>
                <w:color w:val="000000" w:themeColor="text1"/>
                <w:sz w:val="24"/>
                <w:szCs w:val="24"/>
                <w:lang w:eastAsia="zh-CN"/>
                <w14:textFill>
                  <w14:solidFill>
                    <w14:schemeClr w14:val="tx1"/>
                  </w14:solidFill>
                </w14:textFill>
              </w:rPr>
              <w:t>运营期无废气产生与排放，确定大气评价等级为三级</w:t>
            </w:r>
            <w:r>
              <w:rPr>
                <w:rFonts w:hint="eastAsia" w:ascii="Times New Roman" w:hAnsi="Times New Roman" w:eastAsia="宋体"/>
                <w:color w:val="000000" w:themeColor="text1"/>
                <w:sz w:val="24"/>
                <w:szCs w:val="24"/>
                <w14:textFill>
                  <w14:solidFill>
                    <w14:schemeClr w14:val="tx1"/>
                  </w14:solidFill>
                </w14:textFill>
              </w:rPr>
              <w:t>，</w:t>
            </w:r>
            <w:r>
              <w:rPr>
                <w:rFonts w:hint="eastAsia"/>
                <w:color w:val="FF0000"/>
                <w:sz w:val="24"/>
                <w:lang w:val="en-US" w:eastAsia="zh-CN"/>
              </w:rPr>
              <w:t>不设大气环境影响评价范围。</w:t>
            </w:r>
          </w:p>
          <w:p w14:paraId="11FCE417">
            <w:pPr>
              <w:numPr>
                <w:ilvl w:val="0"/>
                <w:numId w:val="2"/>
              </w:numPr>
              <w:spacing w:line="360" w:lineRule="auto"/>
              <w:ind w:firstLine="471"/>
              <w:contextualSpacing/>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声环境：根据《环境影响评价技术导则 声环境》（HJ2.4-2009）中规定“根据建设项目实施过程中噪声的影响特点，可按施工期和运行期分别开展声环境影响评价”，由于本工程噪声环境影响绝大部分在施工期，项目建成后噪声随之消失，评价范围为河道治理两侧200m范围。</w:t>
            </w:r>
          </w:p>
          <w:p w14:paraId="0A1B8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表3-</w:t>
            </w:r>
            <w:r>
              <w:rPr>
                <w:rFonts w:hint="eastAsia" w:cs="Times New Roman"/>
                <w:b/>
                <w:bCs/>
                <w:color w:val="000000" w:themeColor="text1"/>
                <w:szCs w:val="21"/>
                <w:lang w:val="en-US" w:eastAsia="zh-CN"/>
                <w14:textFill>
                  <w14:solidFill>
                    <w14:schemeClr w14:val="tx1"/>
                  </w14:solidFill>
                </w14:textFill>
              </w:rPr>
              <w:t>5</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 xml:space="preserve">    项目区声环境敏感目标</w:t>
            </w:r>
          </w:p>
          <w:tbl>
            <w:tblPr>
              <w:tblStyle w:val="20"/>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9"/>
              <w:gridCol w:w="1362"/>
              <w:gridCol w:w="1216"/>
              <w:gridCol w:w="1058"/>
              <w:gridCol w:w="1116"/>
              <w:gridCol w:w="1632"/>
              <w:gridCol w:w="657"/>
              <w:gridCol w:w="722"/>
            </w:tblGrid>
            <w:tr w14:paraId="37CD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263" w:type="pct"/>
                  <w:vMerge w:val="restart"/>
                  <w:vAlign w:val="center"/>
                </w:tcPr>
                <w:p w14:paraId="3FF47562">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名称</w:t>
                  </w:r>
                </w:p>
              </w:tc>
              <w:tc>
                <w:tcPr>
                  <w:tcW w:w="1684" w:type="pct"/>
                  <w:gridSpan w:val="2"/>
                  <w:vAlign w:val="center"/>
                </w:tcPr>
                <w:p w14:paraId="1CC7313B">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坐标/m</w:t>
                  </w:r>
                </w:p>
              </w:tc>
              <w:tc>
                <w:tcPr>
                  <w:tcW w:w="699" w:type="pct"/>
                  <w:vMerge w:val="restart"/>
                  <w:vAlign w:val="center"/>
                </w:tcPr>
                <w:p w14:paraId="77E3F012">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保护对象</w:t>
                  </w:r>
                </w:p>
              </w:tc>
              <w:tc>
                <w:tcPr>
                  <w:tcW w:w="735" w:type="pct"/>
                  <w:vMerge w:val="restart"/>
                  <w:vAlign w:val="center"/>
                </w:tcPr>
                <w:p w14:paraId="7A800425">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规模</w:t>
                  </w:r>
                </w:p>
              </w:tc>
              <w:tc>
                <w:tcPr>
                  <w:tcW w:w="672" w:type="pct"/>
                  <w:vMerge w:val="restart"/>
                  <w:vAlign w:val="center"/>
                </w:tcPr>
                <w:p w14:paraId="1281B55C">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环境功能区</w:t>
                  </w:r>
                </w:p>
              </w:tc>
              <w:tc>
                <w:tcPr>
                  <w:tcW w:w="452" w:type="pct"/>
                  <w:vMerge w:val="restart"/>
                  <w:vAlign w:val="center"/>
                </w:tcPr>
                <w:p w14:paraId="1502BFF0">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相对方位</w:t>
                  </w:r>
                </w:p>
              </w:tc>
              <w:tc>
                <w:tcPr>
                  <w:tcW w:w="492" w:type="pct"/>
                  <w:vMerge w:val="restart"/>
                  <w:vAlign w:val="center"/>
                </w:tcPr>
                <w:p w14:paraId="4D9A586D">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相对距离/m</w:t>
                  </w:r>
                </w:p>
              </w:tc>
            </w:tr>
            <w:tr w14:paraId="546F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263" w:type="pct"/>
                  <w:vMerge w:val="continue"/>
                  <w:vAlign w:val="center"/>
                </w:tcPr>
                <w:p w14:paraId="29A8337A">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14:paraId="4096BBE0">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东经</w:t>
                  </w:r>
                </w:p>
              </w:tc>
              <w:tc>
                <w:tcPr>
                  <w:tcW w:w="796" w:type="pct"/>
                  <w:vAlign w:val="center"/>
                </w:tcPr>
                <w:p w14:paraId="1ED4D3DA">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北纬</w:t>
                  </w:r>
                </w:p>
              </w:tc>
              <w:tc>
                <w:tcPr>
                  <w:tcW w:w="699" w:type="pct"/>
                  <w:vMerge w:val="continue"/>
                  <w:vAlign w:val="center"/>
                </w:tcPr>
                <w:p w14:paraId="4FB0C0F6">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735" w:type="pct"/>
                  <w:vMerge w:val="continue"/>
                  <w:vAlign w:val="center"/>
                </w:tcPr>
                <w:p w14:paraId="72D4C2ED">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672" w:type="pct"/>
                  <w:vMerge w:val="continue"/>
                  <w:vAlign w:val="center"/>
                </w:tcPr>
                <w:p w14:paraId="72B49E29">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52" w:type="pct"/>
                  <w:vMerge w:val="continue"/>
                  <w:vAlign w:val="center"/>
                </w:tcPr>
                <w:p w14:paraId="0F7AB0DD">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92" w:type="pct"/>
                  <w:vMerge w:val="continue"/>
                  <w:vAlign w:val="center"/>
                </w:tcPr>
                <w:p w14:paraId="17627E40">
                  <w:pPr>
                    <w:jc w:val="center"/>
                    <w:rPr>
                      <w:rFonts w:ascii="Times New Roman" w:hAnsi="Times New Roman" w:eastAsia="宋体" w:cs="宋体"/>
                      <w:color w:val="000000" w:themeColor="text1"/>
                      <w:kern w:val="0"/>
                      <w:sz w:val="21"/>
                      <w:szCs w:val="21"/>
                      <w14:textFill>
                        <w14:solidFill>
                          <w14:schemeClr w14:val="tx1"/>
                        </w14:solidFill>
                      </w14:textFill>
                    </w:rPr>
                  </w:pPr>
                </w:p>
              </w:tc>
            </w:tr>
            <w:tr w14:paraId="6AC9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jc w:val="center"/>
              </w:trPr>
              <w:tc>
                <w:tcPr>
                  <w:tcW w:w="263" w:type="pct"/>
                  <w:vMerge w:val="restart"/>
                  <w:vAlign w:val="center"/>
                </w:tcPr>
                <w:p w14:paraId="768157AF">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eastAsia="宋体" w:cs="宋体"/>
                      <w:color w:val="000000" w:themeColor="text1"/>
                      <w:kern w:val="0"/>
                      <w:sz w:val="21"/>
                      <w:szCs w:val="21"/>
                      <w:lang w:eastAsia="zh-CN"/>
                      <w14:textFill>
                        <w14:solidFill>
                          <w14:schemeClr w14:val="tx1"/>
                        </w14:solidFill>
                      </w14:textFill>
                    </w:rPr>
                    <w:t>声</w:t>
                  </w:r>
                </w:p>
                <w:p w14:paraId="34CACDC4">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w:t>
                  </w:r>
                </w:p>
                <w:p w14:paraId="1E469398">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14:paraId="4DD1FA49">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108.1503239</w:t>
                  </w:r>
                </w:p>
              </w:tc>
              <w:tc>
                <w:tcPr>
                  <w:tcW w:w="796" w:type="pct"/>
                  <w:vAlign w:val="center"/>
                </w:tcPr>
                <w:p w14:paraId="4DDFFE65">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35.4103219</w:t>
                  </w:r>
                </w:p>
              </w:tc>
              <w:tc>
                <w:tcPr>
                  <w:tcW w:w="699" w:type="pct"/>
                  <w:vAlign w:val="center"/>
                </w:tcPr>
                <w:p w14:paraId="77318851">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前渠村</w:t>
                  </w:r>
                </w:p>
              </w:tc>
              <w:tc>
                <w:tcPr>
                  <w:tcW w:w="735" w:type="pct"/>
                  <w:vAlign w:val="center"/>
                </w:tcPr>
                <w:p w14:paraId="3B2D59BE">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户</w:t>
                  </w:r>
                </w:p>
              </w:tc>
              <w:tc>
                <w:tcPr>
                  <w:tcW w:w="672" w:type="pct"/>
                  <w:vMerge w:val="restart"/>
                  <w:vAlign w:val="center"/>
                </w:tcPr>
                <w:p w14:paraId="7C1258C3">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《声环境质量标准》（GB3096-2008）</w:t>
                  </w:r>
                  <w:r>
                    <w:rPr>
                      <w:rFonts w:hint="eastAsia" w:cs="宋体"/>
                      <w:color w:val="000000" w:themeColor="text1"/>
                      <w:kern w:val="0"/>
                      <w:sz w:val="21"/>
                      <w:szCs w:val="21"/>
                      <w:lang w:eastAsia="zh-CN"/>
                      <w14:textFill>
                        <w14:solidFill>
                          <w14:schemeClr w14:val="tx1"/>
                        </w14:solidFill>
                      </w14:textFill>
                    </w:rPr>
                    <w:t>二类标准</w:t>
                  </w:r>
                </w:p>
              </w:tc>
              <w:tc>
                <w:tcPr>
                  <w:tcW w:w="452" w:type="pct"/>
                  <w:vAlign w:val="center"/>
                </w:tcPr>
                <w:p w14:paraId="28F10D94">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N</w:t>
                  </w:r>
                </w:p>
              </w:tc>
              <w:tc>
                <w:tcPr>
                  <w:tcW w:w="492" w:type="pct"/>
                  <w:vAlign w:val="center"/>
                </w:tcPr>
                <w:p w14:paraId="6A8050FF">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36~50</w:t>
                  </w:r>
                </w:p>
              </w:tc>
            </w:tr>
            <w:tr w14:paraId="221F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14:paraId="01CCF329">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14:paraId="27EC1ABF">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t>108.1305237</w:t>
                  </w:r>
                </w:p>
              </w:tc>
              <w:tc>
                <w:tcPr>
                  <w:tcW w:w="796" w:type="pct"/>
                  <w:vAlign w:val="center"/>
                </w:tcPr>
                <w:p w14:paraId="67ADD18F">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t>35.4000466</w:t>
                  </w:r>
                </w:p>
              </w:tc>
              <w:tc>
                <w:tcPr>
                  <w:tcW w:w="699" w:type="pct"/>
                  <w:vAlign w:val="center"/>
                </w:tcPr>
                <w:p w14:paraId="054DD059">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bidi="ar-SA"/>
                      <w14:textFill>
                        <w14:solidFill>
                          <w14:schemeClr w14:val="tx1"/>
                        </w14:solidFill>
                      </w14:textFill>
                    </w:rPr>
                    <w:t>杨家台</w:t>
                  </w:r>
                </w:p>
              </w:tc>
              <w:tc>
                <w:tcPr>
                  <w:tcW w:w="735" w:type="pct"/>
                  <w:vAlign w:val="center"/>
                </w:tcPr>
                <w:p w14:paraId="45672566">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8</w:t>
                  </w:r>
                  <w:r>
                    <w:rPr>
                      <w:rFonts w:hint="eastAsia" w:eastAsia="宋体" w:cs="宋体"/>
                      <w:color w:val="000000" w:themeColor="text1"/>
                      <w:kern w:val="0"/>
                      <w:sz w:val="21"/>
                      <w:szCs w:val="21"/>
                      <w:lang w:val="en-US" w:eastAsia="zh-CN"/>
                      <w14:textFill>
                        <w14:solidFill>
                          <w14:schemeClr w14:val="tx1"/>
                        </w14:solidFill>
                      </w14:textFill>
                    </w:rPr>
                    <w:t>户</w:t>
                  </w:r>
                </w:p>
              </w:tc>
              <w:tc>
                <w:tcPr>
                  <w:tcW w:w="672" w:type="pct"/>
                  <w:vMerge w:val="continue"/>
                </w:tcPr>
                <w:p w14:paraId="09CE2C82">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14:paraId="1BAAD673">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W、N</w:t>
                  </w:r>
                </w:p>
              </w:tc>
              <w:tc>
                <w:tcPr>
                  <w:tcW w:w="0" w:type="auto"/>
                  <w:vAlign w:val="center"/>
                </w:tcPr>
                <w:p w14:paraId="20DBA80F">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30~50</w:t>
                  </w:r>
                </w:p>
              </w:tc>
            </w:tr>
          </w:tbl>
          <w:p w14:paraId="2E6FBBCA">
            <w:pPr>
              <w:spacing w:line="360" w:lineRule="auto"/>
              <w:ind w:firstLine="471"/>
              <w:contextualSpacing/>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根据现场勘查，</w:t>
            </w:r>
            <w:r>
              <w:rPr>
                <w:rFonts w:hint="eastAsia"/>
                <w:color w:val="000000" w:themeColor="text1"/>
                <w:sz w:val="24"/>
                <w:szCs w:val="24"/>
                <w:lang w:eastAsia="zh-CN"/>
                <w14:textFill>
                  <w14:solidFill>
                    <w14:schemeClr w14:val="tx1"/>
                  </w14:solidFill>
                </w14:textFill>
              </w:rPr>
              <w:t>治导线</w:t>
            </w:r>
            <w:r>
              <w:rPr>
                <w:rFonts w:ascii="Times New Roman" w:hAnsi="Times New Roman" w:eastAsia="宋体"/>
                <w:color w:val="000000" w:themeColor="text1"/>
                <w:sz w:val="24"/>
                <w:szCs w:val="24"/>
                <w14:textFill>
                  <w14:solidFill>
                    <w14:schemeClr w14:val="tx1"/>
                  </w14:solidFill>
                </w14:textFill>
              </w:rPr>
              <w:t>沿</w:t>
            </w:r>
            <w:r>
              <w:rPr>
                <w:rFonts w:hint="eastAsia" w:ascii="Times New Roman" w:hAnsi="Times New Roman" w:eastAsia="宋体"/>
                <w:color w:val="000000" w:themeColor="text1"/>
                <w:sz w:val="24"/>
                <w:szCs w:val="24"/>
                <w:lang w:eastAsia="zh-CN"/>
                <w14:textFill>
                  <w14:solidFill>
                    <w14:schemeClr w14:val="tx1"/>
                  </w14:solidFill>
                </w14:textFill>
              </w:rPr>
              <w:t>河道</w:t>
            </w:r>
            <w:r>
              <w:rPr>
                <w:rFonts w:hint="eastAsia"/>
                <w:color w:val="000000" w:themeColor="text1"/>
                <w:sz w:val="24"/>
                <w:szCs w:val="24"/>
                <w:lang w:eastAsia="zh-CN"/>
                <w14:textFill>
                  <w14:solidFill>
                    <w14:schemeClr w14:val="tx1"/>
                  </w14:solidFill>
                </w14:textFill>
              </w:rPr>
              <w:t>布设</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项目建设和运行过程中需要特别关注的</w:t>
            </w:r>
            <w:r>
              <w:rPr>
                <w:rFonts w:hint="eastAsia"/>
                <w:color w:val="000000" w:themeColor="text1"/>
                <w:sz w:val="24"/>
                <w:szCs w:val="24"/>
                <w:lang w:eastAsia="zh-CN"/>
                <w14:textFill>
                  <w14:solidFill>
                    <w14:schemeClr w14:val="tx1"/>
                  </w14:solidFill>
                </w14:textFill>
              </w:rPr>
              <w:t>生态及其他</w:t>
            </w:r>
            <w:r>
              <w:rPr>
                <w:rFonts w:hint="eastAsia" w:ascii="Times New Roman" w:hAnsi="Times New Roman" w:eastAsia="宋体"/>
                <w:color w:val="000000" w:themeColor="text1"/>
                <w:sz w:val="24"/>
                <w:szCs w:val="24"/>
                <w14:textFill>
                  <w14:solidFill>
                    <w14:schemeClr w14:val="tx1"/>
                  </w14:solidFill>
                </w14:textFill>
              </w:rPr>
              <w:t>环境敏感点见</w:t>
            </w:r>
            <w:r>
              <w:rPr>
                <w:rFonts w:ascii="Times New Roman" w:hAnsi="Times New Roman" w:eastAsia="宋体"/>
                <w:color w:val="000000" w:themeColor="text1"/>
                <w:sz w:val="24"/>
                <w:szCs w:val="24"/>
                <w14:textFill>
                  <w14:solidFill>
                    <w14:schemeClr w14:val="tx1"/>
                  </w14:solidFill>
                </w14:textFill>
              </w:rPr>
              <w:t>表3</w:t>
            </w:r>
            <w:r>
              <w:rPr>
                <w:rFonts w:hint="eastAsia"/>
                <w:color w:val="000000" w:themeColor="text1"/>
                <w:sz w:val="24"/>
                <w:szCs w:val="24"/>
                <w:lang w:val="en-US" w:eastAsia="zh-CN"/>
                <w14:textFill>
                  <w14:solidFill>
                    <w14:schemeClr w14:val="tx1"/>
                  </w14:solidFill>
                </w14:textFill>
              </w:rPr>
              <w:t>-6。</w:t>
            </w:r>
          </w:p>
          <w:p w14:paraId="63AEF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表3-</w:t>
            </w:r>
            <w:r>
              <w:rPr>
                <w:rFonts w:hint="eastAsia" w:cs="Times New Roman"/>
                <w:b/>
                <w:bCs/>
                <w:color w:val="000000" w:themeColor="text1"/>
                <w:szCs w:val="21"/>
                <w:lang w:val="en-US" w:eastAsia="zh-CN"/>
                <w14:textFill>
                  <w14:solidFill>
                    <w14:schemeClr w14:val="tx1"/>
                  </w14:solidFill>
                </w14:textFill>
              </w:rPr>
              <w:t>6</w:t>
            </w:r>
            <w:r>
              <w:rPr>
                <w:rFonts w:hint="eastAsia" w:ascii="Times New Roman" w:hAnsi="Times New Roman" w:eastAsia="宋体" w:cs="Times New Roman"/>
                <w:b/>
                <w:bCs/>
                <w:color w:val="000000" w:themeColor="text1"/>
                <w:szCs w:val="21"/>
                <w14:textFill>
                  <w14:solidFill>
                    <w14:schemeClr w14:val="tx1"/>
                  </w14:solidFill>
                </w14:textFill>
              </w:rPr>
              <w:t xml:space="preserve">   本项目主要环境敏感保护目标及级别一览表</w:t>
            </w:r>
          </w:p>
          <w:tbl>
            <w:tblPr>
              <w:tblStyle w:val="20"/>
              <w:tblW w:w="51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99"/>
              <w:gridCol w:w="1319"/>
              <w:gridCol w:w="1319"/>
              <w:gridCol w:w="2323"/>
              <w:gridCol w:w="598"/>
              <w:gridCol w:w="1134"/>
            </w:tblGrid>
            <w:tr w14:paraId="4D27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864" w:type="pct"/>
                  <w:vMerge w:val="restart"/>
                  <w:vAlign w:val="center"/>
                </w:tcPr>
                <w:p w14:paraId="39B5EF66">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名称</w:t>
                  </w:r>
                </w:p>
              </w:tc>
              <w:tc>
                <w:tcPr>
                  <w:tcW w:w="815" w:type="pct"/>
                  <w:vMerge w:val="restart"/>
                  <w:vAlign w:val="center"/>
                </w:tcPr>
                <w:p w14:paraId="42AE00E5">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保护对象</w:t>
                  </w:r>
                </w:p>
              </w:tc>
              <w:tc>
                <w:tcPr>
                  <w:tcW w:w="815" w:type="pct"/>
                  <w:vMerge w:val="restart"/>
                  <w:vAlign w:val="center"/>
                </w:tcPr>
                <w:p w14:paraId="73E5A86F">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保护内容</w:t>
                  </w:r>
                </w:p>
              </w:tc>
              <w:tc>
                <w:tcPr>
                  <w:tcW w:w="1435" w:type="pct"/>
                  <w:vMerge w:val="restart"/>
                  <w:vAlign w:val="center"/>
                </w:tcPr>
                <w:p w14:paraId="473ABC0B">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环境功能区</w:t>
                  </w:r>
                </w:p>
              </w:tc>
              <w:tc>
                <w:tcPr>
                  <w:tcW w:w="369" w:type="pct"/>
                  <w:vMerge w:val="restart"/>
                  <w:vAlign w:val="center"/>
                </w:tcPr>
                <w:p w14:paraId="7E662340">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相对方位</w:t>
                  </w:r>
                </w:p>
              </w:tc>
              <w:tc>
                <w:tcPr>
                  <w:tcW w:w="699" w:type="pct"/>
                  <w:vMerge w:val="restart"/>
                  <w:vAlign w:val="center"/>
                </w:tcPr>
                <w:p w14:paraId="21FFA401">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相对距离/m</w:t>
                  </w:r>
                </w:p>
              </w:tc>
            </w:tr>
            <w:tr w14:paraId="0AA6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864" w:type="pct"/>
                  <w:vMerge w:val="continue"/>
                  <w:vAlign w:val="center"/>
                </w:tcPr>
                <w:p w14:paraId="3C2D0A63">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15" w:type="pct"/>
                  <w:vMerge w:val="continue"/>
                  <w:vAlign w:val="center"/>
                </w:tcPr>
                <w:p w14:paraId="5515CD2B">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15" w:type="pct"/>
                  <w:vMerge w:val="continue"/>
                  <w:vAlign w:val="center"/>
                </w:tcPr>
                <w:p w14:paraId="587F80F9">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1435" w:type="pct"/>
                  <w:vMerge w:val="continue"/>
                  <w:vAlign w:val="center"/>
                </w:tcPr>
                <w:p w14:paraId="5B5EFEEA">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369" w:type="pct"/>
                  <w:vMerge w:val="continue"/>
                  <w:vAlign w:val="center"/>
                </w:tcPr>
                <w:p w14:paraId="04426BC9">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699" w:type="pct"/>
                  <w:vMerge w:val="continue"/>
                  <w:vAlign w:val="center"/>
                </w:tcPr>
                <w:p w14:paraId="555FF7E5">
                  <w:pPr>
                    <w:jc w:val="center"/>
                    <w:rPr>
                      <w:rFonts w:ascii="Times New Roman" w:hAnsi="Times New Roman" w:eastAsia="宋体" w:cs="宋体"/>
                      <w:color w:val="000000" w:themeColor="text1"/>
                      <w:kern w:val="0"/>
                      <w:sz w:val="21"/>
                      <w:szCs w:val="21"/>
                      <w14:textFill>
                        <w14:solidFill>
                          <w14:schemeClr w14:val="tx1"/>
                        </w14:solidFill>
                      </w14:textFill>
                    </w:rPr>
                  </w:pPr>
                </w:p>
              </w:tc>
            </w:tr>
            <w:tr w14:paraId="0031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864" w:type="pct"/>
                  <w:vAlign w:val="center"/>
                </w:tcPr>
                <w:p w14:paraId="259501A7">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地表水</w:t>
                  </w:r>
                </w:p>
              </w:tc>
              <w:tc>
                <w:tcPr>
                  <w:tcW w:w="815" w:type="pct"/>
                  <w:vAlign w:val="center"/>
                </w:tcPr>
                <w:p w14:paraId="55B03CD9">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cs="宋体"/>
                      <w:color w:val="000000" w:themeColor="text1"/>
                      <w:kern w:val="0"/>
                      <w:sz w:val="21"/>
                      <w:szCs w:val="21"/>
                      <w:lang w:eastAsia="zh-CN"/>
                      <w14:textFill>
                        <w14:solidFill>
                          <w14:schemeClr w14:val="tx1"/>
                        </w14:solidFill>
                      </w14:textFill>
                    </w:rPr>
                    <w:t>湘乐川</w:t>
                  </w:r>
                </w:p>
              </w:tc>
              <w:tc>
                <w:tcPr>
                  <w:tcW w:w="815" w:type="pct"/>
                  <w:vAlign w:val="center"/>
                </w:tcPr>
                <w:p w14:paraId="38A47D87">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地表水水质</w:t>
                  </w:r>
                </w:p>
              </w:tc>
              <w:tc>
                <w:tcPr>
                  <w:tcW w:w="1435" w:type="pct"/>
                  <w:vAlign w:val="center"/>
                </w:tcPr>
                <w:p w14:paraId="65C17637">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《地表水环境质量标准》（GB3838-2002）</w:t>
                  </w:r>
                  <w:r>
                    <w:rPr>
                      <w:rFonts w:hint="eastAsia" w:ascii="宋体" w:hAnsi="宋体" w:eastAsia="宋体" w:cs="宋体"/>
                      <w:color w:val="000000" w:themeColor="text1"/>
                      <w:sz w:val="21"/>
                      <w:szCs w:val="21"/>
                      <w14:textFill>
                        <w14:solidFill>
                          <w14:schemeClr w14:val="tx1"/>
                        </w14:solidFill>
                      </w14:textFill>
                    </w:rPr>
                    <w:t>Ⅲ</w:t>
                  </w:r>
                  <w:r>
                    <w:rPr>
                      <w:rFonts w:hint="eastAsia" w:ascii="Times New Roman" w:hAnsi="Times New Roman" w:eastAsia="宋体" w:cs="宋体"/>
                      <w:color w:val="000000" w:themeColor="text1"/>
                      <w:kern w:val="0"/>
                      <w:sz w:val="21"/>
                      <w:szCs w:val="21"/>
                      <w14:textFill>
                        <w14:solidFill>
                          <w14:schemeClr w14:val="tx1"/>
                        </w14:solidFill>
                      </w14:textFill>
                    </w:rPr>
                    <w:t>类标准</w:t>
                  </w:r>
                </w:p>
              </w:tc>
              <w:tc>
                <w:tcPr>
                  <w:tcW w:w="369" w:type="pct"/>
                  <w:vAlign w:val="center"/>
                </w:tcPr>
                <w:p w14:paraId="4C67F58C">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p>
              </w:tc>
              <w:tc>
                <w:tcPr>
                  <w:tcW w:w="699" w:type="pct"/>
                  <w:vAlign w:val="center"/>
                </w:tcPr>
                <w:p w14:paraId="37BD39C7">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p>
              </w:tc>
            </w:tr>
            <w:tr w14:paraId="4AA5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864" w:type="pct"/>
                  <w:vMerge w:val="restart"/>
                  <w:vAlign w:val="center"/>
                </w:tcPr>
                <w:p w14:paraId="37AA688C">
                  <w:pPr>
                    <w:contextualSpacing/>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生态系统</w:t>
                  </w:r>
                </w:p>
              </w:tc>
              <w:tc>
                <w:tcPr>
                  <w:tcW w:w="1630" w:type="pct"/>
                  <w:gridSpan w:val="2"/>
                  <w:vAlign w:val="center"/>
                </w:tcPr>
                <w:p w14:paraId="3E80FF43">
                  <w:pPr>
                    <w:pStyle w:val="8"/>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河道沿岸</w:t>
                  </w:r>
                  <w:r>
                    <w:rPr>
                      <w:rFonts w:hint="eastAsia" w:ascii="Times New Roman" w:hAnsi="Times New Roman" w:eastAsia="宋体"/>
                      <w:color w:val="000000" w:themeColor="text1"/>
                      <w:sz w:val="21"/>
                      <w:szCs w:val="21"/>
                      <w14:textFill>
                        <w14:solidFill>
                          <w14:schemeClr w14:val="tx1"/>
                        </w14:solidFill>
                      </w14:textFill>
                    </w:rPr>
                    <w:t>植被、景观</w:t>
                  </w:r>
                </w:p>
              </w:tc>
              <w:tc>
                <w:tcPr>
                  <w:tcW w:w="2504" w:type="pct"/>
                  <w:gridSpan w:val="3"/>
                  <w:vAlign w:val="center"/>
                </w:tcPr>
                <w:p w14:paraId="74CAD850">
                  <w:pPr>
                    <w:tabs>
                      <w:tab w:val="left" w:pos="222"/>
                    </w:tabs>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项目地</w:t>
                  </w:r>
                  <w:r>
                    <w:rPr>
                      <w:rFonts w:hint="eastAsia" w:ascii="Times New Roman" w:hAnsi="Times New Roman" w:eastAsia="宋体"/>
                      <w:color w:val="000000" w:themeColor="text1"/>
                      <w:sz w:val="21"/>
                      <w:szCs w:val="21"/>
                      <w14:textFill>
                        <w14:solidFill>
                          <w14:schemeClr w14:val="tx1"/>
                        </w14:solidFill>
                      </w14:textFill>
                    </w:rPr>
                    <w:t>两侧200m范围内区域</w:t>
                  </w:r>
                </w:p>
              </w:tc>
            </w:tr>
            <w:tr w14:paraId="2DB3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864" w:type="pct"/>
                  <w:vMerge w:val="continue"/>
                  <w:vAlign w:val="center"/>
                </w:tcPr>
                <w:p w14:paraId="77421B42">
                  <w:pPr>
                    <w:contextualSpacing/>
                    <w:jc w:val="center"/>
                    <w:rPr>
                      <w:rFonts w:hint="eastAsia" w:ascii="Times New Roman" w:hAnsi="Times New Roman" w:eastAsia="宋体"/>
                      <w:color w:val="000000" w:themeColor="text1"/>
                      <w:sz w:val="21"/>
                      <w:szCs w:val="21"/>
                      <w14:textFill>
                        <w14:solidFill>
                          <w14:schemeClr w14:val="tx1"/>
                        </w14:solidFill>
                      </w14:textFill>
                    </w:rPr>
                  </w:pPr>
                </w:p>
              </w:tc>
              <w:tc>
                <w:tcPr>
                  <w:tcW w:w="1630" w:type="pct"/>
                  <w:gridSpan w:val="2"/>
                  <w:vAlign w:val="center"/>
                </w:tcPr>
                <w:p w14:paraId="1FB7AE78">
                  <w:pPr>
                    <w:pStyle w:val="8"/>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湘乐川水生生物</w:t>
                  </w:r>
                </w:p>
              </w:tc>
              <w:tc>
                <w:tcPr>
                  <w:tcW w:w="2504" w:type="pct"/>
                  <w:gridSpan w:val="3"/>
                  <w:vAlign w:val="center"/>
                </w:tcPr>
                <w:p w14:paraId="381A531D">
                  <w:pPr>
                    <w:tabs>
                      <w:tab w:val="left" w:pos="222"/>
                    </w:tabs>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湘乐川</w:t>
                  </w:r>
                </w:p>
              </w:tc>
            </w:tr>
          </w:tbl>
          <w:p w14:paraId="5723F892">
            <w:pPr>
              <w:adjustRightInd w:val="0"/>
              <w:snapToGrid w:val="0"/>
              <w:ind w:firstLine="480" w:firstLineChars="200"/>
              <w:rPr>
                <w:rFonts w:ascii="宋体" w:hAnsi="宋体" w:cs="宋体"/>
                <w:color w:val="000000" w:themeColor="text1"/>
                <w:kern w:val="0"/>
                <w:sz w:val="24"/>
                <w:szCs w:val="24"/>
                <w14:textFill>
                  <w14:solidFill>
                    <w14:schemeClr w14:val="tx1"/>
                  </w14:solidFill>
                </w14:textFill>
              </w:rPr>
            </w:pPr>
          </w:p>
        </w:tc>
      </w:tr>
      <w:tr w14:paraId="0EA6B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noWrap w:val="0"/>
            <w:vAlign w:val="center"/>
          </w:tcPr>
          <w:p w14:paraId="44AEA57B">
            <w:pPr>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评价</w:t>
            </w:r>
          </w:p>
          <w:p w14:paraId="1D6A45B9">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标准</w:t>
            </w:r>
          </w:p>
        </w:tc>
        <w:tc>
          <w:tcPr>
            <w:tcW w:w="8253" w:type="dxa"/>
            <w:noWrap w:val="0"/>
            <w:vAlign w:val="center"/>
          </w:tcPr>
          <w:p w14:paraId="2C2DC9E1">
            <w:pPr>
              <w:spacing w:line="360" w:lineRule="auto"/>
              <w:rPr>
                <w:rFonts w:hint="eastAsia" w:ascii="Times New Roman" w:hAnsi="Times New Roman" w:eastAsia="宋体"/>
                <w:b/>
                <w:bCs/>
                <w:color w:val="000000" w:themeColor="text1"/>
                <w:kern w:val="0"/>
                <w:sz w:val="24"/>
                <w:szCs w:val="24"/>
                <w:lang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1、</w:t>
            </w:r>
            <w:r>
              <w:rPr>
                <w:rFonts w:hint="eastAsia" w:ascii="Times New Roman" w:hAnsi="Times New Roman" w:eastAsia="宋体"/>
                <w:b/>
                <w:bCs/>
                <w:color w:val="000000" w:themeColor="text1"/>
                <w:kern w:val="0"/>
                <w:sz w:val="24"/>
                <w:szCs w:val="24"/>
                <w:lang w:eastAsia="zh-CN"/>
                <w14:textFill>
                  <w14:solidFill>
                    <w14:schemeClr w14:val="tx1"/>
                  </w14:solidFill>
                </w14:textFill>
              </w:rPr>
              <w:t>质量标准</w:t>
            </w:r>
          </w:p>
          <w:p w14:paraId="54F5D389">
            <w:pPr>
              <w:spacing w:line="360" w:lineRule="auto"/>
              <w:ind w:firstLine="482" w:firstLineChars="200"/>
              <w:rPr>
                <w:rFonts w:ascii="Times New Roman" w:hAnsi="Times New Roman" w:eastAsia="宋体"/>
                <w:b/>
                <w:bCs/>
                <w:color w:val="000000" w:themeColor="text1"/>
                <w:kern w:val="0"/>
                <w:sz w:val="24"/>
                <w:szCs w:val="24"/>
                <w14:textFill>
                  <w14:solidFill>
                    <w14:schemeClr w14:val="tx1"/>
                  </w14:solidFill>
                </w14:textFill>
              </w:rPr>
            </w:pPr>
            <w:r>
              <w:rPr>
                <w:rFonts w:hint="eastAsia"/>
                <w:b/>
                <w:bCs/>
                <w:color w:val="000000" w:themeColor="text1"/>
                <w:kern w:val="0"/>
                <w:sz w:val="24"/>
                <w:szCs w:val="24"/>
                <w:lang w:eastAsia="zh-CN"/>
                <w14:textFill>
                  <w14:solidFill>
                    <w14:schemeClr w14:val="tx1"/>
                  </w14:solidFill>
                </w14:textFill>
              </w:rPr>
              <w:t>（</w:t>
            </w:r>
            <w:r>
              <w:rPr>
                <w:rFonts w:hint="eastAsia"/>
                <w:b/>
                <w:bCs/>
                <w:color w:val="000000" w:themeColor="text1"/>
                <w:kern w:val="0"/>
                <w:sz w:val="24"/>
                <w:szCs w:val="24"/>
                <w:lang w:val="en-US" w:eastAsia="zh-CN"/>
                <w14:textFill>
                  <w14:solidFill>
                    <w14:schemeClr w14:val="tx1"/>
                  </w14:solidFill>
                </w14:textFill>
              </w:rPr>
              <w:t>1</w:t>
            </w:r>
            <w:r>
              <w:rPr>
                <w:rFonts w:hint="eastAsia"/>
                <w:b/>
                <w:bCs/>
                <w:color w:val="000000" w:themeColor="text1"/>
                <w:kern w:val="0"/>
                <w:sz w:val="24"/>
                <w:szCs w:val="24"/>
                <w:lang w:eastAsia="zh-CN"/>
                <w14:textFill>
                  <w14:solidFill>
                    <w14:schemeClr w14:val="tx1"/>
                  </w14:solidFill>
                </w14:textFill>
              </w:rPr>
              <w:t>）</w:t>
            </w:r>
            <w:r>
              <w:rPr>
                <w:rFonts w:ascii="Times New Roman" w:hAnsi="Times New Roman" w:eastAsia="宋体"/>
                <w:b/>
                <w:bCs/>
                <w:color w:val="000000" w:themeColor="text1"/>
                <w:kern w:val="0"/>
                <w:sz w:val="24"/>
                <w:szCs w:val="24"/>
                <w14:textFill>
                  <w14:solidFill>
                    <w14:schemeClr w14:val="tx1"/>
                  </w14:solidFill>
                </w14:textFill>
              </w:rPr>
              <w:t>环境空气质量标准</w:t>
            </w:r>
          </w:p>
          <w:p w14:paraId="412FBDD0">
            <w:pPr>
              <w:spacing w:line="360" w:lineRule="auto"/>
              <w:ind w:firstLine="480" w:firstLineChars="200"/>
              <w:rPr>
                <w:rFonts w:ascii="Times New Roman" w:hAnsi="Times New Roman" w:eastAsia="宋体"/>
                <w:color w:val="000000" w:themeColor="text1"/>
                <w:kern w:val="0"/>
                <w:sz w:val="24"/>
                <w:szCs w:val="24"/>
                <w14:textFill>
                  <w14:solidFill>
                    <w14:schemeClr w14:val="tx1"/>
                  </w14:solidFill>
                </w14:textFill>
              </w:rPr>
            </w:pPr>
            <w:r>
              <w:rPr>
                <w:rFonts w:ascii="Times New Roman" w:hAnsi="Times New Roman" w:eastAsia="宋体"/>
                <w:color w:val="000000" w:themeColor="text1"/>
                <w:kern w:val="0"/>
                <w:sz w:val="24"/>
                <w:szCs w:val="24"/>
                <w14:textFill>
                  <w14:solidFill>
                    <w14:schemeClr w14:val="tx1"/>
                  </w14:solidFill>
                </w14:textFill>
              </w:rPr>
              <w:t>环境空气质量现状执行《环境空气质量标准》</w:t>
            </w:r>
            <w:r>
              <w:rPr>
                <w:rFonts w:hint="eastAsia" w:ascii="Times New Roman" w:hAnsi="Times New Roman" w:eastAsia="宋体"/>
                <w:color w:val="000000" w:themeColor="text1"/>
                <w:kern w:val="0"/>
                <w:sz w:val="24"/>
                <w:szCs w:val="24"/>
                <w14:textFill>
                  <w14:solidFill>
                    <w14:schemeClr w14:val="tx1"/>
                  </w14:solidFill>
                </w14:textFill>
              </w:rPr>
              <w:t>（</w:t>
            </w:r>
            <w:r>
              <w:rPr>
                <w:rFonts w:ascii="Times New Roman" w:hAnsi="Times New Roman" w:eastAsia="宋体"/>
                <w:color w:val="000000" w:themeColor="text1"/>
                <w:kern w:val="0"/>
                <w:sz w:val="24"/>
                <w:szCs w:val="24"/>
                <w14:textFill>
                  <w14:solidFill>
                    <w14:schemeClr w14:val="tx1"/>
                  </w14:solidFill>
                </w14:textFill>
              </w:rPr>
              <w:t>GB3095-</w:t>
            </w:r>
            <w:r>
              <w:rPr>
                <w:rFonts w:hint="eastAsia" w:ascii="Times New Roman" w:hAnsi="Times New Roman" w:eastAsia="宋体"/>
                <w:color w:val="000000" w:themeColor="text1"/>
                <w:kern w:val="0"/>
                <w:sz w:val="24"/>
                <w:szCs w:val="24"/>
                <w14:textFill>
                  <w14:solidFill>
                    <w14:schemeClr w14:val="tx1"/>
                  </w14:solidFill>
                </w14:textFill>
              </w:rPr>
              <w:t>2012）</w:t>
            </w:r>
            <w:r>
              <w:rPr>
                <w:rFonts w:ascii="Times New Roman" w:hAnsi="Times New Roman" w:eastAsia="宋体"/>
                <w:color w:val="000000" w:themeColor="text1"/>
                <w:kern w:val="0"/>
                <w:sz w:val="24"/>
                <w:szCs w:val="24"/>
                <w14:textFill>
                  <w14:solidFill>
                    <w14:schemeClr w14:val="tx1"/>
                  </w14:solidFill>
                </w14:textFill>
              </w:rPr>
              <w:t>中的二级标准；各项污染物浓度限值见表</w:t>
            </w:r>
            <w:r>
              <w:rPr>
                <w:rFonts w:hint="eastAsia"/>
                <w:color w:val="000000" w:themeColor="text1"/>
                <w:kern w:val="0"/>
                <w:sz w:val="24"/>
                <w:szCs w:val="24"/>
                <w:lang w:val="en-US" w:eastAsia="zh-CN"/>
                <w14:textFill>
                  <w14:solidFill>
                    <w14:schemeClr w14:val="tx1"/>
                  </w14:solidFill>
                </w14:textFill>
              </w:rPr>
              <w:t>3-7</w:t>
            </w:r>
            <w:r>
              <w:rPr>
                <w:rFonts w:ascii="Times New Roman" w:hAnsi="Times New Roman" w:eastAsia="宋体"/>
                <w:color w:val="000000" w:themeColor="text1"/>
                <w:kern w:val="0"/>
                <w:sz w:val="24"/>
                <w:szCs w:val="24"/>
                <w14:textFill>
                  <w14:solidFill>
                    <w14:schemeClr w14:val="tx1"/>
                  </w14:solidFill>
                </w14:textFill>
              </w:rPr>
              <w:t>。</w:t>
            </w:r>
          </w:p>
          <w:p w14:paraId="5E2339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7</w:t>
            </w:r>
            <w:r>
              <w:rPr>
                <w:rFonts w:hint="eastAsia" w:ascii="Times New Roman" w:hAnsi="Times New Roman" w:eastAsia="宋体" w:cs="Times New Roman"/>
                <w:b/>
                <w:bCs/>
                <w:color w:val="000000" w:themeColor="text1"/>
                <w:szCs w:val="21"/>
                <w14:textFill>
                  <w14:solidFill>
                    <w14:schemeClr w14:val="tx1"/>
                  </w14:solidFill>
                </w14:textFill>
              </w:rPr>
              <w:t xml:space="preserve">  环境空气二级标准污染物浓度限值</w:t>
            </w:r>
          </w:p>
          <w:tbl>
            <w:tblPr>
              <w:tblStyle w:val="20"/>
              <w:tblW w:w="76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2285"/>
              <w:gridCol w:w="1992"/>
              <w:gridCol w:w="1397"/>
            </w:tblGrid>
            <w:tr w14:paraId="67147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04" w:type="dxa"/>
                  <w:tcBorders>
                    <w:tl2br w:val="nil"/>
                    <w:tr2bl w:val="nil"/>
                  </w:tcBorders>
                  <w:vAlign w:val="center"/>
                </w:tcPr>
                <w:p w14:paraId="2D239873">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污染物</w:t>
                  </w:r>
                </w:p>
              </w:tc>
              <w:tc>
                <w:tcPr>
                  <w:tcW w:w="2285" w:type="dxa"/>
                  <w:tcBorders>
                    <w:tl2br w:val="nil"/>
                    <w:tr2bl w:val="nil"/>
                  </w:tcBorders>
                  <w:vAlign w:val="center"/>
                </w:tcPr>
                <w:p w14:paraId="6C7D8F36">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取值时间</w:t>
                  </w:r>
                </w:p>
              </w:tc>
              <w:tc>
                <w:tcPr>
                  <w:tcW w:w="1992" w:type="dxa"/>
                  <w:tcBorders>
                    <w:tl2br w:val="nil"/>
                    <w:tr2bl w:val="nil"/>
                  </w:tcBorders>
                  <w:vAlign w:val="center"/>
                </w:tcPr>
                <w:p w14:paraId="0E8CC603">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浓度限值</w:t>
                  </w:r>
                </w:p>
              </w:tc>
              <w:tc>
                <w:tcPr>
                  <w:tcW w:w="1397" w:type="dxa"/>
                  <w:tcBorders>
                    <w:tl2br w:val="nil"/>
                    <w:tr2bl w:val="nil"/>
                  </w:tcBorders>
                  <w:vAlign w:val="center"/>
                </w:tcPr>
                <w:p w14:paraId="321DBB41">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单位</w:t>
                  </w:r>
                </w:p>
              </w:tc>
            </w:tr>
            <w:tr w14:paraId="7729F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restart"/>
                  <w:tcBorders>
                    <w:tl2br w:val="nil"/>
                    <w:tr2bl w:val="nil"/>
                  </w:tcBorders>
                  <w:vAlign w:val="center"/>
                </w:tcPr>
                <w:p w14:paraId="45F55438">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SO</w:t>
                  </w:r>
                  <w:r>
                    <w:rPr>
                      <w:rFonts w:ascii="Times New Roman" w:hAnsi="Times New Roman" w:eastAsia="宋体"/>
                      <w:color w:val="000000" w:themeColor="text1"/>
                      <w:sz w:val="21"/>
                      <w:szCs w:val="21"/>
                      <w:vertAlign w:val="subscript"/>
                      <w14:textFill>
                        <w14:solidFill>
                          <w14:schemeClr w14:val="tx1"/>
                        </w14:solidFill>
                      </w14:textFill>
                    </w:rPr>
                    <w:t>2</w:t>
                  </w:r>
                </w:p>
              </w:tc>
              <w:tc>
                <w:tcPr>
                  <w:tcW w:w="2285" w:type="dxa"/>
                  <w:tcBorders>
                    <w:tl2br w:val="nil"/>
                    <w:tr2bl w:val="nil"/>
                  </w:tcBorders>
                  <w:vAlign w:val="center"/>
                </w:tcPr>
                <w:p w14:paraId="4D810334">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年</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5C3EA729">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60</w:t>
                  </w:r>
                </w:p>
              </w:tc>
              <w:tc>
                <w:tcPr>
                  <w:tcW w:w="1397" w:type="dxa"/>
                  <w:vMerge w:val="restart"/>
                  <w:tcBorders>
                    <w:tl2br w:val="nil"/>
                    <w:tr2bl w:val="nil"/>
                  </w:tcBorders>
                  <w:vAlign w:val="center"/>
                </w:tcPr>
                <w:p w14:paraId="403977F1">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u</w:t>
                  </w:r>
                  <w:r>
                    <w:rPr>
                      <w:rFonts w:ascii="Times New Roman" w:hAnsi="Times New Roman" w:eastAsia="宋体"/>
                      <w:color w:val="000000" w:themeColor="text1"/>
                      <w:sz w:val="21"/>
                      <w:szCs w:val="21"/>
                      <w14:textFill>
                        <w14:solidFill>
                          <w14:schemeClr w14:val="tx1"/>
                        </w14:solidFill>
                      </w14:textFill>
                    </w:rPr>
                    <w:t>g/m³</w:t>
                  </w:r>
                </w:p>
              </w:tc>
            </w:tr>
            <w:tr w14:paraId="60F62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14:paraId="09916ACA">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14:paraId="3C6476A0">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060119CE">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150</w:t>
                  </w:r>
                </w:p>
              </w:tc>
              <w:tc>
                <w:tcPr>
                  <w:tcW w:w="1397" w:type="dxa"/>
                  <w:vMerge w:val="continue"/>
                  <w:tcBorders>
                    <w:tl2br w:val="nil"/>
                    <w:tr2bl w:val="nil"/>
                  </w:tcBorders>
                  <w:vAlign w:val="center"/>
                </w:tcPr>
                <w:p w14:paraId="5FE067AC">
                  <w:pPr>
                    <w:jc w:val="center"/>
                    <w:rPr>
                      <w:rFonts w:ascii="Times New Roman" w:hAnsi="Times New Roman" w:eastAsia="宋体"/>
                      <w:color w:val="000000" w:themeColor="text1"/>
                      <w:sz w:val="21"/>
                      <w:szCs w:val="21"/>
                      <w14:textFill>
                        <w14:solidFill>
                          <w14:schemeClr w14:val="tx1"/>
                        </w14:solidFill>
                      </w14:textFill>
                    </w:rPr>
                  </w:pPr>
                </w:p>
              </w:tc>
            </w:tr>
            <w:tr w14:paraId="34E89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14:paraId="4AFFA782">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14:paraId="59ADC3A2">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1小时平均</w:t>
                  </w:r>
                </w:p>
              </w:tc>
              <w:tc>
                <w:tcPr>
                  <w:tcW w:w="1992" w:type="dxa"/>
                  <w:tcBorders>
                    <w:tl2br w:val="nil"/>
                    <w:tr2bl w:val="nil"/>
                  </w:tcBorders>
                  <w:vAlign w:val="center"/>
                </w:tcPr>
                <w:p w14:paraId="2ACC341F">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500</w:t>
                  </w:r>
                </w:p>
              </w:tc>
              <w:tc>
                <w:tcPr>
                  <w:tcW w:w="1397" w:type="dxa"/>
                  <w:vMerge w:val="continue"/>
                  <w:tcBorders>
                    <w:tl2br w:val="nil"/>
                    <w:tr2bl w:val="nil"/>
                  </w:tcBorders>
                  <w:vAlign w:val="center"/>
                </w:tcPr>
                <w:p w14:paraId="7FF07791">
                  <w:pPr>
                    <w:jc w:val="center"/>
                    <w:rPr>
                      <w:rFonts w:ascii="Times New Roman" w:hAnsi="Times New Roman" w:eastAsia="宋体"/>
                      <w:color w:val="000000" w:themeColor="text1"/>
                      <w:sz w:val="21"/>
                      <w:szCs w:val="21"/>
                      <w14:textFill>
                        <w14:solidFill>
                          <w14:schemeClr w14:val="tx1"/>
                        </w14:solidFill>
                      </w14:textFill>
                    </w:rPr>
                  </w:pPr>
                </w:p>
              </w:tc>
            </w:tr>
            <w:tr w14:paraId="109F9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restart"/>
                  <w:tcBorders>
                    <w:tl2br w:val="nil"/>
                    <w:tr2bl w:val="nil"/>
                  </w:tcBorders>
                  <w:vAlign w:val="center"/>
                </w:tcPr>
                <w:p w14:paraId="5A327F78">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PM</w:t>
                  </w:r>
                  <w:r>
                    <w:rPr>
                      <w:rFonts w:ascii="Times New Roman" w:hAnsi="Times New Roman" w:eastAsia="宋体"/>
                      <w:color w:val="000000" w:themeColor="text1"/>
                      <w:sz w:val="21"/>
                      <w:szCs w:val="21"/>
                      <w:vertAlign w:val="subscript"/>
                      <w14:textFill>
                        <w14:solidFill>
                          <w14:schemeClr w14:val="tx1"/>
                        </w14:solidFill>
                      </w14:textFill>
                    </w:rPr>
                    <w:t>10</w:t>
                  </w:r>
                </w:p>
              </w:tc>
              <w:tc>
                <w:tcPr>
                  <w:tcW w:w="2285" w:type="dxa"/>
                  <w:tcBorders>
                    <w:tl2br w:val="nil"/>
                    <w:tr2bl w:val="nil"/>
                  </w:tcBorders>
                  <w:vAlign w:val="center"/>
                </w:tcPr>
                <w:p w14:paraId="3A821E6E">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年</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7B145298">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70</w:t>
                  </w:r>
                </w:p>
              </w:tc>
              <w:tc>
                <w:tcPr>
                  <w:tcW w:w="1397" w:type="dxa"/>
                  <w:vMerge w:val="continue"/>
                  <w:tcBorders>
                    <w:tl2br w:val="nil"/>
                    <w:tr2bl w:val="nil"/>
                  </w:tcBorders>
                  <w:vAlign w:val="center"/>
                </w:tcPr>
                <w:p w14:paraId="234E7F46">
                  <w:pPr>
                    <w:jc w:val="center"/>
                    <w:rPr>
                      <w:rFonts w:ascii="Times New Roman" w:hAnsi="Times New Roman" w:eastAsia="宋体"/>
                      <w:color w:val="000000" w:themeColor="text1"/>
                      <w:sz w:val="21"/>
                      <w:szCs w:val="21"/>
                      <w14:textFill>
                        <w14:solidFill>
                          <w14:schemeClr w14:val="tx1"/>
                        </w14:solidFill>
                      </w14:textFill>
                    </w:rPr>
                  </w:pPr>
                </w:p>
              </w:tc>
            </w:tr>
            <w:tr w14:paraId="50F67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14:paraId="7C1D77BF">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 xml:space="preserve">  </w:t>
                  </w:r>
                </w:p>
              </w:tc>
              <w:tc>
                <w:tcPr>
                  <w:tcW w:w="2285" w:type="dxa"/>
                  <w:tcBorders>
                    <w:tl2br w:val="nil"/>
                    <w:tr2bl w:val="nil"/>
                  </w:tcBorders>
                  <w:vAlign w:val="center"/>
                </w:tcPr>
                <w:p w14:paraId="673DD48A">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3548971A">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150</w:t>
                  </w:r>
                </w:p>
              </w:tc>
              <w:tc>
                <w:tcPr>
                  <w:tcW w:w="1397" w:type="dxa"/>
                  <w:vMerge w:val="continue"/>
                  <w:tcBorders>
                    <w:tl2br w:val="nil"/>
                    <w:tr2bl w:val="nil"/>
                  </w:tcBorders>
                  <w:vAlign w:val="center"/>
                </w:tcPr>
                <w:p w14:paraId="2B0A8BE7">
                  <w:pPr>
                    <w:jc w:val="center"/>
                    <w:rPr>
                      <w:rFonts w:ascii="Times New Roman" w:hAnsi="Times New Roman" w:eastAsia="宋体"/>
                      <w:color w:val="000000" w:themeColor="text1"/>
                      <w:sz w:val="21"/>
                      <w:szCs w:val="21"/>
                      <w14:textFill>
                        <w14:solidFill>
                          <w14:schemeClr w14:val="tx1"/>
                        </w14:solidFill>
                      </w14:textFill>
                    </w:rPr>
                  </w:pPr>
                </w:p>
              </w:tc>
            </w:tr>
            <w:tr w14:paraId="47400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restart"/>
                  <w:tcBorders>
                    <w:tl2br w:val="nil"/>
                    <w:tr2bl w:val="nil"/>
                  </w:tcBorders>
                  <w:vAlign w:val="center"/>
                </w:tcPr>
                <w:p w14:paraId="0D3B0BD2">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PM</w:t>
                  </w:r>
                  <w:r>
                    <w:rPr>
                      <w:rFonts w:hint="eastAsia" w:ascii="Times New Roman" w:hAnsi="Times New Roman" w:eastAsia="宋体"/>
                      <w:color w:val="000000" w:themeColor="text1"/>
                      <w:sz w:val="21"/>
                      <w:szCs w:val="21"/>
                      <w:vertAlign w:val="subscript"/>
                      <w14:textFill>
                        <w14:solidFill>
                          <w14:schemeClr w14:val="tx1"/>
                        </w14:solidFill>
                      </w14:textFill>
                    </w:rPr>
                    <w:t>2.5</w:t>
                  </w:r>
                </w:p>
              </w:tc>
              <w:tc>
                <w:tcPr>
                  <w:tcW w:w="2285" w:type="dxa"/>
                  <w:tcBorders>
                    <w:tl2br w:val="nil"/>
                    <w:tr2bl w:val="nil"/>
                  </w:tcBorders>
                  <w:vAlign w:val="center"/>
                </w:tcPr>
                <w:p w14:paraId="34AFE1E1">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年</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698FE120">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35</w:t>
                  </w:r>
                </w:p>
              </w:tc>
              <w:tc>
                <w:tcPr>
                  <w:tcW w:w="1397" w:type="dxa"/>
                  <w:vMerge w:val="continue"/>
                  <w:tcBorders>
                    <w:tl2br w:val="nil"/>
                    <w:tr2bl w:val="nil"/>
                  </w:tcBorders>
                  <w:vAlign w:val="center"/>
                </w:tcPr>
                <w:p w14:paraId="50A3DCD4">
                  <w:pPr>
                    <w:jc w:val="center"/>
                    <w:rPr>
                      <w:rFonts w:ascii="Times New Roman" w:hAnsi="Times New Roman" w:eastAsia="宋体"/>
                      <w:color w:val="000000" w:themeColor="text1"/>
                      <w:sz w:val="21"/>
                      <w:szCs w:val="21"/>
                      <w14:textFill>
                        <w14:solidFill>
                          <w14:schemeClr w14:val="tx1"/>
                        </w14:solidFill>
                      </w14:textFill>
                    </w:rPr>
                  </w:pPr>
                </w:p>
              </w:tc>
            </w:tr>
            <w:tr w14:paraId="6D3C3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14:paraId="5FE48300">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14:paraId="2AFD3F60">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0CDCD57A">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75</w:t>
                  </w:r>
                </w:p>
              </w:tc>
              <w:tc>
                <w:tcPr>
                  <w:tcW w:w="1397" w:type="dxa"/>
                  <w:vMerge w:val="continue"/>
                  <w:tcBorders>
                    <w:tl2br w:val="nil"/>
                    <w:tr2bl w:val="nil"/>
                  </w:tcBorders>
                  <w:vAlign w:val="center"/>
                </w:tcPr>
                <w:p w14:paraId="6B487918">
                  <w:pPr>
                    <w:jc w:val="center"/>
                    <w:rPr>
                      <w:rFonts w:ascii="Times New Roman" w:hAnsi="Times New Roman" w:eastAsia="宋体"/>
                      <w:color w:val="000000" w:themeColor="text1"/>
                      <w:sz w:val="21"/>
                      <w:szCs w:val="21"/>
                      <w14:textFill>
                        <w14:solidFill>
                          <w14:schemeClr w14:val="tx1"/>
                        </w14:solidFill>
                      </w14:textFill>
                    </w:rPr>
                  </w:pPr>
                </w:p>
              </w:tc>
            </w:tr>
            <w:tr w14:paraId="4F132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restart"/>
                  <w:tcBorders>
                    <w:tl2br w:val="nil"/>
                    <w:tr2bl w:val="nil"/>
                  </w:tcBorders>
                  <w:vAlign w:val="center"/>
                </w:tcPr>
                <w:p w14:paraId="7F378972">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NO</w:t>
                  </w:r>
                  <w:r>
                    <w:rPr>
                      <w:rFonts w:ascii="Times New Roman" w:hAnsi="Times New Roman" w:eastAsia="宋体"/>
                      <w:color w:val="000000" w:themeColor="text1"/>
                      <w:sz w:val="21"/>
                      <w:szCs w:val="21"/>
                      <w:vertAlign w:val="subscript"/>
                      <w14:textFill>
                        <w14:solidFill>
                          <w14:schemeClr w14:val="tx1"/>
                        </w14:solidFill>
                      </w14:textFill>
                    </w:rPr>
                    <w:t>2</w:t>
                  </w:r>
                </w:p>
              </w:tc>
              <w:tc>
                <w:tcPr>
                  <w:tcW w:w="2285" w:type="dxa"/>
                  <w:tcBorders>
                    <w:tl2br w:val="nil"/>
                    <w:tr2bl w:val="nil"/>
                  </w:tcBorders>
                  <w:vAlign w:val="center"/>
                </w:tcPr>
                <w:p w14:paraId="7CC0D97D">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年</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6BCBF698">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40</w:t>
                  </w:r>
                </w:p>
              </w:tc>
              <w:tc>
                <w:tcPr>
                  <w:tcW w:w="1397" w:type="dxa"/>
                  <w:vMerge w:val="continue"/>
                  <w:tcBorders>
                    <w:tl2br w:val="nil"/>
                    <w:tr2bl w:val="nil"/>
                  </w:tcBorders>
                  <w:vAlign w:val="center"/>
                </w:tcPr>
                <w:p w14:paraId="24ABBF15">
                  <w:pPr>
                    <w:jc w:val="center"/>
                    <w:rPr>
                      <w:rFonts w:ascii="Times New Roman" w:hAnsi="Times New Roman" w:eastAsia="宋体"/>
                      <w:color w:val="000000" w:themeColor="text1"/>
                      <w:sz w:val="21"/>
                      <w:szCs w:val="21"/>
                      <w14:textFill>
                        <w14:solidFill>
                          <w14:schemeClr w14:val="tx1"/>
                        </w14:solidFill>
                      </w14:textFill>
                    </w:rPr>
                  </w:pPr>
                </w:p>
              </w:tc>
            </w:tr>
            <w:tr w14:paraId="7DB8E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14:paraId="4A9AF629">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14:paraId="4685A7BD">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7B170367">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80</w:t>
                  </w:r>
                </w:p>
              </w:tc>
              <w:tc>
                <w:tcPr>
                  <w:tcW w:w="1397" w:type="dxa"/>
                  <w:vMerge w:val="continue"/>
                  <w:tcBorders>
                    <w:tl2br w:val="nil"/>
                    <w:tr2bl w:val="nil"/>
                  </w:tcBorders>
                  <w:vAlign w:val="center"/>
                </w:tcPr>
                <w:p w14:paraId="527C8EA6">
                  <w:pPr>
                    <w:jc w:val="center"/>
                    <w:rPr>
                      <w:rFonts w:ascii="Times New Roman" w:hAnsi="Times New Roman" w:eastAsia="宋体"/>
                      <w:color w:val="000000" w:themeColor="text1"/>
                      <w:sz w:val="21"/>
                      <w:szCs w:val="21"/>
                      <w14:textFill>
                        <w14:solidFill>
                          <w14:schemeClr w14:val="tx1"/>
                        </w14:solidFill>
                      </w14:textFill>
                    </w:rPr>
                  </w:pPr>
                </w:p>
              </w:tc>
            </w:tr>
            <w:tr w14:paraId="02D84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14:paraId="13483EAD">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14:paraId="5F144AB1">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1小时平均</w:t>
                  </w:r>
                </w:p>
              </w:tc>
              <w:tc>
                <w:tcPr>
                  <w:tcW w:w="1992" w:type="dxa"/>
                  <w:tcBorders>
                    <w:tl2br w:val="nil"/>
                    <w:tr2bl w:val="nil"/>
                  </w:tcBorders>
                  <w:vAlign w:val="center"/>
                </w:tcPr>
                <w:p w14:paraId="3CA4C7E6">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200</w:t>
                  </w:r>
                </w:p>
              </w:tc>
              <w:tc>
                <w:tcPr>
                  <w:tcW w:w="1397" w:type="dxa"/>
                  <w:vMerge w:val="continue"/>
                  <w:tcBorders>
                    <w:tl2br w:val="nil"/>
                    <w:tr2bl w:val="nil"/>
                  </w:tcBorders>
                  <w:vAlign w:val="center"/>
                </w:tcPr>
                <w:p w14:paraId="4C11DAC7">
                  <w:pPr>
                    <w:jc w:val="center"/>
                    <w:rPr>
                      <w:rFonts w:ascii="Times New Roman" w:hAnsi="Times New Roman" w:eastAsia="宋体"/>
                      <w:color w:val="000000" w:themeColor="text1"/>
                      <w:sz w:val="21"/>
                      <w:szCs w:val="21"/>
                      <w14:textFill>
                        <w14:solidFill>
                          <w14:schemeClr w14:val="tx1"/>
                        </w14:solidFill>
                      </w14:textFill>
                    </w:rPr>
                  </w:pPr>
                </w:p>
              </w:tc>
            </w:tr>
            <w:tr w14:paraId="29420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restart"/>
                  <w:tcBorders>
                    <w:tl2br w:val="nil"/>
                    <w:tr2bl w:val="nil"/>
                  </w:tcBorders>
                  <w:vAlign w:val="center"/>
                </w:tcPr>
                <w:p w14:paraId="4EF66782">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O</w:t>
                  </w:r>
                  <w:r>
                    <w:rPr>
                      <w:rFonts w:hint="eastAsia" w:ascii="Times New Roman" w:hAnsi="Times New Roman" w:eastAsia="宋体"/>
                      <w:color w:val="000000" w:themeColor="text1"/>
                      <w:sz w:val="21"/>
                      <w:szCs w:val="21"/>
                      <w:vertAlign w:val="subscript"/>
                      <w14:textFill>
                        <w14:solidFill>
                          <w14:schemeClr w14:val="tx1"/>
                        </w14:solidFill>
                      </w14:textFill>
                    </w:rPr>
                    <w:t>3</w:t>
                  </w:r>
                </w:p>
              </w:tc>
              <w:tc>
                <w:tcPr>
                  <w:tcW w:w="2285" w:type="dxa"/>
                  <w:tcBorders>
                    <w:tl2br w:val="nil"/>
                    <w:tr2bl w:val="nil"/>
                  </w:tcBorders>
                  <w:vAlign w:val="center"/>
                </w:tcPr>
                <w:p w14:paraId="100A64A9">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1小时平均</w:t>
                  </w:r>
                </w:p>
              </w:tc>
              <w:tc>
                <w:tcPr>
                  <w:tcW w:w="1992" w:type="dxa"/>
                  <w:tcBorders>
                    <w:tl2br w:val="nil"/>
                    <w:tr2bl w:val="nil"/>
                  </w:tcBorders>
                  <w:vAlign w:val="center"/>
                </w:tcPr>
                <w:p w14:paraId="34F15BCF">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200</w:t>
                  </w:r>
                </w:p>
              </w:tc>
              <w:tc>
                <w:tcPr>
                  <w:tcW w:w="1397" w:type="dxa"/>
                  <w:vMerge w:val="continue"/>
                  <w:tcBorders>
                    <w:tl2br w:val="nil"/>
                    <w:tr2bl w:val="nil"/>
                  </w:tcBorders>
                  <w:vAlign w:val="center"/>
                </w:tcPr>
                <w:p w14:paraId="328C196B">
                  <w:pPr>
                    <w:jc w:val="center"/>
                    <w:rPr>
                      <w:rFonts w:ascii="Times New Roman" w:hAnsi="Times New Roman" w:eastAsia="宋体"/>
                      <w:color w:val="000000" w:themeColor="text1"/>
                      <w:sz w:val="21"/>
                      <w:szCs w:val="21"/>
                      <w14:textFill>
                        <w14:solidFill>
                          <w14:schemeClr w14:val="tx1"/>
                        </w14:solidFill>
                      </w14:textFill>
                    </w:rPr>
                  </w:pPr>
                </w:p>
              </w:tc>
            </w:tr>
            <w:tr w14:paraId="4E89D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14:paraId="29C573E7">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14:paraId="2A8BF38B">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6332246F">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160（8h）</w:t>
                  </w:r>
                </w:p>
              </w:tc>
              <w:tc>
                <w:tcPr>
                  <w:tcW w:w="1397" w:type="dxa"/>
                  <w:vMerge w:val="continue"/>
                  <w:tcBorders>
                    <w:tl2br w:val="nil"/>
                    <w:tr2bl w:val="nil"/>
                  </w:tcBorders>
                  <w:vAlign w:val="center"/>
                </w:tcPr>
                <w:p w14:paraId="26C8CBEE">
                  <w:pPr>
                    <w:jc w:val="center"/>
                    <w:rPr>
                      <w:rFonts w:ascii="Times New Roman" w:hAnsi="Times New Roman" w:eastAsia="宋体"/>
                      <w:color w:val="000000" w:themeColor="text1"/>
                      <w:sz w:val="21"/>
                      <w:szCs w:val="21"/>
                      <w14:textFill>
                        <w14:solidFill>
                          <w14:schemeClr w14:val="tx1"/>
                        </w14:solidFill>
                      </w14:textFill>
                    </w:rPr>
                  </w:pPr>
                </w:p>
              </w:tc>
            </w:tr>
            <w:tr w14:paraId="4556C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restart"/>
                  <w:tcBorders>
                    <w:tl2br w:val="nil"/>
                    <w:tr2bl w:val="nil"/>
                  </w:tcBorders>
                  <w:vAlign w:val="center"/>
                </w:tcPr>
                <w:p w14:paraId="705FD002">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CO</w:t>
                  </w:r>
                </w:p>
              </w:tc>
              <w:tc>
                <w:tcPr>
                  <w:tcW w:w="2285" w:type="dxa"/>
                  <w:tcBorders>
                    <w:tl2br w:val="nil"/>
                    <w:tr2bl w:val="nil"/>
                  </w:tcBorders>
                  <w:vAlign w:val="center"/>
                </w:tcPr>
                <w:p w14:paraId="23CA8369">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1小时平均</w:t>
                  </w:r>
                </w:p>
              </w:tc>
              <w:tc>
                <w:tcPr>
                  <w:tcW w:w="1992" w:type="dxa"/>
                  <w:tcBorders>
                    <w:tl2br w:val="nil"/>
                    <w:tr2bl w:val="nil"/>
                  </w:tcBorders>
                  <w:vAlign w:val="center"/>
                </w:tcPr>
                <w:p w14:paraId="479F5D1A">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p>
              </w:tc>
              <w:tc>
                <w:tcPr>
                  <w:tcW w:w="1397" w:type="dxa"/>
                  <w:vMerge w:val="restart"/>
                  <w:tcBorders>
                    <w:tl2br w:val="nil"/>
                    <w:tr2bl w:val="nil"/>
                  </w:tcBorders>
                  <w:vAlign w:val="center"/>
                </w:tcPr>
                <w:p w14:paraId="74796661">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m</w:t>
                  </w:r>
                  <w:r>
                    <w:rPr>
                      <w:rFonts w:ascii="Times New Roman" w:hAnsi="Times New Roman" w:eastAsia="宋体"/>
                      <w:color w:val="000000" w:themeColor="text1"/>
                      <w:sz w:val="21"/>
                      <w:szCs w:val="21"/>
                      <w14:textFill>
                        <w14:solidFill>
                          <w14:schemeClr w14:val="tx1"/>
                        </w14:solidFill>
                      </w14:textFill>
                    </w:rPr>
                    <w:t>g/m³</w:t>
                  </w:r>
                </w:p>
              </w:tc>
            </w:tr>
            <w:tr w14:paraId="364D2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04" w:type="dxa"/>
                  <w:vMerge w:val="continue"/>
                  <w:tcBorders>
                    <w:tl2br w:val="nil"/>
                    <w:tr2bl w:val="nil"/>
                  </w:tcBorders>
                  <w:vAlign w:val="center"/>
                </w:tcPr>
                <w:p w14:paraId="388151DD">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14:paraId="5D88FA07">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14:paraId="7C33C026">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p>
              </w:tc>
              <w:tc>
                <w:tcPr>
                  <w:tcW w:w="1397" w:type="dxa"/>
                  <w:vMerge w:val="continue"/>
                  <w:tcBorders>
                    <w:tl2br w:val="nil"/>
                    <w:tr2bl w:val="nil"/>
                  </w:tcBorders>
                  <w:vAlign w:val="center"/>
                </w:tcPr>
                <w:p w14:paraId="4C9D9DA2">
                  <w:pPr>
                    <w:jc w:val="center"/>
                    <w:rPr>
                      <w:rFonts w:ascii="Times New Roman" w:hAnsi="Times New Roman" w:eastAsia="宋体"/>
                      <w:color w:val="000000" w:themeColor="text1"/>
                      <w:sz w:val="21"/>
                      <w:szCs w:val="21"/>
                      <w14:textFill>
                        <w14:solidFill>
                          <w14:schemeClr w14:val="tx1"/>
                        </w14:solidFill>
                      </w14:textFill>
                    </w:rPr>
                  </w:pPr>
                </w:p>
              </w:tc>
            </w:tr>
          </w:tbl>
          <w:p w14:paraId="1B16907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eastAsia="宋体"/>
                <w:b/>
                <w:bCs/>
                <w:color w:val="000000" w:themeColor="text1"/>
                <w:kern w:val="0"/>
                <w:sz w:val="24"/>
                <w:szCs w:val="24"/>
                <w14:textFill>
                  <w14:solidFill>
                    <w14:schemeClr w14:val="tx1"/>
                  </w14:solidFill>
                </w14:textFill>
              </w:rPr>
            </w:pPr>
            <w:r>
              <w:rPr>
                <w:rFonts w:hint="eastAsia"/>
                <w:b/>
                <w:bCs/>
                <w:color w:val="000000" w:themeColor="text1"/>
                <w:kern w:val="0"/>
                <w:sz w:val="24"/>
                <w:szCs w:val="24"/>
                <w:lang w:eastAsia="zh-CN"/>
                <w14:textFill>
                  <w14:solidFill>
                    <w14:schemeClr w14:val="tx1"/>
                  </w14:solidFill>
                </w14:textFill>
              </w:rPr>
              <w:t>（</w:t>
            </w:r>
            <w:r>
              <w:rPr>
                <w:rFonts w:hint="eastAsia"/>
                <w:b/>
                <w:bCs/>
                <w:color w:val="000000" w:themeColor="text1"/>
                <w:kern w:val="0"/>
                <w:sz w:val="24"/>
                <w:szCs w:val="24"/>
                <w:lang w:val="en-US" w:eastAsia="zh-CN"/>
                <w14:textFill>
                  <w14:solidFill>
                    <w14:schemeClr w14:val="tx1"/>
                  </w14:solidFill>
                </w14:textFill>
              </w:rPr>
              <w:t>2</w:t>
            </w:r>
            <w:r>
              <w:rPr>
                <w:rFonts w:hint="eastAsia"/>
                <w:b/>
                <w:bCs/>
                <w:color w:val="000000" w:themeColor="text1"/>
                <w:kern w:val="0"/>
                <w:sz w:val="24"/>
                <w:szCs w:val="24"/>
                <w:lang w:eastAsia="zh-CN"/>
                <w14:textFill>
                  <w14:solidFill>
                    <w14:schemeClr w14:val="tx1"/>
                  </w14:solidFill>
                </w14:textFill>
              </w:rPr>
              <w:t>）</w:t>
            </w:r>
            <w:r>
              <w:rPr>
                <w:rFonts w:ascii="Times New Roman" w:hAnsi="Times New Roman" w:eastAsia="宋体"/>
                <w:b/>
                <w:bCs/>
                <w:color w:val="000000" w:themeColor="text1"/>
                <w:kern w:val="0"/>
                <w:sz w:val="24"/>
                <w:szCs w:val="24"/>
                <w14:textFill>
                  <w14:solidFill>
                    <w14:schemeClr w14:val="tx1"/>
                  </w14:solidFill>
                </w14:textFill>
              </w:rPr>
              <w:t>水质评价标准</w:t>
            </w:r>
          </w:p>
          <w:p w14:paraId="6C602C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olor w:val="000000" w:themeColor="text1"/>
                <w:kern w:val="0"/>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拟建地项目地</w:t>
            </w:r>
            <w:r>
              <w:rPr>
                <w:rFonts w:ascii="Times New Roman" w:hAnsi="Times New Roman" w:eastAsia="宋体"/>
                <w:color w:val="000000" w:themeColor="text1"/>
                <w:kern w:val="0"/>
                <w:sz w:val="24"/>
                <w:szCs w:val="24"/>
                <w14:textFill>
                  <w14:solidFill>
                    <w14:schemeClr w14:val="tx1"/>
                  </w14:solidFill>
                </w14:textFill>
              </w:rPr>
              <w:t>表水环境质量评价执行《地表水环境质量标准》（GB3838-2002）</w:t>
            </w:r>
            <w:r>
              <w:rPr>
                <w:rFonts w:hint="eastAsia" w:ascii="宋体" w:hAnsi="宋体" w:eastAsia="宋体" w:cs="宋体"/>
                <w:color w:val="000000" w:themeColor="text1"/>
                <w:kern w:val="0"/>
                <w:sz w:val="24"/>
                <w:szCs w:val="24"/>
                <w14:textFill>
                  <w14:solidFill>
                    <w14:schemeClr w14:val="tx1"/>
                  </w14:solidFill>
                </w14:textFill>
              </w:rPr>
              <w:t>Ⅲ</w:t>
            </w:r>
            <w:r>
              <w:rPr>
                <w:rFonts w:ascii="Times New Roman" w:hAnsi="Times New Roman" w:eastAsia="宋体"/>
                <w:color w:val="000000" w:themeColor="text1"/>
                <w:kern w:val="0"/>
                <w:sz w:val="24"/>
                <w:szCs w:val="24"/>
                <w14:textFill>
                  <w14:solidFill>
                    <w14:schemeClr w14:val="tx1"/>
                  </w14:solidFill>
                </w14:textFill>
              </w:rPr>
              <w:t>类，具体标准限值见下表。</w:t>
            </w:r>
          </w:p>
          <w:p w14:paraId="2BA1A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 xml:space="preserve">  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8</w:t>
            </w:r>
            <w:r>
              <w:rPr>
                <w:rFonts w:hint="eastAsia" w:ascii="Times New Roman" w:hAnsi="Times New Roman" w:eastAsia="宋体" w:cs="Times New Roman"/>
                <w:b/>
                <w:bCs/>
                <w:color w:val="000000" w:themeColor="text1"/>
                <w:szCs w:val="21"/>
                <w14:textFill>
                  <w14:solidFill>
                    <w14:schemeClr w14:val="tx1"/>
                  </w14:solidFill>
                </w14:textFill>
              </w:rPr>
              <w:t xml:space="preserve">      地表水环境质量标准    单位：mg/L（pH除外）</w:t>
            </w:r>
          </w:p>
          <w:tbl>
            <w:tblPr>
              <w:tblStyle w:val="20"/>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2270"/>
              <w:gridCol w:w="1324"/>
              <w:gridCol w:w="650"/>
              <w:gridCol w:w="1279"/>
              <w:gridCol w:w="1633"/>
            </w:tblGrid>
            <w:tr w14:paraId="0B16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61" w:type="dxa"/>
                  <w:vMerge w:val="restart"/>
                  <w:tcBorders>
                    <w:top w:val="single" w:color="auto" w:sz="12" w:space="0"/>
                  </w:tcBorders>
                  <w:vAlign w:val="center"/>
                </w:tcPr>
                <w:p w14:paraId="040DBFB2">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序号</w:t>
                  </w:r>
                </w:p>
              </w:tc>
              <w:tc>
                <w:tcPr>
                  <w:tcW w:w="2270" w:type="dxa"/>
                  <w:vMerge w:val="restart"/>
                  <w:tcBorders>
                    <w:top w:val="single" w:color="auto" w:sz="12" w:space="0"/>
                  </w:tcBorders>
                  <w:vAlign w:val="center"/>
                </w:tcPr>
                <w:p w14:paraId="726B65B3">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w:t>
                  </w:r>
                </w:p>
              </w:tc>
              <w:tc>
                <w:tcPr>
                  <w:tcW w:w="1324" w:type="dxa"/>
                  <w:tcBorders>
                    <w:top w:val="single" w:color="auto" w:sz="12" w:space="0"/>
                  </w:tcBorders>
                  <w:vAlign w:val="center"/>
                </w:tcPr>
                <w:p w14:paraId="62F16150">
                  <w:pPr>
                    <w:snapToGrid w:val="0"/>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标准</w:t>
                  </w:r>
                </w:p>
              </w:tc>
              <w:tc>
                <w:tcPr>
                  <w:tcW w:w="650" w:type="dxa"/>
                  <w:vMerge w:val="restart"/>
                  <w:tcBorders>
                    <w:top w:val="single" w:color="auto" w:sz="12" w:space="0"/>
                  </w:tcBorders>
                  <w:vAlign w:val="center"/>
                </w:tcPr>
                <w:p w14:paraId="6F7682D9">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序号</w:t>
                  </w:r>
                </w:p>
              </w:tc>
              <w:tc>
                <w:tcPr>
                  <w:tcW w:w="1279" w:type="dxa"/>
                  <w:vMerge w:val="restart"/>
                  <w:tcBorders>
                    <w:top w:val="single" w:color="auto" w:sz="12" w:space="0"/>
                  </w:tcBorders>
                  <w:vAlign w:val="center"/>
                </w:tcPr>
                <w:p w14:paraId="0B19FE77">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w:t>
                  </w:r>
                </w:p>
              </w:tc>
              <w:tc>
                <w:tcPr>
                  <w:tcW w:w="1633" w:type="dxa"/>
                  <w:tcBorders>
                    <w:top w:val="single" w:color="auto" w:sz="12" w:space="0"/>
                    <w:right w:val="nil"/>
                  </w:tcBorders>
                  <w:vAlign w:val="center"/>
                </w:tcPr>
                <w:p w14:paraId="7379C6A7">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标准</w:t>
                  </w:r>
                </w:p>
              </w:tc>
            </w:tr>
            <w:tr w14:paraId="55C0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vMerge w:val="continue"/>
                  <w:tcBorders>
                    <w:left w:val="nil"/>
                  </w:tcBorders>
                  <w:vAlign w:val="center"/>
                </w:tcPr>
                <w:p w14:paraId="7F9ED0F6">
                  <w:pPr>
                    <w:snapToGrid w:val="0"/>
                    <w:jc w:val="center"/>
                    <w:rPr>
                      <w:rFonts w:ascii="Times New Roman" w:hAnsi="Times New Roman" w:eastAsia="宋体"/>
                      <w:color w:val="000000" w:themeColor="text1"/>
                      <w:sz w:val="21"/>
                      <w:szCs w:val="21"/>
                      <w14:textFill>
                        <w14:solidFill>
                          <w14:schemeClr w14:val="tx1"/>
                        </w14:solidFill>
                      </w14:textFill>
                    </w:rPr>
                  </w:pPr>
                </w:p>
              </w:tc>
              <w:tc>
                <w:tcPr>
                  <w:tcW w:w="2270" w:type="dxa"/>
                  <w:vMerge w:val="continue"/>
                  <w:vAlign w:val="center"/>
                </w:tcPr>
                <w:p w14:paraId="6C139F48">
                  <w:pPr>
                    <w:snapToGrid w:val="0"/>
                    <w:jc w:val="center"/>
                    <w:rPr>
                      <w:rFonts w:ascii="Times New Roman" w:hAnsi="Times New Roman" w:eastAsia="宋体"/>
                      <w:color w:val="000000" w:themeColor="text1"/>
                      <w:sz w:val="21"/>
                      <w:szCs w:val="21"/>
                      <w14:textFill>
                        <w14:solidFill>
                          <w14:schemeClr w14:val="tx1"/>
                        </w14:solidFill>
                      </w14:textFill>
                    </w:rPr>
                  </w:pPr>
                </w:p>
              </w:tc>
              <w:tc>
                <w:tcPr>
                  <w:tcW w:w="1324" w:type="dxa"/>
                  <w:vAlign w:val="center"/>
                </w:tcPr>
                <w:p w14:paraId="2A7280B3">
                  <w:pPr>
                    <w:snapToGrid w:val="0"/>
                    <w:jc w:val="center"/>
                    <w:rPr>
                      <w:rFonts w:ascii="Times New Roman" w:hAnsi="Times New Roman"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Ⅲ</w:t>
                  </w:r>
                  <w:r>
                    <w:rPr>
                      <w:rFonts w:ascii="Times New Roman" w:hAnsi="Times New Roman" w:eastAsia="宋体" w:cs="宋体"/>
                      <w:color w:val="000000" w:themeColor="text1"/>
                      <w:sz w:val="21"/>
                      <w:szCs w:val="21"/>
                      <w14:textFill>
                        <w14:solidFill>
                          <w14:schemeClr w14:val="tx1"/>
                        </w14:solidFill>
                      </w14:textFill>
                    </w:rPr>
                    <w:t>类</w:t>
                  </w:r>
                </w:p>
              </w:tc>
              <w:tc>
                <w:tcPr>
                  <w:tcW w:w="650" w:type="dxa"/>
                  <w:vMerge w:val="continue"/>
                  <w:vAlign w:val="center"/>
                </w:tcPr>
                <w:p w14:paraId="0A4C08CA">
                  <w:pPr>
                    <w:snapToGrid w:val="0"/>
                    <w:jc w:val="center"/>
                    <w:rPr>
                      <w:rFonts w:ascii="Times New Roman" w:hAnsi="Times New Roman" w:eastAsia="宋体"/>
                      <w:color w:val="000000" w:themeColor="text1"/>
                      <w:sz w:val="21"/>
                      <w:szCs w:val="21"/>
                      <w14:textFill>
                        <w14:solidFill>
                          <w14:schemeClr w14:val="tx1"/>
                        </w14:solidFill>
                      </w14:textFill>
                    </w:rPr>
                  </w:pPr>
                </w:p>
              </w:tc>
              <w:tc>
                <w:tcPr>
                  <w:tcW w:w="1279" w:type="dxa"/>
                  <w:vMerge w:val="continue"/>
                  <w:vAlign w:val="center"/>
                </w:tcPr>
                <w:p w14:paraId="44B7C3D8">
                  <w:pPr>
                    <w:snapToGrid w:val="0"/>
                    <w:jc w:val="center"/>
                    <w:rPr>
                      <w:rFonts w:ascii="Times New Roman" w:hAnsi="Times New Roman" w:eastAsia="宋体"/>
                      <w:color w:val="000000" w:themeColor="text1"/>
                      <w:sz w:val="21"/>
                      <w:szCs w:val="21"/>
                      <w14:textFill>
                        <w14:solidFill>
                          <w14:schemeClr w14:val="tx1"/>
                        </w14:solidFill>
                      </w14:textFill>
                    </w:rPr>
                  </w:pPr>
                </w:p>
              </w:tc>
              <w:tc>
                <w:tcPr>
                  <w:tcW w:w="1633" w:type="dxa"/>
                  <w:tcBorders>
                    <w:right w:val="nil"/>
                  </w:tcBorders>
                  <w:vAlign w:val="center"/>
                </w:tcPr>
                <w:p w14:paraId="5E63254A">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Ⅲ</w:t>
                  </w:r>
                  <w:r>
                    <w:rPr>
                      <w:rFonts w:ascii="Times New Roman" w:hAnsi="Times New Roman" w:eastAsia="宋体"/>
                      <w:color w:val="000000" w:themeColor="text1"/>
                      <w:sz w:val="21"/>
                      <w:szCs w:val="21"/>
                      <w14:textFill>
                        <w14:solidFill>
                          <w14:schemeClr w14:val="tx1"/>
                        </w14:solidFill>
                      </w14:textFill>
                    </w:rPr>
                    <w:t>类</w:t>
                  </w:r>
                </w:p>
              </w:tc>
            </w:tr>
            <w:tr w14:paraId="57D1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14:paraId="15CDA934">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2270" w:type="dxa"/>
                  <w:vAlign w:val="center"/>
                </w:tcPr>
                <w:p w14:paraId="27C56CE5">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pH值（无量纲）</w:t>
                  </w:r>
                </w:p>
              </w:tc>
              <w:tc>
                <w:tcPr>
                  <w:tcW w:w="1324" w:type="dxa"/>
                  <w:vAlign w:val="center"/>
                </w:tcPr>
                <w:p w14:paraId="0430E633">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6-9</w:t>
                  </w:r>
                </w:p>
              </w:tc>
              <w:tc>
                <w:tcPr>
                  <w:tcW w:w="650" w:type="dxa"/>
                  <w:vAlign w:val="center"/>
                </w:tcPr>
                <w:p w14:paraId="09589639">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15</w:t>
                  </w:r>
                </w:p>
              </w:tc>
              <w:tc>
                <w:tcPr>
                  <w:tcW w:w="1279" w:type="dxa"/>
                  <w:vAlign w:val="center"/>
                </w:tcPr>
                <w:p w14:paraId="2B091C08">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六价铬</w:t>
                  </w:r>
                </w:p>
              </w:tc>
              <w:tc>
                <w:tcPr>
                  <w:tcW w:w="1633" w:type="dxa"/>
                  <w:tcBorders>
                    <w:right w:val="nil"/>
                  </w:tcBorders>
                  <w:vAlign w:val="center"/>
                </w:tcPr>
                <w:p w14:paraId="767AF133">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≤0.05</w:t>
                  </w:r>
                </w:p>
              </w:tc>
            </w:tr>
            <w:tr w14:paraId="1F50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14:paraId="7E37D037">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2270" w:type="dxa"/>
                  <w:vAlign w:val="center"/>
                </w:tcPr>
                <w:p w14:paraId="664147BC">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溶解氧</w:t>
                  </w:r>
                </w:p>
              </w:tc>
              <w:tc>
                <w:tcPr>
                  <w:tcW w:w="1324" w:type="dxa"/>
                  <w:vAlign w:val="center"/>
                </w:tcPr>
                <w:p w14:paraId="56B2BAED">
                  <w:pPr>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w:t>
                  </w:r>
                </w:p>
              </w:tc>
              <w:tc>
                <w:tcPr>
                  <w:tcW w:w="650" w:type="dxa"/>
                  <w:vAlign w:val="center"/>
                </w:tcPr>
                <w:p w14:paraId="4C94F433">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16</w:t>
                  </w:r>
                </w:p>
              </w:tc>
              <w:tc>
                <w:tcPr>
                  <w:tcW w:w="1279" w:type="dxa"/>
                  <w:vAlign w:val="center"/>
                </w:tcPr>
                <w:p w14:paraId="08FFD15E">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氰化物</w:t>
                  </w:r>
                </w:p>
              </w:tc>
              <w:tc>
                <w:tcPr>
                  <w:tcW w:w="1633" w:type="dxa"/>
                  <w:tcBorders>
                    <w:right w:val="nil"/>
                  </w:tcBorders>
                  <w:vAlign w:val="center"/>
                </w:tcPr>
                <w:p w14:paraId="340133AF">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≤0.2</w:t>
                  </w:r>
                </w:p>
              </w:tc>
            </w:tr>
            <w:tr w14:paraId="762F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14:paraId="69954A16">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2270" w:type="dxa"/>
                  <w:vAlign w:val="center"/>
                </w:tcPr>
                <w:p w14:paraId="721EF4A0">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化学需氧量(COD)</w:t>
                  </w:r>
                </w:p>
              </w:tc>
              <w:tc>
                <w:tcPr>
                  <w:tcW w:w="1324" w:type="dxa"/>
                  <w:vAlign w:val="center"/>
                </w:tcPr>
                <w:p w14:paraId="674C6C8A">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20</w:t>
                  </w:r>
                </w:p>
              </w:tc>
              <w:tc>
                <w:tcPr>
                  <w:tcW w:w="650" w:type="dxa"/>
                  <w:vAlign w:val="center"/>
                </w:tcPr>
                <w:p w14:paraId="0880C161">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17</w:t>
                  </w:r>
                </w:p>
              </w:tc>
              <w:tc>
                <w:tcPr>
                  <w:tcW w:w="1279" w:type="dxa"/>
                  <w:vAlign w:val="center"/>
                </w:tcPr>
                <w:p w14:paraId="088F8AFA">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挥发酚</w:t>
                  </w:r>
                </w:p>
              </w:tc>
              <w:tc>
                <w:tcPr>
                  <w:tcW w:w="1633" w:type="dxa"/>
                  <w:tcBorders>
                    <w:right w:val="nil"/>
                  </w:tcBorders>
                  <w:vAlign w:val="center"/>
                </w:tcPr>
                <w:p w14:paraId="1AF72479">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0.005</w:t>
                  </w:r>
                </w:p>
              </w:tc>
            </w:tr>
            <w:tr w14:paraId="7825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61" w:type="dxa"/>
                  <w:tcBorders>
                    <w:left w:val="nil"/>
                  </w:tcBorders>
                  <w:vAlign w:val="center"/>
                </w:tcPr>
                <w:p w14:paraId="365B13BE">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w:t>
                  </w:r>
                </w:p>
              </w:tc>
              <w:tc>
                <w:tcPr>
                  <w:tcW w:w="2270" w:type="dxa"/>
                  <w:vAlign w:val="center"/>
                </w:tcPr>
                <w:p w14:paraId="0E70D380">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五日生化需氧量(BOD</w:t>
                  </w:r>
                  <w:r>
                    <w:rPr>
                      <w:rFonts w:ascii="Times New Roman" w:hAnsi="Times New Roman" w:eastAsia="宋体"/>
                      <w:color w:val="000000" w:themeColor="text1"/>
                      <w:sz w:val="21"/>
                      <w:szCs w:val="21"/>
                      <w:vertAlign w:val="subscript"/>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w:t>
                  </w:r>
                </w:p>
              </w:tc>
              <w:tc>
                <w:tcPr>
                  <w:tcW w:w="1324" w:type="dxa"/>
                  <w:vAlign w:val="center"/>
                </w:tcPr>
                <w:p w14:paraId="63E2F7DE">
                  <w:pPr>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w:t>
                  </w:r>
                </w:p>
              </w:tc>
              <w:tc>
                <w:tcPr>
                  <w:tcW w:w="650" w:type="dxa"/>
                  <w:vAlign w:val="center"/>
                </w:tcPr>
                <w:p w14:paraId="41FF2CBC">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18</w:t>
                  </w:r>
                </w:p>
              </w:tc>
              <w:tc>
                <w:tcPr>
                  <w:tcW w:w="1279" w:type="dxa"/>
                  <w:vAlign w:val="center"/>
                </w:tcPr>
                <w:p w14:paraId="291CFD99">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石油类</w:t>
                  </w:r>
                </w:p>
              </w:tc>
              <w:tc>
                <w:tcPr>
                  <w:tcW w:w="1633" w:type="dxa"/>
                  <w:tcBorders>
                    <w:right w:val="nil"/>
                  </w:tcBorders>
                  <w:vAlign w:val="center"/>
                </w:tcPr>
                <w:p w14:paraId="2839A309">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0.05</w:t>
                  </w:r>
                </w:p>
              </w:tc>
            </w:tr>
            <w:tr w14:paraId="69EB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61" w:type="dxa"/>
                  <w:tcBorders>
                    <w:left w:val="nil"/>
                  </w:tcBorders>
                  <w:vAlign w:val="center"/>
                </w:tcPr>
                <w:p w14:paraId="617668FC">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w:t>
                  </w:r>
                </w:p>
              </w:tc>
              <w:tc>
                <w:tcPr>
                  <w:tcW w:w="2270" w:type="dxa"/>
                  <w:vAlign w:val="center"/>
                </w:tcPr>
                <w:p w14:paraId="3F244065">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氨氮(NH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w:t>
                  </w:r>
                </w:p>
              </w:tc>
              <w:tc>
                <w:tcPr>
                  <w:tcW w:w="1324" w:type="dxa"/>
                  <w:vAlign w:val="center"/>
                </w:tcPr>
                <w:p w14:paraId="47DD45BE">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p>
              </w:tc>
              <w:tc>
                <w:tcPr>
                  <w:tcW w:w="650" w:type="dxa"/>
                  <w:vAlign w:val="center"/>
                </w:tcPr>
                <w:p w14:paraId="4E04ACA8">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19</w:t>
                  </w:r>
                </w:p>
              </w:tc>
              <w:tc>
                <w:tcPr>
                  <w:tcW w:w="1279" w:type="dxa"/>
                  <w:vAlign w:val="center"/>
                </w:tcPr>
                <w:p w14:paraId="0AA74009">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硫化物</w:t>
                  </w:r>
                </w:p>
              </w:tc>
              <w:tc>
                <w:tcPr>
                  <w:tcW w:w="1633" w:type="dxa"/>
                  <w:tcBorders>
                    <w:right w:val="nil"/>
                  </w:tcBorders>
                  <w:vAlign w:val="center"/>
                </w:tcPr>
                <w:p w14:paraId="32D8DBF2">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0.2</w:t>
                  </w:r>
                </w:p>
              </w:tc>
            </w:tr>
            <w:tr w14:paraId="559E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14:paraId="5881E839">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w:t>
                  </w:r>
                </w:p>
              </w:tc>
              <w:tc>
                <w:tcPr>
                  <w:tcW w:w="2270" w:type="dxa"/>
                  <w:vAlign w:val="center"/>
                </w:tcPr>
                <w:p w14:paraId="60F8B2E4">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氟化物</w:t>
                  </w:r>
                </w:p>
              </w:tc>
              <w:tc>
                <w:tcPr>
                  <w:tcW w:w="1324" w:type="dxa"/>
                  <w:vAlign w:val="center"/>
                </w:tcPr>
                <w:p w14:paraId="3717805C">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p>
              </w:tc>
              <w:tc>
                <w:tcPr>
                  <w:tcW w:w="650" w:type="dxa"/>
                  <w:vAlign w:val="center"/>
                </w:tcPr>
                <w:p w14:paraId="4AB5A032">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w:t>
                  </w:r>
                </w:p>
              </w:tc>
              <w:tc>
                <w:tcPr>
                  <w:tcW w:w="1279" w:type="dxa"/>
                  <w:vAlign w:val="center"/>
                </w:tcPr>
                <w:p w14:paraId="23A03120">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总磷</w:t>
                  </w:r>
                </w:p>
              </w:tc>
              <w:tc>
                <w:tcPr>
                  <w:tcW w:w="1633" w:type="dxa"/>
                  <w:tcBorders>
                    <w:right w:val="nil"/>
                  </w:tcBorders>
                  <w:vAlign w:val="center"/>
                </w:tcPr>
                <w:p w14:paraId="1886C71C">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0.2</w:t>
                  </w:r>
                </w:p>
              </w:tc>
            </w:tr>
            <w:tr w14:paraId="5E8F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14:paraId="0B9BC19D">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7</w:t>
                  </w:r>
                </w:p>
              </w:tc>
              <w:tc>
                <w:tcPr>
                  <w:tcW w:w="2270" w:type="dxa"/>
                  <w:vAlign w:val="center"/>
                </w:tcPr>
                <w:p w14:paraId="00F8EB25">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氨 氮</w:t>
                  </w:r>
                </w:p>
              </w:tc>
              <w:tc>
                <w:tcPr>
                  <w:tcW w:w="1324" w:type="dxa"/>
                  <w:vAlign w:val="center"/>
                </w:tcPr>
                <w:p w14:paraId="584291DD">
                  <w:pPr>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0</w:t>
                  </w:r>
                </w:p>
              </w:tc>
              <w:tc>
                <w:tcPr>
                  <w:tcW w:w="650" w:type="dxa"/>
                  <w:vAlign w:val="center"/>
                </w:tcPr>
                <w:p w14:paraId="29A6D15A">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21</w:t>
                  </w:r>
                </w:p>
              </w:tc>
              <w:tc>
                <w:tcPr>
                  <w:tcW w:w="1279" w:type="dxa"/>
                  <w:vAlign w:val="center"/>
                </w:tcPr>
                <w:p w14:paraId="19910C5D">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硒</w:t>
                  </w:r>
                </w:p>
              </w:tc>
              <w:tc>
                <w:tcPr>
                  <w:tcW w:w="1633" w:type="dxa"/>
                  <w:tcBorders>
                    <w:right w:val="nil"/>
                  </w:tcBorders>
                  <w:vAlign w:val="center"/>
                </w:tcPr>
                <w:p w14:paraId="405DB2CA">
                  <w:pPr>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0.01</w:t>
                  </w:r>
                </w:p>
              </w:tc>
            </w:tr>
            <w:tr w14:paraId="390E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61" w:type="dxa"/>
                  <w:tcBorders>
                    <w:left w:val="nil"/>
                  </w:tcBorders>
                  <w:vAlign w:val="center"/>
                </w:tcPr>
                <w:p w14:paraId="48D3F961">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8</w:t>
                  </w:r>
                </w:p>
              </w:tc>
              <w:tc>
                <w:tcPr>
                  <w:tcW w:w="2270" w:type="dxa"/>
                  <w:vAlign w:val="center"/>
                </w:tcPr>
                <w:p w14:paraId="0F4632C4">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粪大肠菌群</w:t>
                  </w:r>
                </w:p>
              </w:tc>
              <w:tc>
                <w:tcPr>
                  <w:tcW w:w="1324" w:type="dxa"/>
                  <w:vAlign w:val="center"/>
                </w:tcPr>
                <w:p w14:paraId="13F434B4">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0000（个/L）</w:t>
                  </w:r>
                </w:p>
              </w:tc>
              <w:tc>
                <w:tcPr>
                  <w:tcW w:w="650" w:type="dxa"/>
                  <w:vAlign w:val="center"/>
                </w:tcPr>
                <w:p w14:paraId="2EB42E6E">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22</w:t>
                  </w:r>
                </w:p>
              </w:tc>
              <w:tc>
                <w:tcPr>
                  <w:tcW w:w="1279" w:type="dxa"/>
                  <w:vAlign w:val="center"/>
                </w:tcPr>
                <w:p w14:paraId="795DFCF9">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汞</w:t>
                  </w:r>
                </w:p>
              </w:tc>
              <w:tc>
                <w:tcPr>
                  <w:tcW w:w="1633" w:type="dxa"/>
                  <w:tcBorders>
                    <w:right w:val="nil"/>
                  </w:tcBorders>
                  <w:vAlign w:val="center"/>
                </w:tcPr>
                <w:p w14:paraId="73D0C13A">
                  <w:pPr>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0.0001</w:t>
                  </w:r>
                </w:p>
              </w:tc>
            </w:tr>
            <w:tr w14:paraId="05D6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14:paraId="5539194C">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9</w:t>
                  </w:r>
                </w:p>
              </w:tc>
              <w:tc>
                <w:tcPr>
                  <w:tcW w:w="2270" w:type="dxa"/>
                  <w:vAlign w:val="center"/>
                </w:tcPr>
                <w:p w14:paraId="02B39AB2">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高锰酸盐指数</w:t>
                  </w:r>
                </w:p>
              </w:tc>
              <w:tc>
                <w:tcPr>
                  <w:tcW w:w="1324" w:type="dxa"/>
                  <w:vAlign w:val="center"/>
                </w:tcPr>
                <w:p w14:paraId="7F898066">
                  <w:pPr>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6</w:t>
                  </w:r>
                </w:p>
              </w:tc>
              <w:tc>
                <w:tcPr>
                  <w:tcW w:w="650" w:type="dxa"/>
                  <w:vAlign w:val="center"/>
                </w:tcPr>
                <w:p w14:paraId="51F0DA29">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23</w:t>
                  </w:r>
                </w:p>
              </w:tc>
              <w:tc>
                <w:tcPr>
                  <w:tcW w:w="1279" w:type="dxa"/>
                  <w:vAlign w:val="center"/>
                </w:tcPr>
                <w:p w14:paraId="7478D274">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铅</w:t>
                  </w:r>
                </w:p>
              </w:tc>
              <w:tc>
                <w:tcPr>
                  <w:tcW w:w="1633" w:type="dxa"/>
                  <w:tcBorders>
                    <w:right w:val="nil"/>
                  </w:tcBorders>
                  <w:vAlign w:val="center"/>
                </w:tcPr>
                <w:p w14:paraId="622CDFA6">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≤0.05</w:t>
                  </w:r>
                </w:p>
              </w:tc>
            </w:tr>
            <w:tr w14:paraId="3C10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14:paraId="1216037F">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p>
              </w:tc>
              <w:tc>
                <w:tcPr>
                  <w:tcW w:w="2270" w:type="dxa"/>
                  <w:vAlign w:val="center"/>
                </w:tcPr>
                <w:p w14:paraId="0CB00FEE">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阴离子</w:t>
                  </w:r>
                  <w:r>
                    <w:rPr>
                      <w:rFonts w:hint="eastAsia" w:ascii="Times New Roman" w:hAnsi="Times New Roman" w:eastAsia="宋体"/>
                      <w:color w:val="000000" w:themeColor="text1"/>
                      <w:sz w:val="21"/>
                      <w:szCs w:val="21"/>
                      <w14:textFill>
                        <w14:solidFill>
                          <w14:schemeClr w14:val="tx1"/>
                        </w14:solidFill>
                      </w14:textFill>
                    </w:rPr>
                    <w:t>表面活性剂</w:t>
                  </w:r>
                </w:p>
              </w:tc>
              <w:tc>
                <w:tcPr>
                  <w:tcW w:w="1324" w:type="dxa"/>
                  <w:vAlign w:val="center"/>
                </w:tcPr>
                <w:p w14:paraId="3171E868">
                  <w:pPr>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2</w:t>
                  </w:r>
                </w:p>
              </w:tc>
              <w:tc>
                <w:tcPr>
                  <w:tcW w:w="650" w:type="dxa"/>
                  <w:vAlign w:val="center"/>
                </w:tcPr>
                <w:p w14:paraId="4CD21EC7">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w:t>
                  </w:r>
                </w:p>
              </w:tc>
              <w:tc>
                <w:tcPr>
                  <w:tcW w:w="1279" w:type="dxa"/>
                  <w:vAlign w:val="center"/>
                </w:tcPr>
                <w:p w14:paraId="5B66A28D">
                  <w:pPr>
                    <w:jc w:val="center"/>
                    <w:rPr>
                      <w:rFonts w:ascii="Times New Roman" w:hAnsi="Times New Roman" w:eastAsia="宋体"/>
                      <w:color w:val="000000" w:themeColor="text1"/>
                      <w:sz w:val="21"/>
                      <w:szCs w:val="21"/>
                      <w:vertAlign w:val="superscript"/>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镉</w:t>
                  </w:r>
                </w:p>
              </w:tc>
              <w:tc>
                <w:tcPr>
                  <w:tcW w:w="1633" w:type="dxa"/>
                  <w:tcBorders>
                    <w:right w:val="nil"/>
                  </w:tcBorders>
                  <w:vAlign w:val="center"/>
                </w:tcPr>
                <w:p w14:paraId="1C79FE3B">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≤0.005</w:t>
                  </w:r>
                </w:p>
              </w:tc>
            </w:tr>
            <w:tr w14:paraId="4667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14:paraId="752EAA5A">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11</w:t>
                  </w:r>
                </w:p>
              </w:tc>
              <w:tc>
                <w:tcPr>
                  <w:tcW w:w="2270" w:type="dxa"/>
                  <w:vAlign w:val="center"/>
                </w:tcPr>
                <w:p w14:paraId="2545C963">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铜</w:t>
                  </w:r>
                </w:p>
              </w:tc>
              <w:tc>
                <w:tcPr>
                  <w:tcW w:w="1324" w:type="dxa"/>
                  <w:vAlign w:val="center"/>
                </w:tcPr>
                <w:p w14:paraId="4C6D8511">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≤1.0</w:t>
                  </w:r>
                </w:p>
              </w:tc>
              <w:tc>
                <w:tcPr>
                  <w:tcW w:w="650" w:type="dxa"/>
                  <w:vAlign w:val="center"/>
                </w:tcPr>
                <w:p w14:paraId="385B21F1">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25</w:t>
                  </w:r>
                </w:p>
              </w:tc>
              <w:tc>
                <w:tcPr>
                  <w:tcW w:w="1279" w:type="dxa"/>
                  <w:vAlign w:val="center"/>
                </w:tcPr>
                <w:p w14:paraId="5DE3BCCE">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总氮</w:t>
                  </w:r>
                </w:p>
              </w:tc>
              <w:tc>
                <w:tcPr>
                  <w:tcW w:w="1633" w:type="dxa"/>
                  <w:tcBorders>
                    <w:right w:val="nil"/>
                  </w:tcBorders>
                  <w:vAlign w:val="center"/>
                </w:tcPr>
                <w:p w14:paraId="7D80D8EE">
                  <w:pPr>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p>
              </w:tc>
            </w:tr>
            <w:tr w14:paraId="11C6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dxa"/>
                  <w:tcBorders>
                    <w:left w:val="nil"/>
                    <w:bottom w:val="single" w:color="auto" w:sz="12" w:space="0"/>
                  </w:tcBorders>
                  <w:vAlign w:val="center"/>
                </w:tcPr>
                <w:p w14:paraId="624FF496">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12</w:t>
                  </w:r>
                </w:p>
              </w:tc>
              <w:tc>
                <w:tcPr>
                  <w:tcW w:w="2270" w:type="dxa"/>
                  <w:tcBorders>
                    <w:bottom w:val="single" w:color="auto" w:sz="12" w:space="0"/>
                  </w:tcBorders>
                  <w:vAlign w:val="center"/>
                </w:tcPr>
                <w:p w14:paraId="2BC8E5C7">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锌</w:t>
                  </w:r>
                </w:p>
              </w:tc>
              <w:tc>
                <w:tcPr>
                  <w:tcW w:w="1324" w:type="dxa"/>
                  <w:tcBorders>
                    <w:bottom w:val="single" w:color="auto" w:sz="12" w:space="0"/>
                  </w:tcBorders>
                  <w:vAlign w:val="center"/>
                </w:tcPr>
                <w:p w14:paraId="14CC38BC">
                  <w:pPr>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p>
              </w:tc>
              <w:tc>
                <w:tcPr>
                  <w:tcW w:w="650" w:type="dxa"/>
                  <w:tcBorders>
                    <w:bottom w:val="single" w:color="auto" w:sz="12" w:space="0"/>
                  </w:tcBorders>
                  <w:vAlign w:val="center"/>
                </w:tcPr>
                <w:p w14:paraId="75960122">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26</w:t>
                  </w:r>
                </w:p>
              </w:tc>
              <w:tc>
                <w:tcPr>
                  <w:tcW w:w="1279" w:type="dxa"/>
                  <w:tcBorders>
                    <w:bottom w:val="single" w:color="auto" w:sz="12" w:space="0"/>
                  </w:tcBorders>
                  <w:vAlign w:val="center"/>
                </w:tcPr>
                <w:p w14:paraId="660326C7">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砷</w:t>
                  </w:r>
                </w:p>
              </w:tc>
              <w:tc>
                <w:tcPr>
                  <w:tcW w:w="1633" w:type="dxa"/>
                  <w:tcBorders>
                    <w:bottom w:val="single" w:color="auto" w:sz="12" w:space="0"/>
                    <w:right w:val="nil"/>
                  </w:tcBorders>
                  <w:vAlign w:val="center"/>
                </w:tcPr>
                <w:p w14:paraId="1BBA6F6F">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w:t>
                  </w:r>
                </w:p>
              </w:tc>
            </w:tr>
          </w:tbl>
          <w:p w14:paraId="67BD520D">
            <w:pPr>
              <w:spacing w:line="360" w:lineRule="auto"/>
              <w:ind w:firstLine="482" w:firstLineChars="200"/>
              <w:rPr>
                <w:rFonts w:hint="default"/>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（3）地下水质量</w:t>
            </w:r>
          </w:p>
          <w:p w14:paraId="529B0A00">
            <w:pPr>
              <w:spacing w:line="360" w:lineRule="auto"/>
              <w:ind w:firstLine="480" w:firstLineChars="200"/>
              <w:rPr>
                <w:rFonts w:ascii="Times New Roman" w:hAnsi="Times New Roman" w:eastAsia="宋体"/>
                <w:color w:val="000000" w:themeColor="text1"/>
                <w:kern w:val="0"/>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拟建地项目地下水环境质量</w:t>
            </w:r>
            <w:r>
              <w:rPr>
                <w:rFonts w:ascii="Times New Roman" w:hAnsi="Times New Roman" w:eastAsia="宋体"/>
                <w:color w:val="000000" w:themeColor="text1"/>
                <w:kern w:val="0"/>
                <w:sz w:val="24"/>
                <w:szCs w:val="24"/>
                <w14:textFill>
                  <w14:solidFill>
                    <w14:schemeClr w14:val="tx1"/>
                  </w14:solidFill>
                </w14:textFill>
              </w:rPr>
              <w:t>执行《地下水质量标准》（GB/T14848-</w:t>
            </w:r>
            <w:r>
              <w:rPr>
                <w:rFonts w:hint="eastAsia" w:ascii="Times New Roman" w:hAnsi="Times New Roman" w:eastAsia="宋体"/>
                <w:color w:val="000000" w:themeColor="text1"/>
                <w:kern w:val="0"/>
                <w:sz w:val="24"/>
                <w:szCs w:val="24"/>
                <w14:textFill>
                  <w14:solidFill>
                    <w14:schemeClr w14:val="tx1"/>
                  </w14:solidFill>
                </w14:textFill>
              </w:rPr>
              <w:t>2017</w:t>
            </w:r>
            <w:r>
              <w:rPr>
                <w:rFonts w:ascii="Times New Roman" w:hAnsi="Times New Roman" w:eastAsia="宋体"/>
                <w:color w:val="000000" w:themeColor="text1"/>
                <w:kern w:val="0"/>
                <w:sz w:val="24"/>
                <w:szCs w:val="24"/>
                <w14:textFill>
                  <w14:solidFill>
                    <w14:schemeClr w14:val="tx1"/>
                  </w14:solidFill>
                </w14:textFill>
              </w:rPr>
              <w:t>）Ⅲ类，具体标准限值见下表。</w:t>
            </w:r>
          </w:p>
          <w:p w14:paraId="3743DD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9</w:t>
            </w:r>
            <w:r>
              <w:rPr>
                <w:rFonts w:hint="eastAsia" w:ascii="Times New Roman" w:hAnsi="Times New Roman" w:eastAsia="宋体" w:cs="Times New Roman"/>
                <w:b/>
                <w:bCs/>
                <w:color w:val="000000" w:themeColor="text1"/>
                <w:szCs w:val="21"/>
                <w14:textFill>
                  <w14:solidFill>
                    <w14:schemeClr w14:val="tx1"/>
                  </w14:solidFill>
                </w14:textFill>
              </w:rPr>
              <w:t xml:space="preserve">  （GB/T14848—2017）Ⅲ类标准限值单位：mg/l</w:t>
            </w:r>
          </w:p>
          <w:tbl>
            <w:tblPr>
              <w:tblStyle w:val="20"/>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229"/>
              <w:gridCol w:w="815"/>
              <w:gridCol w:w="788"/>
              <w:gridCol w:w="788"/>
              <w:gridCol w:w="815"/>
              <w:gridCol w:w="815"/>
              <w:gridCol w:w="841"/>
              <w:gridCol w:w="841"/>
            </w:tblGrid>
            <w:tr w14:paraId="0AF0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53" w:type="dxa"/>
                  <w:tcBorders>
                    <w:top w:val="single" w:color="auto" w:sz="12" w:space="0"/>
                  </w:tcBorders>
                  <w:vAlign w:val="center"/>
                </w:tcPr>
                <w:p w14:paraId="41347EBD">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项目标准</w:t>
                  </w:r>
                </w:p>
              </w:tc>
              <w:tc>
                <w:tcPr>
                  <w:tcW w:w="853" w:type="dxa"/>
                  <w:tcBorders>
                    <w:top w:val="single" w:color="auto" w:sz="12" w:space="0"/>
                  </w:tcBorders>
                  <w:vAlign w:val="center"/>
                </w:tcPr>
                <w:p w14:paraId="04179468">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pH</w:t>
                  </w:r>
                </w:p>
              </w:tc>
              <w:tc>
                <w:tcPr>
                  <w:tcW w:w="853" w:type="dxa"/>
                  <w:tcBorders>
                    <w:top w:val="single" w:color="auto" w:sz="12" w:space="0"/>
                  </w:tcBorders>
                  <w:vAlign w:val="center"/>
                </w:tcPr>
                <w:p w14:paraId="3C8A4503">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硝酸盐</w:t>
                  </w:r>
                </w:p>
              </w:tc>
              <w:tc>
                <w:tcPr>
                  <w:tcW w:w="853" w:type="dxa"/>
                  <w:tcBorders>
                    <w:top w:val="single" w:color="auto" w:sz="12" w:space="0"/>
                  </w:tcBorders>
                  <w:vAlign w:val="center"/>
                </w:tcPr>
                <w:p w14:paraId="2418904B">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氨氮</w:t>
                  </w:r>
                </w:p>
              </w:tc>
              <w:tc>
                <w:tcPr>
                  <w:tcW w:w="853" w:type="dxa"/>
                  <w:tcBorders>
                    <w:top w:val="single" w:color="auto" w:sz="12" w:space="0"/>
                  </w:tcBorders>
                  <w:vAlign w:val="center"/>
                </w:tcPr>
                <w:p w14:paraId="0A09FA78">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亚硝酸盐</w:t>
                  </w:r>
                </w:p>
              </w:tc>
              <w:tc>
                <w:tcPr>
                  <w:tcW w:w="853" w:type="dxa"/>
                  <w:tcBorders>
                    <w:top w:val="single" w:color="auto" w:sz="12" w:space="0"/>
                  </w:tcBorders>
                  <w:vAlign w:val="center"/>
                </w:tcPr>
                <w:p w14:paraId="78081ED3">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氟化物</w:t>
                  </w:r>
                </w:p>
              </w:tc>
              <w:tc>
                <w:tcPr>
                  <w:tcW w:w="853" w:type="dxa"/>
                  <w:tcBorders>
                    <w:top w:val="single" w:color="auto" w:sz="12" w:space="0"/>
                  </w:tcBorders>
                  <w:vAlign w:val="center"/>
                </w:tcPr>
                <w:p w14:paraId="3DE7A996">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总硬度</w:t>
                  </w:r>
                </w:p>
              </w:tc>
              <w:tc>
                <w:tcPr>
                  <w:tcW w:w="853" w:type="dxa"/>
                  <w:tcBorders>
                    <w:top w:val="single" w:color="auto" w:sz="12" w:space="0"/>
                  </w:tcBorders>
                  <w:vAlign w:val="center"/>
                </w:tcPr>
                <w:p w14:paraId="3479CC08">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六价铬</w:t>
                  </w:r>
                </w:p>
              </w:tc>
              <w:tc>
                <w:tcPr>
                  <w:tcW w:w="853" w:type="dxa"/>
                  <w:tcBorders>
                    <w:top w:val="single" w:color="auto" w:sz="12" w:space="0"/>
                    <w:right w:val="nil"/>
                  </w:tcBorders>
                  <w:vAlign w:val="center"/>
                </w:tcPr>
                <w:p w14:paraId="6BF1F766">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挥发酚</w:t>
                  </w:r>
                </w:p>
              </w:tc>
            </w:tr>
            <w:tr w14:paraId="5DCF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53" w:type="dxa"/>
                  <w:vMerge w:val="restart"/>
                  <w:tcBorders>
                    <w:left w:val="nil"/>
                  </w:tcBorders>
                  <w:vAlign w:val="center"/>
                </w:tcPr>
                <w:p w14:paraId="2CFB9C9D">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Ⅲ类</w:t>
                  </w:r>
                </w:p>
              </w:tc>
              <w:tc>
                <w:tcPr>
                  <w:tcW w:w="853" w:type="dxa"/>
                  <w:vAlign w:val="center"/>
                </w:tcPr>
                <w:p w14:paraId="2712E2A9">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6.5≤pH≤8.5</w:t>
                  </w:r>
                </w:p>
              </w:tc>
              <w:tc>
                <w:tcPr>
                  <w:tcW w:w="853" w:type="dxa"/>
                  <w:vAlign w:val="center"/>
                </w:tcPr>
                <w:p w14:paraId="2E5A72B0">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≤20</w:t>
                  </w:r>
                </w:p>
              </w:tc>
              <w:tc>
                <w:tcPr>
                  <w:tcW w:w="853" w:type="dxa"/>
                  <w:vAlign w:val="center"/>
                </w:tcPr>
                <w:p w14:paraId="3CC65E6F">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≤0.5</w:t>
                  </w:r>
                </w:p>
              </w:tc>
              <w:tc>
                <w:tcPr>
                  <w:tcW w:w="853" w:type="dxa"/>
                  <w:vAlign w:val="center"/>
                </w:tcPr>
                <w:p w14:paraId="133C50BD">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≤1.0</w:t>
                  </w:r>
                </w:p>
              </w:tc>
              <w:tc>
                <w:tcPr>
                  <w:tcW w:w="853" w:type="dxa"/>
                  <w:vAlign w:val="center"/>
                </w:tcPr>
                <w:p w14:paraId="64AE9ED4">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r>
                    <w:rPr>
                      <w:rFonts w:hint="eastAsia" w:ascii="Times New Roman" w:hAnsi="Times New Roman" w:eastAsia="宋体"/>
                      <w:color w:val="000000" w:themeColor="text1"/>
                      <w:sz w:val="21"/>
                      <w:szCs w:val="21"/>
                      <w14:textFill>
                        <w14:solidFill>
                          <w14:schemeClr w14:val="tx1"/>
                        </w14:solidFill>
                      </w14:textFill>
                    </w:rPr>
                    <w:t>.0</w:t>
                  </w:r>
                </w:p>
              </w:tc>
              <w:tc>
                <w:tcPr>
                  <w:tcW w:w="853" w:type="dxa"/>
                  <w:vAlign w:val="center"/>
                </w:tcPr>
                <w:p w14:paraId="0CB969FB">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≤450</w:t>
                  </w:r>
                </w:p>
              </w:tc>
              <w:tc>
                <w:tcPr>
                  <w:tcW w:w="853" w:type="dxa"/>
                  <w:vAlign w:val="center"/>
                </w:tcPr>
                <w:p w14:paraId="102CA2A7">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≤0.05</w:t>
                  </w:r>
                </w:p>
              </w:tc>
              <w:tc>
                <w:tcPr>
                  <w:tcW w:w="853" w:type="dxa"/>
                  <w:tcBorders>
                    <w:right w:val="nil"/>
                  </w:tcBorders>
                  <w:vAlign w:val="center"/>
                </w:tcPr>
                <w:p w14:paraId="68472094">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≤0.002</w:t>
                  </w:r>
                </w:p>
              </w:tc>
            </w:tr>
            <w:tr w14:paraId="47FB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53" w:type="dxa"/>
                  <w:vMerge w:val="continue"/>
                  <w:tcBorders>
                    <w:left w:val="nil"/>
                  </w:tcBorders>
                  <w:vAlign w:val="center"/>
                </w:tcPr>
                <w:p w14:paraId="2A4E0DFB">
                  <w:pPr>
                    <w:jc w:val="center"/>
                    <w:rPr>
                      <w:rFonts w:ascii="Times New Roman" w:hAnsi="Times New Roman" w:eastAsia="宋体"/>
                      <w:color w:val="000000" w:themeColor="text1"/>
                      <w:sz w:val="21"/>
                      <w:szCs w:val="21"/>
                      <w14:textFill>
                        <w14:solidFill>
                          <w14:schemeClr w14:val="tx1"/>
                        </w14:solidFill>
                      </w14:textFill>
                    </w:rPr>
                  </w:pPr>
                </w:p>
              </w:tc>
              <w:tc>
                <w:tcPr>
                  <w:tcW w:w="853" w:type="dxa"/>
                  <w:vAlign w:val="center"/>
                </w:tcPr>
                <w:p w14:paraId="348054A6">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石油类</w:t>
                  </w:r>
                </w:p>
              </w:tc>
              <w:tc>
                <w:tcPr>
                  <w:tcW w:w="853" w:type="dxa"/>
                  <w:vAlign w:val="center"/>
                </w:tcPr>
                <w:p w14:paraId="015C36F9">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氰化物</w:t>
                  </w:r>
                </w:p>
              </w:tc>
              <w:tc>
                <w:tcPr>
                  <w:tcW w:w="853" w:type="dxa"/>
                  <w:vAlign w:val="center"/>
                </w:tcPr>
                <w:p w14:paraId="6580E6F1">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铁</w:t>
                  </w:r>
                </w:p>
              </w:tc>
              <w:tc>
                <w:tcPr>
                  <w:tcW w:w="853" w:type="dxa"/>
                  <w:vAlign w:val="center"/>
                </w:tcPr>
                <w:p w14:paraId="72F5205B">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锰</w:t>
                  </w:r>
                </w:p>
              </w:tc>
              <w:tc>
                <w:tcPr>
                  <w:tcW w:w="853" w:type="dxa"/>
                  <w:vAlign w:val="center"/>
                </w:tcPr>
                <w:p w14:paraId="228EB124">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铅</w:t>
                  </w:r>
                </w:p>
              </w:tc>
              <w:tc>
                <w:tcPr>
                  <w:tcW w:w="853" w:type="dxa"/>
                  <w:vAlign w:val="center"/>
                </w:tcPr>
                <w:p w14:paraId="4C007F39">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砷</w:t>
                  </w:r>
                </w:p>
              </w:tc>
              <w:tc>
                <w:tcPr>
                  <w:tcW w:w="853" w:type="dxa"/>
                  <w:vAlign w:val="center"/>
                </w:tcPr>
                <w:p w14:paraId="27113008">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汞</w:t>
                  </w:r>
                </w:p>
              </w:tc>
              <w:tc>
                <w:tcPr>
                  <w:tcW w:w="853" w:type="dxa"/>
                  <w:tcBorders>
                    <w:right w:val="nil"/>
                  </w:tcBorders>
                  <w:vAlign w:val="center"/>
                </w:tcPr>
                <w:p w14:paraId="0D1435D0">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镉</w:t>
                  </w:r>
                </w:p>
              </w:tc>
            </w:tr>
            <w:tr w14:paraId="66D0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53" w:type="dxa"/>
                  <w:vMerge w:val="continue"/>
                  <w:tcBorders>
                    <w:left w:val="nil"/>
                    <w:bottom w:val="single" w:color="auto" w:sz="12" w:space="0"/>
                  </w:tcBorders>
                  <w:vAlign w:val="center"/>
                </w:tcPr>
                <w:p w14:paraId="51887171">
                  <w:pPr>
                    <w:jc w:val="center"/>
                    <w:rPr>
                      <w:rFonts w:ascii="Times New Roman" w:hAnsi="Times New Roman" w:eastAsia="宋体"/>
                      <w:color w:val="000000" w:themeColor="text1"/>
                      <w:sz w:val="21"/>
                      <w:szCs w:val="21"/>
                      <w14:textFill>
                        <w14:solidFill>
                          <w14:schemeClr w14:val="tx1"/>
                        </w14:solidFill>
                      </w14:textFill>
                    </w:rPr>
                  </w:pPr>
                </w:p>
              </w:tc>
              <w:tc>
                <w:tcPr>
                  <w:tcW w:w="853" w:type="dxa"/>
                  <w:tcBorders>
                    <w:bottom w:val="single" w:color="auto" w:sz="12" w:space="0"/>
                  </w:tcBorders>
                  <w:vAlign w:val="center"/>
                </w:tcPr>
                <w:p w14:paraId="04F7F264">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≤0.05</w:t>
                  </w:r>
                </w:p>
              </w:tc>
              <w:tc>
                <w:tcPr>
                  <w:tcW w:w="853" w:type="dxa"/>
                  <w:tcBorders>
                    <w:bottom w:val="single" w:color="auto" w:sz="12" w:space="0"/>
                  </w:tcBorders>
                  <w:vAlign w:val="center"/>
                </w:tcPr>
                <w:p w14:paraId="6E875F3D">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≤0.05</w:t>
                  </w:r>
                </w:p>
              </w:tc>
              <w:tc>
                <w:tcPr>
                  <w:tcW w:w="853" w:type="dxa"/>
                  <w:tcBorders>
                    <w:bottom w:val="single" w:color="auto" w:sz="12" w:space="0"/>
                  </w:tcBorders>
                  <w:vAlign w:val="center"/>
                </w:tcPr>
                <w:p w14:paraId="76BF85DE">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≤0.3</w:t>
                  </w:r>
                </w:p>
              </w:tc>
              <w:tc>
                <w:tcPr>
                  <w:tcW w:w="853" w:type="dxa"/>
                  <w:tcBorders>
                    <w:bottom w:val="single" w:color="auto" w:sz="12" w:space="0"/>
                  </w:tcBorders>
                  <w:vAlign w:val="center"/>
                </w:tcPr>
                <w:p w14:paraId="0DDDF5E0">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≤0.1</w:t>
                  </w:r>
                </w:p>
              </w:tc>
              <w:tc>
                <w:tcPr>
                  <w:tcW w:w="853" w:type="dxa"/>
                  <w:tcBorders>
                    <w:bottom w:val="single" w:color="auto" w:sz="12" w:space="0"/>
                  </w:tcBorders>
                  <w:vAlign w:val="center"/>
                </w:tcPr>
                <w:p w14:paraId="261164DF">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≤0.01</w:t>
                  </w:r>
                </w:p>
              </w:tc>
              <w:tc>
                <w:tcPr>
                  <w:tcW w:w="853" w:type="dxa"/>
                  <w:tcBorders>
                    <w:bottom w:val="single" w:color="auto" w:sz="12" w:space="0"/>
                  </w:tcBorders>
                  <w:vAlign w:val="center"/>
                </w:tcPr>
                <w:p w14:paraId="311998D2">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≤0.01</w:t>
                  </w:r>
                </w:p>
              </w:tc>
              <w:tc>
                <w:tcPr>
                  <w:tcW w:w="853" w:type="dxa"/>
                  <w:tcBorders>
                    <w:bottom w:val="single" w:color="auto" w:sz="12" w:space="0"/>
                  </w:tcBorders>
                  <w:vAlign w:val="center"/>
                </w:tcPr>
                <w:p w14:paraId="2E6B6F15">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w:t>
                  </w:r>
                  <w:r>
                    <w:rPr>
                      <w:rFonts w:hint="eastAsia" w:ascii="Times New Roman" w:hAnsi="Times New Roman" w:eastAsia="宋体"/>
                      <w:color w:val="000000" w:themeColor="text1"/>
                      <w:kern w:val="0"/>
                      <w:sz w:val="21"/>
                      <w:szCs w:val="21"/>
                      <w14:textFill>
                        <w14:solidFill>
                          <w14:schemeClr w14:val="tx1"/>
                        </w14:solidFill>
                      </w14:textFill>
                    </w:rPr>
                    <w:t>0</w:t>
                  </w:r>
                  <w:r>
                    <w:rPr>
                      <w:rFonts w:ascii="Times New Roman" w:hAnsi="Times New Roman" w:eastAsia="宋体"/>
                      <w:color w:val="000000" w:themeColor="text1"/>
                      <w:kern w:val="0"/>
                      <w:sz w:val="21"/>
                      <w:szCs w:val="21"/>
                      <w14:textFill>
                        <w14:solidFill>
                          <w14:schemeClr w14:val="tx1"/>
                        </w14:solidFill>
                      </w14:textFill>
                    </w:rPr>
                    <w:t>1</w:t>
                  </w:r>
                </w:p>
              </w:tc>
              <w:tc>
                <w:tcPr>
                  <w:tcW w:w="853" w:type="dxa"/>
                  <w:tcBorders>
                    <w:bottom w:val="single" w:color="auto" w:sz="12" w:space="0"/>
                    <w:right w:val="nil"/>
                  </w:tcBorders>
                  <w:vAlign w:val="center"/>
                </w:tcPr>
                <w:p w14:paraId="3C79564C">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w:t>
                  </w:r>
                  <w:r>
                    <w:rPr>
                      <w:rFonts w:hint="eastAsia" w:ascii="Times New Roman" w:hAnsi="Times New Roman" w:eastAsia="宋体"/>
                      <w:color w:val="000000" w:themeColor="text1"/>
                      <w:kern w:val="0"/>
                      <w:sz w:val="21"/>
                      <w:szCs w:val="21"/>
                      <w14:textFill>
                        <w14:solidFill>
                          <w14:schemeClr w14:val="tx1"/>
                        </w14:solidFill>
                      </w14:textFill>
                    </w:rPr>
                    <w:t>05</w:t>
                  </w:r>
                </w:p>
              </w:tc>
            </w:tr>
          </w:tbl>
          <w:p w14:paraId="2261EF8E">
            <w:pPr>
              <w:spacing w:line="360" w:lineRule="auto"/>
              <w:ind w:firstLine="482" w:firstLineChars="200"/>
              <w:rPr>
                <w:rFonts w:ascii="Times New Roman" w:hAnsi="Times New Roman" w:eastAsia="宋体"/>
                <w:b/>
                <w:bCs/>
                <w:color w:val="000000" w:themeColor="text1"/>
                <w:kern w:val="0"/>
                <w:sz w:val="24"/>
                <w:szCs w:val="24"/>
                <w14:textFill>
                  <w14:solidFill>
                    <w14:schemeClr w14:val="tx1"/>
                  </w14:solidFill>
                </w14:textFill>
              </w:rPr>
            </w:pPr>
            <w:r>
              <w:rPr>
                <w:rFonts w:hint="eastAsia"/>
                <w:b/>
                <w:bCs/>
                <w:color w:val="000000" w:themeColor="text1"/>
                <w:kern w:val="0"/>
                <w:sz w:val="24"/>
                <w:szCs w:val="24"/>
                <w:lang w:eastAsia="zh-CN"/>
                <w14:textFill>
                  <w14:solidFill>
                    <w14:schemeClr w14:val="tx1"/>
                  </w14:solidFill>
                </w14:textFill>
              </w:rPr>
              <w:t>（</w:t>
            </w:r>
            <w:r>
              <w:rPr>
                <w:rFonts w:hint="eastAsia"/>
                <w:b/>
                <w:bCs/>
                <w:color w:val="000000" w:themeColor="text1"/>
                <w:kern w:val="0"/>
                <w:sz w:val="24"/>
                <w:szCs w:val="24"/>
                <w:lang w:val="en-US" w:eastAsia="zh-CN"/>
                <w14:textFill>
                  <w14:solidFill>
                    <w14:schemeClr w14:val="tx1"/>
                  </w14:solidFill>
                </w14:textFill>
              </w:rPr>
              <w:t>4</w:t>
            </w:r>
            <w:r>
              <w:rPr>
                <w:rFonts w:hint="eastAsia"/>
                <w:b/>
                <w:bCs/>
                <w:color w:val="000000" w:themeColor="text1"/>
                <w:kern w:val="0"/>
                <w:sz w:val="24"/>
                <w:szCs w:val="24"/>
                <w:lang w:eastAsia="zh-CN"/>
                <w14:textFill>
                  <w14:solidFill>
                    <w14:schemeClr w14:val="tx1"/>
                  </w14:solidFill>
                </w14:textFill>
              </w:rPr>
              <w:t>）</w:t>
            </w:r>
            <w:r>
              <w:rPr>
                <w:rFonts w:ascii="Times New Roman" w:hAnsi="Times New Roman" w:eastAsia="宋体"/>
                <w:b/>
                <w:bCs/>
                <w:color w:val="000000" w:themeColor="text1"/>
                <w:kern w:val="0"/>
                <w:sz w:val="24"/>
                <w:szCs w:val="24"/>
                <w14:textFill>
                  <w14:solidFill>
                    <w14:schemeClr w14:val="tx1"/>
                  </w14:solidFill>
                </w14:textFill>
              </w:rPr>
              <w:t>声环境质量标准</w:t>
            </w:r>
          </w:p>
          <w:p w14:paraId="1305CE11">
            <w:pPr>
              <w:spacing w:line="360" w:lineRule="auto"/>
              <w:ind w:firstLine="468" w:firstLineChars="195"/>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项目拟建地声环境质量执行《声环境质量标准》（GB3096-2008）中</w:t>
            </w:r>
            <w:r>
              <w:rPr>
                <w:rFonts w:hint="eastAsia"/>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类</w:t>
            </w:r>
            <w:r>
              <w:rPr>
                <w:rFonts w:ascii="Times New Roman" w:hAnsi="Times New Roman" w:eastAsia="宋体"/>
                <w:color w:val="000000" w:themeColor="text1"/>
                <w:sz w:val="24"/>
                <w:szCs w:val="24"/>
                <w14:textFill>
                  <w14:solidFill>
                    <w14:schemeClr w14:val="tx1"/>
                  </w14:solidFill>
                </w14:textFill>
              </w:rPr>
              <w:t>准，具体限值见表</w:t>
            </w:r>
            <w:r>
              <w:rPr>
                <w:rFonts w:hint="eastAsia"/>
                <w:color w:val="000000" w:themeColor="text1"/>
                <w:sz w:val="24"/>
                <w:szCs w:val="24"/>
                <w:lang w:val="en-US" w:eastAsia="zh-CN"/>
                <w14:textFill>
                  <w14:solidFill>
                    <w14:schemeClr w14:val="tx1"/>
                  </w14:solidFill>
                </w14:textFill>
              </w:rPr>
              <w:t>3-10</w:t>
            </w:r>
            <w:r>
              <w:rPr>
                <w:rFonts w:ascii="Times New Roman" w:hAnsi="Times New Roman" w:eastAsia="宋体"/>
                <w:color w:val="000000" w:themeColor="text1"/>
                <w:sz w:val="24"/>
                <w:szCs w:val="24"/>
                <w14:textFill>
                  <w14:solidFill>
                    <w14:schemeClr w14:val="tx1"/>
                  </w14:solidFill>
                </w14:textFill>
              </w:rPr>
              <w:t>。</w:t>
            </w:r>
          </w:p>
          <w:p w14:paraId="2430F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10</w:t>
            </w:r>
            <w:r>
              <w:rPr>
                <w:rFonts w:hint="eastAsia" w:ascii="Times New Roman" w:hAnsi="Times New Roman" w:eastAsia="宋体" w:cs="Times New Roman"/>
                <w:b/>
                <w:bCs/>
                <w:color w:val="000000" w:themeColor="text1"/>
                <w:szCs w:val="21"/>
                <w14:textFill>
                  <w14:solidFill>
                    <w14:schemeClr w14:val="tx1"/>
                  </w14:solidFill>
                </w14:textFill>
              </w:rPr>
              <w:t xml:space="preserve">   环境噪声标准限值   单位：dB（A）</w:t>
            </w:r>
          </w:p>
          <w:tbl>
            <w:tblPr>
              <w:tblStyle w:val="20"/>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1"/>
              <w:gridCol w:w="2944"/>
              <w:gridCol w:w="2003"/>
            </w:tblGrid>
            <w:tr w14:paraId="5BB1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787" w:type="pct"/>
                  <w:tcBorders>
                    <w:top w:val="single" w:color="auto" w:sz="12" w:space="0"/>
                  </w:tcBorders>
                  <w:vAlign w:val="center"/>
                </w:tcPr>
                <w:p w14:paraId="635BFD04">
                  <w:pPr>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类别</w:t>
                  </w:r>
                </w:p>
              </w:tc>
              <w:tc>
                <w:tcPr>
                  <w:tcW w:w="1912" w:type="pct"/>
                  <w:tcBorders>
                    <w:top w:val="single" w:color="auto" w:sz="12" w:space="0"/>
                  </w:tcBorders>
                  <w:vAlign w:val="center"/>
                </w:tcPr>
                <w:p w14:paraId="375C7117">
                  <w:pPr>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昼间</w:t>
                  </w:r>
                </w:p>
              </w:tc>
              <w:tc>
                <w:tcPr>
                  <w:tcW w:w="1299" w:type="pct"/>
                  <w:tcBorders>
                    <w:top w:val="single" w:color="auto" w:sz="12" w:space="0"/>
                    <w:right w:val="nil"/>
                  </w:tcBorders>
                  <w:vAlign w:val="center"/>
                </w:tcPr>
                <w:p w14:paraId="02367D72">
                  <w:pPr>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夜间</w:t>
                  </w:r>
                </w:p>
              </w:tc>
            </w:tr>
            <w:tr w14:paraId="3D14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787" w:type="pct"/>
                  <w:tcBorders>
                    <w:left w:val="nil"/>
                  </w:tcBorders>
                  <w:vAlign w:val="center"/>
                </w:tcPr>
                <w:p w14:paraId="375430DD">
                  <w:pPr>
                    <w:jc w:val="center"/>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p>
              </w:tc>
              <w:tc>
                <w:tcPr>
                  <w:tcW w:w="1912" w:type="pct"/>
                  <w:vAlign w:val="center"/>
                </w:tcPr>
                <w:p w14:paraId="3FD7673C">
                  <w:pPr>
                    <w:jc w:val="center"/>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60</w:t>
                  </w:r>
                </w:p>
              </w:tc>
              <w:tc>
                <w:tcPr>
                  <w:tcW w:w="1299" w:type="pct"/>
                  <w:tcBorders>
                    <w:right w:val="nil"/>
                  </w:tcBorders>
                  <w:vAlign w:val="center"/>
                </w:tcPr>
                <w:p w14:paraId="638FF3A1">
                  <w:pPr>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50</w:t>
                  </w:r>
                </w:p>
              </w:tc>
            </w:tr>
            <w:tr w14:paraId="3EBF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000" w:type="pct"/>
                  <w:gridSpan w:val="3"/>
                  <w:tcBorders>
                    <w:left w:val="nil"/>
                    <w:bottom w:val="single" w:color="auto" w:sz="12" w:space="0"/>
                    <w:right w:val="nil"/>
                  </w:tcBorders>
                  <w:vAlign w:val="center"/>
                </w:tcPr>
                <w:p w14:paraId="070245A9">
                  <w:pPr>
                    <w:spacing w:line="360" w:lineRule="auto"/>
                    <w:ind w:right="-1"/>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备注：夜间突发的噪声，其最大声级超过环境噪声限值的幅度不得高于15dB（A）。</w:t>
                  </w:r>
                </w:p>
              </w:tc>
            </w:tr>
          </w:tbl>
          <w:p w14:paraId="6CBABC21">
            <w:pPr>
              <w:spacing w:line="360" w:lineRule="auto"/>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14:textFill>
                  <w14:solidFill>
                    <w14:schemeClr w14:val="tx1"/>
                  </w14:solidFill>
                </w14:textFill>
              </w:rPr>
              <w:t>土壤环境质量标准</w:t>
            </w:r>
          </w:p>
          <w:p w14:paraId="4936E4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本项目土壤环境质量执行《土壤环境质量建设用地土壤污染风险管控标 准（试行）》(GB36600—2018)中第二类用地相应标准和《土壤环境质量 农用地土壤污染风险管控标准（试行）》（GB15618-2018）标准</w:t>
            </w:r>
            <w:r>
              <w:rPr>
                <w:rFonts w:hint="eastAsia" w:ascii="Times New Roman" w:hAnsi="Times New Roman" w:eastAsia="宋体"/>
                <w:color w:val="000000" w:themeColor="text1"/>
                <w:kern w:val="0"/>
                <w:sz w:val="24"/>
                <w:szCs w:val="24"/>
                <w14:textFill>
                  <w14:solidFill>
                    <w14:schemeClr w14:val="tx1"/>
                  </w14:solidFill>
                </w14:textFill>
              </w:rPr>
              <w:t>。</w:t>
            </w:r>
          </w:p>
          <w:p w14:paraId="0416DE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eastAsia="zh-CN"/>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11</w:t>
            </w:r>
            <w:r>
              <w:rPr>
                <w:rFonts w:hint="eastAsia" w:ascii="Times New Roman" w:hAnsi="Times New Roman" w:eastAsia="宋体" w:cs="Times New Roman"/>
                <w:b/>
                <w:bCs/>
                <w:color w:val="000000" w:themeColor="text1"/>
                <w:szCs w:val="21"/>
                <w14:textFill>
                  <w14:solidFill>
                    <w14:schemeClr w14:val="tx1"/>
                  </w14:solidFill>
                </w14:textFill>
              </w:rPr>
              <w:t xml:space="preserve">      土壤环境质量标准单位：mg/kg（pH除外）</w:t>
            </w:r>
          </w:p>
          <w:tbl>
            <w:tblPr>
              <w:tblStyle w:val="20"/>
              <w:tblW w:w="767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943"/>
              <w:gridCol w:w="1255"/>
              <w:gridCol w:w="780"/>
              <w:gridCol w:w="1390"/>
              <w:gridCol w:w="1220"/>
              <w:gridCol w:w="1089"/>
            </w:tblGrid>
            <w:tr w14:paraId="2DB1E7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tcBorders>
                    <w:tl2br w:val="nil"/>
                    <w:tr2bl w:val="nil"/>
                  </w:tcBorders>
                  <w:vAlign w:val="center"/>
                </w:tcPr>
                <w:p w14:paraId="068D6FC4">
                  <w:pPr>
                    <w:adjustRightInd w:val="0"/>
                    <w:snapToGrid w:val="0"/>
                    <w:jc w:val="center"/>
                    <w:rPr>
                      <w:color w:val="000000" w:themeColor="text1"/>
                      <w:sz w:val="21"/>
                      <w:szCs w:val="21"/>
                      <w14:textFill>
                        <w14:solidFill>
                          <w14:schemeClr w14:val="tx1"/>
                        </w14:solidFill>
                      </w14:textFill>
                    </w:rPr>
                  </w:pPr>
                  <w:r>
                    <w:rPr>
                      <w:snapToGrid w:val="0"/>
                      <w:color w:val="000000" w:themeColor="text1"/>
                      <w:kern w:val="21"/>
                      <w:sz w:val="21"/>
                      <w:szCs w:val="21"/>
                      <w14:textFill>
                        <w14:solidFill>
                          <w14:schemeClr w14:val="tx1"/>
                        </w14:solidFill>
                      </w14:textFill>
                    </w:rPr>
                    <w:t>标准名称及级(类)别</w:t>
                  </w:r>
                </w:p>
              </w:tc>
              <w:tc>
                <w:tcPr>
                  <w:tcW w:w="1289" w:type="dxa"/>
                  <w:tcBorders>
                    <w:tl2br w:val="nil"/>
                    <w:tr2bl w:val="nil"/>
                  </w:tcBorders>
                  <w:vAlign w:val="center"/>
                </w:tcPr>
                <w:p w14:paraId="53CFE11D">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污染物项目</w:t>
                  </w:r>
                </w:p>
              </w:tc>
              <w:tc>
                <w:tcPr>
                  <w:tcW w:w="2221" w:type="dxa"/>
                  <w:gridSpan w:val="2"/>
                  <w:tcBorders>
                    <w:tl2br w:val="nil"/>
                    <w:tr2bl w:val="nil"/>
                  </w:tcBorders>
                  <w:vAlign w:val="center"/>
                </w:tcPr>
                <w:p w14:paraId="52053D3C">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w:t>
                  </w:r>
                </w:p>
              </w:tc>
              <w:tc>
                <w:tcPr>
                  <w:tcW w:w="1248" w:type="dxa"/>
                  <w:tcBorders>
                    <w:tl2br w:val="nil"/>
                    <w:tr2bl w:val="nil"/>
                  </w:tcBorders>
                  <w:vAlign w:val="center"/>
                </w:tcPr>
                <w:p w14:paraId="51E2A57C">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筛选值</w:t>
                  </w:r>
                </w:p>
              </w:tc>
              <w:tc>
                <w:tcPr>
                  <w:tcW w:w="1107" w:type="dxa"/>
                  <w:tcBorders>
                    <w:tl2br w:val="nil"/>
                    <w:tr2bl w:val="nil"/>
                  </w:tcBorders>
                  <w:vAlign w:val="center"/>
                </w:tcPr>
                <w:p w14:paraId="731145D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管制值</w:t>
                  </w:r>
                </w:p>
              </w:tc>
            </w:tr>
            <w:tr w14:paraId="0BCA9C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restart"/>
                  <w:tcBorders>
                    <w:tl2br w:val="nil"/>
                    <w:tr2bl w:val="nil"/>
                  </w:tcBorders>
                  <w:vAlign w:val="center"/>
                </w:tcPr>
                <w:p w14:paraId="29397B2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《土壤环境质量-农用地土壤污染风险管控标准（试行）》（GB15618-2018）</w:t>
                  </w:r>
                </w:p>
              </w:tc>
              <w:tc>
                <w:tcPr>
                  <w:tcW w:w="1289" w:type="dxa"/>
                  <w:tcBorders>
                    <w:tl2br w:val="nil"/>
                    <w:tr2bl w:val="nil"/>
                  </w:tcBorders>
                  <w:vAlign w:val="center"/>
                </w:tcPr>
                <w:p w14:paraId="4E19176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镉</w:t>
                  </w:r>
                </w:p>
              </w:tc>
              <w:tc>
                <w:tcPr>
                  <w:tcW w:w="792" w:type="dxa"/>
                  <w:vMerge w:val="restart"/>
                  <w:tcBorders>
                    <w:tl2br w:val="nil"/>
                    <w:tr2bl w:val="nil"/>
                  </w:tcBorders>
                  <w:vAlign w:val="center"/>
                </w:tcPr>
                <w:p w14:paraId="30DFF7F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pH＞7.5</w:t>
                  </w:r>
                </w:p>
              </w:tc>
              <w:tc>
                <w:tcPr>
                  <w:tcW w:w="1429" w:type="dxa"/>
                  <w:tcBorders>
                    <w:tl2br w:val="nil"/>
                    <w:tr2bl w:val="nil"/>
                  </w:tcBorders>
                  <w:vAlign w:val="center"/>
                </w:tcPr>
                <w:p w14:paraId="5FC02068">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14:paraId="4FA3161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w:t>
                  </w:r>
                </w:p>
              </w:tc>
              <w:tc>
                <w:tcPr>
                  <w:tcW w:w="1107" w:type="dxa"/>
                  <w:tcBorders>
                    <w:tl2br w:val="nil"/>
                    <w:tr2bl w:val="nil"/>
                  </w:tcBorders>
                  <w:vAlign w:val="center"/>
                </w:tcPr>
                <w:p w14:paraId="043BC6D8">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r>
            <w:tr w14:paraId="236DCC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14:paraId="6E7A0990">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14:paraId="0BA5CE4E">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792" w:type="dxa"/>
                  <w:vMerge w:val="continue"/>
                  <w:tcBorders>
                    <w:tl2br w:val="nil"/>
                    <w:tr2bl w:val="nil"/>
                  </w:tcBorders>
                  <w:vAlign w:val="center"/>
                </w:tcPr>
                <w:p w14:paraId="69D94BBA">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14:paraId="7A57A2C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14:paraId="6641A45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c>
                <w:tcPr>
                  <w:tcW w:w="1107" w:type="dxa"/>
                  <w:tcBorders>
                    <w:tl2br w:val="nil"/>
                    <w:tr2bl w:val="nil"/>
                  </w:tcBorders>
                  <w:vAlign w:val="center"/>
                </w:tcPr>
                <w:p w14:paraId="538990FC">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14:paraId="4BD78B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14:paraId="0BA91432">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14:paraId="4598361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砷</w:t>
                  </w:r>
                </w:p>
              </w:tc>
              <w:tc>
                <w:tcPr>
                  <w:tcW w:w="792" w:type="dxa"/>
                  <w:vMerge w:val="continue"/>
                  <w:tcBorders>
                    <w:tl2br w:val="nil"/>
                    <w:tr2bl w:val="nil"/>
                  </w:tcBorders>
                  <w:vAlign w:val="center"/>
                </w:tcPr>
                <w:p w14:paraId="1BD89530">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14:paraId="0638661A">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14:paraId="7E47A8CA">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1107" w:type="dxa"/>
                  <w:tcBorders>
                    <w:tl2br w:val="nil"/>
                    <w:tr2bl w:val="nil"/>
                  </w:tcBorders>
                  <w:vAlign w:val="center"/>
                </w:tcPr>
                <w:p w14:paraId="44C8C33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14:paraId="7FE6E4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14:paraId="736BE581">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14:paraId="4B5DB42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铅</w:t>
                  </w:r>
                </w:p>
              </w:tc>
              <w:tc>
                <w:tcPr>
                  <w:tcW w:w="792" w:type="dxa"/>
                  <w:vMerge w:val="continue"/>
                  <w:tcBorders>
                    <w:tl2br w:val="nil"/>
                    <w:tr2bl w:val="nil"/>
                  </w:tcBorders>
                  <w:vAlign w:val="center"/>
                </w:tcPr>
                <w:p w14:paraId="09F5D20F">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14:paraId="7BAED3B7">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14:paraId="2D50BC2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170</w:t>
                  </w:r>
                </w:p>
              </w:tc>
              <w:tc>
                <w:tcPr>
                  <w:tcW w:w="1107" w:type="dxa"/>
                  <w:tcBorders>
                    <w:tl2br w:val="nil"/>
                    <w:tr2bl w:val="nil"/>
                  </w:tcBorders>
                  <w:vAlign w:val="center"/>
                </w:tcPr>
                <w:p w14:paraId="2BD0DF36">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w:t>
                  </w:r>
                </w:p>
              </w:tc>
            </w:tr>
            <w:tr w14:paraId="354587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14:paraId="0170B81C">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14:paraId="3E3E8D98">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铬</w:t>
                  </w:r>
                </w:p>
              </w:tc>
              <w:tc>
                <w:tcPr>
                  <w:tcW w:w="792" w:type="dxa"/>
                  <w:vMerge w:val="continue"/>
                  <w:tcBorders>
                    <w:tl2br w:val="nil"/>
                    <w:tr2bl w:val="nil"/>
                  </w:tcBorders>
                  <w:vAlign w:val="center"/>
                </w:tcPr>
                <w:p w14:paraId="1F467D21">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14:paraId="64C6FB21">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14:paraId="09D2B1F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w:t>
                  </w:r>
                </w:p>
              </w:tc>
              <w:tc>
                <w:tcPr>
                  <w:tcW w:w="1107" w:type="dxa"/>
                  <w:tcBorders>
                    <w:tl2br w:val="nil"/>
                    <w:tr2bl w:val="nil"/>
                  </w:tcBorders>
                  <w:vAlign w:val="center"/>
                </w:tcPr>
                <w:p w14:paraId="54F7525D">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1300</w:t>
                  </w:r>
                </w:p>
              </w:tc>
            </w:tr>
            <w:tr w14:paraId="46AD16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14:paraId="72814DFF">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14:paraId="11AD3B31">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铜</w:t>
                  </w:r>
                </w:p>
              </w:tc>
              <w:tc>
                <w:tcPr>
                  <w:tcW w:w="792" w:type="dxa"/>
                  <w:vMerge w:val="continue"/>
                  <w:tcBorders>
                    <w:tl2br w:val="nil"/>
                    <w:tr2bl w:val="nil"/>
                  </w:tcBorders>
                  <w:vAlign w:val="center"/>
                </w:tcPr>
                <w:p w14:paraId="445D6A50">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14:paraId="2CD2382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14:paraId="178D5BB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c>
                <w:tcPr>
                  <w:tcW w:w="1107" w:type="dxa"/>
                  <w:tcBorders>
                    <w:tl2br w:val="nil"/>
                    <w:tr2bl w:val="nil"/>
                  </w:tcBorders>
                  <w:vAlign w:val="center"/>
                </w:tcPr>
                <w:p w14:paraId="64732D11">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40FFE0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14:paraId="3B0FFCF4">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14:paraId="574ABED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镍</w:t>
                  </w:r>
                </w:p>
              </w:tc>
              <w:tc>
                <w:tcPr>
                  <w:tcW w:w="792" w:type="dxa"/>
                  <w:vMerge w:val="continue"/>
                  <w:tcBorders>
                    <w:tl2br w:val="nil"/>
                    <w:tr2bl w:val="nil"/>
                  </w:tcBorders>
                  <w:vAlign w:val="center"/>
                </w:tcPr>
                <w:p w14:paraId="2759E328">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14:paraId="2B86F6C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248" w:type="dxa"/>
                  <w:tcBorders>
                    <w:tl2br w:val="nil"/>
                    <w:tr2bl w:val="nil"/>
                  </w:tcBorders>
                  <w:vAlign w:val="center"/>
                </w:tcPr>
                <w:p w14:paraId="440C78B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190</w:t>
                  </w:r>
                </w:p>
              </w:tc>
              <w:tc>
                <w:tcPr>
                  <w:tcW w:w="1107" w:type="dxa"/>
                  <w:tcBorders>
                    <w:tl2br w:val="nil"/>
                    <w:tr2bl w:val="nil"/>
                  </w:tcBorders>
                  <w:vAlign w:val="center"/>
                </w:tcPr>
                <w:p w14:paraId="3C184AAE">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6D550A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14:paraId="5A0A1F14">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14:paraId="2179418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锌</w:t>
                  </w:r>
                </w:p>
              </w:tc>
              <w:tc>
                <w:tcPr>
                  <w:tcW w:w="792" w:type="dxa"/>
                  <w:vMerge w:val="continue"/>
                  <w:tcBorders>
                    <w:tl2br w:val="nil"/>
                    <w:tr2bl w:val="nil"/>
                  </w:tcBorders>
                  <w:vAlign w:val="center"/>
                </w:tcPr>
                <w:p w14:paraId="28DC986E">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14:paraId="0F6985D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248" w:type="dxa"/>
                  <w:tcBorders>
                    <w:tl2br w:val="nil"/>
                    <w:tr2bl w:val="nil"/>
                  </w:tcBorders>
                  <w:vAlign w:val="center"/>
                </w:tcPr>
                <w:p w14:paraId="73498F88">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1107" w:type="dxa"/>
                  <w:tcBorders>
                    <w:tl2br w:val="nil"/>
                    <w:tr2bl w:val="nil"/>
                  </w:tcBorders>
                  <w:vAlign w:val="center"/>
                </w:tcPr>
                <w:p w14:paraId="7F5DE7B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14:paraId="6884CE30">
            <w:pPr>
              <w:spacing w:line="360" w:lineRule="auto"/>
              <w:rPr>
                <w:rFonts w:hint="eastAsia" w:ascii="Times New Roman" w:hAnsi="Times New Roman" w:eastAsia="宋体"/>
                <w:b/>
                <w:color w:val="000000" w:themeColor="text1"/>
                <w:sz w:val="24"/>
                <w:szCs w:val="24"/>
                <w:lang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2、</w:t>
            </w:r>
            <w:r>
              <w:rPr>
                <w:rFonts w:hint="eastAsia" w:ascii="Times New Roman" w:hAnsi="Times New Roman" w:eastAsia="宋体"/>
                <w:b/>
                <w:color w:val="000000" w:themeColor="text1"/>
                <w:sz w:val="24"/>
                <w:szCs w:val="24"/>
                <w:lang w:eastAsia="zh-CN"/>
                <w14:textFill>
                  <w14:solidFill>
                    <w14:schemeClr w14:val="tx1"/>
                  </w14:solidFill>
                </w14:textFill>
              </w:rPr>
              <w:t>排放标准</w:t>
            </w:r>
          </w:p>
          <w:p w14:paraId="4C91DBA8">
            <w:pPr>
              <w:spacing w:line="360" w:lineRule="auto"/>
              <w:ind w:firstLine="482" w:firstLineChars="200"/>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（1）</w:t>
            </w:r>
            <w:r>
              <w:rPr>
                <w:rFonts w:hint="eastAsia" w:ascii="Times New Roman" w:hAnsi="Times New Roman" w:cs="Times New Roman"/>
                <w:b/>
                <w:bCs w:val="0"/>
                <w:color w:val="000000" w:themeColor="text1"/>
                <w:sz w:val="24"/>
                <w:szCs w:val="24"/>
                <w:lang w:val="en-US" w:eastAsia="zh-CN"/>
                <w14:textFill>
                  <w14:solidFill>
                    <w14:schemeClr w14:val="tx1"/>
                  </w14:solidFill>
                </w14:textFill>
              </w:rPr>
              <w:t>废气</w:t>
            </w:r>
          </w:p>
          <w:p w14:paraId="19ED7D22">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项目施工期扬尘和施工车辆尾气排放执行《大气污染物综合排放标准》（GB16297-1996）中的无组织排放监控浓度限值</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lang w:eastAsia="zh-CN"/>
                <w14:textFill>
                  <w14:solidFill>
                    <w14:schemeClr w14:val="tx1"/>
                  </w14:solidFill>
                </w14:textFill>
              </w:rPr>
              <w:t>具体限值可见下表。</w:t>
            </w:r>
          </w:p>
          <w:p w14:paraId="54A367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 废气排放标准</w:t>
            </w:r>
          </w:p>
          <w:tbl>
            <w:tblPr>
              <w:tblStyle w:val="20"/>
              <w:tblW w:w="7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2432"/>
              <w:gridCol w:w="2071"/>
              <w:gridCol w:w="1963"/>
            </w:tblGrid>
            <w:tr w14:paraId="00D6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73" w:type="dxa"/>
                  <w:vMerge w:val="restart"/>
                  <w:tcBorders>
                    <w:top w:val="single" w:color="auto" w:sz="12" w:space="0"/>
                  </w:tcBorders>
                  <w:noWrap w:val="0"/>
                  <w:vAlign w:val="center"/>
                </w:tcPr>
                <w:p w14:paraId="4F223F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污染物名称</w:t>
                  </w:r>
                </w:p>
              </w:tc>
              <w:tc>
                <w:tcPr>
                  <w:tcW w:w="4503" w:type="dxa"/>
                  <w:gridSpan w:val="2"/>
                  <w:tcBorders>
                    <w:top w:val="single" w:color="auto" w:sz="12" w:space="0"/>
                  </w:tcBorders>
                  <w:noWrap w:val="0"/>
                  <w:vAlign w:val="center"/>
                </w:tcPr>
                <w:p w14:paraId="73D33D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无组织排放监控浓度限值</w:t>
                  </w:r>
                </w:p>
              </w:tc>
              <w:tc>
                <w:tcPr>
                  <w:tcW w:w="1963" w:type="dxa"/>
                  <w:vMerge w:val="restart"/>
                  <w:tcBorders>
                    <w:top w:val="single" w:color="auto" w:sz="12" w:space="0"/>
                    <w:right w:val="nil"/>
                  </w:tcBorders>
                  <w:noWrap w:val="0"/>
                  <w:vAlign w:val="center"/>
                </w:tcPr>
                <w:p w14:paraId="39AC99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标准来源</w:t>
                  </w:r>
                </w:p>
              </w:tc>
            </w:tr>
            <w:tr w14:paraId="173C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3" w:type="dxa"/>
                  <w:vMerge w:val="continue"/>
                  <w:tcBorders>
                    <w:left w:val="nil"/>
                  </w:tcBorders>
                  <w:noWrap w:val="0"/>
                  <w:vAlign w:val="center"/>
                </w:tcPr>
                <w:p w14:paraId="33FA4D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432" w:type="dxa"/>
                  <w:noWrap w:val="0"/>
                  <w:vAlign w:val="center"/>
                </w:tcPr>
                <w:p w14:paraId="44180E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监控点</w:t>
                  </w:r>
                </w:p>
              </w:tc>
              <w:tc>
                <w:tcPr>
                  <w:tcW w:w="2071" w:type="dxa"/>
                  <w:noWrap w:val="0"/>
                  <w:vAlign w:val="center"/>
                </w:tcPr>
                <w:p w14:paraId="0DC9DE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浓度（mg/m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1963" w:type="dxa"/>
                  <w:vMerge w:val="continue"/>
                  <w:tcBorders>
                    <w:right w:val="nil"/>
                  </w:tcBorders>
                  <w:noWrap w:val="0"/>
                  <w:vAlign w:val="center"/>
                </w:tcPr>
                <w:p w14:paraId="5C6529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6AFB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73" w:type="dxa"/>
                  <w:tcBorders>
                    <w:left w:val="nil"/>
                    <w:bottom w:val="single" w:color="auto" w:sz="12" w:space="0"/>
                  </w:tcBorders>
                  <w:noWrap w:val="0"/>
                  <w:vAlign w:val="center"/>
                </w:tcPr>
                <w:p w14:paraId="1728B3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w:t>
                  </w:r>
                </w:p>
              </w:tc>
              <w:tc>
                <w:tcPr>
                  <w:tcW w:w="2432" w:type="dxa"/>
                  <w:tcBorders>
                    <w:bottom w:val="single" w:color="auto" w:sz="12" w:space="0"/>
                  </w:tcBorders>
                  <w:noWrap w:val="0"/>
                  <w:vAlign w:val="center"/>
                </w:tcPr>
                <w:p w14:paraId="516695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周界外浓度标准值</w:t>
                  </w:r>
                </w:p>
              </w:tc>
              <w:tc>
                <w:tcPr>
                  <w:tcW w:w="2071" w:type="dxa"/>
                  <w:tcBorders>
                    <w:bottom w:val="single" w:color="auto" w:sz="12" w:space="0"/>
                  </w:tcBorders>
                  <w:noWrap w:val="0"/>
                  <w:vAlign w:val="center"/>
                </w:tcPr>
                <w:p w14:paraId="53CBA0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963" w:type="dxa"/>
                  <w:tcBorders>
                    <w:bottom w:val="single" w:color="auto" w:sz="12" w:space="0"/>
                    <w:right w:val="nil"/>
                  </w:tcBorders>
                  <w:noWrap w:val="0"/>
                  <w:vAlign w:val="center"/>
                </w:tcPr>
                <w:p w14:paraId="6E11ED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（GB16297-1996）</w:t>
                  </w:r>
                </w:p>
              </w:tc>
            </w:tr>
          </w:tbl>
          <w:p w14:paraId="2090DE2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2</w:t>
            </w:r>
            <w:r>
              <w:rPr>
                <w:rFonts w:hint="eastAsia" w:cs="Times New Roman"/>
                <w:b/>
                <w:bCs/>
                <w:color w:val="000000" w:themeColor="text1"/>
                <w:sz w:val="24"/>
                <w:szCs w:val="24"/>
                <w:lang w:eastAsia="zh-CN"/>
                <w14:textFill>
                  <w14:solidFill>
                    <w14:schemeClr w14:val="tx1"/>
                  </w14:solidFill>
                </w14:textFill>
              </w:rPr>
              <w:t>）</w:t>
            </w:r>
            <w:r>
              <w:rPr>
                <w:rFonts w:hint="eastAsia" w:ascii="Times New Roman" w:hAnsi="Times New Roman" w:cs="Times New Roman"/>
                <w:b/>
                <w:bCs/>
                <w:color w:val="000000" w:themeColor="text1"/>
                <w:sz w:val="24"/>
                <w:szCs w:val="24"/>
                <w14:textFill>
                  <w14:solidFill>
                    <w14:schemeClr w14:val="tx1"/>
                  </w14:solidFill>
                </w14:textFill>
              </w:rPr>
              <w:t>废水</w:t>
            </w:r>
          </w:p>
          <w:p w14:paraId="49DDB0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szCs w:val="24"/>
                <w:highlight w:val="none"/>
                <w:lang w:eastAsia="zh-CN"/>
              </w:rPr>
            </w:pPr>
            <w:r>
              <w:rPr>
                <w:rFonts w:hint="eastAsia" w:cs="Times New Roman"/>
                <w:color w:val="FF0000"/>
                <w:sz w:val="24"/>
                <w:szCs w:val="24"/>
                <w:highlight w:val="none"/>
                <w:lang w:val="en-US" w:eastAsia="zh-CN"/>
              </w:rPr>
              <w:t>项目设置移动厕所，生活污水定期拉运至湘乐镇生活污水处理站处理，项目废水满足《污水综合排放标准》（GB8978-1996）中三级标准要求见表3-13。</w:t>
            </w:r>
          </w:p>
          <w:p w14:paraId="650196E4">
            <w:pPr>
              <w:adjustRightInd w:val="0"/>
              <w:snapToGrid w:val="0"/>
              <w:spacing w:line="240" w:lineRule="auto"/>
              <w:ind w:firstLine="0" w:firstLineChars="0"/>
              <w:jc w:val="center"/>
              <w:rPr>
                <w:rFonts w:eastAsiaTheme="minorEastAsia"/>
                <w:b/>
                <w:bCs/>
                <w:color w:val="FF0000"/>
                <w:sz w:val="21"/>
                <w:szCs w:val="21"/>
              </w:rPr>
            </w:pPr>
            <w:r>
              <w:rPr>
                <w:rFonts w:eastAsiaTheme="minorEastAsia"/>
                <w:b/>
                <w:bCs/>
                <w:color w:val="FF0000"/>
                <w:sz w:val="21"/>
                <w:szCs w:val="21"/>
              </w:rPr>
              <w:t>表3-</w:t>
            </w:r>
            <w:r>
              <w:rPr>
                <w:rFonts w:hint="eastAsia" w:eastAsiaTheme="minorEastAsia"/>
                <w:b/>
                <w:bCs/>
                <w:color w:val="FF0000"/>
                <w:sz w:val="21"/>
                <w:szCs w:val="21"/>
                <w:lang w:val="en-US" w:eastAsia="zh-CN"/>
              </w:rPr>
              <w:t>13</w:t>
            </w:r>
            <w:r>
              <w:rPr>
                <w:rFonts w:eastAsiaTheme="minorEastAsia"/>
                <w:b/>
                <w:bCs/>
                <w:color w:val="FF0000"/>
                <w:sz w:val="21"/>
                <w:szCs w:val="21"/>
              </w:rPr>
              <w:t xml:space="preserve">   污水排放执行标准</w:t>
            </w:r>
          </w:p>
          <w:tbl>
            <w:tblPr>
              <w:tblStyle w:val="20"/>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676"/>
              <w:gridCol w:w="5161"/>
            </w:tblGrid>
            <w:tr w14:paraId="31FE3B0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61" w:hRule="atLeast"/>
                <w:jc w:val="center"/>
              </w:trPr>
              <w:tc>
                <w:tcPr>
                  <w:tcW w:w="1707" w:type="pct"/>
                  <w:vMerge w:val="restart"/>
                  <w:tcBorders>
                    <w:tl2br w:val="nil"/>
                    <w:tr2bl w:val="nil"/>
                  </w:tcBorders>
                  <w:vAlign w:val="center"/>
                </w:tcPr>
                <w:p w14:paraId="74E893EC">
                  <w:pPr>
                    <w:spacing w:line="240" w:lineRule="auto"/>
                    <w:ind w:firstLine="0" w:firstLineChars="0"/>
                    <w:jc w:val="center"/>
                    <w:rPr>
                      <w:rFonts w:eastAsiaTheme="minorEastAsia"/>
                      <w:color w:val="FF0000"/>
                      <w:sz w:val="21"/>
                      <w:szCs w:val="21"/>
                    </w:rPr>
                  </w:pPr>
                  <w:r>
                    <w:rPr>
                      <w:rFonts w:eastAsiaTheme="minorEastAsia"/>
                      <w:color w:val="FF0000"/>
                      <w:sz w:val="21"/>
                      <w:szCs w:val="21"/>
                    </w:rPr>
                    <w:t>污染物项目</w:t>
                  </w:r>
                </w:p>
              </w:tc>
              <w:tc>
                <w:tcPr>
                  <w:tcW w:w="3292" w:type="pct"/>
                  <w:tcBorders>
                    <w:tl2br w:val="nil"/>
                    <w:tr2bl w:val="nil"/>
                  </w:tcBorders>
                  <w:vAlign w:val="center"/>
                </w:tcPr>
                <w:p w14:paraId="28404C1E">
                  <w:pPr>
                    <w:spacing w:line="240" w:lineRule="auto"/>
                    <w:ind w:firstLine="0" w:firstLineChars="0"/>
                    <w:jc w:val="center"/>
                    <w:rPr>
                      <w:rFonts w:eastAsiaTheme="minorEastAsia"/>
                      <w:color w:val="FF0000"/>
                      <w:sz w:val="21"/>
                      <w:szCs w:val="21"/>
                    </w:rPr>
                  </w:pPr>
                  <w:r>
                    <w:rPr>
                      <w:rFonts w:eastAsiaTheme="minorEastAsia"/>
                      <w:color w:val="FF0000"/>
                      <w:sz w:val="21"/>
                      <w:szCs w:val="21"/>
                    </w:rPr>
                    <w:t>《污水综合排放标准》（GB8978-1996）中三级标准</w:t>
                  </w:r>
                </w:p>
              </w:tc>
            </w:tr>
            <w:tr w14:paraId="735F167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10" w:hRule="atLeast"/>
                <w:jc w:val="center"/>
              </w:trPr>
              <w:tc>
                <w:tcPr>
                  <w:tcW w:w="1707" w:type="pct"/>
                  <w:vMerge w:val="continue"/>
                  <w:tcBorders>
                    <w:tl2br w:val="nil"/>
                    <w:tr2bl w:val="nil"/>
                  </w:tcBorders>
                  <w:vAlign w:val="center"/>
                </w:tcPr>
                <w:p w14:paraId="64254FD1">
                  <w:pPr>
                    <w:spacing w:line="240" w:lineRule="auto"/>
                    <w:ind w:firstLine="0" w:firstLineChars="0"/>
                    <w:jc w:val="center"/>
                    <w:rPr>
                      <w:rFonts w:eastAsiaTheme="minorEastAsia"/>
                      <w:color w:val="FF0000"/>
                      <w:sz w:val="21"/>
                      <w:szCs w:val="21"/>
                    </w:rPr>
                  </w:pPr>
                </w:p>
              </w:tc>
              <w:tc>
                <w:tcPr>
                  <w:tcW w:w="3292" w:type="pct"/>
                  <w:tcBorders>
                    <w:tl2br w:val="nil"/>
                    <w:tr2bl w:val="nil"/>
                  </w:tcBorders>
                  <w:vAlign w:val="center"/>
                </w:tcPr>
                <w:p w14:paraId="05F63CEC">
                  <w:pPr>
                    <w:spacing w:line="240" w:lineRule="auto"/>
                    <w:ind w:firstLine="0" w:firstLineChars="0"/>
                    <w:jc w:val="center"/>
                    <w:rPr>
                      <w:rFonts w:eastAsiaTheme="minorEastAsia"/>
                      <w:color w:val="FF0000"/>
                      <w:sz w:val="21"/>
                      <w:szCs w:val="21"/>
                    </w:rPr>
                  </w:pPr>
                  <w:r>
                    <w:rPr>
                      <w:rFonts w:eastAsiaTheme="minorEastAsia"/>
                      <w:color w:val="FF0000"/>
                      <w:sz w:val="21"/>
                      <w:szCs w:val="21"/>
                    </w:rPr>
                    <w:t>排放浓度mg/L</w:t>
                  </w:r>
                </w:p>
              </w:tc>
            </w:tr>
            <w:tr w14:paraId="5B8CC13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07" w:type="pct"/>
                  <w:tcBorders>
                    <w:tl2br w:val="nil"/>
                    <w:tr2bl w:val="nil"/>
                  </w:tcBorders>
                  <w:vAlign w:val="center"/>
                </w:tcPr>
                <w:p w14:paraId="4E3A5652">
                  <w:pPr>
                    <w:spacing w:line="240" w:lineRule="auto"/>
                    <w:ind w:firstLine="0" w:firstLineChars="0"/>
                    <w:jc w:val="center"/>
                    <w:rPr>
                      <w:rFonts w:eastAsiaTheme="minorEastAsia"/>
                      <w:color w:val="FF0000"/>
                      <w:sz w:val="21"/>
                      <w:szCs w:val="21"/>
                    </w:rPr>
                  </w:pPr>
                  <w:r>
                    <w:rPr>
                      <w:rFonts w:eastAsiaTheme="minorEastAsia"/>
                      <w:color w:val="FF0000"/>
                      <w:sz w:val="21"/>
                      <w:szCs w:val="21"/>
                    </w:rPr>
                    <w:t>pH</w:t>
                  </w:r>
                </w:p>
              </w:tc>
              <w:tc>
                <w:tcPr>
                  <w:tcW w:w="3292" w:type="pct"/>
                  <w:tcBorders>
                    <w:tl2br w:val="nil"/>
                    <w:tr2bl w:val="nil"/>
                  </w:tcBorders>
                  <w:vAlign w:val="center"/>
                </w:tcPr>
                <w:p w14:paraId="550A4FE4">
                  <w:pPr>
                    <w:spacing w:line="240" w:lineRule="auto"/>
                    <w:ind w:firstLine="0" w:firstLineChars="0"/>
                    <w:jc w:val="center"/>
                    <w:rPr>
                      <w:rFonts w:eastAsiaTheme="minorEastAsia"/>
                      <w:color w:val="FF0000"/>
                      <w:sz w:val="21"/>
                      <w:szCs w:val="21"/>
                    </w:rPr>
                  </w:pPr>
                  <w:r>
                    <w:rPr>
                      <w:rFonts w:eastAsiaTheme="minorEastAsia"/>
                      <w:color w:val="FF0000"/>
                      <w:sz w:val="21"/>
                      <w:szCs w:val="21"/>
                    </w:rPr>
                    <w:t>6-9</w:t>
                  </w:r>
                </w:p>
              </w:tc>
            </w:tr>
            <w:tr w14:paraId="43CE0D1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07" w:type="pct"/>
                  <w:tcBorders>
                    <w:tl2br w:val="nil"/>
                    <w:tr2bl w:val="nil"/>
                  </w:tcBorders>
                  <w:vAlign w:val="center"/>
                </w:tcPr>
                <w:p w14:paraId="78F16886">
                  <w:pPr>
                    <w:spacing w:line="240" w:lineRule="auto"/>
                    <w:ind w:firstLine="0" w:firstLineChars="0"/>
                    <w:jc w:val="center"/>
                    <w:rPr>
                      <w:rFonts w:eastAsiaTheme="minorEastAsia"/>
                      <w:color w:val="FF0000"/>
                      <w:sz w:val="21"/>
                      <w:szCs w:val="21"/>
                    </w:rPr>
                  </w:pPr>
                  <w:r>
                    <w:rPr>
                      <w:rFonts w:eastAsiaTheme="minorEastAsia"/>
                      <w:color w:val="FF0000"/>
                      <w:sz w:val="21"/>
                      <w:szCs w:val="21"/>
                    </w:rPr>
                    <w:t>CODcr</w:t>
                  </w:r>
                </w:p>
              </w:tc>
              <w:tc>
                <w:tcPr>
                  <w:tcW w:w="3292" w:type="pct"/>
                  <w:tcBorders>
                    <w:tl2br w:val="nil"/>
                    <w:tr2bl w:val="nil"/>
                  </w:tcBorders>
                  <w:vAlign w:val="center"/>
                </w:tcPr>
                <w:p w14:paraId="76AB0657">
                  <w:pPr>
                    <w:spacing w:line="240" w:lineRule="auto"/>
                    <w:ind w:firstLine="0" w:firstLineChars="0"/>
                    <w:jc w:val="center"/>
                    <w:rPr>
                      <w:rFonts w:eastAsiaTheme="minorEastAsia"/>
                      <w:color w:val="FF0000"/>
                      <w:sz w:val="21"/>
                      <w:szCs w:val="21"/>
                    </w:rPr>
                  </w:pPr>
                  <w:r>
                    <w:rPr>
                      <w:rFonts w:eastAsiaTheme="minorEastAsia"/>
                      <w:color w:val="FF0000"/>
                      <w:sz w:val="21"/>
                      <w:szCs w:val="21"/>
                    </w:rPr>
                    <w:t>500</w:t>
                  </w:r>
                </w:p>
              </w:tc>
            </w:tr>
            <w:tr w14:paraId="29861E7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07" w:type="pct"/>
                  <w:tcBorders>
                    <w:tl2br w:val="nil"/>
                    <w:tr2bl w:val="nil"/>
                  </w:tcBorders>
                  <w:vAlign w:val="center"/>
                </w:tcPr>
                <w:p w14:paraId="02BE6D4E">
                  <w:pPr>
                    <w:spacing w:line="240" w:lineRule="auto"/>
                    <w:ind w:firstLine="0" w:firstLineChars="0"/>
                    <w:jc w:val="center"/>
                    <w:rPr>
                      <w:rFonts w:eastAsiaTheme="minorEastAsia"/>
                      <w:color w:val="FF0000"/>
                      <w:sz w:val="21"/>
                      <w:szCs w:val="21"/>
                    </w:rPr>
                  </w:pPr>
                  <w:r>
                    <w:rPr>
                      <w:rFonts w:eastAsiaTheme="minorEastAsia"/>
                      <w:color w:val="FF0000"/>
                      <w:sz w:val="21"/>
                      <w:szCs w:val="21"/>
                    </w:rPr>
                    <w:t>BOD</w:t>
                  </w:r>
                  <w:r>
                    <w:rPr>
                      <w:rFonts w:eastAsiaTheme="minorEastAsia"/>
                      <w:color w:val="FF0000"/>
                      <w:sz w:val="21"/>
                      <w:szCs w:val="21"/>
                      <w:vertAlign w:val="subscript"/>
                    </w:rPr>
                    <w:t>5</w:t>
                  </w:r>
                </w:p>
              </w:tc>
              <w:tc>
                <w:tcPr>
                  <w:tcW w:w="3292" w:type="pct"/>
                  <w:tcBorders>
                    <w:tl2br w:val="nil"/>
                    <w:tr2bl w:val="nil"/>
                  </w:tcBorders>
                  <w:vAlign w:val="center"/>
                </w:tcPr>
                <w:p w14:paraId="0055F563">
                  <w:pPr>
                    <w:spacing w:line="240" w:lineRule="auto"/>
                    <w:ind w:firstLine="0" w:firstLineChars="0"/>
                    <w:jc w:val="center"/>
                    <w:rPr>
                      <w:rFonts w:eastAsiaTheme="minorEastAsia"/>
                      <w:color w:val="FF0000"/>
                      <w:sz w:val="21"/>
                      <w:szCs w:val="21"/>
                    </w:rPr>
                  </w:pPr>
                  <w:r>
                    <w:rPr>
                      <w:rFonts w:eastAsiaTheme="minorEastAsia"/>
                      <w:color w:val="FF0000"/>
                      <w:sz w:val="21"/>
                      <w:szCs w:val="21"/>
                    </w:rPr>
                    <w:t>300</w:t>
                  </w:r>
                </w:p>
              </w:tc>
            </w:tr>
            <w:tr w14:paraId="7E828B8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07" w:type="pct"/>
                  <w:tcBorders>
                    <w:tl2br w:val="nil"/>
                    <w:tr2bl w:val="nil"/>
                  </w:tcBorders>
                  <w:vAlign w:val="center"/>
                </w:tcPr>
                <w:p w14:paraId="3720A365">
                  <w:pPr>
                    <w:spacing w:line="240" w:lineRule="auto"/>
                    <w:ind w:firstLine="0" w:firstLineChars="0"/>
                    <w:jc w:val="center"/>
                    <w:rPr>
                      <w:rFonts w:eastAsiaTheme="minorEastAsia"/>
                      <w:color w:val="FF0000"/>
                      <w:sz w:val="21"/>
                      <w:szCs w:val="21"/>
                    </w:rPr>
                  </w:pPr>
                  <w:r>
                    <w:rPr>
                      <w:rFonts w:eastAsiaTheme="minorEastAsia"/>
                      <w:color w:val="FF0000"/>
                      <w:sz w:val="21"/>
                      <w:szCs w:val="21"/>
                    </w:rPr>
                    <w:t>SS</w:t>
                  </w:r>
                </w:p>
              </w:tc>
              <w:tc>
                <w:tcPr>
                  <w:tcW w:w="3292" w:type="pct"/>
                  <w:tcBorders>
                    <w:tl2br w:val="nil"/>
                    <w:tr2bl w:val="nil"/>
                  </w:tcBorders>
                  <w:vAlign w:val="center"/>
                </w:tcPr>
                <w:p w14:paraId="7055B101">
                  <w:pPr>
                    <w:spacing w:line="240" w:lineRule="auto"/>
                    <w:ind w:firstLine="0" w:firstLineChars="0"/>
                    <w:jc w:val="center"/>
                    <w:rPr>
                      <w:rFonts w:eastAsiaTheme="minorEastAsia"/>
                      <w:color w:val="FF0000"/>
                      <w:sz w:val="21"/>
                      <w:szCs w:val="21"/>
                    </w:rPr>
                  </w:pPr>
                  <w:r>
                    <w:rPr>
                      <w:rFonts w:eastAsiaTheme="minorEastAsia"/>
                      <w:color w:val="FF0000"/>
                      <w:sz w:val="21"/>
                      <w:szCs w:val="21"/>
                    </w:rPr>
                    <w:t>400</w:t>
                  </w:r>
                </w:p>
              </w:tc>
            </w:tr>
          </w:tbl>
          <w:p w14:paraId="110E5976">
            <w:pPr>
              <w:pStyle w:val="7"/>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w:t>
            </w:r>
            <w:r>
              <w:rPr>
                <w:rFonts w:hint="eastAsia" w:ascii="Times New Roman" w:hAnsi="Times New Roman"/>
                <w:b/>
                <w:bCs/>
                <w:color w:val="000000" w:themeColor="text1"/>
                <w:sz w:val="24"/>
                <w:szCs w:val="24"/>
                <w:highlight w:val="none"/>
                <w:lang w:val="en-US" w:eastAsia="zh-CN"/>
                <w14:textFill>
                  <w14:solidFill>
                    <w14:schemeClr w14:val="tx1"/>
                  </w14:solidFill>
                </w14:textFill>
              </w:rPr>
              <w:t>噪声</w:t>
            </w:r>
          </w:p>
          <w:p w14:paraId="3E3CF6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项目噪声</w:t>
            </w:r>
            <w:r>
              <w:rPr>
                <w:rFonts w:ascii="Times New Roman" w:hAnsi="Times New Roman" w:eastAsia="宋体"/>
                <w:color w:val="000000" w:themeColor="text1"/>
                <w:sz w:val="24"/>
                <w:szCs w:val="24"/>
                <w:highlight w:val="none"/>
                <w14:textFill>
                  <w14:solidFill>
                    <w14:schemeClr w14:val="tx1"/>
                  </w14:solidFill>
                </w14:textFill>
              </w:rPr>
              <w:t>执行《建筑施工场界噪声排放标准》（GB12523－2</w:t>
            </w:r>
            <w:r>
              <w:rPr>
                <w:rFonts w:ascii="Times New Roman" w:hAnsi="Times New Roman" w:eastAsia="宋体"/>
                <w:color w:val="000000" w:themeColor="text1"/>
                <w:sz w:val="24"/>
                <w:szCs w:val="24"/>
                <w14:textFill>
                  <w14:solidFill>
                    <w14:schemeClr w14:val="tx1"/>
                  </w14:solidFill>
                </w14:textFill>
              </w:rPr>
              <w:t>011）标准，见表</w:t>
            </w:r>
            <w:r>
              <w:rPr>
                <w:rFonts w:hint="eastAsia"/>
                <w:color w:val="000000" w:themeColor="text1"/>
                <w:sz w:val="24"/>
                <w:szCs w:val="24"/>
                <w:lang w:val="en-US" w:eastAsia="zh-CN"/>
                <w14:textFill>
                  <w14:solidFill>
                    <w14:schemeClr w14:val="tx1"/>
                  </w14:solidFill>
                </w14:textFill>
              </w:rPr>
              <w:t>3-14</w:t>
            </w:r>
            <w:r>
              <w:rPr>
                <w:rFonts w:ascii="Times New Roman" w:hAnsi="Times New Roman" w:eastAsia="宋体"/>
                <w:color w:val="000000" w:themeColor="text1"/>
                <w:sz w:val="24"/>
                <w:szCs w:val="24"/>
                <w14:textFill>
                  <w14:solidFill>
                    <w14:schemeClr w14:val="tx1"/>
                  </w14:solidFill>
                </w14:textFill>
              </w:rPr>
              <w:t>。</w:t>
            </w:r>
          </w:p>
          <w:p w14:paraId="3C0105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表</w:t>
            </w:r>
            <w:r>
              <w:rPr>
                <w:rFonts w:hint="eastAsia" w:cs="Times New Roman"/>
                <w:b/>
                <w:bCs/>
                <w:color w:val="000000" w:themeColor="text1"/>
                <w:szCs w:val="21"/>
                <w:lang w:val="en-US" w:eastAsia="zh-CN"/>
                <w14:textFill>
                  <w14:solidFill>
                    <w14:schemeClr w14:val="tx1"/>
                  </w14:solidFill>
                </w14:textFill>
              </w:rPr>
              <w:t xml:space="preserve">3-14  </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 建筑施工场界噪声排放标准（GB12523-2011） 单位：dB(A)</w:t>
            </w:r>
          </w:p>
          <w:tbl>
            <w:tblPr>
              <w:tblStyle w:val="20"/>
              <w:tblW w:w="763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699"/>
              <w:gridCol w:w="3940"/>
            </w:tblGrid>
            <w:tr w14:paraId="19F2DE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421" w:type="pct"/>
                  <w:tcBorders>
                    <w:tl2br w:val="nil"/>
                    <w:tr2bl w:val="nil"/>
                  </w:tcBorders>
                  <w:vAlign w:val="center"/>
                </w:tcPr>
                <w:p w14:paraId="20461017">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42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昼间</w:t>
                  </w:r>
                </w:p>
              </w:tc>
              <w:tc>
                <w:tcPr>
                  <w:tcW w:w="2578" w:type="pct"/>
                  <w:tcBorders>
                    <w:tl2br w:val="nil"/>
                    <w:tr2bl w:val="nil"/>
                  </w:tcBorders>
                  <w:vAlign w:val="center"/>
                </w:tcPr>
                <w:p w14:paraId="00BD3D72">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42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夜间</w:t>
                  </w:r>
                </w:p>
              </w:tc>
            </w:tr>
            <w:tr w14:paraId="5151AA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2421" w:type="pct"/>
                  <w:tcBorders>
                    <w:tl2br w:val="nil"/>
                    <w:tr2bl w:val="nil"/>
                  </w:tcBorders>
                  <w:vAlign w:val="center"/>
                </w:tcPr>
                <w:p w14:paraId="3D1D667B">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42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70</w:t>
                  </w:r>
                </w:p>
              </w:tc>
              <w:tc>
                <w:tcPr>
                  <w:tcW w:w="2578" w:type="pct"/>
                  <w:tcBorders>
                    <w:tl2br w:val="nil"/>
                    <w:tr2bl w:val="nil"/>
                  </w:tcBorders>
                  <w:vAlign w:val="center"/>
                </w:tcPr>
                <w:p w14:paraId="3478008E">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42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55</w:t>
                  </w:r>
                </w:p>
              </w:tc>
            </w:tr>
          </w:tbl>
          <w:p w14:paraId="24B997B6">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hint="eastAsia" w:ascii="Times New Roman" w:hAnsi="Times New Roman"/>
                <w:b/>
                <w:bCs/>
                <w:color w:val="000000" w:themeColor="text1"/>
                <w:sz w:val="24"/>
                <w:szCs w:val="24"/>
                <w:lang w:val="en-US" w:eastAsia="zh-CN"/>
                <w14:textFill>
                  <w14:solidFill>
                    <w14:schemeClr w14:val="tx1"/>
                  </w14:solidFill>
                </w14:textFill>
              </w:rPr>
              <w:t>固废</w:t>
            </w:r>
          </w:p>
          <w:p w14:paraId="2A4E1A0D">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left"/>
              <w:textAlignment w:val="auto"/>
              <w:rPr>
                <w:rFonts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一般固废执行《一般工业固体废物贮存和填埋污染控制标准》(GB 18599-2020)</w:t>
            </w:r>
            <w:r>
              <w:rPr>
                <w:rFonts w:ascii="Times New Roman" w:hAnsi="Times New Roman" w:eastAsia="宋体"/>
                <w:color w:val="000000" w:themeColor="text1"/>
                <w:sz w:val="24"/>
                <w:szCs w:val="24"/>
                <w14:textFill>
                  <w14:solidFill>
                    <w14:schemeClr w14:val="tx1"/>
                  </w14:solidFill>
                </w14:textFill>
              </w:rPr>
              <w:t>。</w:t>
            </w:r>
          </w:p>
        </w:tc>
      </w:tr>
      <w:tr w14:paraId="7451A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noWrap w:val="0"/>
            <w:vAlign w:val="center"/>
          </w:tcPr>
          <w:p w14:paraId="0AC5904E">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其他</w:t>
            </w:r>
          </w:p>
        </w:tc>
        <w:tc>
          <w:tcPr>
            <w:tcW w:w="8253" w:type="dxa"/>
            <w:noWrap w:val="0"/>
            <w:vAlign w:val="center"/>
          </w:tcPr>
          <w:p w14:paraId="625A7F5E">
            <w:pPr>
              <w:spacing w:line="360" w:lineRule="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总量控制指标</w:t>
            </w:r>
          </w:p>
          <w:p w14:paraId="44CB82A7">
            <w:pPr>
              <w:spacing w:line="360" w:lineRule="auto"/>
              <w:ind w:firstLine="480" w:firstLineChars="200"/>
              <w:rPr>
                <w:rFonts w:ascii="Times New Roman" w:hAnsi="Times New Roman" w:eastAsia="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本项目不涉及总量控制指标</w:t>
            </w:r>
          </w:p>
        </w:tc>
      </w:tr>
    </w:tbl>
    <w:p w14:paraId="7F4289B7">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kern w:val="2"/>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四、生态环境影响分析</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9"/>
        <w:gridCol w:w="7623"/>
      </w:tblGrid>
      <w:tr w14:paraId="3230F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79" w:type="dxa"/>
            <w:noWrap w:val="0"/>
            <w:tcMar>
              <w:left w:w="28" w:type="dxa"/>
              <w:right w:w="28" w:type="dxa"/>
            </w:tcMar>
            <w:vAlign w:val="center"/>
          </w:tcPr>
          <w:p w14:paraId="530B9A3E">
            <w:pPr>
              <w:pStyle w:val="16"/>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bookmarkStart w:id="3" w:name="_Hlk49796138"/>
            <w:r>
              <w:rPr>
                <w:rFonts w:hint="eastAsia" w:cs="宋体"/>
                <w:bCs/>
                <w:color w:val="000000" w:themeColor="text1"/>
                <w:spacing w:val="10"/>
                <w:kern w:val="2"/>
                <w:sz w:val="24"/>
                <w:szCs w:val="24"/>
                <w14:textFill>
                  <w14:solidFill>
                    <w14:schemeClr w14:val="tx1"/>
                  </w14:solidFill>
                </w14:textFill>
              </w:rPr>
              <w:t>施工期生态环境影响分析</w:t>
            </w:r>
            <w:bookmarkEnd w:id="3"/>
          </w:p>
        </w:tc>
        <w:tc>
          <w:tcPr>
            <w:tcW w:w="8363" w:type="dxa"/>
            <w:noWrap w:val="0"/>
            <w:vAlign w:val="top"/>
          </w:tcPr>
          <w:p w14:paraId="74F84C84">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ascii="Times New Roman" w:hAnsi="Times New Roman" w:eastAsia="宋体"/>
                <w:b/>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b/>
                <w:color w:val="000000" w:themeColor="text1"/>
                <w:sz w:val="24"/>
                <w:szCs w:val="24"/>
                <w:highlight w:val="none"/>
                <w:lang w:eastAsia="zh-CN"/>
                <w14:textFill>
                  <w14:solidFill>
                    <w14:schemeClr w14:val="tx1"/>
                  </w14:solidFill>
                </w14:textFill>
              </w:rPr>
              <w:t>生态</w:t>
            </w:r>
            <w:r>
              <w:rPr>
                <w:rFonts w:ascii="Times New Roman" w:hAnsi="Times New Roman" w:eastAsia="宋体"/>
                <w:b/>
                <w:color w:val="000000" w:themeColor="text1"/>
                <w:sz w:val="24"/>
                <w:szCs w:val="24"/>
                <w:highlight w:val="none"/>
                <w:lang w:val="en-US" w:eastAsia="zh-CN"/>
                <w14:textFill>
                  <w14:solidFill>
                    <w14:schemeClr w14:val="tx1"/>
                  </w14:solidFill>
                </w14:textFill>
              </w:rPr>
              <w:t>破坏和环境</w:t>
            </w:r>
            <w:r>
              <w:rPr>
                <w:rFonts w:ascii="Times New Roman" w:hAnsi="Times New Roman" w:eastAsia="宋体"/>
                <w:b/>
                <w:color w:val="000000" w:themeColor="text1"/>
                <w:sz w:val="24"/>
                <w:szCs w:val="24"/>
                <w:highlight w:val="none"/>
                <w14:textFill>
                  <w14:solidFill>
                    <w14:schemeClr w14:val="tx1"/>
                  </w14:solidFill>
                </w14:textFill>
              </w:rPr>
              <w:t>污染工序</w:t>
            </w:r>
          </w:p>
          <w:p w14:paraId="4F2D1DA5">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本项目施工方式主要</w:t>
            </w:r>
            <w:r>
              <w:rPr>
                <w:rFonts w:hint="eastAsia"/>
                <w:color w:val="000000" w:themeColor="text1"/>
                <w:sz w:val="24"/>
                <w:szCs w:val="24"/>
                <w:highlight w:val="none"/>
                <w:lang w:eastAsia="zh-CN"/>
                <w14:textFill>
                  <w14:solidFill>
                    <w14:schemeClr w14:val="tx1"/>
                  </w14:solidFill>
                </w14:textFill>
              </w:rPr>
              <w:t>采取</w:t>
            </w:r>
            <w:r>
              <w:rPr>
                <w:rFonts w:hint="eastAsia" w:ascii="Times New Roman" w:hAnsi="Times New Roman" w:eastAsia="宋体"/>
                <w:color w:val="000000" w:themeColor="text1"/>
                <w:sz w:val="24"/>
                <w:szCs w:val="24"/>
                <w:highlight w:val="none"/>
                <w14:textFill>
                  <w14:solidFill>
                    <w14:schemeClr w14:val="tx1"/>
                  </w14:solidFill>
                </w14:textFill>
              </w:rPr>
              <w:t>机械施工方式，部分施工段采用人工施工方式。</w:t>
            </w:r>
          </w:p>
          <w:p w14:paraId="07E75D0A">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场地清理</w:t>
            </w:r>
            <w:r>
              <w:rPr>
                <w:rFonts w:hint="eastAsia"/>
                <w:color w:val="000000" w:themeColor="text1"/>
                <w:sz w:val="24"/>
                <w:szCs w:val="24"/>
                <w:highlight w:val="none"/>
                <w:lang w:eastAsia="zh-CN"/>
                <w14:textFill>
                  <w14:solidFill>
                    <w14:schemeClr w14:val="tx1"/>
                  </w14:solidFill>
                </w14:textFill>
              </w:rPr>
              <w:t>造成的植被减少、景观破坏等：</w:t>
            </w:r>
          </w:p>
          <w:p w14:paraId="28C450F0">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ascii="Times New Roman" w:hAnsi="Times New Roman" w:eastAsia="宋体"/>
                <w:color w:val="000000" w:themeColor="text1"/>
                <w:sz w:val="24"/>
                <w:szCs w:val="24"/>
                <w14:textFill>
                  <w14:solidFill>
                    <w14:schemeClr w14:val="tx1"/>
                  </w14:solidFill>
                </w14:textFill>
              </w:rPr>
              <w:t>施工期</w:t>
            </w:r>
            <w:r>
              <w:rPr>
                <w:rFonts w:hint="eastAsia"/>
                <w:color w:val="000000" w:themeColor="text1"/>
                <w:sz w:val="24"/>
                <w:szCs w:val="24"/>
                <w:lang w:eastAsia="zh-CN"/>
                <w14:textFill>
                  <w14:solidFill>
                    <w14:schemeClr w14:val="tx1"/>
                  </w14:solidFill>
                </w14:textFill>
              </w:rPr>
              <w:t>基础开挖、基础回填及</w:t>
            </w:r>
            <w:r>
              <w:rPr>
                <w:rFonts w:ascii="Times New Roman" w:hAnsi="Times New Roman" w:eastAsia="宋体"/>
                <w:color w:val="000000" w:themeColor="text1"/>
                <w:sz w:val="24"/>
                <w:szCs w:val="24"/>
                <w14:textFill>
                  <w14:solidFill>
                    <w14:schemeClr w14:val="tx1"/>
                  </w14:solidFill>
                </w14:textFill>
              </w:rPr>
              <w:t>车辆行驶产生的无组织排放扬尘，施工机械、运输车辆排放的尾气；</w:t>
            </w:r>
          </w:p>
          <w:p w14:paraId="6758F0E2">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rFonts w:ascii="Times New Roman" w:hAnsi="Times New Roman" w:eastAsia="宋体"/>
                <w:bCs/>
                <w:color w:val="000000" w:themeColor="text1"/>
                <w:sz w:val="24"/>
                <w:szCs w:val="24"/>
                <w14:textFill>
                  <w14:solidFill>
                    <w14:schemeClr w14:val="tx1"/>
                  </w14:solidFill>
                </w14:textFill>
              </w:rPr>
              <w:t>施工过程中</w:t>
            </w:r>
            <w:r>
              <w:rPr>
                <w:rFonts w:hint="eastAsia" w:ascii="Times New Roman" w:hAnsi="Times New Roman" w:eastAsia="宋体"/>
                <w:bCs/>
                <w:color w:val="000000" w:themeColor="text1"/>
                <w:sz w:val="24"/>
                <w:szCs w:val="24"/>
                <w:lang w:eastAsia="zh-CN"/>
                <w14:textFill>
                  <w14:solidFill>
                    <w14:schemeClr w14:val="tx1"/>
                  </w14:solidFill>
                </w14:textFill>
              </w:rPr>
              <w:t>主要为</w:t>
            </w:r>
            <w:r>
              <w:rPr>
                <w:rFonts w:ascii="Times New Roman" w:hAnsi="Times New Roman" w:eastAsia="宋体"/>
                <w:color w:val="000000" w:themeColor="text1"/>
                <w:sz w:val="24"/>
                <w:szCs w:val="24"/>
                <w14:textFill>
                  <w14:solidFill>
                    <w14:schemeClr w14:val="tx1"/>
                  </w14:solidFill>
                </w14:textFill>
              </w:rPr>
              <w:t>施工人员</w:t>
            </w:r>
            <w:r>
              <w:rPr>
                <w:rFonts w:hint="eastAsia" w:ascii="Times New Roman" w:hAnsi="Times New Roman" w:eastAsia="宋体"/>
                <w:color w:val="000000" w:themeColor="text1"/>
                <w:sz w:val="24"/>
                <w:szCs w:val="24"/>
                <w14:textFill>
                  <w14:solidFill>
                    <w14:schemeClr w14:val="tx1"/>
                  </w14:solidFill>
                </w14:textFill>
              </w:rPr>
              <w:t>产生的少量</w:t>
            </w:r>
            <w:r>
              <w:rPr>
                <w:rFonts w:hint="eastAsia"/>
                <w:color w:val="000000" w:themeColor="text1"/>
                <w:sz w:val="24"/>
                <w:szCs w:val="24"/>
                <w:lang w:eastAsia="zh-CN"/>
                <w14:textFill>
                  <w14:solidFill>
                    <w14:schemeClr w14:val="tx1"/>
                  </w14:solidFill>
                </w14:textFill>
              </w:rPr>
              <w:t>洗漱废水</w:t>
            </w:r>
            <w:r>
              <w:rPr>
                <w:rFonts w:hint="eastAsia" w:ascii="Times New Roman" w:hAnsi="Times New Roman" w:eastAsia="宋体"/>
                <w:color w:val="000000" w:themeColor="text1"/>
                <w:sz w:val="24"/>
                <w:szCs w:val="24"/>
                <w14:textFill>
                  <w14:solidFill>
                    <w14:schemeClr w14:val="tx1"/>
                  </w14:solidFill>
                </w14:textFill>
              </w:rPr>
              <w:t>；</w:t>
            </w:r>
          </w:p>
          <w:p w14:paraId="4ABF91EC">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t>施工期间施工机械产生的机械性噪声；</w:t>
            </w:r>
          </w:p>
          <w:p w14:paraId="27F8E750">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rFonts w:ascii="Times New Roman" w:hAnsi="Times New Roman" w:eastAsia="宋体"/>
                <w:color w:val="000000" w:themeColor="text1"/>
                <w:sz w:val="24"/>
                <w:szCs w:val="24"/>
                <w14:textFill>
                  <w14:solidFill>
                    <w14:schemeClr w14:val="tx1"/>
                  </w14:solidFill>
                </w14:textFill>
              </w:rPr>
              <w:t>施工人员</w:t>
            </w:r>
            <w:r>
              <w:rPr>
                <w:rFonts w:hint="eastAsia" w:ascii="Times New Roman" w:hAnsi="Times New Roman" w:eastAsia="宋体"/>
                <w:color w:val="000000" w:themeColor="text1"/>
                <w:sz w:val="24"/>
                <w:szCs w:val="24"/>
                <w14:textFill>
                  <w14:solidFill>
                    <w14:schemeClr w14:val="tx1"/>
                  </w14:solidFill>
                </w14:textFill>
              </w:rPr>
              <w:t>产生的少量</w:t>
            </w:r>
            <w:r>
              <w:rPr>
                <w:rFonts w:ascii="Times New Roman" w:hAnsi="Times New Roman" w:eastAsia="宋体"/>
                <w:color w:val="000000" w:themeColor="text1"/>
                <w:sz w:val="24"/>
                <w:szCs w:val="24"/>
                <w14:textFill>
                  <w14:solidFill>
                    <w14:schemeClr w14:val="tx1"/>
                  </w14:solidFill>
                </w14:textFill>
              </w:rPr>
              <w:t>生活</w:t>
            </w:r>
            <w:r>
              <w:rPr>
                <w:rFonts w:hint="eastAsia" w:ascii="Times New Roman" w:hAnsi="Times New Roman" w:eastAsia="宋体"/>
                <w:color w:val="000000" w:themeColor="text1"/>
                <w:sz w:val="24"/>
                <w:szCs w:val="24"/>
                <w14:textFill>
                  <w14:solidFill>
                    <w14:schemeClr w14:val="tx1"/>
                  </w14:solidFill>
                </w14:textFill>
              </w:rPr>
              <w:t>垃圾；</w:t>
            </w:r>
          </w:p>
          <w:p w14:paraId="0C6A2B3D">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w:t>
            </w:r>
            <w:r>
              <w:rPr>
                <w:rFonts w:hint="eastAsia" w:ascii="Times New Roman" w:hAnsi="Times New Roman" w:eastAsia="宋体"/>
                <w:color w:val="000000" w:themeColor="text1"/>
                <w:sz w:val="24"/>
                <w:szCs w:val="24"/>
                <w14:textFill>
                  <w14:solidFill>
                    <w14:schemeClr w14:val="tx1"/>
                  </w14:solidFill>
                </w14:textFill>
              </w:rPr>
              <w:t>场地清理、场地恢复、绿化等过程产生的水土流失。</w:t>
            </w:r>
          </w:p>
          <w:p w14:paraId="15DFC6E1">
            <w:pPr>
              <w:pStyle w:val="56"/>
              <w:keepNext w:val="0"/>
              <w:keepLines w:val="0"/>
              <w:pageBreakBefore w:val="0"/>
              <w:kinsoku/>
              <w:wordWrap/>
              <w:overflowPunct/>
              <w:topLinePunct w:val="0"/>
              <w:bidi w:val="0"/>
              <w:adjustRightInd/>
              <w:snapToGrid/>
              <w:spacing w:line="360" w:lineRule="auto"/>
              <w:jc w:val="left"/>
              <w:textAlignment w:val="auto"/>
              <w:rPr>
                <w:rFonts w:hint="eastAsia"/>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施工期具体产污工序</w:t>
            </w:r>
            <w:r>
              <w:rPr>
                <w:rFonts w:hint="eastAsia"/>
                <w:color w:val="000000" w:themeColor="text1"/>
                <w:sz w:val="24"/>
                <w:szCs w:val="24"/>
                <w:highlight w:val="none"/>
                <w:lang w:val="en-US" w:eastAsia="zh-CN"/>
                <w14:textFill>
                  <w14:solidFill>
                    <w14:schemeClr w14:val="tx1"/>
                  </w14:solidFill>
                </w14:textFill>
              </w:rPr>
              <w:t>及污染物见表4-1。</w:t>
            </w:r>
          </w:p>
          <w:p w14:paraId="6BB1CE5E">
            <w:pPr>
              <w:pStyle w:val="5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表4-1  项目施工期主要污染工序一览表</w:t>
            </w:r>
          </w:p>
          <w:tbl>
            <w:tblPr>
              <w:tblStyle w:val="21"/>
              <w:tblW w:w="76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067"/>
              <w:gridCol w:w="1458"/>
              <w:gridCol w:w="1734"/>
              <w:gridCol w:w="1738"/>
            </w:tblGrid>
            <w:tr w14:paraId="48341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tcBorders>
                    <w:tl2br w:val="nil"/>
                    <w:tr2bl w:val="nil"/>
                  </w:tcBorders>
                  <w:noWrap w:val="0"/>
                  <w:vAlign w:val="center"/>
                </w:tcPr>
                <w:p w14:paraId="162AEA1D">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w:t>
                  </w:r>
                </w:p>
              </w:tc>
              <w:tc>
                <w:tcPr>
                  <w:tcW w:w="2067" w:type="dxa"/>
                  <w:tcBorders>
                    <w:tl2br w:val="nil"/>
                    <w:tr2bl w:val="nil"/>
                  </w:tcBorders>
                  <w:noWrap w:val="0"/>
                  <w:vAlign w:val="center"/>
                </w:tcPr>
                <w:p w14:paraId="189996C8">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产污环节</w:t>
                  </w:r>
                </w:p>
              </w:tc>
              <w:tc>
                <w:tcPr>
                  <w:tcW w:w="1458" w:type="dxa"/>
                  <w:tcBorders>
                    <w:tl2br w:val="nil"/>
                    <w:tr2bl w:val="nil"/>
                  </w:tcBorders>
                  <w:noWrap w:val="0"/>
                  <w:vAlign w:val="center"/>
                </w:tcPr>
                <w:p w14:paraId="7DCEFBEE">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w:t>
                  </w:r>
                </w:p>
              </w:tc>
              <w:tc>
                <w:tcPr>
                  <w:tcW w:w="1734" w:type="dxa"/>
                  <w:tcBorders>
                    <w:tl2br w:val="nil"/>
                    <w:tr2bl w:val="nil"/>
                  </w:tcBorders>
                  <w:noWrap w:val="0"/>
                  <w:vAlign w:val="center"/>
                </w:tcPr>
                <w:p w14:paraId="29BDB4B8">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污染因子</w:t>
                  </w:r>
                </w:p>
              </w:tc>
              <w:tc>
                <w:tcPr>
                  <w:tcW w:w="1738" w:type="dxa"/>
                  <w:tcBorders>
                    <w:tl2br w:val="nil"/>
                    <w:tr2bl w:val="nil"/>
                  </w:tcBorders>
                  <w:noWrap w:val="0"/>
                  <w:vAlign w:val="center"/>
                </w:tcPr>
                <w:p w14:paraId="21E6A34F">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去向</w:t>
                  </w:r>
                </w:p>
              </w:tc>
            </w:tr>
            <w:tr w14:paraId="12074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81" w:type="dxa"/>
                  <w:vMerge w:val="restart"/>
                  <w:tcBorders>
                    <w:tl2br w:val="nil"/>
                    <w:tr2bl w:val="nil"/>
                  </w:tcBorders>
                  <w:noWrap w:val="0"/>
                  <w:vAlign w:val="center"/>
                </w:tcPr>
                <w:p w14:paraId="12E109B6">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废气</w:t>
                  </w:r>
                </w:p>
              </w:tc>
              <w:tc>
                <w:tcPr>
                  <w:tcW w:w="2067" w:type="dxa"/>
                  <w:tcBorders>
                    <w:tl2br w:val="nil"/>
                    <w:tr2bl w:val="nil"/>
                  </w:tcBorders>
                  <w:noWrap w:val="0"/>
                  <w:vAlign w:val="center"/>
                </w:tcPr>
                <w:p w14:paraId="1931F850">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土方开挖、回填</w:t>
                  </w:r>
                </w:p>
              </w:tc>
              <w:tc>
                <w:tcPr>
                  <w:tcW w:w="1458" w:type="dxa"/>
                  <w:tcBorders>
                    <w:tl2br w:val="nil"/>
                    <w:tr2bl w:val="nil"/>
                  </w:tcBorders>
                  <w:noWrap w:val="0"/>
                  <w:vAlign w:val="center"/>
                </w:tcPr>
                <w:p w14:paraId="08817835">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扬尘</w:t>
                  </w:r>
                </w:p>
              </w:tc>
              <w:tc>
                <w:tcPr>
                  <w:tcW w:w="1734" w:type="dxa"/>
                  <w:tcBorders>
                    <w:tl2br w:val="nil"/>
                    <w:tr2bl w:val="nil"/>
                  </w:tcBorders>
                  <w:noWrap w:val="0"/>
                  <w:vAlign w:val="center"/>
                </w:tcPr>
                <w:p w14:paraId="3883D5F1">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1738" w:type="dxa"/>
                  <w:vMerge w:val="restart"/>
                  <w:tcBorders>
                    <w:tl2br w:val="nil"/>
                    <w:tr2bl w:val="nil"/>
                  </w:tcBorders>
                  <w:noWrap w:val="0"/>
                  <w:vAlign w:val="center"/>
                </w:tcPr>
                <w:p w14:paraId="678F81D2">
                  <w:pPr>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无组织挥发</w:t>
                  </w:r>
                </w:p>
              </w:tc>
            </w:tr>
            <w:tr w14:paraId="722D0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vMerge w:val="continue"/>
                  <w:tcBorders>
                    <w:tl2br w:val="nil"/>
                    <w:tr2bl w:val="nil"/>
                  </w:tcBorders>
                  <w:noWrap w:val="0"/>
                  <w:vAlign w:val="center"/>
                </w:tcPr>
                <w:p w14:paraId="253250D4">
                  <w:pPr>
                    <w:pStyle w:val="51"/>
                    <w:bidi w:val="0"/>
                    <w:jc w:val="center"/>
                    <w:rPr>
                      <w:rFonts w:hint="eastAsia"/>
                      <w:color w:val="000000" w:themeColor="text1"/>
                      <w:sz w:val="21"/>
                      <w:szCs w:val="21"/>
                      <w:highlight w:val="none"/>
                      <w:lang w:val="en-US" w:eastAsia="zh-CN"/>
                      <w14:textFill>
                        <w14:solidFill>
                          <w14:schemeClr w14:val="tx1"/>
                        </w14:solidFill>
                      </w14:textFill>
                    </w:rPr>
                  </w:pPr>
                </w:p>
              </w:tc>
              <w:tc>
                <w:tcPr>
                  <w:tcW w:w="2067" w:type="dxa"/>
                  <w:tcBorders>
                    <w:tl2br w:val="nil"/>
                    <w:tr2bl w:val="nil"/>
                  </w:tcBorders>
                  <w:noWrap w:val="0"/>
                  <w:vAlign w:val="center"/>
                </w:tcPr>
                <w:p w14:paraId="1050A59D">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汽车排放尾气</w:t>
                  </w:r>
                </w:p>
              </w:tc>
              <w:tc>
                <w:tcPr>
                  <w:tcW w:w="1458" w:type="dxa"/>
                  <w:tcBorders>
                    <w:tl2br w:val="nil"/>
                    <w:tr2bl w:val="nil"/>
                  </w:tcBorders>
                  <w:noWrap w:val="0"/>
                  <w:vAlign w:val="center"/>
                </w:tcPr>
                <w:p w14:paraId="24B1D704">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汽车尾气</w:t>
                  </w:r>
                </w:p>
              </w:tc>
              <w:tc>
                <w:tcPr>
                  <w:tcW w:w="1734" w:type="dxa"/>
                  <w:tcBorders>
                    <w:tl2br w:val="nil"/>
                    <w:tr2bl w:val="nil"/>
                  </w:tcBorders>
                  <w:noWrap w:val="0"/>
                  <w:vAlign w:val="center"/>
                </w:tcPr>
                <w:p w14:paraId="7DEA23F9">
                  <w:pPr>
                    <w:keepNext w:val="0"/>
                    <w:keepLines w:val="0"/>
                    <w:widowControl/>
                    <w:suppressLineNumbers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CO、NOx、</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THC</w:t>
                  </w:r>
                </w:p>
              </w:tc>
              <w:tc>
                <w:tcPr>
                  <w:tcW w:w="1738" w:type="dxa"/>
                  <w:vMerge w:val="continue"/>
                  <w:tcBorders>
                    <w:tl2br w:val="nil"/>
                    <w:tr2bl w:val="nil"/>
                  </w:tcBorders>
                  <w:noWrap w:val="0"/>
                  <w:vAlign w:val="center"/>
                </w:tcPr>
                <w:p w14:paraId="6D0A5857">
                  <w:pPr>
                    <w:bidi w:val="0"/>
                    <w:jc w:val="center"/>
                    <w:rPr>
                      <w:rFonts w:hint="eastAsia"/>
                      <w:color w:val="000000" w:themeColor="text1"/>
                      <w:sz w:val="21"/>
                      <w:szCs w:val="21"/>
                      <w:highlight w:val="none"/>
                      <w:lang w:val="en-US" w:eastAsia="zh-CN"/>
                      <w14:textFill>
                        <w14:solidFill>
                          <w14:schemeClr w14:val="tx1"/>
                        </w14:solidFill>
                      </w14:textFill>
                    </w:rPr>
                  </w:pPr>
                </w:p>
              </w:tc>
            </w:tr>
            <w:tr w14:paraId="6832A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81" w:type="dxa"/>
                  <w:tcBorders>
                    <w:tl2br w:val="nil"/>
                    <w:tr2bl w:val="nil"/>
                  </w:tcBorders>
                  <w:noWrap w:val="0"/>
                  <w:vAlign w:val="center"/>
                </w:tcPr>
                <w:p w14:paraId="7FD7D14A">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废水</w:t>
                  </w:r>
                </w:p>
              </w:tc>
              <w:tc>
                <w:tcPr>
                  <w:tcW w:w="2067" w:type="dxa"/>
                  <w:tcBorders>
                    <w:tl2br w:val="nil"/>
                    <w:tr2bl w:val="nil"/>
                  </w:tcBorders>
                  <w:noWrap w:val="0"/>
                  <w:vAlign w:val="center"/>
                </w:tcPr>
                <w:p w14:paraId="5A501CB4">
                  <w:pPr>
                    <w:pStyle w:val="51"/>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施工人员</w:t>
                  </w:r>
                </w:p>
              </w:tc>
              <w:tc>
                <w:tcPr>
                  <w:tcW w:w="1458" w:type="dxa"/>
                  <w:tcBorders>
                    <w:tl2br w:val="nil"/>
                    <w:tr2bl w:val="nil"/>
                  </w:tcBorders>
                  <w:noWrap w:val="0"/>
                  <w:vAlign w:val="center"/>
                </w:tcPr>
                <w:p w14:paraId="0648CC49">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洗漱废水</w:t>
                  </w:r>
                </w:p>
              </w:tc>
              <w:tc>
                <w:tcPr>
                  <w:tcW w:w="1734" w:type="dxa"/>
                  <w:tcBorders>
                    <w:tl2br w:val="nil"/>
                    <w:tr2bl w:val="nil"/>
                  </w:tcBorders>
                  <w:noWrap w:val="0"/>
                  <w:vAlign w:val="center"/>
                </w:tcPr>
                <w:p w14:paraId="040CC60B">
                  <w:pPr>
                    <w:pStyle w:val="51"/>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SS、COD、BOD氨氮</w:t>
                  </w:r>
                </w:p>
              </w:tc>
              <w:tc>
                <w:tcPr>
                  <w:tcW w:w="1738" w:type="dxa"/>
                  <w:tcBorders>
                    <w:tl2br w:val="nil"/>
                    <w:tr2bl w:val="nil"/>
                  </w:tcBorders>
                  <w:noWrap w:val="0"/>
                  <w:vAlign w:val="center"/>
                </w:tcPr>
                <w:p w14:paraId="2FE29487">
                  <w:pPr>
                    <w:pStyle w:val="51"/>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FF0000"/>
                      <w:sz w:val="21"/>
                      <w:szCs w:val="21"/>
                      <w:highlight w:val="none"/>
                      <w:lang w:val="en-US" w:eastAsia="zh-CN"/>
                    </w:rPr>
                    <w:t>项目设置移动厕所，生活污水定期拉运至</w:t>
                  </w:r>
                  <w:r>
                    <w:rPr>
                      <w:rFonts w:hint="eastAsia" w:ascii="Times New Roman" w:hAnsi="Times New Roman" w:eastAsia="宋体" w:cs="Times New Roman"/>
                      <w:color w:val="FF0000"/>
                      <w:sz w:val="21"/>
                      <w:szCs w:val="21"/>
                      <w:highlight w:val="none"/>
                      <w:lang w:val="en-US" w:eastAsia="zh-CN"/>
                    </w:rPr>
                    <w:t>湘乐</w:t>
                  </w:r>
                  <w:r>
                    <w:rPr>
                      <w:rFonts w:hint="default" w:ascii="Times New Roman" w:hAnsi="Times New Roman" w:eastAsia="宋体" w:cs="Times New Roman"/>
                      <w:color w:val="FF0000"/>
                      <w:sz w:val="21"/>
                      <w:szCs w:val="21"/>
                      <w:highlight w:val="none"/>
                      <w:lang w:val="en-US" w:eastAsia="zh-CN"/>
                    </w:rPr>
                    <w:t>镇生活污水处理站处理</w:t>
                  </w:r>
                </w:p>
              </w:tc>
            </w:tr>
            <w:tr w14:paraId="6470E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tcBorders>
                    <w:tl2br w:val="nil"/>
                    <w:tr2bl w:val="nil"/>
                  </w:tcBorders>
                  <w:noWrap w:val="0"/>
                  <w:vAlign w:val="center"/>
                </w:tcPr>
                <w:p w14:paraId="5BAC62C5">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噪声</w:t>
                  </w:r>
                </w:p>
              </w:tc>
              <w:tc>
                <w:tcPr>
                  <w:tcW w:w="2067" w:type="dxa"/>
                  <w:tcBorders>
                    <w:tl2br w:val="nil"/>
                    <w:tr2bl w:val="nil"/>
                  </w:tcBorders>
                  <w:noWrap w:val="0"/>
                  <w:vAlign w:val="center"/>
                </w:tcPr>
                <w:p w14:paraId="28FA329A">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护脚/护堤砌筑</w:t>
                  </w:r>
                </w:p>
              </w:tc>
              <w:tc>
                <w:tcPr>
                  <w:tcW w:w="1458" w:type="dxa"/>
                  <w:tcBorders>
                    <w:tl2br w:val="nil"/>
                    <w:tr2bl w:val="nil"/>
                  </w:tcBorders>
                  <w:noWrap w:val="0"/>
                  <w:vAlign w:val="center"/>
                </w:tcPr>
                <w:p w14:paraId="476B2295">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设备噪声</w:t>
                  </w:r>
                </w:p>
              </w:tc>
              <w:tc>
                <w:tcPr>
                  <w:tcW w:w="1734" w:type="dxa"/>
                  <w:tcBorders>
                    <w:tl2br w:val="nil"/>
                    <w:tr2bl w:val="nil"/>
                  </w:tcBorders>
                  <w:noWrap w:val="0"/>
                  <w:vAlign w:val="center"/>
                </w:tcPr>
                <w:p w14:paraId="0DB8DBC0">
                  <w:pPr>
                    <w:pStyle w:val="51"/>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噪声、固废</w:t>
                  </w:r>
                </w:p>
              </w:tc>
              <w:tc>
                <w:tcPr>
                  <w:tcW w:w="1738" w:type="dxa"/>
                  <w:tcBorders>
                    <w:tl2br w:val="nil"/>
                    <w:tr2bl w:val="nil"/>
                  </w:tcBorders>
                  <w:noWrap w:val="0"/>
                  <w:vAlign w:val="center"/>
                </w:tcPr>
                <w:p w14:paraId="4D265EDE">
                  <w:pPr>
                    <w:pStyle w:val="51"/>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36267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81" w:type="dxa"/>
                  <w:vMerge w:val="restart"/>
                  <w:tcBorders>
                    <w:tl2br w:val="nil"/>
                    <w:tr2bl w:val="nil"/>
                  </w:tcBorders>
                  <w:noWrap w:val="0"/>
                  <w:vAlign w:val="center"/>
                </w:tcPr>
                <w:p w14:paraId="4ED3129E">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固废</w:t>
                  </w:r>
                </w:p>
              </w:tc>
              <w:tc>
                <w:tcPr>
                  <w:tcW w:w="2067" w:type="dxa"/>
                  <w:tcBorders>
                    <w:tl2br w:val="nil"/>
                    <w:tr2bl w:val="nil"/>
                  </w:tcBorders>
                  <w:noWrap w:val="0"/>
                  <w:vAlign w:val="center"/>
                </w:tcPr>
                <w:p w14:paraId="765E0EE4">
                  <w:pPr>
                    <w:pStyle w:val="51"/>
                    <w:bidi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土方开挖、回填</w:t>
                  </w:r>
                </w:p>
              </w:tc>
              <w:tc>
                <w:tcPr>
                  <w:tcW w:w="1458" w:type="dxa"/>
                  <w:tcBorders>
                    <w:tl2br w:val="nil"/>
                    <w:tr2bl w:val="nil"/>
                  </w:tcBorders>
                  <w:noWrap w:val="0"/>
                  <w:vAlign w:val="center"/>
                </w:tcPr>
                <w:p w14:paraId="76F06E43">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剩余土方</w:t>
                  </w:r>
                </w:p>
              </w:tc>
              <w:tc>
                <w:tcPr>
                  <w:tcW w:w="1734" w:type="dxa"/>
                  <w:tcBorders>
                    <w:tl2br w:val="nil"/>
                    <w:tr2bl w:val="nil"/>
                  </w:tcBorders>
                  <w:noWrap w:val="0"/>
                  <w:vAlign w:val="center"/>
                </w:tcPr>
                <w:p w14:paraId="6D007718">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一般固废</w:t>
                  </w:r>
                </w:p>
              </w:tc>
              <w:tc>
                <w:tcPr>
                  <w:tcW w:w="1738" w:type="dxa"/>
                  <w:tcBorders>
                    <w:tl2br w:val="nil"/>
                    <w:tr2bl w:val="nil"/>
                  </w:tcBorders>
                  <w:noWrap w:val="0"/>
                  <w:vAlign w:val="center"/>
                </w:tcPr>
                <w:p w14:paraId="4F08A0E6">
                  <w:pPr>
                    <w:keepNext w:val="0"/>
                    <w:keepLines w:val="0"/>
                    <w:widowControl/>
                    <w:suppressLineNumbers w:val="0"/>
                    <w:jc w:val="left"/>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剩余土方用于河堤、场地平整及临时用地的恢复</w:t>
                  </w:r>
                </w:p>
              </w:tc>
            </w:tr>
            <w:tr w14:paraId="784FD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81" w:type="dxa"/>
                  <w:vMerge w:val="continue"/>
                  <w:tcBorders>
                    <w:tl2br w:val="nil"/>
                    <w:tr2bl w:val="nil"/>
                  </w:tcBorders>
                  <w:noWrap w:val="0"/>
                  <w:vAlign w:val="center"/>
                </w:tcPr>
                <w:p w14:paraId="62D3EA72">
                  <w:pPr>
                    <w:pStyle w:val="51"/>
                    <w:bidi w:val="0"/>
                    <w:jc w:val="center"/>
                    <w:rPr>
                      <w:rFonts w:hint="eastAsia"/>
                      <w:color w:val="000000" w:themeColor="text1"/>
                      <w:sz w:val="21"/>
                      <w:szCs w:val="21"/>
                      <w:highlight w:val="none"/>
                      <w:lang w:val="en-US" w:eastAsia="zh-CN"/>
                      <w14:textFill>
                        <w14:solidFill>
                          <w14:schemeClr w14:val="tx1"/>
                        </w14:solidFill>
                      </w14:textFill>
                    </w:rPr>
                  </w:pPr>
                </w:p>
              </w:tc>
              <w:tc>
                <w:tcPr>
                  <w:tcW w:w="2067" w:type="dxa"/>
                  <w:tcBorders>
                    <w:tl2br w:val="nil"/>
                    <w:tr2bl w:val="nil"/>
                  </w:tcBorders>
                  <w:noWrap w:val="0"/>
                  <w:vAlign w:val="center"/>
                </w:tcPr>
                <w:p w14:paraId="2AAA8082">
                  <w:pPr>
                    <w:pStyle w:val="51"/>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护脚/护堤砌筑</w:t>
                  </w:r>
                </w:p>
              </w:tc>
              <w:tc>
                <w:tcPr>
                  <w:tcW w:w="1458" w:type="dxa"/>
                  <w:tcBorders>
                    <w:tl2br w:val="nil"/>
                    <w:tr2bl w:val="nil"/>
                  </w:tcBorders>
                  <w:noWrap w:val="0"/>
                  <w:vAlign w:val="center"/>
                </w:tcPr>
                <w:p w14:paraId="240FB5AF">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建筑垃圾</w:t>
                  </w:r>
                </w:p>
              </w:tc>
              <w:tc>
                <w:tcPr>
                  <w:tcW w:w="1734" w:type="dxa"/>
                  <w:tcBorders>
                    <w:tl2br w:val="nil"/>
                    <w:tr2bl w:val="nil"/>
                  </w:tcBorders>
                  <w:noWrap w:val="0"/>
                  <w:vAlign w:val="center"/>
                </w:tcPr>
                <w:p w14:paraId="49E3861A">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一般固废</w:t>
                  </w:r>
                </w:p>
              </w:tc>
              <w:tc>
                <w:tcPr>
                  <w:tcW w:w="1738" w:type="dxa"/>
                  <w:tcBorders>
                    <w:tl2br w:val="nil"/>
                    <w:tr2bl w:val="nil"/>
                  </w:tcBorders>
                  <w:noWrap w:val="0"/>
                  <w:vAlign w:val="center"/>
                </w:tcPr>
                <w:p w14:paraId="454B23D4">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对于有利用价值的进行分拣回用，无法利用的建筑垃圾拉运至当地政府指定地点处置。</w:t>
                  </w:r>
                </w:p>
              </w:tc>
            </w:tr>
            <w:tr w14:paraId="0254D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81" w:type="dxa"/>
                  <w:vMerge w:val="continue"/>
                  <w:tcBorders>
                    <w:tl2br w:val="nil"/>
                    <w:tr2bl w:val="nil"/>
                  </w:tcBorders>
                  <w:noWrap w:val="0"/>
                  <w:vAlign w:val="center"/>
                </w:tcPr>
                <w:p w14:paraId="0FE9C809">
                  <w:pPr>
                    <w:pStyle w:val="51"/>
                    <w:bidi w:val="0"/>
                    <w:jc w:val="center"/>
                    <w:rPr>
                      <w:rFonts w:hint="eastAsia"/>
                      <w:color w:val="000000" w:themeColor="text1"/>
                      <w:sz w:val="21"/>
                      <w:szCs w:val="21"/>
                      <w:highlight w:val="none"/>
                      <w:lang w:val="en-US" w:eastAsia="zh-CN"/>
                      <w14:textFill>
                        <w14:solidFill>
                          <w14:schemeClr w14:val="tx1"/>
                        </w14:solidFill>
                      </w14:textFill>
                    </w:rPr>
                  </w:pPr>
                </w:p>
              </w:tc>
              <w:tc>
                <w:tcPr>
                  <w:tcW w:w="2067" w:type="dxa"/>
                  <w:tcBorders>
                    <w:tl2br w:val="nil"/>
                    <w:tr2bl w:val="nil"/>
                  </w:tcBorders>
                  <w:noWrap w:val="0"/>
                  <w:vAlign w:val="center"/>
                </w:tcPr>
                <w:p w14:paraId="19AB70F7">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施工人员</w:t>
                  </w:r>
                </w:p>
              </w:tc>
              <w:tc>
                <w:tcPr>
                  <w:tcW w:w="1458" w:type="dxa"/>
                  <w:tcBorders>
                    <w:tl2br w:val="nil"/>
                    <w:tr2bl w:val="nil"/>
                  </w:tcBorders>
                  <w:noWrap w:val="0"/>
                  <w:vAlign w:val="center"/>
                </w:tcPr>
                <w:p w14:paraId="3550564C">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生活垃圾</w:t>
                  </w:r>
                </w:p>
              </w:tc>
              <w:tc>
                <w:tcPr>
                  <w:tcW w:w="1734" w:type="dxa"/>
                  <w:tcBorders>
                    <w:tl2br w:val="nil"/>
                    <w:tr2bl w:val="nil"/>
                  </w:tcBorders>
                  <w:noWrap w:val="0"/>
                  <w:vAlign w:val="center"/>
                </w:tcPr>
                <w:p w14:paraId="79B2D747">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生活垃圾</w:t>
                  </w:r>
                </w:p>
              </w:tc>
              <w:tc>
                <w:tcPr>
                  <w:tcW w:w="1738" w:type="dxa"/>
                  <w:tcBorders>
                    <w:tl2br w:val="nil"/>
                    <w:tr2bl w:val="nil"/>
                  </w:tcBorders>
                  <w:noWrap w:val="0"/>
                  <w:vAlign w:val="center"/>
                </w:tcPr>
                <w:p w14:paraId="0AA21C5A">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清运至</w:t>
                  </w:r>
                  <w:r>
                    <w:rPr>
                      <w:rFonts w:hint="eastAsia" w:cs="宋体"/>
                      <w:bCs/>
                      <w:color w:val="000000" w:themeColor="text1"/>
                      <w:sz w:val="24"/>
                      <w:szCs w:val="24"/>
                      <w:lang w:eastAsia="zh-CN"/>
                      <w14:textFill>
                        <w14:solidFill>
                          <w14:schemeClr w14:val="tx1"/>
                        </w14:solidFill>
                      </w14:textFill>
                    </w:rPr>
                    <w:t>附近村庄生活垃圾暂存点</w:t>
                  </w:r>
                </w:p>
              </w:tc>
            </w:tr>
            <w:tr w14:paraId="2194C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81" w:type="dxa"/>
                  <w:tcBorders>
                    <w:tl2br w:val="nil"/>
                    <w:tr2bl w:val="nil"/>
                  </w:tcBorders>
                  <w:noWrap w:val="0"/>
                  <w:vAlign w:val="center"/>
                </w:tcPr>
                <w:p w14:paraId="482F5BFA">
                  <w:pPr>
                    <w:pStyle w:val="51"/>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生态环境</w:t>
                  </w:r>
                </w:p>
              </w:tc>
              <w:tc>
                <w:tcPr>
                  <w:tcW w:w="2067" w:type="dxa"/>
                  <w:tcBorders>
                    <w:tl2br w:val="nil"/>
                    <w:tr2bl w:val="nil"/>
                  </w:tcBorders>
                  <w:noWrap w:val="0"/>
                  <w:vAlign w:val="center"/>
                </w:tcPr>
                <w:p w14:paraId="4B7CA783">
                  <w:pPr>
                    <w:pStyle w:val="51"/>
                    <w:bidi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河道治理</w:t>
                  </w:r>
                </w:p>
              </w:tc>
              <w:tc>
                <w:tcPr>
                  <w:tcW w:w="4930" w:type="dxa"/>
                  <w:gridSpan w:val="3"/>
                  <w:tcBorders>
                    <w:tl2br w:val="nil"/>
                    <w:tr2bl w:val="nil"/>
                  </w:tcBorders>
                  <w:noWrap w:val="0"/>
                  <w:vAlign w:val="center"/>
                </w:tcPr>
                <w:p w14:paraId="19505394">
                  <w:pPr>
                    <w:pStyle w:val="51"/>
                    <w:bidi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破坏已有植被的破坏、土方挖填、堆存引起的扬尘、雨水冲刷等影响。</w:t>
                  </w:r>
                </w:p>
              </w:tc>
            </w:tr>
          </w:tbl>
          <w:p w14:paraId="3D508037">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2、生态影响分析</w:t>
            </w:r>
          </w:p>
          <w:p w14:paraId="2C79D8ED">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bookmarkStart w:id="4" w:name="OLE_LINK3"/>
            <w:r>
              <w:rPr>
                <w:rFonts w:hint="eastAsia" w:ascii="Times New Roman" w:hAnsi="Times New Roman" w:eastAsia="宋体"/>
                <w:color w:val="000000" w:themeColor="text1"/>
                <w:sz w:val="24"/>
                <w14:textFill>
                  <w14:solidFill>
                    <w14:schemeClr w14:val="tx1"/>
                  </w14:solidFill>
                </w14:textFill>
              </w:rPr>
              <w:t>项目施工期主要生态环境影响主要包括已有植被的破坏、土方挖填、堆存引起的扬尘、雨水冲刷等影响。</w:t>
            </w:r>
          </w:p>
          <w:p w14:paraId="48254483">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1</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 xml:space="preserve">对陆域生态系统的影响 </w:t>
            </w:r>
          </w:p>
          <w:p w14:paraId="5DEAA722">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hint="eastAsia" w:ascii="Times New Roman" w:hAnsi="Times New Roman" w:eastAsia="宋体"/>
                <w:color w:val="000000" w:themeColor="text1"/>
                <w:sz w:val="24"/>
                <w14:textFill>
                  <w14:solidFill>
                    <w14:schemeClr w14:val="tx1"/>
                  </w14:solidFill>
                </w14:textFill>
              </w:rPr>
              <w:t>临时占地情况</w:t>
            </w:r>
          </w:p>
          <w:p w14:paraId="3B1DA0B4">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根据业主提供资料，</w:t>
            </w:r>
            <w:r>
              <w:rPr>
                <w:rFonts w:hint="eastAsia" w:ascii="Times New Roman" w:hAnsi="Times New Roman" w:eastAsia="宋体"/>
                <w:color w:val="000000" w:themeColor="text1"/>
                <w:sz w:val="24"/>
                <w:lang w:eastAsia="zh-CN"/>
                <w14:textFill>
                  <w14:solidFill>
                    <w14:schemeClr w14:val="tx1"/>
                  </w14:solidFill>
                </w14:textFill>
              </w:rPr>
              <w:t>本项目施工场地基本上河流周边</w:t>
            </w:r>
            <w:r>
              <w:rPr>
                <w:rFonts w:hint="eastAsia" w:ascii="Times New Roman" w:hAnsi="Times New Roman" w:eastAsia="宋体"/>
                <w:color w:val="000000" w:themeColor="text1"/>
                <w:sz w:val="24"/>
                <w14:textFill>
                  <w14:solidFill>
                    <w14:schemeClr w14:val="tx1"/>
                  </w14:solidFill>
                </w14:textFill>
              </w:rPr>
              <w:t>。主要植被类型为杂草，临时占地对该部分植被影响较小，</w:t>
            </w:r>
            <w:r>
              <w:rPr>
                <w:rFonts w:hint="eastAsia"/>
                <w:color w:val="000000" w:themeColor="text1"/>
                <w:sz w:val="24"/>
                <w:lang w:val="en-US" w:eastAsia="zh-CN"/>
                <w14:textFill>
                  <w14:solidFill>
                    <w14:schemeClr w14:val="tx1"/>
                  </w14:solidFill>
                </w14:textFill>
              </w:rPr>
              <w:t>施工结束后，对临时占地进行恢复</w:t>
            </w:r>
            <w:r>
              <w:rPr>
                <w:rFonts w:hint="eastAsia" w:ascii="Times New Roman" w:hAnsi="Times New Roman" w:eastAsia="宋体"/>
                <w:color w:val="000000" w:themeColor="text1"/>
                <w:sz w:val="24"/>
                <w14:textFill>
                  <w14:solidFill>
                    <w14:schemeClr w14:val="tx1"/>
                  </w14:solidFill>
                </w14:textFill>
              </w:rPr>
              <w:t xml:space="preserve">。 </w:t>
            </w:r>
          </w:p>
          <w:p w14:paraId="0E6D4BB6">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hint="eastAsia" w:ascii="Times New Roman" w:hAnsi="Times New Roman" w:eastAsia="宋体"/>
                <w:color w:val="000000" w:themeColor="text1"/>
                <w:sz w:val="24"/>
                <w14:textFill>
                  <w14:solidFill>
                    <w14:schemeClr w14:val="tx1"/>
                  </w14:solidFill>
                </w14:textFill>
              </w:rPr>
              <w:t xml:space="preserve">施工导致的生物量损失 </w:t>
            </w:r>
          </w:p>
          <w:p w14:paraId="29766B85">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本项目天然护坡基本为</w:t>
            </w:r>
            <w:r>
              <w:rPr>
                <w:rFonts w:hint="eastAsia" w:ascii="Times New Roman" w:hAnsi="Times New Roman" w:eastAsia="宋体"/>
                <w:color w:val="000000" w:themeColor="text1"/>
                <w:sz w:val="24"/>
                <w14:textFill>
                  <w14:solidFill>
                    <w14:schemeClr w14:val="tx1"/>
                  </w14:solidFill>
                </w14:textFill>
              </w:rPr>
              <w:t>沙地漫滩，其植被现状多为低矮灌草丛，其生物多样性少，生态结构简单，生物量较少。</w:t>
            </w:r>
          </w:p>
          <w:p w14:paraId="636F5D0F">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2</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对</w:t>
            </w:r>
            <w:r>
              <w:rPr>
                <w:rFonts w:hint="eastAsia"/>
                <w:color w:val="000000" w:themeColor="text1"/>
                <w:sz w:val="24"/>
                <w:lang w:eastAsia="zh-CN"/>
                <w14:textFill>
                  <w14:solidFill>
                    <w14:schemeClr w14:val="tx1"/>
                  </w14:solidFill>
                </w14:textFill>
              </w:rPr>
              <w:t>陆生植物和动植物</w:t>
            </w:r>
            <w:r>
              <w:rPr>
                <w:rFonts w:hint="eastAsia" w:ascii="Times New Roman" w:hAnsi="Times New Roman" w:eastAsia="宋体"/>
                <w:color w:val="000000" w:themeColor="text1"/>
                <w:sz w:val="24"/>
                <w14:textFill>
                  <w14:solidFill>
                    <w14:schemeClr w14:val="tx1"/>
                  </w14:solidFill>
                </w14:textFill>
              </w:rPr>
              <w:t>影响分析</w:t>
            </w:r>
          </w:p>
          <w:p w14:paraId="10CEE02B">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①</w:t>
            </w:r>
            <w:r>
              <w:rPr>
                <w:rFonts w:hint="eastAsia"/>
                <w:color w:val="000000" w:themeColor="text1"/>
                <w:sz w:val="24"/>
                <w:szCs w:val="24"/>
                <w:lang w:eastAsia="zh-CN"/>
                <w14:textFill>
                  <w14:solidFill>
                    <w14:schemeClr w14:val="tx1"/>
                  </w14:solidFill>
                </w14:textFill>
              </w:rPr>
              <w:t>对植物的影响分析</w:t>
            </w:r>
          </w:p>
          <w:p w14:paraId="282B4131">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施工期对植被的影响主要有占地范围内原有植物的剥离、清理及占压。在施工过程中，土壤开挖区范围内植物的地上部分与根系均被清除，施工带两侧的植被由于挖掘土石的堆放、人员的践踏、施工车辆和机具的碾压而受到不同程度的破坏，会造成地上部分破坏甚至死亡。</w:t>
            </w:r>
          </w:p>
          <w:p w14:paraId="75FDBA63">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工程填挖方均占压和清除一定数量的地表植物，使填挖区被生土覆盖或出露生土，植物恢复须经过较长时间。此外，石材、水泥的堆放也会占压一定的植物，尤其是水泥的抛撒，可造成附近土壤板结，影响植物生长。</w:t>
            </w:r>
          </w:p>
          <w:p w14:paraId="4BFFC26A">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工程对植被的影响呈线状分布。从工程类别的影响来看，永久占地原有植被全部遭到破坏，代之出现的是人工栽植的绿化植被；临时占地原有植被破坏面积估计可占到80%以上，其中大部分在2～3年内可得到恢复，要达到较好的恢复程度，需要3～5年时间。</w:t>
            </w:r>
          </w:p>
          <w:p w14:paraId="3AEE6BC8">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②</w:t>
            </w:r>
            <w:r>
              <w:rPr>
                <w:rFonts w:hint="eastAsia" w:ascii="宋体" w:hAnsi="宋体" w:eastAsia="宋体" w:cs="宋体"/>
                <w:color w:val="000000" w:themeColor="text1"/>
                <w:sz w:val="24"/>
                <w:szCs w:val="24"/>
                <w:lang w:eastAsia="zh-CN"/>
                <w14:textFill>
                  <w14:solidFill>
                    <w14:schemeClr w14:val="tx1"/>
                  </w14:solidFill>
                </w14:textFill>
              </w:rPr>
              <w:t>对动物的影响分析</w:t>
            </w:r>
          </w:p>
          <w:p w14:paraId="71EA3B13">
            <w:pPr>
              <w:pStyle w:val="4"/>
              <w:keepNext/>
              <w:keepLines/>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eastAsia"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评价区无重点保护的野生动物，常见动物为区域内广泛分布的种类，如野兔、田鼠、蛇等。项目施工期对动物的影响，主要是运输、施工噪声和人为活动，迫使动物离开场站和管道沿线区域。因此，在施工过程中应加强对施工人员活动区域的控制，减少对野生动物的干扰，夜间尽量减少活动；合理安排施工时间，在动物活动频繁季节停止施工。在此基础上，项目建设对野生动物的影响小。</w:t>
            </w:r>
          </w:p>
          <w:p w14:paraId="05048BC8">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fldChar w:fldCharType="begin"/>
            </w:r>
            <w:r>
              <w:rPr>
                <w:rFonts w:hint="eastAsia" w:ascii="宋体" w:hAnsi="宋体" w:eastAsia="宋体" w:cs="宋体"/>
                <w:color w:val="000000" w:themeColor="text1"/>
                <w:sz w:val="24"/>
                <w:szCs w:val="24"/>
                <w:lang w:val="en-US" w:eastAsia="zh-CN"/>
                <w14:textFill>
                  <w14:solidFill>
                    <w14:schemeClr w14:val="tx1"/>
                  </w14:solidFill>
                </w14:textFill>
              </w:rPr>
              <w:instrText xml:space="preserve"> = 3 \* GB3 \* MERGEFORMAT </w:instrText>
            </w:r>
            <w:r>
              <w:rPr>
                <w:rFonts w:hint="eastAsia" w:ascii="宋体" w:hAnsi="宋体" w:eastAsia="宋体" w:cs="宋体"/>
                <w:color w:val="000000" w:themeColor="text1"/>
                <w:sz w:val="24"/>
                <w:szCs w:val="24"/>
                <w:lang w:val="en-US" w:eastAsia="zh-CN"/>
                <w14:textFill>
                  <w14:solidFill>
                    <w14:schemeClr w14:val="tx1"/>
                  </w14:solidFill>
                </w14:textFill>
              </w:rPr>
              <w:fldChar w:fldCharType="separate"/>
            </w:r>
            <w:r>
              <w:rPr>
                <w:color w:val="000000" w:themeColor="text1"/>
                <w:sz w:val="24"/>
                <w:szCs w:val="24"/>
                <w14:textFill>
                  <w14:solidFill>
                    <w14:schemeClr w14:val="tx1"/>
                  </w14:solidFill>
                </w14:textFill>
              </w:rPr>
              <w:t>③</w:t>
            </w:r>
            <w:r>
              <w:rPr>
                <w:rFonts w:hint="eastAsia" w:ascii="宋体" w:hAnsi="宋体" w:eastAsia="宋体" w:cs="宋体"/>
                <w:color w:val="000000" w:themeColor="text1"/>
                <w:sz w:val="24"/>
                <w:szCs w:val="24"/>
                <w:lang w:val="en-US" w:eastAsia="zh-CN"/>
                <w14:textFill>
                  <w14:solidFill>
                    <w14:schemeClr w14:val="tx1"/>
                  </w14:solidFill>
                </w14:textFill>
              </w:rPr>
              <w:fldChar w:fldCharType="end"/>
            </w:r>
            <w:r>
              <w:rPr>
                <w:rFonts w:hint="eastAsia" w:ascii="宋体" w:hAnsi="宋体" w:eastAsia="宋体" w:cs="宋体"/>
                <w:color w:val="000000" w:themeColor="text1"/>
                <w:sz w:val="24"/>
                <w:szCs w:val="24"/>
                <w:lang w:val="en-US" w:eastAsia="zh-CN"/>
                <w14:textFill>
                  <w14:solidFill>
                    <w14:schemeClr w14:val="tx1"/>
                  </w14:solidFill>
                </w14:textFill>
              </w:rPr>
              <w:t>农业生态系统影响分析</w:t>
            </w:r>
          </w:p>
          <w:p w14:paraId="717A528F">
            <w:pPr>
              <w:pStyle w:val="53"/>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1）对生物代谢的影响</w:t>
            </w:r>
          </w:p>
          <w:p w14:paraId="1B3D112F">
            <w:pPr>
              <w:pStyle w:val="53"/>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扬尘污染物主要通过气孔进入细胞，布满植物叶片的整个叶面，堵塞气孔，妨碍光合作用、呼吸作用和蒸腾作用，从而危害植物，微尘中的一些有毒物质可通过溶解渗透，进入植物体内，产生毒害作用。</w:t>
            </w:r>
          </w:p>
          <w:p w14:paraId="6116C277">
            <w:pPr>
              <w:pStyle w:val="53"/>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A、</w:t>
            </w:r>
            <w:r>
              <w:rPr>
                <w:rFonts w:hint="eastAsia"/>
                <w:color w:val="000000" w:themeColor="text1"/>
                <w:sz w:val="24"/>
                <w:szCs w:val="24"/>
                <w14:textFill>
                  <w14:solidFill>
                    <w14:schemeClr w14:val="tx1"/>
                  </w14:solidFill>
                </w14:textFill>
              </w:rPr>
              <w:t>对光合作用的影响：叶片表面上覆盖的灰尘越多、时间越长，其受到灰尘的影响也越严重，光合作物受影响的程度也越明显。根据相关实验结果，植物叶片覆尘后光合速率均受到不同程度的影响，表现为下降的趋势。</w:t>
            </w:r>
          </w:p>
          <w:p w14:paraId="73B85D25">
            <w:pPr>
              <w:pStyle w:val="53"/>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B、</w:t>
            </w:r>
            <w:r>
              <w:rPr>
                <w:rFonts w:hint="eastAsia"/>
                <w:color w:val="000000" w:themeColor="text1"/>
                <w:sz w:val="24"/>
                <w:szCs w:val="24"/>
                <w14:textFill>
                  <w14:solidFill>
                    <w14:schemeClr w14:val="tx1"/>
                  </w14:solidFill>
                </w14:textFill>
              </w:rPr>
              <w:t>对气孔开放的影响：有研究说明，蒙尘后叶片的气孔导度比未蒙尘叶片的明显下降，有的甚至下降了50%。</w:t>
            </w:r>
          </w:p>
          <w:p w14:paraId="726F7459">
            <w:pPr>
              <w:pStyle w:val="53"/>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C、</w:t>
            </w:r>
            <w:r>
              <w:rPr>
                <w:rFonts w:hint="eastAsia"/>
                <w:color w:val="000000" w:themeColor="text1"/>
                <w:sz w:val="24"/>
                <w:szCs w:val="24"/>
                <w14:textFill>
                  <w14:solidFill>
                    <w14:schemeClr w14:val="tx1"/>
                  </w14:solidFill>
                </w14:textFill>
              </w:rPr>
              <w:t>对色素含量代谢的影响：植物中的色素含量对周围环境特别是大气污染的变化具有很强的敏感性，因此常常被用来指示大气污染物对植物生理状态的影响和改变。众多研究表明，扬尘污染能够降低叶片的叶绿素含量。</w:t>
            </w:r>
          </w:p>
          <w:p w14:paraId="3A34D618">
            <w:pPr>
              <w:pStyle w:val="53"/>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D、</w:t>
            </w:r>
            <w:r>
              <w:rPr>
                <w:rFonts w:hint="eastAsia"/>
                <w:color w:val="000000" w:themeColor="text1"/>
                <w:sz w:val="24"/>
                <w:szCs w:val="24"/>
                <w14:textFill>
                  <w14:solidFill>
                    <w14:schemeClr w14:val="tx1"/>
                  </w14:solidFill>
                </w14:textFill>
              </w:rPr>
              <w:t>对呼吸作用的影响：细小的灰尘颗粒覆盖在叶片上，堵塞了气孔，使叶片表面的温度升高，细胞内CO</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浓度升高O</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浓度降低，同时叶片的机械组织也受到不同程度的损伤，导致叶片呼吸作用减弱，呼吸速率下降。</w:t>
            </w:r>
          </w:p>
          <w:p w14:paraId="644436F6">
            <w:pPr>
              <w:pStyle w:val="53"/>
              <w:ind w:firstLine="480"/>
              <w:rPr>
                <w:rFonts w:hint="eastAsia"/>
                <w:color w:val="000000" w:themeColor="text1"/>
                <w:sz w:val="24"/>
                <w:szCs w:val="24"/>
                <w14:textFill>
                  <w14:solidFill>
                    <w14:schemeClr w14:val="tx1"/>
                  </w14:solidFill>
                </w14:textFill>
              </w:rPr>
            </w:pPr>
            <w:bookmarkStart w:id="5" w:name="_Toc11055464"/>
            <w:r>
              <w:rPr>
                <w:rFonts w:hint="eastAsia"/>
                <w:color w:val="000000" w:themeColor="text1"/>
                <w:sz w:val="24"/>
                <w:szCs w:val="24"/>
                <w:lang w:val="en-US" w:eastAsia="zh-CN"/>
                <w14:textFill>
                  <w14:solidFill>
                    <w14:schemeClr w14:val="tx1"/>
                  </w14:solidFill>
                </w14:textFill>
              </w:rPr>
              <w:t>E、</w:t>
            </w:r>
            <w:r>
              <w:rPr>
                <w:rFonts w:hint="eastAsia"/>
                <w:color w:val="000000" w:themeColor="text1"/>
                <w:sz w:val="24"/>
                <w:szCs w:val="24"/>
                <w14:textFill>
                  <w14:solidFill>
                    <w14:schemeClr w14:val="tx1"/>
                  </w14:solidFill>
                </w14:textFill>
              </w:rPr>
              <w:t>对蒸腾作用的影响：当叶片被灰尘覆盖后，影响了叶片对光的吸收，植物的蒸腾作用下降。</w:t>
            </w:r>
          </w:p>
          <w:bookmarkEnd w:id="5"/>
          <w:p w14:paraId="7450FD2E">
            <w:pPr>
              <w:pStyle w:val="53"/>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F、</w:t>
            </w:r>
            <w:r>
              <w:rPr>
                <w:rFonts w:hint="eastAsia"/>
                <w:color w:val="000000" w:themeColor="text1"/>
                <w:sz w:val="24"/>
                <w:szCs w:val="24"/>
                <w14:textFill>
                  <w14:solidFill>
                    <w14:schemeClr w14:val="tx1"/>
                  </w14:solidFill>
                </w14:textFill>
              </w:rPr>
              <w:t>对叶片温度的影响：灰尘能够提高叶表温度主要是因为：一是灰尘吸收太阳的近红外光，导致叶片被灰尘覆盖后表面的温度上升。二是气孔堵塞使叶片不能与外界进行气体交换，从而引进温度升高。三是由于灰尘的覆盖，叶片对水分的利用效率降低，细胞内水分的含量比较多，热量不能释放出去，以致叶表温度升高。</w:t>
            </w:r>
          </w:p>
          <w:p w14:paraId="2F590D7D">
            <w:pPr>
              <w:pStyle w:val="53"/>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2）对农作物生长类比分析</w:t>
            </w:r>
          </w:p>
          <w:p w14:paraId="0BE85885">
            <w:pPr>
              <w:pStyle w:val="53"/>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类比《沙尘暴粉尘对农作物呼吸作用的影响》（赵华军，甘肃农业大学，硕士论文）中相关研究结果。主要研究结果如下：</w:t>
            </w:r>
          </w:p>
          <w:p w14:paraId="08C3142A">
            <w:pPr>
              <w:pStyle w:val="53"/>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A、</w:t>
            </w:r>
            <w:r>
              <w:rPr>
                <w:rFonts w:hint="eastAsia" w:ascii="宋体" w:hAnsi="宋体" w:cs="宋体"/>
                <w:color w:val="000000" w:themeColor="text1"/>
                <w:sz w:val="24"/>
                <w:szCs w:val="24"/>
                <w14:textFill>
                  <w14:solidFill>
                    <w14:schemeClr w14:val="tx1"/>
                  </w14:solidFill>
                </w14:textFill>
              </w:rPr>
              <w:t>受沙尘暴粉尘的影响，小麦、玉米蒙尘叶的光合速率（P</w:t>
            </w:r>
            <w:r>
              <w:rPr>
                <w:rFonts w:hint="eastAsia" w:ascii="宋体" w:hAnsi="宋体" w:cs="宋体"/>
                <w:color w:val="000000" w:themeColor="text1"/>
                <w:sz w:val="24"/>
                <w:szCs w:val="24"/>
                <w:vertAlign w:val="subscript"/>
                <w14:textFill>
                  <w14:solidFill>
                    <w14:schemeClr w14:val="tx1"/>
                  </w14:solidFill>
                </w14:textFill>
              </w:rPr>
              <w:t>n</w:t>
            </w:r>
            <w:r>
              <w:rPr>
                <w:rFonts w:hint="eastAsia" w:ascii="宋体" w:hAnsi="宋体" w:cs="宋体"/>
                <w:color w:val="000000" w:themeColor="text1"/>
                <w:sz w:val="24"/>
                <w:szCs w:val="24"/>
                <w14:textFill>
                  <w14:solidFill>
                    <w14:schemeClr w14:val="tx1"/>
                  </w14:solidFill>
                </w14:textFill>
              </w:rPr>
              <w:t>）、蒸腾速率（T</w:t>
            </w:r>
            <w:r>
              <w:rPr>
                <w:rFonts w:hint="eastAsia" w:ascii="宋体" w:hAnsi="宋体" w:cs="宋体"/>
                <w:color w:val="000000" w:themeColor="text1"/>
                <w:sz w:val="24"/>
                <w:szCs w:val="24"/>
                <w:vertAlign w:val="subscript"/>
                <w14:textFill>
                  <w14:solidFill>
                    <w14:schemeClr w14:val="tx1"/>
                  </w14:solidFill>
                </w14:textFill>
              </w:rPr>
              <w:t>r</w:t>
            </w:r>
            <w:r>
              <w:rPr>
                <w:rFonts w:hint="eastAsia" w:ascii="宋体" w:hAnsi="宋体" w:cs="宋体"/>
                <w:color w:val="000000" w:themeColor="text1"/>
                <w:sz w:val="24"/>
                <w:szCs w:val="24"/>
                <w14:textFill>
                  <w14:solidFill>
                    <w14:schemeClr w14:val="tx1"/>
                  </w14:solidFill>
                </w14:textFill>
              </w:rPr>
              <w:t>）、气孔导度(G</w:t>
            </w:r>
            <w:r>
              <w:rPr>
                <w:rFonts w:hint="eastAsia" w:ascii="宋体" w:hAnsi="宋体" w:cs="宋体"/>
                <w:color w:val="000000" w:themeColor="text1"/>
                <w:sz w:val="24"/>
                <w:szCs w:val="24"/>
                <w:vertAlign w:val="subscript"/>
                <w14:textFill>
                  <w14:solidFill>
                    <w14:schemeClr w14:val="tx1"/>
                  </w14:solidFill>
                </w14:textFill>
              </w:rPr>
              <w:t>s</w:t>
            </w:r>
            <w:r>
              <w:rPr>
                <w:rFonts w:hint="eastAsia" w:ascii="宋体" w:hAnsi="宋体" w:cs="宋体"/>
                <w:color w:val="000000" w:themeColor="text1"/>
                <w:sz w:val="24"/>
                <w:szCs w:val="24"/>
                <w14:textFill>
                  <w14:solidFill>
                    <w14:schemeClr w14:val="tx1"/>
                  </w14:solidFill>
                </w14:textFill>
              </w:rPr>
              <w:t>)和呼吸速率（R）要低于未蒙尘叶；</w:t>
            </w:r>
          </w:p>
          <w:p w14:paraId="7887D075">
            <w:pPr>
              <w:pStyle w:val="53"/>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B、</w:t>
            </w:r>
            <w:r>
              <w:rPr>
                <w:rFonts w:hint="eastAsia" w:ascii="宋体" w:hAnsi="宋体" w:cs="宋体"/>
                <w:color w:val="000000" w:themeColor="text1"/>
                <w:sz w:val="24"/>
                <w:szCs w:val="24"/>
                <w14:textFill>
                  <w14:solidFill>
                    <w14:schemeClr w14:val="tx1"/>
                  </w14:solidFill>
                </w14:textFill>
              </w:rPr>
              <w:t>从整体上看，小麦、玉米叶片在沙尘暴粉尘覆盖下整个生育期内叶片叶绿素含量明显的下降；</w:t>
            </w:r>
          </w:p>
          <w:p w14:paraId="6B91DF22">
            <w:pPr>
              <w:pStyle w:val="53"/>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C、</w:t>
            </w:r>
            <w:r>
              <w:rPr>
                <w:rFonts w:hint="eastAsia" w:ascii="宋体" w:hAnsi="宋体" w:cs="宋体"/>
                <w:color w:val="000000" w:themeColor="text1"/>
                <w:sz w:val="24"/>
                <w:szCs w:val="24"/>
                <w14:textFill>
                  <w14:solidFill>
                    <w14:schemeClr w14:val="tx1"/>
                  </w14:solidFill>
                </w14:textFill>
              </w:rPr>
              <w:t>测得小麦、玉米叶中可溶性蛋白质的含量总体上表现出下降趋势，小麦蒙尘处理与未蒙尘处理之间差异显著（p&lt;0.01），而玉米蒙尘处理与未蒙尘处理无差异。</w:t>
            </w:r>
          </w:p>
          <w:p w14:paraId="1D2B3C6C">
            <w:pPr>
              <w:pStyle w:val="53"/>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default" w:ascii="Times New Roman" w:hAnsi="Times New Roman" w:cs="Times New Roman"/>
                <w:color w:val="000000" w:themeColor="text1"/>
                <w:sz w:val="24"/>
                <w:szCs w:val="24"/>
                <w14:textFill>
                  <w14:solidFill>
                    <w14:schemeClr w14:val="tx1"/>
                  </w14:solidFill>
                </w14:textFill>
              </w:rPr>
              <w:t>开敞式环境条件下，同种类农作物叶片纵向不同高度滞尘量比较发现，“上”位的滞尘量明显高于“中”和“下”位，这是由于开敞式环境条件下车辆行人繁多，造成路面较大程度的二次扬尘</w:t>
            </w:r>
          </w:p>
          <w:p w14:paraId="391480FC">
            <w:pPr>
              <w:pStyle w:val="53"/>
              <w:ind w:firstLine="480"/>
              <w:rPr>
                <w:rFonts w:hint="eastAsia" w:ascii="宋体" w:hAnsi="宋体" w:cs="宋体"/>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通过以上研究及分析可以看出，沙尘暴粉尘对农作物的播种、生长、成熟各个生长阶段具有不同程度的、不可忽视的、长期的危害作用。</w:t>
            </w:r>
          </w:p>
          <w:p w14:paraId="6758E921">
            <w:pPr>
              <w:pStyle w:val="53"/>
              <w:ind w:firstLine="48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3）对农作物影响分析</w:t>
            </w:r>
          </w:p>
          <w:p w14:paraId="5A9C77C8">
            <w:pPr>
              <w:pStyle w:val="53"/>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根据前述影响分析，运输道路扬尘的影响集中在道路两侧50m的范围内，当道路两侧种植有农作物时，扬尘会对这些农作物生长造成影响，降低农作物的产量和品质。由于植被的滞尘能力使得道路扬尘的影响范围有所减小，特别像玉米、高粱一类的高大农业植被滞尘能力较强，根据现场调查，对农植物的影响主要集中在道路两侧20m范围内，据此，本评价提出，对于有扬尘影响的道路两侧20m范围内的农业植物将按照减产50%或实际的作物产量的经济价值进行补偿，妥善解决好与当地群众的关系。</w:t>
            </w:r>
          </w:p>
          <w:p w14:paraId="173669BF">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ascii="Times New Roman" w:hAnsi="Times New Roman" w:eastAsia="宋体"/>
                <w:color w:val="FF0000"/>
                <w:sz w:val="24"/>
              </w:rPr>
            </w:pPr>
            <w:r>
              <w:rPr>
                <w:rFonts w:hint="eastAsia" w:ascii="Times New Roman" w:hAnsi="Times New Roman" w:eastAsia="宋体"/>
                <w:color w:val="FF0000"/>
                <w:sz w:val="24"/>
              </w:rPr>
              <w:t>（</w:t>
            </w:r>
            <w:r>
              <w:rPr>
                <w:rFonts w:hint="eastAsia"/>
                <w:color w:val="FF0000"/>
                <w:sz w:val="24"/>
                <w:lang w:val="en-US" w:eastAsia="zh-CN"/>
              </w:rPr>
              <w:t>3</w:t>
            </w:r>
            <w:r>
              <w:rPr>
                <w:rFonts w:hint="eastAsia" w:ascii="Times New Roman" w:hAnsi="Times New Roman" w:eastAsia="宋体"/>
                <w:color w:val="FF0000"/>
                <w:sz w:val="24"/>
              </w:rPr>
              <w:t>）对</w:t>
            </w:r>
            <w:r>
              <w:rPr>
                <w:rFonts w:hint="eastAsia"/>
                <w:color w:val="FF0000"/>
                <w:sz w:val="24"/>
                <w:lang w:eastAsia="zh-CN"/>
              </w:rPr>
              <w:t>湘乐川</w:t>
            </w:r>
            <w:r>
              <w:rPr>
                <w:rFonts w:hint="eastAsia" w:ascii="Times New Roman" w:hAnsi="Times New Roman" w:eastAsia="宋体"/>
                <w:color w:val="FF0000"/>
                <w:sz w:val="24"/>
              </w:rPr>
              <w:t>的影响</w:t>
            </w:r>
          </w:p>
          <w:p w14:paraId="353BF08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eastAsia" w:ascii="Times New Roman" w:hAnsi="Times New Roman" w:eastAsia="宋体"/>
                <w:color w:val="FF0000"/>
                <w:sz w:val="24"/>
              </w:rPr>
            </w:pPr>
            <w:r>
              <w:rPr>
                <w:rFonts w:hint="eastAsia" w:ascii="Times New Roman" w:hAnsi="Times New Roman" w:eastAsia="宋体"/>
                <w:color w:val="FF0000"/>
                <w:sz w:val="24"/>
              </w:rPr>
              <w:t>项目施工区域</w:t>
            </w:r>
            <w:r>
              <w:rPr>
                <w:rFonts w:hint="eastAsia"/>
                <w:color w:val="FF0000"/>
                <w:sz w:val="24"/>
                <w:lang w:eastAsia="zh-CN"/>
              </w:rPr>
              <w:t>在</w:t>
            </w:r>
            <w:r>
              <w:rPr>
                <w:rFonts w:hint="eastAsia" w:ascii="Times New Roman" w:hAnsi="Times New Roman" w:eastAsia="宋体"/>
                <w:color w:val="FF0000"/>
                <w:sz w:val="24"/>
              </w:rPr>
              <w:t>河道</w:t>
            </w:r>
            <w:r>
              <w:rPr>
                <w:rFonts w:hint="eastAsia"/>
                <w:color w:val="FF0000"/>
                <w:sz w:val="24"/>
                <w:lang w:eastAsia="zh-CN"/>
              </w:rPr>
              <w:t>两侧</w:t>
            </w:r>
            <w:r>
              <w:rPr>
                <w:rFonts w:hint="eastAsia" w:ascii="Times New Roman" w:hAnsi="Times New Roman" w:eastAsia="宋体"/>
                <w:color w:val="FF0000"/>
                <w:sz w:val="24"/>
              </w:rPr>
              <w:t>，如果不注意控制施工期废水防治措施，将有可能导致废水直接排入河流，产生水体污染。</w:t>
            </w:r>
          </w:p>
          <w:p w14:paraId="52F5C17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eastAsia" w:ascii="Times New Roman" w:hAnsi="Times New Roman" w:eastAsia="宋体"/>
                <w:color w:val="FF0000"/>
                <w:sz w:val="24"/>
              </w:rPr>
            </w:pPr>
            <w:r>
              <w:rPr>
                <w:rFonts w:hint="eastAsia" w:ascii="Times New Roman" w:hAnsi="Times New Roman" w:eastAsia="宋体" w:cs="宋体"/>
                <w:color w:val="FF0000"/>
                <w:sz w:val="24"/>
              </w:rPr>
              <w:t>①</w:t>
            </w:r>
            <w:r>
              <w:rPr>
                <w:rFonts w:hint="eastAsia" w:ascii="Times New Roman" w:hAnsi="Times New Roman"/>
                <w:color w:val="FF0000"/>
                <w:sz w:val="24"/>
                <w:lang w:eastAsia="zh-CN"/>
              </w:rPr>
              <w:t>施工导流</w:t>
            </w:r>
            <w:r>
              <w:rPr>
                <w:rFonts w:hint="eastAsia" w:ascii="Times New Roman" w:hAnsi="Times New Roman" w:eastAsia="宋体"/>
                <w:color w:val="FF0000"/>
                <w:sz w:val="24"/>
              </w:rPr>
              <w:t>采取土袋围堰法，土袋沉入水中的初期，可能会产生部分土壤颗粒被水流冲进水域内，使局部水环境浑浊度提高。但随着层层土袋的相互错缝与压实，土袋内的颗粒被水冲进水域的可能性减少。因此</w:t>
            </w:r>
            <w:r>
              <w:rPr>
                <w:rFonts w:hint="eastAsia"/>
                <w:color w:val="FF0000"/>
                <w:sz w:val="24"/>
                <w:lang w:eastAsia="zh-CN"/>
              </w:rPr>
              <w:t>项目</w:t>
            </w:r>
            <w:r>
              <w:rPr>
                <w:rFonts w:hint="eastAsia" w:ascii="Times New Roman" w:hAnsi="Times New Roman"/>
                <w:color w:val="FF0000"/>
                <w:sz w:val="24"/>
                <w:lang w:eastAsia="zh-CN"/>
              </w:rPr>
              <w:t>施工导流</w:t>
            </w:r>
            <w:r>
              <w:rPr>
                <w:rFonts w:hint="eastAsia" w:ascii="Times New Roman" w:hAnsi="Times New Roman" w:eastAsia="宋体"/>
                <w:color w:val="FF0000"/>
                <w:sz w:val="24"/>
              </w:rPr>
              <w:t>对河流的影响随着施工期的结束而结束。</w:t>
            </w:r>
          </w:p>
          <w:p w14:paraId="1EDD701A">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FF0000"/>
                <w:spacing w:val="0"/>
                <w:kern w:val="2"/>
                <w:sz w:val="24"/>
                <w:szCs w:val="24"/>
                <w:lang w:val="en-US" w:eastAsia="zh-CN" w:bidi="ar-SA"/>
              </w:rPr>
            </w:pPr>
            <w:r>
              <w:rPr>
                <w:rFonts w:hint="eastAsia" w:ascii="Times New Roman" w:hAnsi="Times New Roman" w:eastAsia="宋体" w:cs="Times New Roman"/>
                <w:color w:val="FF0000"/>
                <w:spacing w:val="0"/>
                <w:kern w:val="2"/>
                <w:sz w:val="24"/>
                <w:szCs w:val="24"/>
                <w:lang w:val="en-US" w:eastAsia="zh-CN" w:bidi="ar-SA"/>
              </w:rPr>
              <w:t>②</w:t>
            </w:r>
            <w:r>
              <w:rPr>
                <w:rFonts w:hint="default" w:ascii="Times New Roman" w:hAnsi="Times New Roman" w:eastAsia="宋体" w:cs="Times New Roman"/>
                <w:color w:val="FF0000"/>
                <w:spacing w:val="0"/>
                <w:kern w:val="2"/>
                <w:sz w:val="24"/>
                <w:szCs w:val="24"/>
                <w:lang w:val="en-US" w:eastAsia="zh-CN" w:bidi="ar-SA"/>
              </w:rPr>
              <w:t>项堤岸整治过程基本无废水产生。在护岸固脚上方坡面覆盖营养土时，若操作不规范或覆土过满，导致覆土散落河道内，以致河流水质中悬浮物浓度增高，造成区域内水体污染。由于护岸固脚上方的需覆土坡面有一定距离，且施工过程中小心操作，几乎无覆土落入河道内，且有堤岸石阶防护，基本无大量覆土遗落河内，因此堤岸整治施工对</w:t>
            </w:r>
            <w:r>
              <w:rPr>
                <w:rFonts w:hint="eastAsia" w:ascii="Times New Roman" w:hAnsi="Times New Roman" w:eastAsia="宋体" w:cs="Times New Roman"/>
                <w:color w:val="FF0000"/>
                <w:spacing w:val="0"/>
                <w:kern w:val="2"/>
                <w:sz w:val="24"/>
                <w:szCs w:val="24"/>
                <w:lang w:val="en-US" w:eastAsia="zh-CN" w:bidi="ar-SA"/>
              </w:rPr>
              <w:t>河流</w:t>
            </w:r>
            <w:r>
              <w:rPr>
                <w:rFonts w:hint="default" w:ascii="Times New Roman" w:hAnsi="Times New Roman" w:eastAsia="宋体" w:cs="Times New Roman"/>
                <w:color w:val="FF0000"/>
                <w:spacing w:val="0"/>
                <w:kern w:val="2"/>
                <w:sz w:val="24"/>
                <w:szCs w:val="24"/>
                <w:lang w:val="en-US" w:eastAsia="zh-CN" w:bidi="ar-SA"/>
              </w:rPr>
              <w:t>的影响较小。</w:t>
            </w:r>
          </w:p>
          <w:p w14:paraId="326AC7AC">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color w:val="FF0000"/>
                <w:sz w:val="24"/>
                <w:lang w:eastAsia="zh-CN"/>
              </w:rPr>
              <w:t>③</w:t>
            </w:r>
            <w:r>
              <w:rPr>
                <w:rFonts w:hint="eastAsia" w:ascii="Times New Roman" w:hAnsi="Times New Roman" w:eastAsia="宋体"/>
                <w:color w:val="FF0000"/>
                <w:sz w:val="24"/>
              </w:rPr>
              <w:t>项目施工期较短，施工过程中将产生少量人员</w:t>
            </w:r>
            <w:r>
              <w:rPr>
                <w:rFonts w:hint="eastAsia"/>
                <w:color w:val="FF0000"/>
                <w:sz w:val="24"/>
                <w:lang w:val="en-US" w:eastAsia="zh-CN"/>
              </w:rPr>
              <w:t>生活污水，</w:t>
            </w:r>
            <w:r>
              <w:rPr>
                <w:rFonts w:hint="eastAsia" w:cs="Times New Roman"/>
                <w:color w:val="FF0000"/>
                <w:sz w:val="24"/>
                <w:szCs w:val="24"/>
                <w:highlight w:val="none"/>
                <w:lang w:val="en-US" w:eastAsia="zh-CN"/>
              </w:rPr>
              <w:t>项目设置移动厕所，生活污水定期拉运至湘乐镇生活污水处理站处理</w:t>
            </w:r>
            <w:r>
              <w:rPr>
                <w:rFonts w:hint="eastAsia" w:ascii="Times New Roman" w:hAnsi="Times New Roman" w:eastAsia="宋体"/>
                <w:color w:val="FF0000"/>
                <w:sz w:val="24"/>
              </w:rPr>
              <w:t>，同时要求建设单位施工时避开丰水期和雨季，避免雨水冲刷产生径流流入河流。</w:t>
            </w:r>
          </w:p>
          <w:p w14:paraId="545BBC2A">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ascii="Times New Roman" w:hAnsi="Times New Roman" w:eastAsia="宋体"/>
                <w:color w:val="000000" w:themeColor="text1"/>
                <w:sz w:val="24"/>
                <w14:textFill>
                  <w14:solidFill>
                    <w14:schemeClr w14:val="tx1"/>
                  </w14:solidFill>
                </w14:textFill>
              </w:rPr>
              <w:t>）施工期水土流失影响</w:t>
            </w:r>
          </w:p>
          <w:p w14:paraId="6CE9E088">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施工期开挖工程会扰动土壤，如果施工期间恰逢降雨季会造成水土流失影响，评价要求企业施工期避开雨季，避免雨水冲刷施工期产生水土流失，同时压缩施工期，尽量减少对土壤扰动时间，必要时可采取分段</w:t>
            </w:r>
            <w:r>
              <w:rPr>
                <w:rFonts w:hint="eastAsia" w:ascii="Times New Roman" w:hAnsi="Times New Roman"/>
                <w:color w:val="000000" w:themeColor="text1"/>
                <w:sz w:val="24"/>
                <w:lang w:eastAsia="zh-CN"/>
                <w14:textFill>
                  <w14:solidFill>
                    <w14:schemeClr w14:val="tx1"/>
                  </w14:solidFill>
                </w14:textFill>
              </w:rPr>
              <w:t>施工</w:t>
            </w:r>
            <w:r>
              <w:rPr>
                <w:rFonts w:hint="eastAsia" w:ascii="Times New Roman" w:hAnsi="Times New Roman" w:eastAsia="宋体"/>
                <w:color w:val="000000" w:themeColor="text1"/>
                <w:sz w:val="24"/>
                <w14:textFill>
                  <w14:solidFill>
                    <w14:schemeClr w14:val="tx1"/>
                  </w14:solidFill>
                </w14:textFill>
              </w:rPr>
              <w:t>，以减少同一时间内土壤扰动区域。</w:t>
            </w:r>
          </w:p>
          <w:p w14:paraId="7CA941AA">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）对土壤的影响分析</w:t>
            </w:r>
          </w:p>
          <w:p w14:paraId="38BD22E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施工期对土壤的影响主要是占压造成土壤压实和对土壤表层的剥离，影响范围主要集中在</w:t>
            </w:r>
            <w:r>
              <w:rPr>
                <w:rFonts w:hint="eastAsia" w:ascii="Times New Roman" w:hAnsi="Times New Roman"/>
                <w:color w:val="000000" w:themeColor="text1"/>
                <w:sz w:val="24"/>
                <w:lang w:eastAsia="zh-CN"/>
                <w14:textFill>
                  <w14:solidFill>
                    <w14:schemeClr w14:val="tx1"/>
                  </w14:solidFill>
                </w14:textFill>
              </w:rPr>
              <w:t>护堤及护岸</w:t>
            </w:r>
            <w:r>
              <w:rPr>
                <w:rFonts w:hint="eastAsia" w:ascii="Times New Roman" w:hAnsi="Times New Roman" w:eastAsia="宋体"/>
                <w:color w:val="000000" w:themeColor="text1"/>
                <w:sz w:val="24"/>
                <w14:textFill>
                  <w14:solidFill>
                    <w14:schemeClr w14:val="tx1"/>
                  </w14:solidFill>
                </w14:textFill>
              </w:rPr>
              <w:t>施工作业带两侧范围内，而对此区域以外的土壤影响较小。根据项目内容，</w:t>
            </w:r>
            <w:r>
              <w:rPr>
                <w:rFonts w:hint="eastAsia" w:ascii="Times New Roman" w:hAnsi="Times New Roman"/>
                <w:color w:val="000000" w:themeColor="text1"/>
                <w:sz w:val="24"/>
                <w:lang w:eastAsia="zh-CN"/>
                <w14:textFill>
                  <w14:solidFill>
                    <w14:schemeClr w14:val="tx1"/>
                  </w14:solidFill>
                </w14:textFill>
              </w:rPr>
              <w:t>基础</w:t>
            </w:r>
            <w:r>
              <w:rPr>
                <w:rFonts w:hint="eastAsia" w:ascii="Times New Roman" w:hAnsi="Times New Roman" w:eastAsia="宋体"/>
                <w:color w:val="000000" w:themeColor="text1"/>
                <w:sz w:val="24"/>
                <w14:textFill>
                  <w14:solidFill>
                    <w14:schemeClr w14:val="tx1"/>
                  </w14:solidFill>
                </w14:textFill>
              </w:rPr>
              <w:t>开挖、回填对土壤的扰动和破坏最大。本项目对土壤的影响主要表现为对土壤性质、土壤肥力的影响和土壤污染三个方面。评价要求建设单位施工时将表层植被及土壤整体移开保存，并及时进行回填，对固体废物实施了严格的管理措施，进行了统一回填和专门处理，减少对土壤的影响。</w:t>
            </w:r>
          </w:p>
          <w:bookmarkEnd w:id="4"/>
          <w:p w14:paraId="61E0A13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sz w:val="24"/>
                <w:lang w:eastAsia="zh-CN"/>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6</w:t>
            </w:r>
            <w:r>
              <w:rPr>
                <w:rFonts w:hint="eastAsia" w:ascii="Times New Roman" w:hAnsi="Times New Roman" w:eastAsia="宋体"/>
                <w:color w:val="000000" w:themeColor="text1"/>
                <w:sz w:val="24"/>
                <w:lang w:eastAsia="zh-CN"/>
                <w14:textFill>
                  <w14:solidFill>
                    <w14:schemeClr w14:val="tx1"/>
                  </w14:solidFill>
                </w14:textFill>
              </w:rPr>
              <w:t>）水生生态的影响分析</w:t>
            </w:r>
          </w:p>
          <w:p w14:paraId="1F584276">
            <w:pPr>
              <w:widowControl/>
              <w:spacing w:line="360" w:lineRule="auto"/>
              <w:ind w:firstLine="480" w:firstLineChars="200"/>
              <w:jc w:val="left"/>
              <w:rPr>
                <w:rFonts w:hint="eastAsia"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该工程施工期对水生生物的主要影响是施工产生的泥沙等悬浮物进入水体，造成水体泥沙含量的增加，对浮游生物、底栖动物的生长繁殖不利，对鱼类的摄食、繁殖、栖息产生一定的不利影响。施工机械产生的噪声对鱼类的摄食、繁殖、栖息等产生一定的不利影响；水文条件发生改变，对水生生物产生一定的不利影响。</w:t>
            </w:r>
          </w:p>
          <w:p w14:paraId="636DF7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bookmarkStart w:id="6" w:name="_Toc12199"/>
            <w:r>
              <w:rPr>
                <w:rFonts w:hint="eastAsia"/>
                <w:color w:val="000000" w:themeColor="text1"/>
                <w:sz w:val="24"/>
                <w:szCs w:val="24"/>
                <w:lang w:eastAsia="zh-CN"/>
                <w14:textFill>
                  <w14:solidFill>
                    <w14:schemeClr w14:val="tx1"/>
                  </w14:solidFill>
                </w14:textFill>
              </w:rPr>
              <w:t>①对浮游生物的影响</w:t>
            </w:r>
          </w:p>
          <w:p w14:paraId="47A4A9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该工程施工扰动水体，造成水质浑浊，水中悬浮物浓度升高，降低了水域透明度，对浮游生物的生长繁殖产生一定的不利影响，但这种影响是暂时的，随着施工的结束而逐渐得到恢复。工程建设施工合理安排，尽量减少涉水工程面积，工程建设对浮游生物影响施工完成后可以自行恢复。运营期对浮游生物的生长繁殖有一定的积极作用。</w:t>
            </w:r>
          </w:p>
          <w:p w14:paraId="74F266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②对底栖生物的影响</w:t>
            </w:r>
          </w:p>
          <w:p w14:paraId="0A203E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该工程清淤疏浚等施工将破坏底栖动物生存环境，水库的底质类型和形态发生改变，底栖动物的生境条件和空间分布也将被改变。对底栖动物的生长繁殖产生一定的不利影响。施工结束后，底栖动物生境得以恢复。虽然底栖动物群落将逐步恢复；但是由于底栖动物区域性强，迁移能力弱，对于环境变化通常缺少回避能力，其群落重建需要相对较长的时间。</w:t>
            </w:r>
          </w:p>
          <w:p w14:paraId="3E8D4C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③对水生维管束植物的影响</w:t>
            </w:r>
          </w:p>
          <w:p w14:paraId="4E844131">
            <w:pPr>
              <w:spacing w:line="360" w:lineRule="auto"/>
              <w:ind w:firstLine="480" w:firstLineChars="200"/>
              <w:outlineLvl w:val="2"/>
              <w:rPr>
                <w:rStyle w:val="27"/>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施工河段的水生维管束植物主要是芦苇，为广布种，没有特有的水生植物属和特有种的分布，施工对其影响较小。运营期对水生维管束植物有一定的积极作用。</w:t>
            </w:r>
          </w:p>
          <w:p w14:paraId="7E7A0284">
            <w:pPr>
              <w:spacing w:line="360" w:lineRule="auto"/>
              <w:ind w:firstLine="480" w:firstLineChars="200"/>
              <w:outlineLvl w:val="2"/>
              <w:rPr>
                <w:rStyle w:val="27"/>
                <w:rFonts w:hint="default"/>
                <w:b w:val="0"/>
                <w:bCs w:val="0"/>
                <w:color w:val="000000" w:themeColor="text1"/>
                <w:sz w:val="24"/>
                <w:szCs w:val="24"/>
                <w14:textFill>
                  <w14:solidFill>
                    <w14:schemeClr w14:val="tx1"/>
                  </w14:solidFill>
                </w14:textFill>
              </w:rPr>
            </w:pPr>
            <w:r>
              <w:rPr>
                <w:rStyle w:val="27"/>
                <w:rFonts w:hint="eastAsia"/>
                <w:b w:val="0"/>
                <w:bCs w:val="0"/>
                <w:color w:val="000000" w:themeColor="text1"/>
                <w:sz w:val="24"/>
                <w:szCs w:val="24"/>
                <w:lang w:eastAsia="zh-CN"/>
                <w14:textFill>
                  <w14:solidFill>
                    <w14:schemeClr w14:val="tx1"/>
                  </w14:solidFill>
                </w14:textFill>
              </w:rPr>
              <w:t>④</w:t>
            </w:r>
            <w:r>
              <w:rPr>
                <w:rStyle w:val="27"/>
                <w:rFonts w:hint="default"/>
                <w:b w:val="0"/>
                <w:bCs w:val="0"/>
                <w:color w:val="000000" w:themeColor="text1"/>
                <w:sz w:val="24"/>
                <w:szCs w:val="24"/>
                <w14:textFill>
                  <w14:solidFill>
                    <w14:schemeClr w14:val="tx1"/>
                  </w14:solidFill>
                </w14:textFill>
              </w:rPr>
              <w:t>对鱼类区系组成的影响。</w:t>
            </w:r>
            <w:bookmarkEnd w:id="6"/>
            <w:bookmarkStart w:id="7" w:name="_Hlk19355460"/>
          </w:p>
          <w:p w14:paraId="2509C278">
            <w:pPr>
              <w:widowControl/>
              <w:spacing w:line="360" w:lineRule="auto"/>
              <w:ind w:firstLine="480" w:firstLineChars="200"/>
              <w:jc w:val="left"/>
              <w:rPr>
                <w:rFonts w:hint="eastAsia" w:cs="Times New Roman"/>
                <w:b w:val="0"/>
                <w:bCs w:val="0"/>
                <w:color w:val="000000" w:themeColor="text1"/>
                <w:kern w:val="0"/>
                <w:sz w:val="24"/>
                <w:szCs w:val="24"/>
                <w:lang w:bidi="ar"/>
                <w14:textFill>
                  <w14:solidFill>
                    <w14:schemeClr w14:val="tx1"/>
                  </w14:solidFill>
                </w14:textFill>
              </w:rPr>
            </w:pPr>
            <w:r>
              <w:rPr>
                <w:rFonts w:hint="eastAsia" w:cs="Times New Roman"/>
                <w:b w:val="0"/>
                <w:bCs w:val="0"/>
                <w:color w:val="000000" w:themeColor="text1"/>
                <w:kern w:val="0"/>
                <w:sz w:val="24"/>
                <w:szCs w:val="24"/>
                <w:lang w:bidi="ar"/>
                <w14:textFill>
                  <w14:solidFill>
                    <w14:schemeClr w14:val="tx1"/>
                  </w14:solidFill>
                </w14:textFill>
              </w:rPr>
              <w:t>该工程的施工对鱼类的主要影响为扰动河床产生的悬浮物、噪声和震动的影响；不会造成鱼类种类的消失和灭绝，鱼类区系组成不会发生直接的变化，对鱼类区系组成无直接的影响。</w:t>
            </w:r>
            <w:bookmarkEnd w:id="7"/>
          </w:p>
          <w:p w14:paraId="4891C8CB">
            <w:pPr>
              <w:spacing w:line="360" w:lineRule="auto"/>
              <w:ind w:firstLine="480" w:firstLineChars="200"/>
              <w:outlineLvl w:val="2"/>
              <w:rPr>
                <w:rStyle w:val="27"/>
                <w:rFonts w:hint="default"/>
                <w:b w:val="0"/>
                <w:bCs w:val="0"/>
                <w:color w:val="000000" w:themeColor="text1"/>
                <w:sz w:val="24"/>
                <w:szCs w:val="24"/>
                <w14:textFill>
                  <w14:solidFill>
                    <w14:schemeClr w14:val="tx1"/>
                  </w14:solidFill>
                </w14:textFill>
              </w:rPr>
            </w:pPr>
            <w:bookmarkStart w:id="8" w:name="_Toc7137"/>
            <w:r>
              <w:rPr>
                <w:rStyle w:val="27"/>
                <w:rFonts w:hint="eastAsia"/>
                <w:b w:val="0"/>
                <w:bCs w:val="0"/>
                <w:color w:val="000000" w:themeColor="text1"/>
                <w:sz w:val="24"/>
                <w:szCs w:val="24"/>
                <w:lang w:eastAsia="zh-CN"/>
                <w14:textFill>
                  <w14:solidFill>
                    <w14:schemeClr w14:val="tx1"/>
                  </w14:solidFill>
                </w14:textFill>
              </w:rPr>
              <w:t>⑤</w:t>
            </w:r>
            <w:r>
              <w:rPr>
                <w:rStyle w:val="27"/>
                <w:rFonts w:hint="default"/>
                <w:b w:val="0"/>
                <w:bCs w:val="0"/>
                <w:color w:val="000000" w:themeColor="text1"/>
                <w:sz w:val="24"/>
                <w:szCs w:val="24"/>
                <w14:textFill>
                  <w14:solidFill>
                    <w14:schemeClr w14:val="tx1"/>
                  </w14:solidFill>
                </w14:textFill>
              </w:rPr>
              <w:t>对鱼类种群结构的影响。</w:t>
            </w:r>
            <w:bookmarkEnd w:id="8"/>
            <w:bookmarkStart w:id="9" w:name="_Hlk19355449"/>
          </w:p>
          <w:p w14:paraId="77B8F281">
            <w:pPr>
              <w:widowControl/>
              <w:spacing w:line="360" w:lineRule="auto"/>
              <w:ind w:firstLine="480" w:firstLineChars="200"/>
              <w:jc w:val="left"/>
              <w:rPr>
                <w:rFonts w:hint="eastAsia" w:cs="Times New Roman"/>
                <w:b w:val="0"/>
                <w:bCs w:val="0"/>
                <w:color w:val="000000" w:themeColor="text1"/>
                <w:kern w:val="0"/>
                <w:sz w:val="24"/>
                <w:szCs w:val="24"/>
                <w:lang w:bidi="ar"/>
                <w14:textFill>
                  <w14:solidFill>
                    <w14:schemeClr w14:val="tx1"/>
                  </w14:solidFill>
                </w14:textFill>
              </w:rPr>
            </w:pPr>
            <w:r>
              <w:rPr>
                <w:rFonts w:hint="eastAsia" w:cs="Times New Roman"/>
                <w:b w:val="0"/>
                <w:bCs w:val="0"/>
                <w:color w:val="000000" w:themeColor="text1"/>
                <w:kern w:val="0"/>
                <w:sz w:val="24"/>
                <w:szCs w:val="24"/>
                <w:lang w:bidi="ar"/>
                <w14:textFill>
                  <w14:solidFill>
                    <w14:schemeClr w14:val="tx1"/>
                  </w14:solidFill>
                </w14:textFill>
              </w:rPr>
              <w:t>该工程的施工扰动河床产生的悬浮物，对工程区及其下游鱼类的摄食、栖息、生长等产生一定的不利</w:t>
            </w:r>
            <w:r>
              <w:rPr>
                <w:rFonts w:hint="eastAsia" w:cs="Times New Roman"/>
                <w:b w:val="0"/>
                <w:bCs w:val="0"/>
                <w:color w:val="000000" w:themeColor="text1"/>
                <w:kern w:val="0"/>
                <w:sz w:val="24"/>
                <w:szCs w:val="24"/>
                <w:lang w:val="en-US" w:eastAsia="zh-CN" w:bidi="ar"/>
                <w14:textFill>
                  <w14:solidFill>
                    <w14:schemeClr w14:val="tx1"/>
                  </w14:solidFill>
                </w14:textFill>
              </w:rPr>
              <w:t>影响</w:t>
            </w:r>
            <w:r>
              <w:rPr>
                <w:rFonts w:hint="eastAsia" w:cs="Times New Roman"/>
                <w:b w:val="0"/>
                <w:bCs w:val="0"/>
                <w:color w:val="000000" w:themeColor="text1"/>
                <w:kern w:val="0"/>
                <w:sz w:val="24"/>
                <w:szCs w:val="24"/>
                <w:lang w:bidi="ar"/>
                <w14:textFill>
                  <w14:solidFill>
                    <w14:schemeClr w14:val="tx1"/>
                  </w14:solidFill>
                </w14:textFill>
              </w:rPr>
              <w:t>；施工产生的噪声和震动对鱼类的生活习性产生一定的不利影响，工程影响水域由于受施工扰动、噪声和震动的影响，鱼类种群结构会发生一定的变化，对鱼类的种群结构产生一定的不利影响。</w:t>
            </w:r>
            <w:bookmarkEnd w:id="9"/>
          </w:p>
          <w:p w14:paraId="49528F2E">
            <w:pPr>
              <w:spacing w:line="360" w:lineRule="auto"/>
              <w:ind w:firstLine="480" w:firstLineChars="200"/>
              <w:outlineLvl w:val="2"/>
              <w:rPr>
                <w:rStyle w:val="27"/>
                <w:rFonts w:hint="default"/>
                <w:b w:val="0"/>
                <w:bCs w:val="0"/>
                <w:color w:val="000000" w:themeColor="text1"/>
                <w:sz w:val="24"/>
                <w:szCs w:val="24"/>
                <w14:textFill>
                  <w14:solidFill>
                    <w14:schemeClr w14:val="tx1"/>
                  </w14:solidFill>
                </w14:textFill>
              </w:rPr>
            </w:pPr>
            <w:bookmarkStart w:id="10" w:name="_Toc3475"/>
            <w:r>
              <w:rPr>
                <w:rStyle w:val="27"/>
                <w:rFonts w:hint="eastAsia"/>
                <w:b w:val="0"/>
                <w:bCs w:val="0"/>
                <w:color w:val="000000" w:themeColor="text1"/>
                <w:sz w:val="24"/>
                <w:szCs w:val="24"/>
                <w:lang w:eastAsia="zh-CN"/>
                <w14:textFill>
                  <w14:solidFill>
                    <w14:schemeClr w14:val="tx1"/>
                  </w14:solidFill>
                </w14:textFill>
              </w:rPr>
              <w:t>⑥</w:t>
            </w:r>
            <w:r>
              <w:rPr>
                <w:rStyle w:val="27"/>
                <w:rFonts w:hint="default"/>
                <w:b w:val="0"/>
                <w:bCs w:val="0"/>
                <w:color w:val="000000" w:themeColor="text1"/>
                <w:sz w:val="24"/>
                <w:szCs w:val="24"/>
                <w14:textFill>
                  <w14:solidFill>
                    <w14:schemeClr w14:val="tx1"/>
                  </w14:solidFill>
                </w14:textFill>
              </w:rPr>
              <w:t>对鱼类资源的影响。</w:t>
            </w:r>
            <w:bookmarkEnd w:id="10"/>
            <w:bookmarkStart w:id="11" w:name="_Hlk19355431"/>
          </w:p>
          <w:p w14:paraId="33EC30FA">
            <w:pPr>
              <w:widowControl/>
              <w:spacing w:line="360" w:lineRule="auto"/>
              <w:ind w:firstLine="480" w:firstLineChars="200"/>
              <w:jc w:val="left"/>
              <w:rPr>
                <w:rFonts w:hint="eastAsia" w:cs="Times New Roman"/>
                <w:b w:val="0"/>
                <w:bCs w:val="0"/>
                <w:color w:val="000000" w:themeColor="text1"/>
                <w:kern w:val="0"/>
                <w:sz w:val="24"/>
                <w:szCs w:val="24"/>
                <w:lang w:bidi="ar"/>
                <w14:textFill>
                  <w14:solidFill>
                    <w14:schemeClr w14:val="tx1"/>
                  </w14:solidFill>
                </w14:textFill>
              </w:rPr>
            </w:pPr>
            <w:r>
              <w:rPr>
                <w:rFonts w:hint="eastAsia" w:cs="Times New Roman"/>
                <w:b w:val="0"/>
                <w:bCs w:val="0"/>
                <w:color w:val="000000" w:themeColor="text1"/>
                <w:kern w:val="0"/>
                <w:sz w:val="24"/>
                <w:szCs w:val="24"/>
                <w:lang w:bidi="ar"/>
                <w14:textFill>
                  <w14:solidFill>
                    <w14:schemeClr w14:val="tx1"/>
                  </w14:solidFill>
                </w14:textFill>
              </w:rPr>
              <w:t>该工程的施工短期内造成影响水域及其上下游水域鱼类资源下降，在施工区域鱼类活动减弱。施工结束后，随着时间的推移，鱼类将逐步适应新环境，影响将逐步消失。</w:t>
            </w:r>
            <w:bookmarkEnd w:id="11"/>
          </w:p>
          <w:p w14:paraId="01678F06">
            <w:pPr>
              <w:spacing w:line="360" w:lineRule="auto"/>
              <w:ind w:firstLine="480" w:firstLineChars="200"/>
              <w:outlineLvl w:val="2"/>
              <w:rPr>
                <w:rStyle w:val="27"/>
                <w:rFonts w:hint="default"/>
                <w:b w:val="0"/>
                <w:bCs w:val="0"/>
                <w:color w:val="000000" w:themeColor="text1"/>
                <w:sz w:val="24"/>
                <w:szCs w:val="24"/>
                <w14:textFill>
                  <w14:solidFill>
                    <w14:schemeClr w14:val="tx1"/>
                  </w14:solidFill>
                </w14:textFill>
              </w:rPr>
            </w:pPr>
            <w:bookmarkStart w:id="12" w:name="_Toc13515"/>
            <w:r>
              <w:rPr>
                <w:rStyle w:val="27"/>
                <w:rFonts w:hint="eastAsia"/>
                <w:b w:val="0"/>
                <w:bCs w:val="0"/>
                <w:color w:val="000000" w:themeColor="text1"/>
                <w:sz w:val="24"/>
                <w:szCs w:val="24"/>
                <w:lang w:eastAsia="zh-CN"/>
                <w14:textFill>
                  <w14:solidFill>
                    <w14:schemeClr w14:val="tx1"/>
                  </w14:solidFill>
                </w14:textFill>
              </w:rPr>
              <w:t>⑦</w:t>
            </w:r>
            <w:r>
              <w:rPr>
                <w:rStyle w:val="27"/>
                <w:rFonts w:hint="default"/>
                <w:b w:val="0"/>
                <w:bCs w:val="0"/>
                <w:color w:val="000000" w:themeColor="text1"/>
                <w:sz w:val="24"/>
                <w:szCs w:val="24"/>
                <w14:textFill>
                  <w14:solidFill>
                    <w14:schemeClr w14:val="tx1"/>
                  </w14:solidFill>
                </w14:textFill>
              </w:rPr>
              <w:t>对鱼类繁殖的影响。</w:t>
            </w:r>
            <w:bookmarkEnd w:id="12"/>
            <w:bookmarkStart w:id="13" w:name="_Hlk19355416"/>
          </w:p>
          <w:p w14:paraId="04E172B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outlineLvl w:val="2"/>
              <w:rPr>
                <w:rFonts w:ascii="Times New Roman" w:hAnsi="Times New Roman" w:eastAsia="宋体"/>
                <w:b/>
                <w:color w:val="000000" w:themeColor="text1"/>
                <w:sz w:val="24"/>
                <w:szCs w:val="24"/>
                <w14:textFill>
                  <w14:solidFill>
                    <w14:schemeClr w14:val="tx1"/>
                  </w14:solidFill>
                </w14:textFill>
              </w:rPr>
            </w:pPr>
            <w:r>
              <w:rPr>
                <w:rFonts w:hint="eastAsia" w:cs="Times New Roman"/>
                <w:b w:val="0"/>
                <w:bCs w:val="0"/>
                <w:color w:val="000000" w:themeColor="text1"/>
                <w:kern w:val="0"/>
                <w:sz w:val="24"/>
                <w:szCs w:val="24"/>
                <w:lang w:bidi="ar"/>
                <w14:textFill>
                  <w14:solidFill>
                    <w14:schemeClr w14:val="tx1"/>
                  </w14:solidFill>
                </w14:textFill>
              </w:rPr>
              <w:t>由于受施工扰动产生的悬浮物及噪声、震动等影响，对鱼类的生长、栖息、摄食等产生一定的不利影响。但该工程影响水域无鱼类的产卵场分布，且避开繁殖期施工，对鱼类的繁</w:t>
            </w:r>
            <w:r>
              <w:rPr>
                <w:rFonts w:hint="eastAsia" w:cs="Times New Roman"/>
                <w:color w:val="000000" w:themeColor="text1"/>
                <w:kern w:val="0"/>
                <w:sz w:val="24"/>
                <w:szCs w:val="24"/>
                <w:lang w:bidi="ar"/>
                <w14:textFill>
                  <w14:solidFill>
                    <w14:schemeClr w14:val="tx1"/>
                  </w14:solidFill>
                </w14:textFill>
              </w:rPr>
              <w:t>殖不会产生明显的影响。</w:t>
            </w:r>
            <w:bookmarkEnd w:id="13"/>
          </w:p>
          <w:p w14:paraId="617977E6">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3、环境影响分析</w:t>
            </w:r>
          </w:p>
          <w:p w14:paraId="6232CA74">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36"/>
                <w:lang w:val="en-US" w:eastAsia="zh-CN"/>
                <w14:textFill>
                  <w14:solidFill>
                    <w14:schemeClr w14:val="tx1"/>
                  </w14:solidFill>
                </w14:textFill>
              </w:rPr>
              <w:t>1</w:t>
            </w:r>
            <w:r>
              <w:rPr>
                <w:rFonts w:hint="eastAsia"/>
                <w:b/>
                <w:bCs/>
                <w:color w:val="000000" w:themeColor="text1"/>
                <w:sz w:val="24"/>
                <w:szCs w:val="36"/>
                <w:lang w:eastAsia="zh-CN"/>
                <w14:textFill>
                  <w14:solidFill>
                    <w14:schemeClr w14:val="tx1"/>
                  </w14:solidFill>
                </w14:textFill>
              </w:rPr>
              <w:t>）</w:t>
            </w:r>
            <w:r>
              <w:rPr>
                <w:rFonts w:ascii="Times New Roman" w:hAnsi="Times New Roman" w:eastAsia="宋体"/>
                <w:b/>
                <w:bCs/>
                <w:color w:val="000000" w:themeColor="text1"/>
                <w:sz w:val="24"/>
                <w:szCs w:val="24"/>
                <w14:textFill>
                  <w14:solidFill>
                    <w14:schemeClr w14:val="tx1"/>
                  </w14:solidFill>
                </w14:textFill>
              </w:rPr>
              <w:t>废气</w:t>
            </w:r>
          </w:p>
          <w:p w14:paraId="5EA91D07">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本项目施工期对周边环境空气的污染源主要有：土方开挖、回填过程中产生的扬尘；施工机械及机动车辆产生的尾气</w:t>
            </w:r>
            <w:r>
              <w:rPr>
                <w:rFonts w:hint="eastAsia"/>
                <w:color w:val="000000" w:themeColor="text1"/>
                <w:sz w:val="24"/>
                <w:szCs w:val="24"/>
                <w:lang w:eastAsia="zh-CN"/>
                <w14:textFill>
                  <w14:solidFill>
                    <w14:schemeClr w14:val="tx1"/>
                  </w14:solidFill>
                </w14:textFill>
              </w:rPr>
              <w:t>。</w:t>
            </w:r>
          </w:p>
          <w:p w14:paraId="506D2372">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1）施工扬尘</w:t>
            </w:r>
          </w:p>
          <w:p w14:paraId="78DF0D1D">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施工扬尘主要产生在主体的开挖和回填，土方运输、堆放也容易形成扬尘。施工扬尘是施工活动中的一个重要污染因素，将对工程区两侧一定范围内环境空气质量造成影响。施工扬尘的大小，随施工季节，土壤类别情况、土壤颗粒的松散程度、土壤的含水率、施工管理以及运输道路的清洁程度等不同而差异甚大。</w:t>
            </w:r>
          </w:p>
          <w:p w14:paraId="03C6FB9E">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FF0000"/>
                <w:sz w:val="24"/>
                <w:szCs w:val="24"/>
                <w:highlight w:val="none"/>
              </w:rPr>
            </w:pPr>
            <w:r>
              <w:rPr>
                <w:rFonts w:hint="eastAsia" w:ascii="Times New Roman" w:hAnsi="Times New Roman" w:eastAsia="宋体"/>
                <w:color w:val="FF0000"/>
                <w:sz w:val="24"/>
                <w:szCs w:val="24"/>
                <w:highlight w:val="none"/>
              </w:rPr>
              <w:t>参考《环境影响评价技术手册—水利水电工程》，粉尘的排放系数为0.96吨/万立方米</w:t>
            </w:r>
            <w:r>
              <w:rPr>
                <w:rFonts w:hint="eastAsia"/>
                <w:color w:val="FF0000"/>
                <w:sz w:val="24"/>
                <w:szCs w:val="24"/>
                <w:highlight w:val="none"/>
                <w:lang w:eastAsia="zh-CN"/>
              </w:rPr>
              <w:t>，</w:t>
            </w:r>
            <w:r>
              <w:rPr>
                <w:rFonts w:hint="eastAsia" w:ascii="Times New Roman" w:hAnsi="Times New Roman" w:eastAsia="宋体"/>
                <w:color w:val="FF0000"/>
                <w:sz w:val="24"/>
                <w:szCs w:val="24"/>
                <w:highlight w:val="none"/>
              </w:rPr>
              <w:t>本项目开挖填筑土方合计</w:t>
            </w:r>
            <w:r>
              <w:rPr>
                <w:rFonts w:hint="eastAsia"/>
                <w:color w:val="FF0000"/>
                <w:sz w:val="24"/>
                <w:szCs w:val="24"/>
                <w:highlight w:val="none"/>
                <w:lang w:val="en-US" w:eastAsia="zh-CN"/>
              </w:rPr>
              <w:t>10.74万</w:t>
            </w:r>
            <w:r>
              <w:rPr>
                <w:rFonts w:hint="eastAsia" w:ascii="Times New Roman" w:hAnsi="Times New Roman" w:eastAsia="宋体"/>
                <w:color w:val="FF0000"/>
                <w:sz w:val="24"/>
                <w:szCs w:val="24"/>
                <w:highlight w:val="none"/>
              </w:rPr>
              <w:t>立方米，粉尘排放量</w:t>
            </w:r>
            <w:r>
              <w:rPr>
                <w:rFonts w:hint="eastAsia" w:ascii="Times New Roman" w:hAnsi="Times New Roman"/>
                <w:color w:val="FF0000"/>
                <w:sz w:val="24"/>
                <w:szCs w:val="24"/>
                <w:highlight w:val="none"/>
                <w:lang w:eastAsia="zh-CN"/>
              </w:rPr>
              <w:t>约</w:t>
            </w:r>
            <w:r>
              <w:rPr>
                <w:rFonts w:hint="eastAsia"/>
                <w:color w:val="FF0000"/>
                <w:sz w:val="24"/>
                <w:szCs w:val="24"/>
                <w:highlight w:val="none"/>
                <w:lang w:val="en-US" w:eastAsia="zh-CN"/>
              </w:rPr>
              <w:t>10.31</w:t>
            </w:r>
            <w:r>
              <w:rPr>
                <w:rFonts w:hint="eastAsia" w:ascii="Times New Roman" w:hAnsi="Times New Roman" w:eastAsia="宋体"/>
                <w:color w:val="FF0000"/>
                <w:sz w:val="24"/>
                <w:szCs w:val="24"/>
                <w:highlight w:val="none"/>
              </w:rPr>
              <w:t>吨。</w:t>
            </w:r>
          </w:p>
          <w:p w14:paraId="595077F5">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FF0000"/>
                <w:sz w:val="24"/>
                <w:szCs w:val="24"/>
              </w:rPr>
            </w:pPr>
            <w:r>
              <w:rPr>
                <w:rFonts w:hint="eastAsia" w:ascii="Times New Roman" w:hAnsi="Times New Roman" w:eastAsia="宋体"/>
                <w:color w:val="FF0000"/>
                <w:sz w:val="24"/>
                <w:szCs w:val="24"/>
              </w:rPr>
              <w:t>根据施工组织设计，本项目土方挖掘工作要尽量避开春季大风天气施工，并在开挖作业时洒水降尘。相关研究表明，开挖作业扬尘一般在洒水情况下，扬尘量会小于0.1%，影响距离不大于50m；在干燥情况下，可以达到1%以上。同时，在施工现场洒水降尘，在春季干燥季节，施工道路要每天上下午各洒水一次，加强施工现场的管理，可大大减少对周围环境的影响。</w:t>
            </w:r>
          </w:p>
          <w:p w14:paraId="417126B4">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在施工过程中，土方开挖等作业应妥善防护临时堆土，减少在大风的天气下进行施工作业，同时注意调整土方开挖和土方回填作业的时间，能够有效的避免扬尘的发生。严格遵守《国务院关于印发打赢蓝天保卫战三年行动计划的通知》中对扬尘污染的管理</w:t>
            </w:r>
            <w:r>
              <w:rPr>
                <w:rFonts w:hint="eastAsia"/>
                <w:color w:val="000000" w:themeColor="text1"/>
                <w:sz w:val="24"/>
                <w:szCs w:val="24"/>
                <w:lang w:eastAsia="zh-CN"/>
                <w14:textFill>
                  <w14:solidFill>
                    <w14:schemeClr w14:val="tx1"/>
                  </w14:solidFill>
                </w14:textFill>
              </w:rPr>
              <w:t>的要求。施工机械尾气。</w:t>
            </w:r>
          </w:p>
          <w:p w14:paraId="3007C6FA">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b/>
                <w:bCs/>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lang w:eastAsia="zh-CN"/>
                <w14:textFill>
                  <w14:solidFill>
                    <w14:schemeClr w14:val="tx1"/>
                  </w14:solidFill>
                </w14:textFill>
              </w:rPr>
              <w:t>）施工机械尾气</w:t>
            </w:r>
          </w:p>
          <w:p w14:paraId="4A5CE5F6">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 xml:space="preserve">施工机械尾气主要是施工机械和运输车辆排放的尾气。施工机械尾气污染产生的主要因素为燃料油种类、机械性能、作业方式和风力等，其中机械性能、作业方式因素的影响最大。 </w:t>
            </w:r>
          </w:p>
          <w:p w14:paraId="34FB5FC7">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运输车辆和部分施工机械在怠速、减速和加速时产生的污染最为严重。经调查，在一般气象条件下，平均风速2.5m/s时，建筑工地的NO</w:t>
            </w:r>
            <w:r>
              <w:rPr>
                <w:rFonts w:hint="eastAsia"/>
                <w:color w:val="000000" w:themeColor="text1"/>
                <w:sz w:val="24"/>
                <w:szCs w:val="24"/>
                <w:vertAlign w:val="sub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、CO、烃类物质的浓度为其上风向的5.4-6倍，其NO</w:t>
            </w:r>
            <w:r>
              <w:rPr>
                <w:rFonts w:hint="eastAsia"/>
                <w:color w:val="000000" w:themeColor="text1"/>
                <w:sz w:val="24"/>
                <w:szCs w:val="24"/>
                <w:vertAlign w:val="sub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、CO、烃类物质的影响范围在其下风向可达100m，影响范围内NO</w:t>
            </w:r>
            <w:r>
              <w:rPr>
                <w:rFonts w:hint="eastAsia"/>
                <w:color w:val="000000" w:themeColor="text1"/>
                <w:sz w:val="24"/>
                <w:szCs w:val="24"/>
                <w:vertAlign w:val="sub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、CO、烃类物质的浓度均值分别为0.216mg/Nm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、10.03mg/Nm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、1.05mg/Nm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。通过加强施工机械设备的维修保养，施工机械和运输车辆的废气排放量较少，不会对周围大气环境产生明显影响。</w:t>
            </w:r>
          </w:p>
          <w:p w14:paraId="03D0F48C">
            <w:pPr>
              <w:pStyle w:val="8"/>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36"/>
                <w:lang w:val="en-US" w:eastAsia="zh-CN"/>
                <w14:textFill>
                  <w14:solidFill>
                    <w14:schemeClr w14:val="tx1"/>
                  </w14:solidFill>
                </w14:textFill>
              </w:rPr>
              <w:t>2</w:t>
            </w:r>
            <w:r>
              <w:rPr>
                <w:rFonts w:hint="eastAsia"/>
                <w:b/>
                <w:bCs/>
                <w:color w:val="000000" w:themeColor="text1"/>
                <w:sz w:val="24"/>
                <w:szCs w:val="36"/>
                <w:lang w:eastAsia="zh-CN"/>
                <w14:textFill>
                  <w14:solidFill>
                    <w14:schemeClr w14:val="tx1"/>
                  </w14:solidFill>
                </w14:textFill>
              </w:rPr>
              <w:t>）</w:t>
            </w:r>
            <w:r>
              <w:rPr>
                <w:rFonts w:hint="eastAsia" w:ascii="Times New Roman" w:hAnsi="Times New Roman" w:eastAsia="宋体"/>
                <w:b/>
                <w:bCs/>
                <w:color w:val="000000" w:themeColor="text1"/>
                <w:sz w:val="24"/>
                <w:szCs w:val="24"/>
                <w:lang w:eastAsia="zh-CN"/>
                <w14:textFill>
                  <w14:solidFill>
                    <w14:schemeClr w14:val="tx1"/>
                  </w14:solidFill>
                </w14:textFill>
              </w:rPr>
              <w:t>废水</w:t>
            </w:r>
          </w:p>
          <w:p w14:paraId="57472A7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left"/>
              <w:textAlignment w:val="auto"/>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1）施工废水</w:t>
            </w:r>
          </w:p>
          <w:p w14:paraId="77D3A8D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由于工程所需的砂石料为外购，不进行现场冲洗，因此本工程施工期不产生砂石料冲洗废水；工程所需的混凝土全部采用商品混凝土，直接外购，因此本工程施工期不产生混凝土拌和系统废水。</w:t>
            </w:r>
          </w:p>
          <w:p w14:paraId="4B1C8B37">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生活污水。</w:t>
            </w:r>
          </w:p>
          <w:p w14:paraId="37F05315">
            <w:pPr>
              <w:pStyle w:val="4"/>
              <w:spacing w:before="0" w:after="0"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生活污水主要污染物为BOD</w:t>
            </w:r>
            <w:r>
              <w:rPr>
                <w:rFonts w:ascii="Times New Roman" w:hAnsi="Times New Roman" w:eastAsia="宋体" w:cs="Times New Roman"/>
                <w:b w:val="0"/>
                <w:bCs/>
                <w:color w:val="000000" w:themeColor="text1"/>
                <w:kern w:val="2"/>
                <w:sz w:val="24"/>
                <w:szCs w:val="24"/>
                <w:vertAlign w:val="subscript"/>
                <w:lang w:val="en-US" w:eastAsia="zh-CN" w:bidi="ar-SA"/>
                <w14:textFill>
                  <w14:solidFill>
                    <w14:schemeClr w14:val="tx1"/>
                  </w14:solidFill>
                </w14:textFill>
              </w:rPr>
              <w:t>5</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、CODcr、动植物油、和SS等。</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施工人员为本地务工人员。</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施工人员按</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20</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人计算，有效施工期</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3</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个月，生活用水量按</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40</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L/人·d计，则施工总生活用水量</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72</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m</w:t>
            </w:r>
            <w:r>
              <w:rPr>
                <w:rFonts w:ascii="Times New Roman" w:hAnsi="Times New Roman" w:eastAsia="宋体" w:cs="Times New Roman"/>
                <w:b w:val="0"/>
                <w:bCs/>
                <w:color w:val="000000" w:themeColor="text1"/>
                <w:kern w:val="2"/>
                <w:sz w:val="24"/>
                <w:szCs w:val="24"/>
                <w:vertAlign w:val="superscript"/>
                <w:lang w:val="en-US" w:eastAsia="zh-CN" w:bidi="ar-SA"/>
                <w14:textFill>
                  <w14:solidFill>
                    <w14:schemeClr w14:val="tx1"/>
                  </w14:solidFill>
                </w14:textFill>
              </w:rPr>
              <w:t>3</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，总排放量为</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57.6</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m</w:t>
            </w:r>
            <w:r>
              <w:rPr>
                <w:rFonts w:ascii="Times New Roman" w:hAnsi="Times New Roman" w:eastAsia="宋体" w:cs="Times New Roman"/>
                <w:b w:val="0"/>
                <w:bCs/>
                <w:color w:val="000000" w:themeColor="text1"/>
                <w:kern w:val="2"/>
                <w:sz w:val="24"/>
                <w:szCs w:val="24"/>
                <w:vertAlign w:val="superscript"/>
                <w:lang w:val="en-US" w:eastAsia="zh-CN" w:bidi="ar-SA"/>
                <w14:textFill>
                  <w14:solidFill>
                    <w14:schemeClr w14:val="tx1"/>
                  </w14:solidFill>
                </w14:textFill>
              </w:rPr>
              <w:t>3</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（按用水量的80%计算）</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FF0000"/>
                <w:kern w:val="2"/>
                <w:sz w:val="24"/>
                <w:szCs w:val="24"/>
                <w:lang w:val="en-US" w:eastAsia="zh-CN" w:bidi="ar-SA"/>
              </w:rPr>
              <w:t>项目施工场地设置移动环保厕所，收集生活污水后定期拉运至宁县湘乐镇生活污水处理站进行处理</w:t>
            </w:r>
            <w:r>
              <w:rPr>
                <w:rFonts w:hint="default" w:ascii="Times New Roman" w:hAnsi="Times New Roman" w:eastAsia="宋体" w:cs="Times New Roman"/>
                <w:b w:val="0"/>
                <w:bCs w:val="0"/>
                <w:color w:val="FF0000"/>
                <w:kern w:val="2"/>
                <w:sz w:val="24"/>
                <w:szCs w:val="24"/>
                <w:lang w:val="en-US" w:eastAsia="zh-CN" w:bidi="ar-SA"/>
              </w:rPr>
              <w:t>。不会对周围地表水环境产生影响。</w:t>
            </w:r>
          </w:p>
          <w:p w14:paraId="18A8FF5C">
            <w:pPr>
              <w:pStyle w:val="4"/>
              <w:spacing w:before="0" w:after="0" w:line="360" w:lineRule="auto"/>
              <w:ind w:firstLine="480" w:firstLineChars="200"/>
              <w:rPr>
                <w:rFonts w:ascii="Times New Roman" w:hAnsi="Times New Roman" w:eastAsia="宋体"/>
                <w:b w:val="0"/>
                <w:bCs w:val="0"/>
                <w:color w:val="000000" w:themeColor="text1"/>
                <w:sz w:val="24"/>
                <w:szCs w:val="24"/>
                <w14:textFill>
                  <w14:solidFill>
                    <w14:schemeClr w14:val="tx1"/>
                  </w14:solidFill>
                </w14:textFill>
              </w:rPr>
            </w:pPr>
            <w:r>
              <w:rPr>
                <w:rFonts w:hint="eastAsia" w:ascii="Times New Roman" w:hAnsi="Times New Roman" w:eastAsia="宋体"/>
                <w:b w:val="0"/>
                <w:bCs w:val="0"/>
                <w:color w:val="000000" w:themeColor="text1"/>
                <w:sz w:val="24"/>
                <w:szCs w:val="24"/>
                <w:lang w:val="en-US" w:eastAsia="zh-CN"/>
                <w14:textFill>
                  <w14:solidFill>
                    <w14:schemeClr w14:val="tx1"/>
                  </w14:solidFill>
                </w14:textFill>
              </w:rPr>
              <w:t>3</w:t>
            </w:r>
            <w:r>
              <w:rPr>
                <w:rFonts w:hint="eastAsia" w:ascii="Times New Roman" w:hAnsi="Times New Roman" w:eastAsia="宋体"/>
                <w:b w:val="0"/>
                <w:bCs w:val="0"/>
                <w:color w:val="000000" w:themeColor="text1"/>
                <w:sz w:val="24"/>
                <w:szCs w:val="24"/>
                <w14:textFill>
                  <w14:solidFill>
                    <w14:schemeClr w14:val="tx1"/>
                  </w14:solidFill>
                </w14:textFill>
              </w:rPr>
              <w:t>）</w:t>
            </w:r>
            <w:r>
              <w:rPr>
                <w:rFonts w:hint="eastAsia" w:ascii="Times New Roman" w:hAnsi="Times New Roman" w:eastAsia="宋体"/>
                <w:b w:val="0"/>
                <w:bCs w:val="0"/>
                <w:color w:val="000000" w:themeColor="text1"/>
                <w:sz w:val="24"/>
                <w:szCs w:val="24"/>
                <w:lang w:eastAsia="zh-CN"/>
                <w14:textFill>
                  <w14:solidFill>
                    <w14:schemeClr w14:val="tx1"/>
                  </w14:solidFill>
                </w14:textFill>
              </w:rPr>
              <w:t>河岸施工</w:t>
            </w:r>
            <w:r>
              <w:rPr>
                <w:rFonts w:hint="eastAsia" w:ascii="Times New Roman" w:hAnsi="Times New Roman" w:eastAsia="宋体"/>
                <w:b w:val="0"/>
                <w:bCs w:val="0"/>
                <w:color w:val="000000" w:themeColor="text1"/>
                <w:sz w:val="24"/>
                <w:szCs w:val="24"/>
                <w14:textFill>
                  <w14:solidFill>
                    <w14:schemeClr w14:val="tx1"/>
                  </w14:solidFill>
                </w14:textFill>
              </w:rPr>
              <w:t>对地表水环境影响分析</w:t>
            </w:r>
          </w:p>
          <w:p w14:paraId="2BBE405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施工导流</w:t>
            </w:r>
            <w:r>
              <w:rPr>
                <w:rFonts w:hint="eastAsia" w:ascii="Times New Roman" w:hAnsi="Times New Roman" w:eastAsia="宋体"/>
                <w:color w:val="000000" w:themeColor="text1"/>
                <w:sz w:val="24"/>
                <w14:textFill>
                  <w14:solidFill>
                    <w14:schemeClr w14:val="tx1"/>
                  </w14:solidFill>
                </w14:textFill>
              </w:rPr>
              <w:t>采取土袋围堰法，土袋沉入水中的初期，可能会产生部分土壤颗粒被水流冲进水域内，使局部水环境浑浊度提高。但随着层层土袋的相互错缝与压实，土袋内的颗粒被水冲进水域的可能性减少。因此</w:t>
            </w:r>
            <w:r>
              <w:rPr>
                <w:rFonts w:hint="eastAsia"/>
                <w:color w:val="000000" w:themeColor="text1"/>
                <w:sz w:val="24"/>
                <w:lang w:eastAsia="zh-CN"/>
                <w14:textFill>
                  <w14:solidFill>
                    <w14:schemeClr w14:val="tx1"/>
                  </w14:solidFill>
                </w14:textFill>
              </w:rPr>
              <w:t>项目</w:t>
            </w:r>
            <w:r>
              <w:rPr>
                <w:rFonts w:hint="eastAsia" w:ascii="Times New Roman" w:hAnsi="Times New Roman"/>
                <w:color w:val="000000" w:themeColor="text1"/>
                <w:sz w:val="24"/>
                <w:lang w:eastAsia="zh-CN"/>
                <w14:textFill>
                  <w14:solidFill>
                    <w14:schemeClr w14:val="tx1"/>
                  </w14:solidFill>
                </w14:textFill>
              </w:rPr>
              <w:t>施工导流</w:t>
            </w:r>
            <w:r>
              <w:rPr>
                <w:rFonts w:hint="eastAsia" w:ascii="Times New Roman" w:hAnsi="Times New Roman" w:eastAsia="宋体"/>
                <w:color w:val="000000" w:themeColor="text1"/>
                <w:sz w:val="24"/>
                <w14:textFill>
                  <w14:solidFill>
                    <w14:schemeClr w14:val="tx1"/>
                  </w14:solidFill>
                </w14:textFill>
              </w:rPr>
              <w:t>对河流的影响随着施工期的结束而结束。</w:t>
            </w:r>
          </w:p>
          <w:p w14:paraId="16A94EF3">
            <w:pPr>
              <w:pStyle w:val="10"/>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综上所述，施工中局部水域悬浮物浓度增加，从而在一定程度上影响</w:t>
            </w:r>
            <w:r>
              <w:rPr>
                <w:rFonts w:hint="eastAsia"/>
                <w:color w:val="000000" w:themeColor="text1"/>
                <w:sz w:val="24"/>
                <w:szCs w:val="24"/>
                <w:lang w:eastAsia="zh-CN"/>
                <w14:textFill>
                  <w14:solidFill>
                    <w14:schemeClr w14:val="tx1"/>
                  </w14:solidFill>
                </w14:textFill>
              </w:rPr>
              <w:t>水体生物</w:t>
            </w:r>
            <w:r>
              <w:rPr>
                <w:rFonts w:hint="eastAsia"/>
                <w:color w:val="000000" w:themeColor="text1"/>
                <w:sz w:val="24"/>
                <w:szCs w:val="24"/>
                <w14:textFill>
                  <w14:solidFill>
                    <w14:schemeClr w14:val="tx1"/>
                  </w14:solidFill>
                </w14:textFill>
              </w:rPr>
              <w:t>的生产和繁殖。但由于施工范围相对较小，其影响只是局部的和暂时的，而且一旦工程结束，这种影响会随之消失，因而这种影响也是短暂的、可逆的</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t>
            </w:r>
          </w:p>
          <w:p w14:paraId="3D0A8E3C">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36"/>
                <w:lang w:val="en-US" w:eastAsia="zh-CN"/>
                <w14:textFill>
                  <w14:solidFill>
                    <w14:schemeClr w14:val="tx1"/>
                  </w14:solidFill>
                </w14:textFill>
              </w:rPr>
              <w:t>3</w:t>
            </w: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施工噪声</w:t>
            </w:r>
          </w:p>
          <w:p w14:paraId="62E283CE">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施工期间主要噪声源是挖掘机、推土机、装载机等施工机械产生的机械性噪声，声压级一般在85～95dB(A)。推土机、挖掘机主要用于土地平整道路施工作业带内，装载机主要集中在土石方调用施工中，施工期主要噪声源源强见表</w:t>
            </w:r>
            <w:r>
              <w:rPr>
                <w:rFonts w:hint="eastAsia"/>
                <w:color w:val="000000" w:themeColor="text1"/>
                <w:sz w:val="24"/>
                <w:szCs w:val="24"/>
                <w:lang w:val="en-US" w:eastAsia="zh-CN"/>
                <w14:textFill>
                  <w14:solidFill>
                    <w14:schemeClr w14:val="tx1"/>
                  </w14:solidFill>
                </w14:textFill>
              </w:rPr>
              <w:t>4-2</w:t>
            </w:r>
            <w:r>
              <w:rPr>
                <w:rFonts w:ascii="Times New Roman" w:hAnsi="Times New Roman" w:eastAsia="宋体"/>
                <w:color w:val="000000" w:themeColor="text1"/>
                <w:sz w:val="24"/>
                <w:szCs w:val="24"/>
                <w14:textFill>
                  <w14:solidFill>
                    <w14:schemeClr w14:val="tx1"/>
                  </w14:solidFill>
                </w14:textFill>
              </w:rPr>
              <w:t>。</w:t>
            </w:r>
          </w:p>
          <w:p w14:paraId="2D58A700">
            <w:pPr>
              <w:spacing w:line="276" w:lineRule="auto"/>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4-2</w:t>
            </w:r>
            <w:r>
              <w:rPr>
                <w:rFonts w:ascii="Times New Roman" w:hAnsi="Times New Roman" w:cs="Times New Roman"/>
                <w:b/>
                <w:bCs/>
                <w:color w:val="000000" w:themeColor="text1"/>
                <w:sz w:val="21"/>
                <w:szCs w:val="21"/>
                <w14:textFill>
                  <w14:solidFill>
                    <w14:schemeClr w14:val="tx1"/>
                  </w14:solidFill>
                </w14:textFill>
              </w:rPr>
              <w:t xml:space="preserve">  各施工阶段主要设备及噪声源强（单位：dB(A)）</w:t>
            </w:r>
          </w:p>
          <w:tbl>
            <w:tblPr>
              <w:tblStyle w:val="20"/>
              <w:tblW w:w="75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2"/>
              <w:gridCol w:w="2526"/>
              <w:gridCol w:w="2531"/>
            </w:tblGrid>
            <w:tr w14:paraId="30442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22" w:type="dxa"/>
                  <w:tcBorders>
                    <w:tl2br w:val="nil"/>
                    <w:tr2bl w:val="nil"/>
                  </w:tcBorders>
                  <w:noWrap w:val="0"/>
                  <w:vAlign w:val="center"/>
                </w:tcPr>
                <w:p w14:paraId="6121E047">
                  <w:pPr>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序号</w:t>
                  </w:r>
                </w:p>
              </w:tc>
              <w:tc>
                <w:tcPr>
                  <w:tcW w:w="2526" w:type="dxa"/>
                  <w:tcBorders>
                    <w:tl2br w:val="nil"/>
                    <w:tr2bl w:val="nil"/>
                  </w:tcBorders>
                  <w:noWrap w:val="0"/>
                  <w:vAlign w:val="center"/>
                </w:tcPr>
                <w:p w14:paraId="750FA021">
                  <w:pPr>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声源</w:t>
                  </w:r>
                </w:p>
              </w:tc>
              <w:tc>
                <w:tcPr>
                  <w:tcW w:w="2531" w:type="dxa"/>
                  <w:tcBorders>
                    <w:tl2br w:val="nil"/>
                    <w:tr2bl w:val="nil"/>
                  </w:tcBorders>
                  <w:noWrap w:val="0"/>
                  <w:vAlign w:val="center"/>
                </w:tcPr>
                <w:p w14:paraId="56B73069">
                  <w:pPr>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声级dB(A)</w:t>
                  </w:r>
                </w:p>
              </w:tc>
            </w:tr>
            <w:tr w14:paraId="31D4E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14:paraId="7940A114">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w:t>
                  </w:r>
                </w:p>
              </w:tc>
              <w:tc>
                <w:tcPr>
                  <w:tcW w:w="2526" w:type="dxa"/>
                  <w:tcBorders>
                    <w:tl2br w:val="nil"/>
                    <w:tr2bl w:val="nil"/>
                  </w:tcBorders>
                  <w:noWrap w:val="0"/>
                  <w:vAlign w:val="center"/>
                </w:tcPr>
                <w:p w14:paraId="22933AEE">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单斗</w:t>
                  </w:r>
                  <w:r>
                    <w:rPr>
                      <w:rFonts w:ascii="Times New Roman" w:hAnsi="Times New Roman" w:cs="Times New Roman"/>
                      <w:bCs/>
                      <w:color w:val="000000" w:themeColor="text1"/>
                      <w:sz w:val="21"/>
                      <w:szCs w:val="21"/>
                      <w14:textFill>
                        <w14:solidFill>
                          <w14:schemeClr w14:val="tx1"/>
                        </w14:solidFill>
                      </w14:textFill>
                    </w:rPr>
                    <w:t>挖掘机</w:t>
                  </w:r>
                </w:p>
              </w:tc>
              <w:tc>
                <w:tcPr>
                  <w:tcW w:w="2531" w:type="dxa"/>
                  <w:tcBorders>
                    <w:tl2br w:val="nil"/>
                    <w:tr2bl w:val="nil"/>
                  </w:tcBorders>
                  <w:noWrap w:val="0"/>
                  <w:vAlign w:val="center"/>
                </w:tcPr>
                <w:p w14:paraId="4FF45D8A">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90</w:t>
                  </w:r>
                </w:p>
              </w:tc>
            </w:tr>
            <w:tr w14:paraId="1D9DB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14:paraId="6BDDECB6">
                  <w:pPr>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p>
              </w:tc>
              <w:tc>
                <w:tcPr>
                  <w:tcW w:w="2526" w:type="dxa"/>
                  <w:tcBorders>
                    <w:tl2br w:val="nil"/>
                    <w:tr2bl w:val="nil"/>
                  </w:tcBorders>
                  <w:noWrap w:val="0"/>
                  <w:vAlign w:val="center"/>
                </w:tcPr>
                <w:p w14:paraId="4FEB959B">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推土机</w:t>
                  </w:r>
                </w:p>
              </w:tc>
              <w:tc>
                <w:tcPr>
                  <w:tcW w:w="2531" w:type="dxa"/>
                  <w:tcBorders>
                    <w:tl2br w:val="nil"/>
                    <w:tr2bl w:val="nil"/>
                  </w:tcBorders>
                  <w:noWrap w:val="0"/>
                  <w:vAlign w:val="center"/>
                </w:tcPr>
                <w:p w14:paraId="15E0022D">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98</w:t>
                  </w:r>
                </w:p>
              </w:tc>
            </w:tr>
            <w:tr w14:paraId="78FF9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14:paraId="48553950">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3</w:t>
                  </w:r>
                </w:p>
              </w:tc>
              <w:tc>
                <w:tcPr>
                  <w:tcW w:w="2526" w:type="dxa"/>
                  <w:tcBorders>
                    <w:tl2br w:val="nil"/>
                    <w:tr2bl w:val="nil"/>
                  </w:tcBorders>
                  <w:noWrap w:val="0"/>
                  <w:vAlign w:val="center"/>
                </w:tcPr>
                <w:p w14:paraId="64615210">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自卸汽车</w:t>
                  </w:r>
                </w:p>
              </w:tc>
              <w:tc>
                <w:tcPr>
                  <w:tcW w:w="2531" w:type="dxa"/>
                  <w:tcBorders>
                    <w:tl2br w:val="nil"/>
                    <w:tr2bl w:val="nil"/>
                  </w:tcBorders>
                  <w:noWrap w:val="0"/>
                  <w:vAlign w:val="center"/>
                </w:tcPr>
                <w:p w14:paraId="6BFEE7CE">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85</w:t>
                  </w:r>
                </w:p>
              </w:tc>
            </w:tr>
            <w:tr w14:paraId="32913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14:paraId="69F46BB7">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w:t>
                  </w:r>
                </w:p>
              </w:tc>
              <w:tc>
                <w:tcPr>
                  <w:tcW w:w="2526" w:type="dxa"/>
                  <w:tcBorders>
                    <w:tl2br w:val="nil"/>
                    <w:tr2bl w:val="nil"/>
                  </w:tcBorders>
                  <w:noWrap w:val="0"/>
                  <w:vAlign w:val="center"/>
                </w:tcPr>
                <w:p w14:paraId="1C56D791">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装载机</w:t>
                  </w:r>
                </w:p>
              </w:tc>
              <w:tc>
                <w:tcPr>
                  <w:tcW w:w="2531" w:type="dxa"/>
                  <w:tcBorders>
                    <w:tl2br w:val="nil"/>
                    <w:tr2bl w:val="nil"/>
                  </w:tcBorders>
                  <w:noWrap w:val="0"/>
                  <w:vAlign w:val="center"/>
                </w:tcPr>
                <w:p w14:paraId="3850E609">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95</w:t>
                  </w:r>
                </w:p>
              </w:tc>
            </w:tr>
            <w:tr w14:paraId="094DB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14:paraId="36B18A6E">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w:t>
                  </w:r>
                </w:p>
              </w:tc>
              <w:tc>
                <w:tcPr>
                  <w:tcW w:w="2526" w:type="dxa"/>
                  <w:tcBorders>
                    <w:tl2br w:val="nil"/>
                    <w:tr2bl w:val="nil"/>
                  </w:tcBorders>
                  <w:noWrap w:val="0"/>
                  <w:vAlign w:val="center"/>
                </w:tcPr>
                <w:p w14:paraId="2F3A945A">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振动碾</w:t>
                  </w:r>
                </w:p>
              </w:tc>
              <w:tc>
                <w:tcPr>
                  <w:tcW w:w="2531" w:type="dxa"/>
                  <w:tcBorders>
                    <w:tl2br w:val="nil"/>
                    <w:tr2bl w:val="nil"/>
                  </w:tcBorders>
                  <w:noWrap w:val="0"/>
                  <w:vAlign w:val="center"/>
                </w:tcPr>
                <w:p w14:paraId="05388FC7">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80</w:t>
                  </w:r>
                </w:p>
              </w:tc>
            </w:tr>
            <w:tr w14:paraId="164A5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14:paraId="249C2693">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6</w:t>
                  </w:r>
                </w:p>
              </w:tc>
              <w:tc>
                <w:tcPr>
                  <w:tcW w:w="2526" w:type="dxa"/>
                  <w:tcBorders>
                    <w:tl2br w:val="nil"/>
                    <w:tr2bl w:val="nil"/>
                  </w:tcBorders>
                  <w:noWrap w:val="0"/>
                  <w:vAlign w:val="center"/>
                </w:tcPr>
                <w:p w14:paraId="7177A97A">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刨毛机</w:t>
                  </w:r>
                </w:p>
              </w:tc>
              <w:tc>
                <w:tcPr>
                  <w:tcW w:w="2531" w:type="dxa"/>
                  <w:tcBorders>
                    <w:tl2br w:val="nil"/>
                    <w:tr2bl w:val="nil"/>
                  </w:tcBorders>
                  <w:noWrap w:val="0"/>
                  <w:vAlign w:val="center"/>
                </w:tcPr>
                <w:p w14:paraId="73686AEB">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80</w:t>
                  </w:r>
                </w:p>
              </w:tc>
            </w:tr>
            <w:tr w14:paraId="631D9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14:paraId="683D1654">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w:t>
                  </w:r>
                </w:p>
              </w:tc>
              <w:tc>
                <w:tcPr>
                  <w:tcW w:w="2526" w:type="dxa"/>
                  <w:tcBorders>
                    <w:tl2br w:val="nil"/>
                    <w:tr2bl w:val="nil"/>
                  </w:tcBorders>
                  <w:noWrap w:val="0"/>
                  <w:vAlign w:val="center"/>
                </w:tcPr>
                <w:p w14:paraId="3F436E7F">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蛙式夯实机</w:t>
                  </w:r>
                </w:p>
              </w:tc>
              <w:tc>
                <w:tcPr>
                  <w:tcW w:w="2531" w:type="dxa"/>
                  <w:tcBorders>
                    <w:tl2br w:val="nil"/>
                    <w:tr2bl w:val="nil"/>
                  </w:tcBorders>
                  <w:noWrap w:val="0"/>
                  <w:vAlign w:val="center"/>
                </w:tcPr>
                <w:p w14:paraId="2A99C4E6">
                  <w:pPr>
                    <w:jc w:val="center"/>
                    <w:rPr>
                      <w:rFonts w:hint="default"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100</w:t>
                  </w:r>
                </w:p>
              </w:tc>
            </w:tr>
            <w:tr w14:paraId="3E093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22" w:type="dxa"/>
                  <w:tcBorders>
                    <w:tl2br w:val="nil"/>
                    <w:tr2bl w:val="nil"/>
                  </w:tcBorders>
                  <w:noWrap w:val="0"/>
                  <w:vAlign w:val="center"/>
                </w:tcPr>
                <w:p w14:paraId="27488439">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8</w:t>
                  </w:r>
                </w:p>
              </w:tc>
              <w:tc>
                <w:tcPr>
                  <w:tcW w:w="2526" w:type="dxa"/>
                  <w:tcBorders>
                    <w:tl2br w:val="nil"/>
                    <w:tr2bl w:val="nil"/>
                  </w:tcBorders>
                  <w:noWrap w:val="0"/>
                  <w:vAlign w:val="center"/>
                </w:tcPr>
                <w:p w14:paraId="0F78FBE9">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拖拉机</w:t>
                  </w:r>
                </w:p>
              </w:tc>
              <w:tc>
                <w:tcPr>
                  <w:tcW w:w="2531" w:type="dxa"/>
                  <w:tcBorders>
                    <w:tl2br w:val="nil"/>
                    <w:tr2bl w:val="nil"/>
                  </w:tcBorders>
                  <w:noWrap w:val="0"/>
                  <w:vAlign w:val="center"/>
                </w:tcPr>
                <w:p w14:paraId="0C03758B">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8</w:t>
                  </w:r>
                  <w:r>
                    <w:rPr>
                      <w:rFonts w:hint="eastAsia" w:ascii="Times New Roman" w:hAnsi="Times New Roman" w:cs="Times New Roman"/>
                      <w:bCs/>
                      <w:color w:val="000000" w:themeColor="text1"/>
                      <w:sz w:val="21"/>
                      <w:szCs w:val="21"/>
                      <w:lang w:val="en-US" w:eastAsia="zh-CN"/>
                      <w14:textFill>
                        <w14:solidFill>
                          <w14:schemeClr w14:val="tx1"/>
                        </w14:solidFill>
                      </w14:textFill>
                    </w:rPr>
                    <w:t>3</w:t>
                  </w:r>
                </w:p>
              </w:tc>
            </w:tr>
          </w:tbl>
          <w:p w14:paraId="46CFE4E6">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①</w:t>
            </w:r>
            <w:r>
              <w:rPr>
                <w:rFonts w:hint="default" w:ascii="Times New Roman" w:hAnsi="Times New Roman" w:eastAsia="宋体" w:cs="Times New Roman"/>
                <w:color w:val="000000" w:themeColor="text1"/>
                <w:sz w:val="24"/>
                <w:lang w:eastAsia="zh-CN"/>
                <w14:textFill>
                  <w14:solidFill>
                    <w14:schemeClr w14:val="tx1"/>
                  </w14:solidFill>
                </w14:textFill>
              </w:rPr>
              <w:t>施工噪声影响预测</w:t>
            </w:r>
            <w:r>
              <w:rPr>
                <w:rFonts w:hint="default" w:ascii="Times New Roman" w:hAnsi="Times New Roman" w:eastAsia="宋体" w:cs="Times New Roman"/>
                <w:color w:val="000000" w:themeColor="text1"/>
                <w:sz w:val="24"/>
                <w:lang w:val="en-US" w:eastAsia="zh-CN" w:bidi="ar-SA"/>
                <w14:textFill>
                  <w14:solidFill>
                    <w14:schemeClr w14:val="tx1"/>
                  </w14:solidFill>
                </w14:textFill>
              </w:rPr>
              <w:t>模式</w:t>
            </w:r>
          </w:p>
          <w:p w14:paraId="77127DF5">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根据声源特性，预测模式采用半自由声源衰减模式，其模式为：</w:t>
            </w:r>
          </w:p>
          <w:p w14:paraId="366D560F">
            <w:pPr>
              <w:widowControl w:val="0"/>
              <w:autoSpaceDE w:val="0"/>
              <w:autoSpaceDN w:val="0"/>
              <w:adjustRightInd w:val="0"/>
              <w:spacing w:line="360" w:lineRule="auto"/>
              <w:jc w:val="center"/>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Lp=L(ro)-20lg(r/r</w:t>
            </w:r>
            <w:r>
              <w:rPr>
                <w:rFonts w:hint="default" w:ascii="Times New Roman" w:hAnsi="Times New Roman" w:eastAsia="宋体" w:cs="Times New Roman"/>
                <w:color w:val="000000" w:themeColor="text1"/>
                <w:sz w:val="24"/>
                <w:vertAlign w:val="subscript"/>
                <w:lang w:val="en-US" w:eastAsia="zh-CN" w:bidi="ar-SA"/>
                <w14:textFill>
                  <w14:solidFill>
                    <w14:schemeClr w14:val="tx1"/>
                  </w14:solidFill>
                </w14:textFill>
              </w:rPr>
              <w:t>o</w:t>
            </w:r>
            <w:r>
              <w:rPr>
                <w:rFonts w:hint="default" w:ascii="Times New Roman" w:hAnsi="Times New Roman" w:eastAsia="宋体" w:cs="Times New Roman"/>
                <w:color w:val="000000" w:themeColor="text1"/>
                <w:sz w:val="24"/>
                <w:lang w:val="en-US" w:eastAsia="zh-CN" w:bidi="ar-SA"/>
                <w14:textFill>
                  <w14:solidFill>
                    <w14:schemeClr w14:val="tx1"/>
                  </w14:solidFill>
                </w14:textFill>
              </w:rPr>
              <w:t>)</w:t>
            </w:r>
          </w:p>
          <w:p w14:paraId="3DDC758D">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式中：Lp ──距离声源r处的噪声级，dB(A)；</w:t>
            </w:r>
          </w:p>
          <w:p w14:paraId="38B84DB9">
            <w:pPr>
              <w:widowControl w:val="0"/>
              <w:autoSpaceDE w:val="0"/>
              <w:autoSpaceDN w:val="0"/>
              <w:adjustRightInd w:val="0"/>
              <w:spacing w:line="360" w:lineRule="auto"/>
              <w:ind w:firstLine="1200" w:firstLineChars="500"/>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L(r</w:t>
            </w:r>
            <w:r>
              <w:rPr>
                <w:rFonts w:hint="default" w:ascii="Times New Roman" w:hAnsi="Times New Roman" w:eastAsia="宋体" w:cs="Times New Roman"/>
                <w:color w:val="000000" w:themeColor="text1"/>
                <w:sz w:val="24"/>
                <w:szCs w:val="22"/>
                <w:vertAlign w:val="subscript"/>
                <w:lang w:val="en-US" w:eastAsia="zh-CN" w:bidi="ar-SA"/>
                <w14:textFill>
                  <w14:solidFill>
                    <w14:schemeClr w14:val="tx1"/>
                  </w14:solidFill>
                </w14:textFill>
              </w:rPr>
              <w:t>o</w:t>
            </w: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)──参考位置ro处的噪声级，dB(A)；</w:t>
            </w:r>
          </w:p>
          <w:p w14:paraId="64DC73AF">
            <w:pPr>
              <w:widowControl w:val="0"/>
              <w:autoSpaceDE w:val="0"/>
              <w:autoSpaceDN w:val="0"/>
              <w:adjustRightInd w:val="0"/>
              <w:spacing w:line="360" w:lineRule="auto"/>
              <w:ind w:firstLine="1200" w:firstLineChars="500"/>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r ──声源与预测点的距离，m；</w:t>
            </w:r>
          </w:p>
          <w:p w14:paraId="28702A2D">
            <w:pPr>
              <w:widowControl w:val="0"/>
              <w:autoSpaceDE w:val="0"/>
              <w:autoSpaceDN w:val="0"/>
              <w:adjustRightInd w:val="0"/>
              <w:spacing w:line="360" w:lineRule="auto"/>
              <w:ind w:firstLine="1200" w:firstLineChars="5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r</w:t>
            </w:r>
            <w:r>
              <w:rPr>
                <w:rFonts w:hint="default" w:ascii="Times New Roman" w:hAnsi="Times New Roman" w:eastAsia="宋体" w:cs="Times New Roman"/>
                <w:color w:val="000000" w:themeColor="text1"/>
                <w:sz w:val="24"/>
                <w:szCs w:val="22"/>
                <w:vertAlign w:val="subscript"/>
                <w:lang w:val="en-US" w:eastAsia="zh-CN" w:bidi="ar-SA"/>
                <w14:textFill>
                  <w14:solidFill>
                    <w14:schemeClr w14:val="tx1"/>
                  </w14:solidFill>
                </w14:textFill>
              </w:rPr>
              <w:t>o</w:t>
            </w: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 xml:space="preserve"> ──参考位</w:t>
            </w:r>
            <w:r>
              <w:rPr>
                <w:rFonts w:hint="default" w:ascii="Times New Roman" w:hAnsi="Times New Roman" w:eastAsia="宋体" w:cs="Times New Roman"/>
                <w:color w:val="000000" w:themeColor="text1"/>
                <w:sz w:val="24"/>
                <w:lang w:val="en-US" w:eastAsia="zh-CN" w:bidi="ar-SA"/>
                <w14:textFill>
                  <w14:solidFill>
                    <w14:schemeClr w14:val="tx1"/>
                  </w14:solidFill>
                </w14:textFill>
              </w:rPr>
              <w:t>置与声源的距离，m。</w:t>
            </w:r>
          </w:p>
          <w:p w14:paraId="520C28E4">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②预测结果</w:t>
            </w:r>
          </w:p>
          <w:p w14:paraId="17572316">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 xml:space="preserve">施工噪声在不同距离的衰减预测结果见表 </w:t>
            </w:r>
            <w:r>
              <w:rPr>
                <w:rFonts w:hint="eastAsia" w:ascii="Times New Roman" w:hAnsi="Times New Roman" w:eastAsia="宋体" w:cs="Times New Roman"/>
                <w:color w:val="000000" w:themeColor="text1"/>
                <w:sz w:val="24"/>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lang w:val="en-US" w:eastAsia="zh-CN" w:bidi="ar-SA"/>
                <w14:textFill>
                  <w14:solidFill>
                    <w14:schemeClr w14:val="tx1"/>
                  </w14:solidFill>
                </w14:textFill>
              </w:rPr>
              <w:t>-</w:t>
            </w:r>
            <w:r>
              <w:rPr>
                <w:rFonts w:hint="eastAsia" w:cs="Times New Roman"/>
                <w:color w:val="000000" w:themeColor="text1"/>
                <w:sz w:val="24"/>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lang w:val="en-US" w:eastAsia="zh-CN" w:bidi="ar-SA"/>
                <w14:textFill>
                  <w14:solidFill>
                    <w14:schemeClr w14:val="tx1"/>
                  </w14:solidFill>
                </w14:textFill>
              </w:rPr>
              <w:t>。</w:t>
            </w:r>
          </w:p>
          <w:p w14:paraId="3B3597A3">
            <w:pPr>
              <w:widowControl w:val="0"/>
              <w:autoSpaceDE w:val="0"/>
              <w:autoSpaceDN w:val="0"/>
              <w:adjustRightInd w:val="0"/>
              <w:jc w:val="cente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sz w:val="21"/>
                <w:szCs w:val="16"/>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t>-</w:t>
            </w:r>
            <w:r>
              <w:rPr>
                <w:rFonts w:hint="eastAsia" w:cs="Times New Roman"/>
                <w:b/>
                <w:bCs/>
                <w:color w:val="000000" w:themeColor="text1"/>
                <w:sz w:val="21"/>
                <w:szCs w:val="16"/>
                <w:lang w:val="en-US" w:eastAsia="zh-CN" w:bidi="ar-SA"/>
                <w14:textFill>
                  <w14:solidFill>
                    <w14:schemeClr w14:val="tx1"/>
                  </w14:solidFill>
                </w14:textFill>
              </w:rPr>
              <w:t xml:space="preserve">3   </w:t>
            </w:r>
            <w: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t xml:space="preserve"> 施工期噪声在不同距离的衰减值</w:t>
            </w:r>
          </w:p>
          <w:tbl>
            <w:tblPr>
              <w:tblStyle w:val="20"/>
              <w:tblW w:w="75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2"/>
              <w:gridCol w:w="1192"/>
              <w:gridCol w:w="472"/>
              <w:gridCol w:w="1023"/>
              <w:gridCol w:w="890"/>
              <w:gridCol w:w="910"/>
              <w:gridCol w:w="852"/>
              <w:gridCol w:w="530"/>
              <w:gridCol w:w="876"/>
              <w:gridCol w:w="283"/>
              <w:gridCol w:w="287"/>
            </w:tblGrid>
            <w:tr w14:paraId="59901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282" w:type="dxa"/>
                  <w:vMerge w:val="restart"/>
                  <w:tcBorders>
                    <w:tl2br w:val="nil"/>
                    <w:tr2bl w:val="nil"/>
                  </w:tcBorders>
                  <w:noWrap w:val="0"/>
                  <w:vAlign w:val="center"/>
                </w:tcPr>
                <w:p w14:paraId="16E8C94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序号</w:t>
                  </w:r>
                </w:p>
              </w:tc>
              <w:tc>
                <w:tcPr>
                  <w:tcW w:w="1192" w:type="dxa"/>
                  <w:vMerge w:val="restart"/>
                  <w:tcBorders>
                    <w:tl2br w:val="nil"/>
                    <w:tr2bl w:val="nil"/>
                  </w:tcBorders>
                  <w:noWrap w:val="0"/>
                  <w:vAlign w:val="center"/>
                </w:tcPr>
                <w:p w14:paraId="35D4D23D">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声源</w:t>
                  </w:r>
                </w:p>
              </w:tc>
              <w:tc>
                <w:tcPr>
                  <w:tcW w:w="472" w:type="dxa"/>
                  <w:vMerge w:val="restart"/>
                  <w:tcBorders>
                    <w:tl2br w:val="nil"/>
                    <w:tr2bl w:val="nil"/>
                  </w:tcBorders>
                  <w:noWrap w:val="0"/>
                  <w:vAlign w:val="center"/>
                </w:tcPr>
                <w:p w14:paraId="309DF99C">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源强</w:t>
                  </w:r>
                </w:p>
              </w:tc>
              <w:tc>
                <w:tcPr>
                  <w:tcW w:w="5081" w:type="dxa"/>
                  <w:gridSpan w:val="6"/>
                  <w:tcBorders>
                    <w:tl2br w:val="nil"/>
                    <w:tr2bl w:val="nil"/>
                  </w:tcBorders>
                  <w:noWrap w:val="0"/>
                  <w:vAlign w:val="center"/>
                </w:tcPr>
                <w:p w14:paraId="3E3C49F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距声源</w:t>
                  </w:r>
                </w:p>
              </w:tc>
              <w:tc>
                <w:tcPr>
                  <w:tcW w:w="570" w:type="dxa"/>
                  <w:gridSpan w:val="2"/>
                  <w:tcBorders>
                    <w:tl2br w:val="nil"/>
                    <w:tr2bl w:val="nil"/>
                  </w:tcBorders>
                  <w:noWrap w:val="0"/>
                  <w:vAlign w:val="center"/>
                </w:tcPr>
                <w:p w14:paraId="2BE36C91">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标准值</w:t>
                  </w:r>
                </w:p>
              </w:tc>
            </w:tr>
            <w:tr w14:paraId="50B0B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vMerge w:val="continue"/>
                  <w:tcBorders>
                    <w:tl2br w:val="nil"/>
                    <w:tr2bl w:val="nil"/>
                  </w:tcBorders>
                  <w:noWrap w:val="0"/>
                  <w:vAlign w:val="center"/>
                </w:tcPr>
                <w:p w14:paraId="3D9828ED">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1192" w:type="dxa"/>
                  <w:vMerge w:val="continue"/>
                  <w:tcBorders>
                    <w:tl2br w:val="nil"/>
                    <w:tr2bl w:val="nil"/>
                  </w:tcBorders>
                  <w:noWrap w:val="0"/>
                  <w:vAlign w:val="center"/>
                </w:tcPr>
                <w:p w14:paraId="1A84007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472" w:type="dxa"/>
                  <w:vMerge w:val="continue"/>
                  <w:tcBorders>
                    <w:tl2br w:val="nil"/>
                    <w:tr2bl w:val="nil"/>
                  </w:tcBorders>
                  <w:noWrap w:val="0"/>
                  <w:vAlign w:val="center"/>
                </w:tcPr>
                <w:p w14:paraId="6969555C">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1023" w:type="dxa"/>
                  <w:tcBorders>
                    <w:tl2br w:val="nil"/>
                    <w:tr2bl w:val="nil"/>
                  </w:tcBorders>
                  <w:noWrap w:val="0"/>
                  <w:vAlign w:val="center"/>
                </w:tcPr>
                <w:p w14:paraId="5F0DC3F2">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20m</w:t>
                  </w:r>
                </w:p>
              </w:tc>
              <w:tc>
                <w:tcPr>
                  <w:tcW w:w="890" w:type="dxa"/>
                  <w:tcBorders>
                    <w:tl2br w:val="nil"/>
                    <w:tr2bl w:val="nil"/>
                  </w:tcBorders>
                  <w:noWrap w:val="0"/>
                  <w:vAlign w:val="center"/>
                </w:tcPr>
                <w:p w14:paraId="6D9D3951">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50m</w:t>
                  </w:r>
                </w:p>
              </w:tc>
              <w:tc>
                <w:tcPr>
                  <w:tcW w:w="910" w:type="dxa"/>
                  <w:tcBorders>
                    <w:tl2br w:val="nil"/>
                    <w:tr2bl w:val="nil"/>
                  </w:tcBorders>
                  <w:noWrap w:val="0"/>
                  <w:vAlign w:val="center"/>
                </w:tcPr>
                <w:p w14:paraId="0C40227E">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60m</w:t>
                  </w:r>
                </w:p>
              </w:tc>
              <w:tc>
                <w:tcPr>
                  <w:tcW w:w="852" w:type="dxa"/>
                  <w:tcBorders>
                    <w:tl2br w:val="nil"/>
                    <w:tr2bl w:val="nil"/>
                  </w:tcBorders>
                  <w:noWrap w:val="0"/>
                  <w:vAlign w:val="center"/>
                </w:tcPr>
                <w:p w14:paraId="44D57E77">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80m</w:t>
                  </w:r>
                </w:p>
              </w:tc>
              <w:tc>
                <w:tcPr>
                  <w:tcW w:w="530" w:type="dxa"/>
                  <w:tcBorders>
                    <w:tl2br w:val="nil"/>
                    <w:tr2bl w:val="nil"/>
                  </w:tcBorders>
                  <w:noWrap w:val="0"/>
                  <w:vAlign w:val="center"/>
                </w:tcPr>
                <w:p w14:paraId="75C806E2">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100m</w:t>
                  </w:r>
                </w:p>
              </w:tc>
              <w:tc>
                <w:tcPr>
                  <w:tcW w:w="876" w:type="dxa"/>
                  <w:tcBorders>
                    <w:tl2br w:val="nil"/>
                    <w:tr2bl w:val="nil"/>
                  </w:tcBorders>
                  <w:noWrap w:val="0"/>
                  <w:vAlign w:val="center"/>
                </w:tcPr>
                <w:p w14:paraId="3BF5C8AD">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200m</w:t>
                  </w:r>
                </w:p>
              </w:tc>
              <w:tc>
                <w:tcPr>
                  <w:tcW w:w="283" w:type="dxa"/>
                  <w:tcBorders>
                    <w:tl2br w:val="nil"/>
                    <w:tr2bl w:val="nil"/>
                  </w:tcBorders>
                  <w:noWrap w:val="0"/>
                  <w:vAlign w:val="center"/>
                </w:tcPr>
                <w:p w14:paraId="55AB3410">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昼</w:t>
                  </w:r>
                </w:p>
              </w:tc>
              <w:tc>
                <w:tcPr>
                  <w:tcW w:w="287" w:type="dxa"/>
                  <w:tcBorders>
                    <w:tl2br w:val="nil"/>
                    <w:tr2bl w:val="nil"/>
                  </w:tcBorders>
                  <w:noWrap w:val="0"/>
                  <w:vAlign w:val="center"/>
                </w:tcPr>
                <w:p w14:paraId="40A98D0B">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夜</w:t>
                  </w:r>
                </w:p>
              </w:tc>
            </w:tr>
            <w:tr w14:paraId="11C7E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14:paraId="12BBC654">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1192" w:type="dxa"/>
                  <w:tcBorders>
                    <w:tl2br w:val="nil"/>
                    <w:tr2bl w:val="nil"/>
                  </w:tcBorders>
                  <w:noWrap w:val="0"/>
                  <w:vAlign w:val="center"/>
                </w:tcPr>
                <w:p w14:paraId="41F07DD7">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单斗</w:t>
                  </w:r>
                  <w:r>
                    <w:rPr>
                      <w:rFonts w:ascii="Times New Roman" w:hAnsi="Times New Roman" w:eastAsia="宋体" w:cs="Times New Roman"/>
                      <w:bCs/>
                      <w:color w:val="000000" w:themeColor="text1"/>
                      <w:szCs w:val="21"/>
                      <w14:textFill>
                        <w14:solidFill>
                          <w14:schemeClr w14:val="tx1"/>
                        </w14:solidFill>
                      </w14:textFill>
                    </w:rPr>
                    <w:t>挖掘机</w:t>
                  </w:r>
                </w:p>
              </w:tc>
              <w:tc>
                <w:tcPr>
                  <w:tcW w:w="472" w:type="dxa"/>
                  <w:tcBorders>
                    <w:tl2br w:val="nil"/>
                    <w:tr2bl w:val="nil"/>
                  </w:tcBorders>
                  <w:noWrap w:val="0"/>
                  <w:vAlign w:val="center"/>
                </w:tcPr>
                <w:p w14:paraId="719C5B69">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90</w:t>
                  </w:r>
                </w:p>
              </w:tc>
              <w:tc>
                <w:tcPr>
                  <w:tcW w:w="1023" w:type="dxa"/>
                  <w:tcBorders>
                    <w:tl2br w:val="nil"/>
                    <w:tr2bl w:val="nil"/>
                  </w:tcBorders>
                  <w:noWrap w:val="0"/>
                  <w:vAlign w:val="center"/>
                </w:tcPr>
                <w:p w14:paraId="18CC2EF6">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63.9794</w:t>
                  </w:r>
                </w:p>
              </w:tc>
              <w:tc>
                <w:tcPr>
                  <w:tcW w:w="890" w:type="dxa"/>
                  <w:tcBorders>
                    <w:tl2br w:val="nil"/>
                    <w:tr2bl w:val="nil"/>
                  </w:tcBorders>
                  <w:noWrap w:val="0"/>
                  <w:vAlign w:val="center"/>
                </w:tcPr>
                <w:p w14:paraId="587F1C1E">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56.0206</w:t>
                  </w:r>
                </w:p>
              </w:tc>
              <w:tc>
                <w:tcPr>
                  <w:tcW w:w="910" w:type="dxa"/>
                  <w:tcBorders>
                    <w:tl2br w:val="nil"/>
                    <w:tr2bl w:val="nil"/>
                  </w:tcBorders>
                  <w:noWrap w:val="0"/>
                  <w:vAlign w:val="center"/>
                </w:tcPr>
                <w:p w14:paraId="75F404D6">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54.43697</w:t>
                  </w:r>
                </w:p>
              </w:tc>
              <w:tc>
                <w:tcPr>
                  <w:tcW w:w="852" w:type="dxa"/>
                  <w:tcBorders>
                    <w:tl2br w:val="nil"/>
                    <w:tr2bl w:val="nil"/>
                  </w:tcBorders>
                  <w:noWrap w:val="0"/>
                  <w:vAlign w:val="center"/>
                </w:tcPr>
                <w:p w14:paraId="31503DCA">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51.9382</w:t>
                  </w:r>
                </w:p>
              </w:tc>
              <w:tc>
                <w:tcPr>
                  <w:tcW w:w="530" w:type="dxa"/>
                  <w:tcBorders>
                    <w:tl2br w:val="nil"/>
                    <w:tr2bl w:val="nil"/>
                  </w:tcBorders>
                  <w:noWrap w:val="0"/>
                  <w:vAlign w:val="center"/>
                </w:tcPr>
                <w:p w14:paraId="4E14AD9E">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50</w:t>
                  </w:r>
                </w:p>
              </w:tc>
              <w:tc>
                <w:tcPr>
                  <w:tcW w:w="876" w:type="dxa"/>
                  <w:tcBorders>
                    <w:tl2br w:val="nil"/>
                    <w:tr2bl w:val="nil"/>
                  </w:tcBorders>
                  <w:noWrap w:val="0"/>
                  <w:vAlign w:val="center"/>
                </w:tcPr>
                <w:p w14:paraId="0F9FACF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43.9794</w:t>
                  </w:r>
                </w:p>
              </w:tc>
              <w:tc>
                <w:tcPr>
                  <w:tcW w:w="283" w:type="dxa"/>
                  <w:vMerge w:val="restart"/>
                  <w:tcBorders>
                    <w:tl2br w:val="nil"/>
                    <w:tr2bl w:val="nil"/>
                  </w:tcBorders>
                  <w:noWrap w:val="0"/>
                  <w:vAlign w:val="center"/>
                </w:tcPr>
                <w:p w14:paraId="55DB5BB7">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70</w:t>
                  </w:r>
                </w:p>
              </w:tc>
              <w:tc>
                <w:tcPr>
                  <w:tcW w:w="287" w:type="dxa"/>
                  <w:vMerge w:val="restart"/>
                  <w:tcBorders>
                    <w:tl2br w:val="nil"/>
                    <w:tr2bl w:val="nil"/>
                  </w:tcBorders>
                  <w:noWrap w:val="0"/>
                  <w:vAlign w:val="center"/>
                </w:tcPr>
                <w:p w14:paraId="2292744E">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55</w:t>
                  </w:r>
                </w:p>
              </w:tc>
            </w:tr>
            <w:tr w14:paraId="0ADF7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282" w:type="dxa"/>
                  <w:tcBorders>
                    <w:tl2br w:val="nil"/>
                    <w:tr2bl w:val="nil"/>
                  </w:tcBorders>
                  <w:noWrap w:val="0"/>
                  <w:vAlign w:val="center"/>
                </w:tcPr>
                <w:p w14:paraId="50A01E33">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2</w:t>
                  </w:r>
                </w:p>
              </w:tc>
              <w:tc>
                <w:tcPr>
                  <w:tcW w:w="1192" w:type="dxa"/>
                  <w:tcBorders>
                    <w:tl2br w:val="nil"/>
                    <w:tr2bl w:val="nil"/>
                  </w:tcBorders>
                  <w:noWrap w:val="0"/>
                  <w:vAlign w:val="center"/>
                </w:tcPr>
                <w:p w14:paraId="4CF89832">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推土机</w:t>
                  </w:r>
                </w:p>
              </w:tc>
              <w:tc>
                <w:tcPr>
                  <w:tcW w:w="472" w:type="dxa"/>
                  <w:tcBorders>
                    <w:tl2br w:val="nil"/>
                    <w:tr2bl w:val="nil"/>
                  </w:tcBorders>
                  <w:noWrap w:val="0"/>
                  <w:vAlign w:val="center"/>
                </w:tcPr>
                <w:p w14:paraId="21576940">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98</w:t>
                  </w:r>
                </w:p>
              </w:tc>
              <w:tc>
                <w:tcPr>
                  <w:tcW w:w="1023" w:type="dxa"/>
                  <w:tcBorders>
                    <w:tl2br w:val="nil"/>
                    <w:tr2bl w:val="nil"/>
                  </w:tcBorders>
                  <w:noWrap w:val="0"/>
                  <w:vAlign w:val="center"/>
                </w:tcPr>
                <w:p w14:paraId="4394461E">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71.9794</w:t>
                  </w:r>
                </w:p>
              </w:tc>
              <w:tc>
                <w:tcPr>
                  <w:tcW w:w="890" w:type="dxa"/>
                  <w:tcBorders>
                    <w:tl2br w:val="nil"/>
                    <w:tr2bl w:val="nil"/>
                  </w:tcBorders>
                  <w:noWrap w:val="0"/>
                  <w:vAlign w:val="center"/>
                </w:tcPr>
                <w:p w14:paraId="781F0D37">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64.0206</w:t>
                  </w:r>
                </w:p>
              </w:tc>
              <w:tc>
                <w:tcPr>
                  <w:tcW w:w="910" w:type="dxa"/>
                  <w:tcBorders>
                    <w:tl2br w:val="nil"/>
                    <w:tr2bl w:val="nil"/>
                  </w:tcBorders>
                  <w:noWrap w:val="0"/>
                  <w:vAlign w:val="center"/>
                </w:tcPr>
                <w:p w14:paraId="77AF1941">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62.43697</w:t>
                  </w:r>
                </w:p>
              </w:tc>
              <w:tc>
                <w:tcPr>
                  <w:tcW w:w="852" w:type="dxa"/>
                  <w:tcBorders>
                    <w:tl2br w:val="nil"/>
                    <w:tr2bl w:val="nil"/>
                  </w:tcBorders>
                  <w:noWrap w:val="0"/>
                  <w:vAlign w:val="center"/>
                </w:tcPr>
                <w:p w14:paraId="2A49BFA2">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59.9382</w:t>
                  </w:r>
                </w:p>
              </w:tc>
              <w:tc>
                <w:tcPr>
                  <w:tcW w:w="530" w:type="dxa"/>
                  <w:tcBorders>
                    <w:tl2br w:val="nil"/>
                    <w:tr2bl w:val="nil"/>
                  </w:tcBorders>
                  <w:noWrap w:val="0"/>
                  <w:vAlign w:val="center"/>
                </w:tcPr>
                <w:p w14:paraId="1A5B079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58</w:t>
                  </w:r>
                </w:p>
              </w:tc>
              <w:tc>
                <w:tcPr>
                  <w:tcW w:w="876" w:type="dxa"/>
                  <w:tcBorders>
                    <w:tl2br w:val="nil"/>
                    <w:tr2bl w:val="nil"/>
                  </w:tcBorders>
                  <w:noWrap w:val="0"/>
                  <w:vAlign w:val="center"/>
                </w:tcPr>
                <w:p w14:paraId="38C1A46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51.9794</w:t>
                  </w:r>
                </w:p>
              </w:tc>
              <w:tc>
                <w:tcPr>
                  <w:tcW w:w="283" w:type="dxa"/>
                  <w:vMerge w:val="continue"/>
                  <w:tcBorders>
                    <w:tl2br w:val="nil"/>
                    <w:tr2bl w:val="nil"/>
                  </w:tcBorders>
                  <w:noWrap w:val="0"/>
                  <w:vAlign w:val="center"/>
                </w:tcPr>
                <w:p w14:paraId="74B688EB">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14:paraId="3A2F6C50">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14:paraId="709DA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14:paraId="4738C9F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w:t>
                  </w:r>
                </w:p>
              </w:tc>
              <w:tc>
                <w:tcPr>
                  <w:tcW w:w="1192" w:type="dxa"/>
                  <w:tcBorders>
                    <w:tl2br w:val="nil"/>
                    <w:tr2bl w:val="nil"/>
                  </w:tcBorders>
                  <w:noWrap w:val="0"/>
                  <w:vAlign w:val="center"/>
                </w:tcPr>
                <w:p w14:paraId="23DCCDFF">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自卸汽车</w:t>
                  </w:r>
                </w:p>
              </w:tc>
              <w:tc>
                <w:tcPr>
                  <w:tcW w:w="472" w:type="dxa"/>
                  <w:tcBorders>
                    <w:tl2br w:val="nil"/>
                    <w:tr2bl w:val="nil"/>
                  </w:tcBorders>
                  <w:noWrap w:val="0"/>
                  <w:vAlign w:val="center"/>
                </w:tcPr>
                <w:p w14:paraId="173E91CA">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85</w:t>
                  </w:r>
                </w:p>
              </w:tc>
              <w:tc>
                <w:tcPr>
                  <w:tcW w:w="1023" w:type="dxa"/>
                  <w:tcBorders>
                    <w:tl2br w:val="nil"/>
                    <w:tr2bl w:val="nil"/>
                  </w:tcBorders>
                  <w:noWrap w:val="0"/>
                  <w:vAlign w:val="center"/>
                </w:tcPr>
                <w:p w14:paraId="5AA3A839">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58.9794</w:t>
                  </w:r>
                </w:p>
              </w:tc>
              <w:tc>
                <w:tcPr>
                  <w:tcW w:w="890" w:type="dxa"/>
                  <w:tcBorders>
                    <w:tl2br w:val="nil"/>
                    <w:tr2bl w:val="nil"/>
                  </w:tcBorders>
                  <w:noWrap w:val="0"/>
                  <w:vAlign w:val="center"/>
                </w:tcPr>
                <w:p w14:paraId="4B0F974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51.0206</w:t>
                  </w:r>
                </w:p>
              </w:tc>
              <w:tc>
                <w:tcPr>
                  <w:tcW w:w="910" w:type="dxa"/>
                  <w:tcBorders>
                    <w:tl2br w:val="nil"/>
                    <w:tr2bl w:val="nil"/>
                  </w:tcBorders>
                  <w:noWrap w:val="0"/>
                  <w:vAlign w:val="center"/>
                </w:tcPr>
                <w:p w14:paraId="25365E82">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49.43697</w:t>
                  </w:r>
                </w:p>
              </w:tc>
              <w:tc>
                <w:tcPr>
                  <w:tcW w:w="852" w:type="dxa"/>
                  <w:tcBorders>
                    <w:tl2br w:val="nil"/>
                    <w:tr2bl w:val="nil"/>
                  </w:tcBorders>
                  <w:noWrap w:val="0"/>
                  <w:vAlign w:val="center"/>
                </w:tcPr>
                <w:p w14:paraId="3EDC34A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46.9382</w:t>
                  </w:r>
                </w:p>
              </w:tc>
              <w:tc>
                <w:tcPr>
                  <w:tcW w:w="530" w:type="dxa"/>
                  <w:tcBorders>
                    <w:tl2br w:val="nil"/>
                    <w:tr2bl w:val="nil"/>
                  </w:tcBorders>
                  <w:noWrap w:val="0"/>
                  <w:vAlign w:val="center"/>
                </w:tcPr>
                <w:p w14:paraId="2C48A9CC">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45</w:t>
                  </w:r>
                </w:p>
              </w:tc>
              <w:tc>
                <w:tcPr>
                  <w:tcW w:w="876" w:type="dxa"/>
                  <w:tcBorders>
                    <w:tl2br w:val="nil"/>
                    <w:tr2bl w:val="nil"/>
                  </w:tcBorders>
                  <w:noWrap w:val="0"/>
                  <w:vAlign w:val="center"/>
                </w:tcPr>
                <w:p w14:paraId="273EDC56">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38.9794</w:t>
                  </w:r>
                </w:p>
              </w:tc>
              <w:tc>
                <w:tcPr>
                  <w:tcW w:w="283" w:type="dxa"/>
                  <w:vMerge w:val="continue"/>
                  <w:tcBorders>
                    <w:tl2br w:val="nil"/>
                    <w:tr2bl w:val="nil"/>
                  </w:tcBorders>
                  <w:noWrap w:val="0"/>
                  <w:vAlign w:val="center"/>
                </w:tcPr>
                <w:p w14:paraId="0B05AA4C">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14:paraId="222C846C">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14:paraId="2466E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14:paraId="3685427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w:t>
                  </w:r>
                </w:p>
              </w:tc>
              <w:tc>
                <w:tcPr>
                  <w:tcW w:w="1192" w:type="dxa"/>
                  <w:tcBorders>
                    <w:tl2br w:val="nil"/>
                    <w:tr2bl w:val="nil"/>
                  </w:tcBorders>
                  <w:noWrap w:val="0"/>
                  <w:vAlign w:val="center"/>
                </w:tcPr>
                <w:p w14:paraId="6CFB590F">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装载机</w:t>
                  </w:r>
                </w:p>
              </w:tc>
              <w:tc>
                <w:tcPr>
                  <w:tcW w:w="472" w:type="dxa"/>
                  <w:tcBorders>
                    <w:tl2br w:val="nil"/>
                    <w:tr2bl w:val="nil"/>
                  </w:tcBorders>
                  <w:noWrap w:val="0"/>
                  <w:vAlign w:val="center"/>
                </w:tcPr>
                <w:p w14:paraId="6FEB12E8">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95</w:t>
                  </w:r>
                </w:p>
              </w:tc>
              <w:tc>
                <w:tcPr>
                  <w:tcW w:w="1023" w:type="dxa"/>
                  <w:tcBorders>
                    <w:tl2br w:val="nil"/>
                    <w:tr2bl w:val="nil"/>
                  </w:tcBorders>
                  <w:noWrap w:val="0"/>
                  <w:vAlign w:val="center"/>
                </w:tcPr>
                <w:p w14:paraId="46FB884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68.9794</w:t>
                  </w:r>
                </w:p>
              </w:tc>
              <w:tc>
                <w:tcPr>
                  <w:tcW w:w="890" w:type="dxa"/>
                  <w:tcBorders>
                    <w:tl2br w:val="nil"/>
                    <w:tr2bl w:val="nil"/>
                  </w:tcBorders>
                  <w:noWrap w:val="0"/>
                  <w:vAlign w:val="center"/>
                </w:tcPr>
                <w:p w14:paraId="02EF83EC">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61.0206</w:t>
                  </w:r>
                </w:p>
              </w:tc>
              <w:tc>
                <w:tcPr>
                  <w:tcW w:w="910" w:type="dxa"/>
                  <w:tcBorders>
                    <w:tl2br w:val="nil"/>
                    <w:tr2bl w:val="nil"/>
                  </w:tcBorders>
                  <w:noWrap w:val="0"/>
                  <w:vAlign w:val="center"/>
                </w:tcPr>
                <w:p w14:paraId="57EEC226">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59.43697</w:t>
                  </w:r>
                </w:p>
              </w:tc>
              <w:tc>
                <w:tcPr>
                  <w:tcW w:w="852" w:type="dxa"/>
                  <w:tcBorders>
                    <w:tl2br w:val="nil"/>
                    <w:tr2bl w:val="nil"/>
                  </w:tcBorders>
                  <w:noWrap w:val="0"/>
                  <w:vAlign w:val="center"/>
                </w:tcPr>
                <w:p w14:paraId="0119826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56.9382</w:t>
                  </w:r>
                </w:p>
              </w:tc>
              <w:tc>
                <w:tcPr>
                  <w:tcW w:w="530" w:type="dxa"/>
                  <w:tcBorders>
                    <w:tl2br w:val="nil"/>
                    <w:tr2bl w:val="nil"/>
                  </w:tcBorders>
                  <w:noWrap w:val="0"/>
                  <w:vAlign w:val="center"/>
                </w:tcPr>
                <w:p w14:paraId="37B29C68">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55</w:t>
                  </w:r>
                </w:p>
              </w:tc>
              <w:tc>
                <w:tcPr>
                  <w:tcW w:w="876" w:type="dxa"/>
                  <w:tcBorders>
                    <w:tl2br w:val="nil"/>
                    <w:tr2bl w:val="nil"/>
                  </w:tcBorders>
                  <w:noWrap w:val="0"/>
                  <w:vAlign w:val="center"/>
                </w:tcPr>
                <w:p w14:paraId="5D401C0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48.9794</w:t>
                  </w:r>
                </w:p>
              </w:tc>
              <w:tc>
                <w:tcPr>
                  <w:tcW w:w="283" w:type="dxa"/>
                  <w:vMerge w:val="continue"/>
                  <w:tcBorders>
                    <w:tl2br w:val="nil"/>
                    <w:tr2bl w:val="nil"/>
                  </w:tcBorders>
                  <w:noWrap w:val="0"/>
                  <w:vAlign w:val="center"/>
                </w:tcPr>
                <w:p w14:paraId="17D304A3">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14:paraId="66B1F22C">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14:paraId="0508E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14:paraId="2413646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w:t>
                  </w:r>
                </w:p>
              </w:tc>
              <w:tc>
                <w:tcPr>
                  <w:tcW w:w="1192" w:type="dxa"/>
                  <w:tcBorders>
                    <w:tl2br w:val="nil"/>
                    <w:tr2bl w:val="nil"/>
                  </w:tcBorders>
                  <w:noWrap w:val="0"/>
                  <w:vAlign w:val="center"/>
                </w:tcPr>
                <w:p w14:paraId="35BB0B91">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振动碾</w:t>
                  </w:r>
                </w:p>
              </w:tc>
              <w:tc>
                <w:tcPr>
                  <w:tcW w:w="472" w:type="dxa"/>
                  <w:tcBorders>
                    <w:tl2br w:val="nil"/>
                    <w:tr2bl w:val="nil"/>
                  </w:tcBorders>
                  <w:noWrap w:val="0"/>
                  <w:vAlign w:val="center"/>
                </w:tcPr>
                <w:p w14:paraId="2F1B80B6">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80</w:t>
                  </w:r>
                </w:p>
              </w:tc>
              <w:tc>
                <w:tcPr>
                  <w:tcW w:w="1023" w:type="dxa"/>
                  <w:tcBorders>
                    <w:tl2br w:val="nil"/>
                    <w:tr2bl w:val="nil"/>
                  </w:tcBorders>
                  <w:noWrap w:val="0"/>
                  <w:vAlign w:val="center"/>
                </w:tcPr>
                <w:p w14:paraId="00E7D25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53.9794</w:t>
                  </w:r>
                </w:p>
              </w:tc>
              <w:tc>
                <w:tcPr>
                  <w:tcW w:w="890" w:type="dxa"/>
                  <w:tcBorders>
                    <w:tl2br w:val="nil"/>
                    <w:tr2bl w:val="nil"/>
                  </w:tcBorders>
                  <w:noWrap w:val="0"/>
                  <w:vAlign w:val="center"/>
                </w:tcPr>
                <w:p w14:paraId="6892A566">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46.0206</w:t>
                  </w:r>
                </w:p>
              </w:tc>
              <w:tc>
                <w:tcPr>
                  <w:tcW w:w="910" w:type="dxa"/>
                  <w:tcBorders>
                    <w:tl2br w:val="nil"/>
                    <w:tr2bl w:val="nil"/>
                  </w:tcBorders>
                  <w:noWrap w:val="0"/>
                  <w:vAlign w:val="center"/>
                </w:tcPr>
                <w:p w14:paraId="1CC03A8A">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44.43697</w:t>
                  </w:r>
                </w:p>
              </w:tc>
              <w:tc>
                <w:tcPr>
                  <w:tcW w:w="852" w:type="dxa"/>
                  <w:tcBorders>
                    <w:tl2br w:val="nil"/>
                    <w:tr2bl w:val="nil"/>
                  </w:tcBorders>
                  <w:noWrap w:val="0"/>
                  <w:vAlign w:val="center"/>
                </w:tcPr>
                <w:p w14:paraId="5C626658">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41.9382</w:t>
                  </w:r>
                </w:p>
              </w:tc>
              <w:tc>
                <w:tcPr>
                  <w:tcW w:w="530" w:type="dxa"/>
                  <w:tcBorders>
                    <w:tl2br w:val="nil"/>
                    <w:tr2bl w:val="nil"/>
                  </w:tcBorders>
                  <w:noWrap w:val="0"/>
                  <w:vAlign w:val="center"/>
                </w:tcPr>
                <w:p w14:paraId="40132D7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40</w:t>
                  </w:r>
                </w:p>
              </w:tc>
              <w:tc>
                <w:tcPr>
                  <w:tcW w:w="876" w:type="dxa"/>
                  <w:tcBorders>
                    <w:tl2br w:val="nil"/>
                    <w:tr2bl w:val="nil"/>
                  </w:tcBorders>
                  <w:noWrap w:val="0"/>
                  <w:vAlign w:val="center"/>
                </w:tcPr>
                <w:p w14:paraId="2D8EE1B7">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33.9794</w:t>
                  </w:r>
                </w:p>
              </w:tc>
              <w:tc>
                <w:tcPr>
                  <w:tcW w:w="283" w:type="dxa"/>
                  <w:vMerge w:val="continue"/>
                  <w:tcBorders>
                    <w:tl2br w:val="nil"/>
                    <w:tr2bl w:val="nil"/>
                  </w:tcBorders>
                  <w:noWrap w:val="0"/>
                  <w:vAlign w:val="center"/>
                </w:tcPr>
                <w:p w14:paraId="5464FC75">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14:paraId="6B23B821">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14:paraId="4BA02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14:paraId="4B8B1AC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w:t>
                  </w:r>
                </w:p>
              </w:tc>
              <w:tc>
                <w:tcPr>
                  <w:tcW w:w="1192" w:type="dxa"/>
                  <w:tcBorders>
                    <w:tl2br w:val="nil"/>
                    <w:tr2bl w:val="nil"/>
                  </w:tcBorders>
                  <w:noWrap w:val="0"/>
                  <w:vAlign w:val="center"/>
                </w:tcPr>
                <w:p w14:paraId="348C85C4">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刨毛机</w:t>
                  </w:r>
                </w:p>
              </w:tc>
              <w:tc>
                <w:tcPr>
                  <w:tcW w:w="472" w:type="dxa"/>
                  <w:tcBorders>
                    <w:tl2br w:val="nil"/>
                    <w:tr2bl w:val="nil"/>
                  </w:tcBorders>
                  <w:noWrap w:val="0"/>
                  <w:vAlign w:val="center"/>
                </w:tcPr>
                <w:p w14:paraId="1C17A271">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80</w:t>
                  </w:r>
                </w:p>
              </w:tc>
              <w:tc>
                <w:tcPr>
                  <w:tcW w:w="1023" w:type="dxa"/>
                  <w:tcBorders>
                    <w:tl2br w:val="nil"/>
                    <w:tr2bl w:val="nil"/>
                  </w:tcBorders>
                  <w:noWrap w:val="0"/>
                  <w:vAlign w:val="center"/>
                </w:tcPr>
                <w:p w14:paraId="4CE39366">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53.9794</w:t>
                  </w:r>
                </w:p>
              </w:tc>
              <w:tc>
                <w:tcPr>
                  <w:tcW w:w="890" w:type="dxa"/>
                  <w:tcBorders>
                    <w:tl2br w:val="nil"/>
                    <w:tr2bl w:val="nil"/>
                  </w:tcBorders>
                  <w:noWrap w:val="0"/>
                  <w:vAlign w:val="center"/>
                </w:tcPr>
                <w:p w14:paraId="6ACE4883">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46.0206</w:t>
                  </w:r>
                </w:p>
              </w:tc>
              <w:tc>
                <w:tcPr>
                  <w:tcW w:w="910" w:type="dxa"/>
                  <w:tcBorders>
                    <w:tl2br w:val="nil"/>
                    <w:tr2bl w:val="nil"/>
                  </w:tcBorders>
                  <w:noWrap w:val="0"/>
                  <w:vAlign w:val="center"/>
                </w:tcPr>
                <w:p w14:paraId="672B870A">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44.43697</w:t>
                  </w:r>
                </w:p>
              </w:tc>
              <w:tc>
                <w:tcPr>
                  <w:tcW w:w="852" w:type="dxa"/>
                  <w:tcBorders>
                    <w:tl2br w:val="nil"/>
                    <w:tr2bl w:val="nil"/>
                  </w:tcBorders>
                  <w:noWrap w:val="0"/>
                  <w:vAlign w:val="center"/>
                </w:tcPr>
                <w:p w14:paraId="57391C91">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41.9382</w:t>
                  </w:r>
                </w:p>
              </w:tc>
              <w:tc>
                <w:tcPr>
                  <w:tcW w:w="530" w:type="dxa"/>
                  <w:tcBorders>
                    <w:tl2br w:val="nil"/>
                    <w:tr2bl w:val="nil"/>
                  </w:tcBorders>
                  <w:noWrap w:val="0"/>
                  <w:vAlign w:val="center"/>
                </w:tcPr>
                <w:p w14:paraId="651045D3">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40</w:t>
                  </w:r>
                </w:p>
              </w:tc>
              <w:tc>
                <w:tcPr>
                  <w:tcW w:w="876" w:type="dxa"/>
                  <w:tcBorders>
                    <w:tl2br w:val="nil"/>
                    <w:tr2bl w:val="nil"/>
                  </w:tcBorders>
                  <w:noWrap w:val="0"/>
                  <w:vAlign w:val="center"/>
                </w:tcPr>
                <w:p w14:paraId="26AF64FD">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33.9794</w:t>
                  </w:r>
                </w:p>
              </w:tc>
              <w:tc>
                <w:tcPr>
                  <w:tcW w:w="283" w:type="dxa"/>
                  <w:vMerge w:val="continue"/>
                  <w:tcBorders>
                    <w:tl2br w:val="nil"/>
                    <w:tr2bl w:val="nil"/>
                  </w:tcBorders>
                  <w:noWrap w:val="0"/>
                  <w:vAlign w:val="center"/>
                </w:tcPr>
                <w:p w14:paraId="6A362078">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14:paraId="52166110">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14:paraId="23EB2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14:paraId="74C4BBD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7</w:t>
                  </w:r>
                </w:p>
              </w:tc>
              <w:tc>
                <w:tcPr>
                  <w:tcW w:w="1192" w:type="dxa"/>
                  <w:tcBorders>
                    <w:tl2br w:val="nil"/>
                    <w:tr2bl w:val="nil"/>
                  </w:tcBorders>
                  <w:noWrap w:val="0"/>
                  <w:vAlign w:val="center"/>
                </w:tcPr>
                <w:p w14:paraId="55840710">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蛙式夯实机</w:t>
                  </w:r>
                </w:p>
              </w:tc>
              <w:tc>
                <w:tcPr>
                  <w:tcW w:w="472" w:type="dxa"/>
                  <w:tcBorders>
                    <w:tl2br w:val="nil"/>
                    <w:tr2bl w:val="nil"/>
                  </w:tcBorders>
                  <w:noWrap w:val="0"/>
                  <w:vAlign w:val="center"/>
                </w:tcPr>
                <w:p w14:paraId="5025B24E">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100</w:t>
                  </w:r>
                </w:p>
              </w:tc>
              <w:tc>
                <w:tcPr>
                  <w:tcW w:w="1023" w:type="dxa"/>
                  <w:tcBorders>
                    <w:tl2br w:val="nil"/>
                    <w:tr2bl w:val="nil"/>
                  </w:tcBorders>
                  <w:noWrap w:val="0"/>
                  <w:vAlign w:val="center"/>
                </w:tcPr>
                <w:p w14:paraId="121F5C10">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73.9794</w:t>
                  </w:r>
                </w:p>
              </w:tc>
              <w:tc>
                <w:tcPr>
                  <w:tcW w:w="890" w:type="dxa"/>
                  <w:tcBorders>
                    <w:tl2br w:val="nil"/>
                    <w:tr2bl w:val="nil"/>
                  </w:tcBorders>
                  <w:noWrap w:val="0"/>
                  <w:vAlign w:val="center"/>
                </w:tcPr>
                <w:p w14:paraId="4C8FDCE2">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66.0206</w:t>
                  </w:r>
                </w:p>
              </w:tc>
              <w:tc>
                <w:tcPr>
                  <w:tcW w:w="910" w:type="dxa"/>
                  <w:tcBorders>
                    <w:tl2br w:val="nil"/>
                    <w:tr2bl w:val="nil"/>
                  </w:tcBorders>
                  <w:noWrap w:val="0"/>
                  <w:vAlign w:val="center"/>
                </w:tcPr>
                <w:p w14:paraId="49F9D7E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64.43697</w:t>
                  </w:r>
                </w:p>
              </w:tc>
              <w:tc>
                <w:tcPr>
                  <w:tcW w:w="852" w:type="dxa"/>
                  <w:tcBorders>
                    <w:tl2br w:val="nil"/>
                    <w:tr2bl w:val="nil"/>
                  </w:tcBorders>
                  <w:noWrap w:val="0"/>
                  <w:vAlign w:val="center"/>
                </w:tcPr>
                <w:p w14:paraId="019F693A">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61.9382</w:t>
                  </w:r>
                </w:p>
              </w:tc>
              <w:tc>
                <w:tcPr>
                  <w:tcW w:w="530" w:type="dxa"/>
                  <w:tcBorders>
                    <w:tl2br w:val="nil"/>
                    <w:tr2bl w:val="nil"/>
                  </w:tcBorders>
                  <w:noWrap w:val="0"/>
                  <w:vAlign w:val="center"/>
                </w:tcPr>
                <w:p w14:paraId="246EAA47">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60</w:t>
                  </w:r>
                </w:p>
              </w:tc>
              <w:tc>
                <w:tcPr>
                  <w:tcW w:w="876" w:type="dxa"/>
                  <w:tcBorders>
                    <w:tl2br w:val="nil"/>
                    <w:tr2bl w:val="nil"/>
                  </w:tcBorders>
                  <w:noWrap w:val="0"/>
                  <w:vAlign w:val="center"/>
                </w:tcPr>
                <w:p w14:paraId="43932CFD">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53.9794</w:t>
                  </w:r>
                </w:p>
              </w:tc>
              <w:tc>
                <w:tcPr>
                  <w:tcW w:w="283" w:type="dxa"/>
                  <w:vMerge w:val="continue"/>
                  <w:tcBorders>
                    <w:tl2br w:val="nil"/>
                    <w:tr2bl w:val="nil"/>
                  </w:tcBorders>
                  <w:noWrap w:val="0"/>
                  <w:vAlign w:val="center"/>
                </w:tcPr>
                <w:p w14:paraId="64E27D0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14:paraId="1206ACC9">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14:paraId="188B6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282" w:type="dxa"/>
                  <w:tcBorders>
                    <w:tl2br w:val="nil"/>
                    <w:tr2bl w:val="nil"/>
                  </w:tcBorders>
                  <w:noWrap w:val="0"/>
                  <w:vAlign w:val="center"/>
                </w:tcPr>
                <w:p w14:paraId="509E01F8">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8</w:t>
                  </w:r>
                </w:p>
              </w:tc>
              <w:tc>
                <w:tcPr>
                  <w:tcW w:w="1192" w:type="dxa"/>
                  <w:tcBorders>
                    <w:tl2br w:val="nil"/>
                    <w:tr2bl w:val="nil"/>
                  </w:tcBorders>
                  <w:noWrap w:val="0"/>
                  <w:vAlign w:val="center"/>
                </w:tcPr>
                <w:p w14:paraId="46EA6057">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拖拉机</w:t>
                  </w:r>
                </w:p>
              </w:tc>
              <w:tc>
                <w:tcPr>
                  <w:tcW w:w="472" w:type="dxa"/>
                  <w:tcBorders>
                    <w:tl2br w:val="nil"/>
                    <w:tr2bl w:val="nil"/>
                  </w:tcBorders>
                  <w:noWrap w:val="0"/>
                  <w:vAlign w:val="center"/>
                </w:tcPr>
                <w:p w14:paraId="643D64FC">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83</w:t>
                  </w:r>
                </w:p>
              </w:tc>
              <w:tc>
                <w:tcPr>
                  <w:tcW w:w="1023" w:type="dxa"/>
                  <w:tcBorders>
                    <w:tl2br w:val="nil"/>
                    <w:tr2bl w:val="nil"/>
                  </w:tcBorders>
                  <w:noWrap w:val="0"/>
                  <w:vAlign w:val="center"/>
                </w:tcPr>
                <w:p w14:paraId="5369529F">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56.9794</w:t>
                  </w:r>
                </w:p>
              </w:tc>
              <w:tc>
                <w:tcPr>
                  <w:tcW w:w="890" w:type="dxa"/>
                  <w:tcBorders>
                    <w:tl2br w:val="nil"/>
                    <w:tr2bl w:val="nil"/>
                  </w:tcBorders>
                  <w:noWrap w:val="0"/>
                  <w:vAlign w:val="center"/>
                </w:tcPr>
                <w:p w14:paraId="00C05AE9">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41.61844</w:t>
                  </w:r>
                </w:p>
              </w:tc>
              <w:tc>
                <w:tcPr>
                  <w:tcW w:w="910" w:type="dxa"/>
                  <w:tcBorders>
                    <w:tl2br w:val="nil"/>
                    <w:tr2bl w:val="nil"/>
                  </w:tcBorders>
                  <w:noWrap w:val="0"/>
                  <w:vAlign w:val="center"/>
                </w:tcPr>
                <w:p w14:paraId="2FBF9A19">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47.43697</w:t>
                  </w:r>
                </w:p>
              </w:tc>
              <w:tc>
                <w:tcPr>
                  <w:tcW w:w="852" w:type="dxa"/>
                  <w:tcBorders>
                    <w:tl2br w:val="nil"/>
                    <w:tr2bl w:val="nil"/>
                  </w:tcBorders>
                  <w:noWrap w:val="0"/>
                  <w:vAlign w:val="center"/>
                </w:tcPr>
                <w:p w14:paraId="4DAC2AF3">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44.9382</w:t>
                  </w:r>
                </w:p>
              </w:tc>
              <w:tc>
                <w:tcPr>
                  <w:tcW w:w="530" w:type="dxa"/>
                  <w:tcBorders>
                    <w:tl2br w:val="nil"/>
                    <w:tr2bl w:val="nil"/>
                  </w:tcBorders>
                  <w:noWrap w:val="0"/>
                  <w:vAlign w:val="center"/>
                </w:tcPr>
                <w:p w14:paraId="6101ED24">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43</w:t>
                  </w:r>
                </w:p>
              </w:tc>
              <w:tc>
                <w:tcPr>
                  <w:tcW w:w="876" w:type="dxa"/>
                  <w:tcBorders>
                    <w:tl2br w:val="nil"/>
                    <w:tr2bl w:val="nil"/>
                  </w:tcBorders>
                  <w:noWrap w:val="0"/>
                  <w:vAlign w:val="center"/>
                </w:tcPr>
                <w:p w14:paraId="224A6D43">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36.9794</w:t>
                  </w:r>
                </w:p>
              </w:tc>
              <w:tc>
                <w:tcPr>
                  <w:tcW w:w="283" w:type="dxa"/>
                  <w:vMerge w:val="continue"/>
                  <w:tcBorders>
                    <w:tl2br w:val="nil"/>
                    <w:tr2bl w:val="nil"/>
                  </w:tcBorders>
                  <w:noWrap w:val="0"/>
                  <w:vAlign w:val="center"/>
                </w:tcPr>
                <w:p w14:paraId="7D39E7C1">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14:paraId="0975DA9E">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bl>
          <w:p w14:paraId="03A9A0C5">
            <w:pPr>
              <w:widowControl w:val="0"/>
              <w:autoSpaceDE w:val="0"/>
              <w:autoSpaceDN w:val="0"/>
              <w:adjustRightInd w:val="0"/>
              <w:spacing w:before="159" w:beforeLines="50" w:beforeAutospacing="0" w:line="360" w:lineRule="auto"/>
              <w:ind w:firstLine="480" w:firstLineChars="200"/>
              <w:rPr>
                <w:rFonts w:hint="default" w:ascii="Times New Roman" w:hAnsi="Times New Roman" w:eastAsia="宋体" w:cs="Times New Roman"/>
                <w:color w:val="FF0000"/>
                <w:sz w:val="24"/>
                <w:lang w:val="en-US" w:eastAsia="zh-CN" w:bidi="ar-SA"/>
              </w:rPr>
            </w:pPr>
            <w:r>
              <w:rPr>
                <w:rFonts w:hint="default" w:ascii="Times New Roman" w:hAnsi="Times New Roman" w:eastAsia="宋体" w:cs="Times New Roman"/>
                <w:color w:val="FF0000"/>
                <w:sz w:val="24"/>
                <w:lang w:val="en-US" w:eastAsia="zh-CN" w:bidi="ar-SA"/>
              </w:rPr>
              <w:t>项目施工阶段一般为露天作业，无隔声消减措施，噪声传播较远，受其影响的范围较大。由上表预测结果可见，昼间单个施工机械的噪声在距施工场地50m外可以达到《建筑施工场界环境噪声排放标准》（GB12523-2011）昼间标准，夜间在200m外可以达到《建筑施工场界环境噪声排放标准》（GB12523-2011）夜间标准。但在施工场地往往是多种施工机械共同作业，因此，施工现场的噪声是各种不同施工机械的噪声以及进出施工现场的各种车辆引起的噪声的总和，</w:t>
            </w:r>
            <w:r>
              <w:rPr>
                <w:rFonts w:hint="eastAsia" w:cs="Times New Roman"/>
                <w:color w:val="FF0000"/>
                <w:sz w:val="24"/>
                <w:lang w:val="en-US" w:eastAsia="zh-CN" w:bidi="ar-SA"/>
              </w:rPr>
              <w:t>故</w:t>
            </w:r>
            <w:r>
              <w:rPr>
                <w:rFonts w:hint="default" w:ascii="Times New Roman" w:hAnsi="Times New Roman" w:eastAsia="宋体" w:cs="Times New Roman"/>
                <w:color w:val="FF0000"/>
                <w:sz w:val="24"/>
                <w:lang w:val="en-US" w:eastAsia="zh-CN" w:bidi="ar-SA"/>
              </w:rPr>
              <w:t>昼间噪声达标距离要大于50m。</w:t>
            </w:r>
          </w:p>
          <w:p w14:paraId="47F59764">
            <w:pPr>
              <w:widowControl w:val="0"/>
              <w:autoSpaceDE w:val="0"/>
              <w:autoSpaceDN w:val="0"/>
              <w:adjustRightInd w:val="0"/>
              <w:spacing w:line="360" w:lineRule="auto"/>
              <w:ind w:firstLine="480" w:firstLineChars="200"/>
              <w:rPr>
                <w:rFonts w:hint="eastAsia"/>
                <w:b/>
                <w:bCs/>
                <w:color w:val="FF0000"/>
                <w:sz w:val="24"/>
                <w:szCs w:val="24"/>
                <w:lang w:val="en-US" w:eastAsia="zh-CN"/>
              </w:rPr>
            </w:pPr>
            <w:r>
              <w:rPr>
                <w:rFonts w:hint="default" w:ascii="Times New Roman" w:hAnsi="Times New Roman" w:eastAsia="宋体" w:cs="Times New Roman"/>
                <w:color w:val="FF0000"/>
                <w:sz w:val="24"/>
                <w:lang w:val="en-US" w:eastAsia="zh-CN" w:bidi="ar-SA"/>
              </w:rPr>
              <w:t>各噪声敏感点会在一定程度上受到施工噪声的影响，短期内将处于超标环境中，若夜间施工，超标情况更为严重，因此，本工程</w:t>
            </w:r>
            <w:r>
              <w:rPr>
                <w:rFonts w:hint="eastAsia" w:cs="Times New Roman"/>
                <w:color w:val="FF0000"/>
                <w:sz w:val="24"/>
                <w:lang w:val="en-US" w:eastAsia="zh-CN" w:bidi="ar-SA"/>
              </w:rPr>
              <w:t>在有敏感点河段</w:t>
            </w:r>
            <w:r>
              <w:rPr>
                <w:rFonts w:hint="default" w:ascii="Times New Roman" w:hAnsi="Times New Roman" w:eastAsia="宋体" w:cs="Times New Roman"/>
                <w:color w:val="FF0000"/>
                <w:sz w:val="24"/>
                <w:lang w:val="en-US" w:eastAsia="zh-CN" w:bidi="ar-SA"/>
              </w:rPr>
              <w:t>禁止进行夜间施工，以降低对周边居民声环境的影响</w:t>
            </w:r>
            <w:r>
              <w:rPr>
                <w:rFonts w:hint="eastAsia" w:ascii="Times New Roman" w:hAnsi="Times New Roman" w:eastAsia="宋体" w:cs="Times New Roman"/>
                <w:color w:val="FF0000"/>
                <w:sz w:val="24"/>
                <w:lang w:val="en-US" w:eastAsia="zh-CN" w:bidi="ar-SA"/>
              </w:rPr>
              <w:t>。</w:t>
            </w:r>
          </w:p>
          <w:p w14:paraId="3E34DE14">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36"/>
                <w:lang w:val="en-US" w:eastAsia="zh-CN"/>
                <w14:textFill>
                  <w14:solidFill>
                    <w14:schemeClr w14:val="tx1"/>
                  </w14:solidFill>
                </w14:textFill>
              </w:rPr>
              <w:t>4</w:t>
            </w: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固体废物</w:t>
            </w:r>
          </w:p>
          <w:p w14:paraId="49EB3CE3">
            <w:pPr>
              <w:keepNext w:val="0"/>
              <w:keepLines w:val="0"/>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本项目施工期产生的固体废物主要为施工弃土、施工建筑垃圾</w:t>
            </w:r>
            <w:r>
              <w:rPr>
                <w:rFonts w:hint="eastAsia" w:ascii="Times New Roman" w:hAnsi="Times New Roman" w:eastAsia="宋体"/>
                <w:color w:val="000000" w:themeColor="text1"/>
                <w:sz w:val="24"/>
                <w:szCs w:val="24"/>
                <w:highlight w:val="none"/>
                <w:lang w:eastAsia="zh-CN"/>
                <w14:textFill>
                  <w14:solidFill>
                    <w14:schemeClr w14:val="tx1"/>
                  </w14:solidFill>
                </w14:textFill>
              </w:rPr>
              <w:t>及</w:t>
            </w:r>
            <w:r>
              <w:rPr>
                <w:rFonts w:hint="eastAsia" w:ascii="Times New Roman" w:hAnsi="Times New Roman" w:eastAsia="宋体"/>
                <w:color w:val="000000" w:themeColor="text1"/>
                <w:sz w:val="24"/>
                <w:szCs w:val="24"/>
                <w:highlight w:val="none"/>
                <w14:textFill>
                  <w14:solidFill>
                    <w14:schemeClr w14:val="tx1"/>
                  </w14:solidFill>
                </w14:textFill>
              </w:rPr>
              <w:t>施工人员生活垃圾。</w:t>
            </w:r>
          </w:p>
          <w:p w14:paraId="42A9A0A4">
            <w:pPr>
              <w:spacing w:line="360" w:lineRule="auto"/>
              <w:ind w:right="-1" w:firstLine="480" w:firstLineChars="200"/>
              <w:contextualSpacing/>
              <w:rPr>
                <w:rFonts w:hint="eastAsia" w:ascii="Times New Roman" w:hAnsi="Times New Roman" w:eastAsia="宋体"/>
                <w:color w:val="FF0000"/>
                <w:sz w:val="24"/>
                <w:szCs w:val="24"/>
                <w:highlight w:val="none"/>
                <w:lang w:eastAsia="zh-CN"/>
              </w:rPr>
            </w:pPr>
            <w:r>
              <w:rPr>
                <w:rFonts w:hint="eastAsia" w:ascii="Times New Roman" w:hAnsi="Times New Roman" w:eastAsia="宋体"/>
                <w:color w:val="FF0000"/>
                <w:sz w:val="24"/>
                <w:szCs w:val="24"/>
                <w:highlight w:val="none"/>
              </w:rPr>
              <w:t>1）施工弃</w:t>
            </w:r>
            <w:r>
              <w:rPr>
                <w:rFonts w:hint="eastAsia" w:ascii="Times New Roman" w:hAnsi="Times New Roman" w:eastAsia="宋体"/>
                <w:color w:val="FF0000"/>
                <w:sz w:val="24"/>
                <w:szCs w:val="24"/>
                <w:highlight w:val="none"/>
                <w:lang w:eastAsia="zh-CN"/>
              </w:rPr>
              <w:t>土</w:t>
            </w:r>
          </w:p>
          <w:p w14:paraId="55022583">
            <w:pPr>
              <w:widowControl w:val="0"/>
              <w:autoSpaceDE w:val="0"/>
              <w:autoSpaceDN w:val="0"/>
              <w:adjustRightInd w:val="0"/>
              <w:spacing w:line="360" w:lineRule="auto"/>
              <w:ind w:firstLine="480" w:firstLineChars="200"/>
              <w:rPr>
                <w:rFonts w:hint="default" w:ascii="Times New Roman" w:hAnsi="Times New Roman" w:eastAsia="宋体" w:cs="Times New Roman"/>
                <w:color w:val="FF0000"/>
                <w:sz w:val="24"/>
                <w:lang w:val="en-US" w:eastAsia="zh-CN" w:bidi="ar-SA"/>
              </w:rPr>
            </w:pPr>
            <w:r>
              <w:rPr>
                <w:rFonts w:hint="eastAsia" w:cs="Times New Roman"/>
                <w:color w:val="FF0000"/>
                <w:sz w:val="24"/>
                <w:lang w:val="en-US" w:eastAsia="zh-CN" w:bidi="ar-SA"/>
              </w:rPr>
              <w:t>根据设计报告，</w:t>
            </w:r>
            <w:r>
              <w:rPr>
                <w:rFonts w:hint="eastAsia" w:ascii="Times New Roman" w:hAnsi="Times New Roman" w:eastAsia="宋体" w:cs="Times New Roman"/>
                <w:color w:val="FF0000"/>
                <w:sz w:val="24"/>
                <w:lang w:val="en-US" w:eastAsia="zh-CN" w:bidi="ar-SA"/>
              </w:rPr>
              <w:t>本项目在建设期，通过合理地</w:t>
            </w:r>
            <w:r>
              <w:rPr>
                <w:rFonts w:hint="default" w:ascii="Times New Roman" w:hAnsi="Times New Roman" w:eastAsia="宋体" w:cs="Times New Roman"/>
                <w:color w:val="FF0000"/>
                <w:sz w:val="24"/>
                <w:lang w:val="en-US" w:eastAsia="zh-CN" w:bidi="ar-SA"/>
              </w:rPr>
              <w:t>安排施工时序，余（弃）方全部用做填方，基本实现挖填平衡。经测算本项目总开挖方量</w:t>
            </w:r>
            <w:r>
              <w:rPr>
                <w:rFonts w:hint="eastAsia" w:cs="Times New Roman"/>
                <w:color w:val="FF0000"/>
                <w:sz w:val="24"/>
                <w:lang w:val="en-US" w:eastAsia="zh-CN" w:bidi="ar-SA"/>
              </w:rPr>
              <w:t>10.74</w:t>
            </w:r>
            <w:r>
              <w:rPr>
                <w:rFonts w:hint="default" w:ascii="Times New Roman" w:hAnsi="Times New Roman" w:eastAsia="宋体" w:cs="Times New Roman"/>
                <w:color w:val="FF0000"/>
                <w:sz w:val="24"/>
                <w:lang w:val="en-US" w:eastAsia="zh-CN" w:bidi="ar-SA"/>
              </w:rPr>
              <w:t>万m³。施工期主要工程土石方平衡见表4-4。</w:t>
            </w:r>
          </w:p>
          <w:p w14:paraId="3F9966AF">
            <w:pPr>
              <w:widowControl w:val="0"/>
              <w:autoSpaceDE w:val="0"/>
              <w:autoSpaceDN w:val="0"/>
              <w:adjustRightInd w:val="0"/>
              <w:jc w:val="center"/>
              <w:rPr>
                <w:rFonts w:hint="default" w:ascii="Times New Roman" w:hAnsi="Times New Roman" w:eastAsia="宋体" w:cs="Times New Roman"/>
                <w:b/>
                <w:bCs/>
                <w:color w:val="FF0000"/>
                <w:sz w:val="21"/>
                <w:szCs w:val="21"/>
                <w:lang w:val="en-US" w:eastAsia="zh-CN" w:bidi="ar-SA"/>
              </w:rPr>
            </w:pPr>
            <w:bookmarkStart w:id="14" w:name="_Toc7580_WPSOffice_Level2"/>
            <w:r>
              <w:rPr>
                <w:rFonts w:hint="default" w:ascii="Times New Roman" w:hAnsi="Times New Roman" w:eastAsia="宋体" w:cs="Times New Roman"/>
                <w:b/>
                <w:bCs/>
                <w:color w:val="FF0000"/>
                <w:sz w:val="21"/>
                <w:szCs w:val="21"/>
                <w:lang w:val="en-US" w:eastAsia="zh-CN" w:bidi="ar-SA"/>
              </w:rPr>
              <w:t>表4-4     项目土石方平衡表(单位：万m³</w:t>
            </w:r>
            <w:bookmarkEnd w:id="14"/>
            <w:r>
              <w:rPr>
                <w:rFonts w:hint="default" w:ascii="Times New Roman" w:hAnsi="Times New Roman" w:eastAsia="宋体" w:cs="Times New Roman"/>
                <w:b/>
                <w:bCs/>
                <w:color w:val="FF0000"/>
                <w:sz w:val="21"/>
                <w:szCs w:val="21"/>
                <w:lang w:val="en-US" w:eastAsia="zh-CN" w:bidi="ar-SA"/>
              </w:rPr>
              <w:t>)</w:t>
            </w:r>
          </w:p>
          <w:tbl>
            <w:tblPr>
              <w:tblStyle w:val="20"/>
              <w:tblW w:w="765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09"/>
              <w:gridCol w:w="658"/>
              <w:gridCol w:w="822"/>
              <w:gridCol w:w="814"/>
              <w:gridCol w:w="925"/>
              <w:gridCol w:w="814"/>
              <w:gridCol w:w="825"/>
              <w:gridCol w:w="715"/>
              <w:gridCol w:w="675"/>
            </w:tblGrid>
            <w:tr w14:paraId="6FCE25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6" w:hRule="atLeast"/>
                <w:jc w:val="center"/>
              </w:trPr>
              <w:tc>
                <w:tcPr>
                  <w:tcW w:w="1409" w:type="dxa"/>
                  <w:vMerge w:val="restart"/>
                  <w:tcBorders>
                    <w:tl2br w:val="nil"/>
                    <w:tr2bl w:val="nil"/>
                  </w:tcBorders>
                  <w:shd w:val="clear" w:color="auto" w:fill="auto"/>
                  <w:noWrap/>
                  <w:tcMar>
                    <w:top w:w="15" w:type="dxa"/>
                    <w:left w:w="15" w:type="dxa"/>
                    <w:right w:w="15" w:type="dxa"/>
                  </w:tcMar>
                  <w:vAlign w:val="center"/>
                </w:tcPr>
                <w:p w14:paraId="6C1A4A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功能分区</w:t>
                  </w:r>
                </w:p>
              </w:tc>
              <w:tc>
                <w:tcPr>
                  <w:tcW w:w="1480" w:type="dxa"/>
                  <w:gridSpan w:val="2"/>
                  <w:tcBorders>
                    <w:tl2br w:val="nil"/>
                    <w:tr2bl w:val="nil"/>
                  </w:tcBorders>
                  <w:shd w:val="clear" w:color="auto" w:fill="auto"/>
                  <w:noWrap/>
                  <w:tcMar>
                    <w:top w:w="15" w:type="dxa"/>
                    <w:left w:w="15" w:type="dxa"/>
                    <w:right w:w="15" w:type="dxa"/>
                  </w:tcMar>
                  <w:vAlign w:val="center"/>
                </w:tcPr>
                <w:p w14:paraId="455B3A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建设规模</w:t>
                  </w:r>
                </w:p>
              </w:tc>
              <w:tc>
                <w:tcPr>
                  <w:tcW w:w="814" w:type="dxa"/>
                  <w:vMerge w:val="restart"/>
                  <w:tcBorders>
                    <w:tl2br w:val="nil"/>
                    <w:tr2bl w:val="nil"/>
                  </w:tcBorders>
                  <w:shd w:val="clear" w:color="auto" w:fill="auto"/>
                  <w:noWrap/>
                  <w:tcMar>
                    <w:top w:w="15" w:type="dxa"/>
                    <w:left w:w="15" w:type="dxa"/>
                    <w:right w:w="15" w:type="dxa"/>
                  </w:tcMar>
                  <w:vAlign w:val="center"/>
                </w:tcPr>
                <w:p w14:paraId="44FEC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挖方</w:t>
                  </w:r>
                </w:p>
              </w:tc>
              <w:tc>
                <w:tcPr>
                  <w:tcW w:w="925" w:type="dxa"/>
                  <w:vMerge w:val="restart"/>
                  <w:tcBorders>
                    <w:tl2br w:val="nil"/>
                    <w:tr2bl w:val="nil"/>
                  </w:tcBorders>
                  <w:shd w:val="clear" w:color="auto" w:fill="auto"/>
                  <w:noWrap/>
                  <w:tcMar>
                    <w:top w:w="15" w:type="dxa"/>
                    <w:left w:w="15" w:type="dxa"/>
                    <w:right w:w="15" w:type="dxa"/>
                  </w:tcMar>
                  <w:vAlign w:val="center"/>
                </w:tcPr>
                <w:p w14:paraId="751CF1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填方</w:t>
                  </w:r>
                </w:p>
              </w:tc>
              <w:tc>
                <w:tcPr>
                  <w:tcW w:w="1639" w:type="dxa"/>
                  <w:gridSpan w:val="2"/>
                  <w:tcBorders>
                    <w:tl2br w:val="nil"/>
                    <w:tr2bl w:val="nil"/>
                  </w:tcBorders>
                  <w:shd w:val="clear" w:color="auto" w:fill="auto"/>
                  <w:noWrap/>
                  <w:tcMar>
                    <w:top w:w="15" w:type="dxa"/>
                    <w:left w:w="15" w:type="dxa"/>
                    <w:right w:w="15" w:type="dxa"/>
                  </w:tcMar>
                  <w:vAlign w:val="center"/>
                </w:tcPr>
                <w:p w14:paraId="63D7C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外借方</w:t>
                  </w:r>
                </w:p>
              </w:tc>
              <w:tc>
                <w:tcPr>
                  <w:tcW w:w="1390" w:type="dxa"/>
                  <w:gridSpan w:val="2"/>
                  <w:tcBorders>
                    <w:tl2br w:val="nil"/>
                    <w:tr2bl w:val="nil"/>
                  </w:tcBorders>
                  <w:shd w:val="clear" w:color="auto" w:fill="auto"/>
                  <w:noWrap/>
                  <w:tcMar>
                    <w:top w:w="15" w:type="dxa"/>
                    <w:left w:w="15" w:type="dxa"/>
                    <w:right w:w="15" w:type="dxa"/>
                  </w:tcMar>
                  <w:vAlign w:val="center"/>
                </w:tcPr>
                <w:p w14:paraId="394BC0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余（弃）方</w:t>
                  </w:r>
                </w:p>
              </w:tc>
            </w:tr>
            <w:tr w14:paraId="548D2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9" w:hRule="atLeast"/>
                <w:jc w:val="center"/>
              </w:trPr>
              <w:tc>
                <w:tcPr>
                  <w:tcW w:w="1409" w:type="dxa"/>
                  <w:vMerge w:val="continue"/>
                  <w:tcBorders>
                    <w:tl2br w:val="nil"/>
                    <w:tr2bl w:val="nil"/>
                  </w:tcBorders>
                  <w:shd w:val="clear" w:color="auto" w:fill="auto"/>
                  <w:noWrap/>
                  <w:tcMar>
                    <w:top w:w="15" w:type="dxa"/>
                    <w:left w:w="15" w:type="dxa"/>
                    <w:right w:w="15" w:type="dxa"/>
                  </w:tcMar>
                  <w:vAlign w:val="center"/>
                </w:tcPr>
                <w:p w14:paraId="53D758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p>
              </w:tc>
              <w:tc>
                <w:tcPr>
                  <w:tcW w:w="658" w:type="dxa"/>
                  <w:tcBorders>
                    <w:tl2br w:val="nil"/>
                    <w:tr2bl w:val="nil"/>
                  </w:tcBorders>
                  <w:shd w:val="clear" w:color="auto" w:fill="auto"/>
                  <w:noWrap/>
                  <w:tcMar>
                    <w:top w:w="15" w:type="dxa"/>
                    <w:left w:w="15" w:type="dxa"/>
                    <w:right w:w="15" w:type="dxa"/>
                  </w:tcMar>
                  <w:vAlign w:val="center"/>
                </w:tcPr>
                <w:p w14:paraId="7E0C5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单位</w:t>
                  </w:r>
                </w:p>
              </w:tc>
              <w:tc>
                <w:tcPr>
                  <w:tcW w:w="822" w:type="dxa"/>
                  <w:tcBorders>
                    <w:tl2br w:val="nil"/>
                    <w:tr2bl w:val="nil"/>
                  </w:tcBorders>
                  <w:shd w:val="clear" w:color="auto" w:fill="auto"/>
                  <w:noWrap/>
                  <w:tcMar>
                    <w:top w:w="15" w:type="dxa"/>
                    <w:left w:w="15" w:type="dxa"/>
                    <w:right w:w="15" w:type="dxa"/>
                  </w:tcMar>
                  <w:vAlign w:val="center"/>
                </w:tcPr>
                <w:p w14:paraId="7F124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数量</w:t>
                  </w:r>
                </w:p>
              </w:tc>
              <w:tc>
                <w:tcPr>
                  <w:tcW w:w="814" w:type="dxa"/>
                  <w:vMerge w:val="continue"/>
                  <w:tcBorders>
                    <w:tl2br w:val="nil"/>
                    <w:tr2bl w:val="nil"/>
                  </w:tcBorders>
                  <w:shd w:val="clear" w:color="auto" w:fill="auto"/>
                  <w:noWrap/>
                  <w:tcMar>
                    <w:top w:w="15" w:type="dxa"/>
                    <w:left w:w="15" w:type="dxa"/>
                    <w:right w:w="15" w:type="dxa"/>
                  </w:tcMar>
                  <w:vAlign w:val="center"/>
                </w:tcPr>
                <w:p w14:paraId="29432D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p>
              </w:tc>
              <w:tc>
                <w:tcPr>
                  <w:tcW w:w="925" w:type="dxa"/>
                  <w:vMerge w:val="continue"/>
                  <w:tcBorders>
                    <w:tl2br w:val="nil"/>
                    <w:tr2bl w:val="nil"/>
                  </w:tcBorders>
                  <w:shd w:val="clear" w:color="auto" w:fill="auto"/>
                  <w:noWrap/>
                  <w:tcMar>
                    <w:top w:w="15" w:type="dxa"/>
                    <w:left w:w="15" w:type="dxa"/>
                    <w:right w:w="15" w:type="dxa"/>
                  </w:tcMar>
                  <w:vAlign w:val="center"/>
                </w:tcPr>
                <w:p w14:paraId="708B56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p>
              </w:tc>
              <w:tc>
                <w:tcPr>
                  <w:tcW w:w="814" w:type="dxa"/>
                  <w:tcBorders>
                    <w:tl2br w:val="nil"/>
                    <w:tr2bl w:val="nil"/>
                  </w:tcBorders>
                  <w:shd w:val="clear" w:color="auto" w:fill="auto"/>
                  <w:noWrap/>
                  <w:tcMar>
                    <w:top w:w="15" w:type="dxa"/>
                    <w:left w:w="15" w:type="dxa"/>
                    <w:right w:w="15" w:type="dxa"/>
                  </w:tcMar>
                  <w:vAlign w:val="center"/>
                </w:tcPr>
                <w:p w14:paraId="28C63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数量</w:t>
                  </w:r>
                </w:p>
              </w:tc>
              <w:tc>
                <w:tcPr>
                  <w:tcW w:w="825" w:type="dxa"/>
                  <w:tcBorders>
                    <w:tl2br w:val="nil"/>
                    <w:tr2bl w:val="nil"/>
                  </w:tcBorders>
                  <w:shd w:val="clear" w:color="auto" w:fill="auto"/>
                  <w:noWrap/>
                  <w:tcMar>
                    <w:top w:w="15" w:type="dxa"/>
                    <w:left w:w="15" w:type="dxa"/>
                    <w:right w:w="15" w:type="dxa"/>
                  </w:tcMar>
                  <w:vAlign w:val="center"/>
                </w:tcPr>
                <w:p w14:paraId="00EABB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来源</w:t>
                  </w:r>
                </w:p>
              </w:tc>
              <w:tc>
                <w:tcPr>
                  <w:tcW w:w="715" w:type="dxa"/>
                  <w:tcBorders>
                    <w:tl2br w:val="nil"/>
                    <w:tr2bl w:val="nil"/>
                  </w:tcBorders>
                  <w:shd w:val="clear" w:color="auto" w:fill="auto"/>
                  <w:noWrap/>
                  <w:tcMar>
                    <w:top w:w="15" w:type="dxa"/>
                    <w:left w:w="15" w:type="dxa"/>
                    <w:right w:w="15" w:type="dxa"/>
                  </w:tcMar>
                  <w:vAlign w:val="center"/>
                </w:tcPr>
                <w:p w14:paraId="70D4B7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数量</w:t>
                  </w:r>
                </w:p>
              </w:tc>
              <w:tc>
                <w:tcPr>
                  <w:tcW w:w="675" w:type="dxa"/>
                  <w:tcBorders>
                    <w:tl2br w:val="nil"/>
                    <w:tr2bl w:val="nil"/>
                  </w:tcBorders>
                  <w:shd w:val="clear" w:color="auto" w:fill="auto"/>
                  <w:noWrap/>
                  <w:tcMar>
                    <w:top w:w="15" w:type="dxa"/>
                    <w:left w:w="15" w:type="dxa"/>
                    <w:right w:w="15" w:type="dxa"/>
                  </w:tcMar>
                  <w:vAlign w:val="center"/>
                </w:tcPr>
                <w:p w14:paraId="3C6992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去向</w:t>
                  </w:r>
                </w:p>
              </w:tc>
            </w:tr>
            <w:tr w14:paraId="332F53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1" w:hRule="atLeast"/>
                <w:jc w:val="center"/>
              </w:trPr>
              <w:tc>
                <w:tcPr>
                  <w:tcW w:w="1409" w:type="dxa"/>
                  <w:tcBorders>
                    <w:tl2br w:val="nil"/>
                    <w:tr2bl w:val="nil"/>
                  </w:tcBorders>
                  <w:shd w:val="clear" w:color="auto" w:fill="auto"/>
                  <w:noWrap/>
                  <w:tcMar>
                    <w:top w:w="15" w:type="dxa"/>
                    <w:left w:w="15" w:type="dxa"/>
                    <w:right w:w="15" w:type="dxa"/>
                  </w:tcMar>
                  <w:vAlign w:val="center"/>
                </w:tcPr>
                <w:p w14:paraId="4C1F44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生态护岸工程</w:t>
                  </w:r>
                </w:p>
              </w:tc>
              <w:tc>
                <w:tcPr>
                  <w:tcW w:w="658" w:type="dxa"/>
                  <w:tcBorders>
                    <w:tl2br w:val="nil"/>
                    <w:tr2bl w:val="nil"/>
                  </w:tcBorders>
                  <w:shd w:val="clear" w:color="auto" w:fill="auto"/>
                  <w:noWrap/>
                  <w:tcMar>
                    <w:top w:w="15" w:type="dxa"/>
                    <w:left w:w="15" w:type="dxa"/>
                    <w:right w:w="15" w:type="dxa"/>
                  </w:tcMar>
                  <w:vAlign w:val="center"/>
                </w:tcPr>
                <w:p w14:paraId="7CE842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km</w:t>
                  </w:r>
                </w:p>
              </w:tc>
              <w:tc>
                <w:tcPr>
                  <w:tcW w:w="822" w:type="dxa"/>
                  <w:tcBorders>
                    <w:tl2br w:val="nil"/>
                    <w:tr2bl w:val="nil"/>
                  </w:tcBorders>
                  <w:shd w:val="clear" w:color="auto" w:fill="auto"/>
                  <w:noWrap/>
                  <w:tcMar>
                    <w:top w:w="15" w:type="dxa"/>
                    <w:left w:w="15" w:type="dxa"/>
                    <w:right w:w="15" w:type="dxa"/>
                  </w:tcMar>
                  <w:vAlign w:val="center"/>
                </w:tcPr>
                <w:p w14:paraId="793DC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11.41</w:t>
                  </w:r>
                </w:p>
              </w:tc>
              <w:tc>
                <w:tcPr>
                  <w:tcW w:w="814" w:type="dxa"/>
                  <w:tcBorders>
                    <w:tl2br w:val="nil"/>
                    <w:tr2bl w:val="nil"/>
                  </w:tcBorders>
                  <w:shd w:val="clear" w:color="auto" w:fill="auto"/>
                  <w:noWrap/>
                  <w:tcMar>
                    <w:top w:w="15" w:type="dxa"/>
                    <w:left w:w="15" w:type="dxa"/>
                    <w:right w:w="15" w:type="dxa"/>
                  </w:tcMar>
                  <w:vAlign w:val="center"/>
                </w:tcPr>
                <w:p w14:paraId="3656F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10.74</w:t>
                  </w:r>
                </w:p>
              </w:tc>
              <w:tc>
                <w:tcPr>
                  <w:tcW w:w="925" w:type="dxa"/>
                  <w:tcBorders>
                    <w:tl2br w:val="nil"/>
                    <w:tr2bl w:val="nil"/>
                  </w:tcBorders>
                  <w:shd w:val="clear" w:color="auto" w:fill="auto"/>
                  <w:noWrap/>
                  <w:tcMar>
                    <w:top w:w="15" w:type="dxa"/>
                    <w:left w:w="15" w:type="dxa"/>
                    <w:right w:w="15" w:type="dxa"/>
                  </w:tcMar>
                  <w:vAlign w:val="center"/>
                </w:tcPr>
                <w:p w14:paraId="68439C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10.74</w:t>
                  </w:r>
                </w:p>
              </w:tc>
              <w:tc>
                <w:tcPr>
                  <w:tcW w:w="814" w:type="dxa"/>
                  <w:tcBorders>
                    <w:tl2br w:val="nil"/>
                    <w:tr2bl w:val="nil"/>
                  </w:tcBorders>
                  <w:shd w:val="clear" w:color="auto" w:fill="auto"/>
                  <w:noWrap/>
                  <w:tcMar>
                    <w:top w:w="15" w:type="dxa"/>
                    <w:left w:w="15" w:type="dxa"/>
                    <w:right w:w="15" w:type="dxa"/>
                  </w:tcMar>
                  <w:vAlign w:val="center"/>
                </w:tcPr>
                <w:p w14:paraId="40B9B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25" w:type="dxa"/>
                  <w:tcBorders>
                    <w:tl2br w:val="nil"/>
                    <w:tr2bl w:val="nil"/>
                  </w:tcBorders>
                  <w:shd w:val="clear" w:color="auto" w:fill="auto"/>
                  <w:noWrap/>
                  <w:tcMar>
                    <w:top w:w="15" w:type="dxa"/>
                    <w:left w:w="15" w:type="dxa"/>
                    <w:right w:w="15" w:type="dxa"/>
                  </w:tcMar>
                  <w:vAlign w:val="center"/>
                </w:tcPr>
                <w:p w14:paraId="53352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w:t>
                  </w:r>
                </w:p>
              </w:tc>
              <w:tc>
                <w:tcPr>
                  <w:tcW w:w="715" w:type="dxa"/>
                  <w:tcBorders>
                    <w:tl2br w:val="nil"/>
                    <w:tr2bl w:val="nil"/>
                  </w:tcBorders>
                  <w:shd w:val="clear" w:color="auto" w:fill="auto"/>
                  <w:noWrap/>
                  <w:tcMar>
                    <w:top w:w="15" w:type="dxa"/>
                    <w:left w:w="15" w:type="dxa"/>
                    <w:right w:w="15" w:type="dxa"/>
                  </w:tcMar>
                  <w:vAlign w:val="center"/>
                </w:tcPr>
                <w:p w14:paraId="52C25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675" w:type="dxa"/>
                  <w:tcBorders>
                    <w:tl2br w:val="nil"/>
                    <w:tr2bl w:val="nil"/>
                  </w:tcBorders>
                  <w:shd w:val="clear" w:color="auto" w:fill="auto"/>
                  <w:noWrap/>
                  <w:tcMar>
                    <w:top w:w="15" w:type="dxa"/>
                    <w:left w:w="15" w:type="dxa"/>
                    <w:right w:w="15" w:type="dxa"/>
                  </w:tcMar>
                  <w:vAlign w:val="center"/>
                </w:tcPr>
                <w:p w14:paraId="552F8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w:t>
                  </w:r>
                </w:p>
              </w:tc>
            </w:tr>
            <w:tr w14:paraId="641C24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0" w:hRule="atLeast"/>
                <w:jc w:val="center"/>
              </w:trPr>
              <w:tc>
                <w:tcPr>
                  <w:tcW w:w="1409" w:type="dxa"/>
                  <w:tcBorders>
                    <w:tl2br w:val="nil"/>
                    <w:tr2bl w:val="nil"/>
                  </w:tcBorders>
                  <w:shd w:val="clear" w:color="auto" w:fill="auto"/>
                  <w:noWrap/>
                  <w:tcMar>
                    <w:top w:w="15" w:type="dxa"/>
                    <w:left w:w="15" w:type="dxa"/>
                    <w:right w:w="15" w:type="dxa"/>
                  </w:tcMar>
                  <w:vAlign w:val="center"/>
                </w:tcPr>
                <w:p w14:paraId="059F3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合计</w:t>
                  </w:r>
                </w:p>
              </w:tc>
              <w:tc>
                <w:tcPr>
                  <w:tcW w:w="658" w:type="dxa"/>
                  <w:tcBorders>
                    <w:tl2br w:val="nil"/>
                    <w:tr2bl w:val="nil"/>
                  </w:tcBorders>
                  <w:shd w:val="clear" w:color="auto" w:fill="auto"/>
                  <w:noWrap/>
                  <w:tcMar>
                    <w:top w:w="15" w:type="dxa"/>
                    <w:left w:w="15" w:type="dxa"/>
                    <w:right w:w="15" w:type="dxa"/>
                  </w:tcMar>
                  <w:vAlign w:val="center"/>
                </w:tcPr>
                <w:p w14:paraId="479D87D2">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w:t>
                  </w:r>
                </w:p>
              </w:tc>
              <w:tc>
                <w:tcPr>
                  <w:tcW w:w="822" w:type="dxa"/>
                  <w:tcBorders>
                    <w:tl2br w:val="nil"/>
                    <w:tr2bl w:val="nil"/>
                  </w:tcBorders>
                  <w:shd w:val="clear" w:color="auto" w:fill="auto"/>
                  <w:noWrap/>
                  <w:tcMar>
                    <w:top w:w="15" w:type="dxa"/>
                    <w:left w:w="15" w:type="dxa"/>
                    <w:right w:w="15" w:type="dxa"/>
                  </w:tcMar>
                  <w:vAlign w:val="center"/>
                </w:tcPr>
                <w:p w14:paraId="177BC92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w:t>
                  </w:r>
                </w:p>
              </w:tc>
              <w:tc>
                <w:tcPr>
                  <w:tcW w:w="814" w:type="dxa"/>
                  <w:tcBorders>
                    <w:tl2br w:val="nil"/>
                    <w:tr2bl w:val="nil"/>
                  </w:tcBorders>
                  <w:shd w:val="clear" w:color="auto" w:fill="auto"/>
                  <w:noWrap/>
                  <w:tcMar>
                    <w:top w:w="15" w:type="dxa"/>
                    <w:left w:w="15" w:type="dxa"/>
                    <w:right w:w="15" w:type="dxa"/>
                  </w:tcMar>
                  <w:vAlign w:val="center"/>
                </w:tcPr>
                <w:p w14:paraId="399C2D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sz w:val="21"/>
                      <w:szCs w:val="21"/>
                      <w:highlight w:val="none"/>
                      <w:lang w:val="en-US" w:eastAsia="zh-CN"/>
                    </w:rPr>
                    <w:t>10.74</w:t>
                  </w:r>
                </w:p>
              </w:tc>
              <w:tc>
                <w:tcPr>
                  <w:tcW w:w="925" w:type="dxa"/>
                  <w:tcBorders>
                    <w:tl2br w:val="nil"/>
                    <w:tr2bl w:val="nil"/>
                  </w:tcBorders>
                  <w:shd w:val="clear" w:color="auto" w:fill="auto"/>
                  <w:noWrap/>
                  <w:tcMar>
                    <w:top w:w="15" w:type="dxa"/>
                    <w:left w:w="15" w:type="dxa"/>
                    <w:right w:w="15" w:type="dxa"/>
                  </w:tcMar>
                  <w:vAlign w:val="center"/>
                </w:tcPr>
                <w:p w14:paraId="386370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sz w:val="21"/>
                      <w:szCs w:val="21"/>
                      <w:highlight w:val="none"/>
                      <w:lang w:val="en-US" w:eastAsia="zh-CN"/>
                    </w:rPr>
                    <w:t>10.74</w:t>
                  </w:r>
                </w:p>
              </w:tc>
              <w:tc>
                <w:tcPr>
                  <w:tcW w:w="814" w:type="dxa"/>
                  <w:tcBorders>
                    <w:tl2br w:val="nil"/>
                    <w:tr2bl w:val="nil"/>
                  </w:tcBorders>
                  <w:shd w:val="clear" w:color="auto" w:fill="auto"/>
                  <w:noWrap/>
                  <w:tcMar>
                    <w:top w:w="15" w:type="dxa"/>
                    <w:left w:w="15" w:type="dxa"/>
                    <w:right w:w="15" w:type="dxa"/>
                  </w:tcMar>
                  <w:vAlign w:val="center"/>
                </w:tcPr>
                <w:p w14:paraId="34F7F4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0</w:t>
                  </w:r>
                </w:p>
              </w:tc>
              <w:tc>
                <w:tcPr>
                  <w:tcW w:w="825" w:type="dxa"/>
                  <w:tcBorders>
                    <w:tl2br w:val="nil"/>
                    <w:tr2bl w:val="nil"/>
                  </w:tcBorders>
                  <w:shd w:val="clear" w:color="auto" w:fill="auto"/>
                  <w:noWrap/>
                  <w:tcMar>
                    <w:top w:w="15" w:type="dxa"/>
                    <w:left w:w="15" w:type="dxa"/>
                    <w:right w:w="15" w:type="dxa"/>
                  </w:tcMar>
                  <w:vAlign w:val="center"/>
                </w:tcPr>
                <w:p w14:paraId="5D2E0F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w:t>
                  </w:r>
                </w:p>
              </w:tc>
              <w:tc>
                <w:tcPr>
                  <w:tcW w:w="715" w:type="dxa"/>
                  <w:tcBorders>
                    <w:tl2br w:val="nil"/>
                    <w:tr2bl w:val="nil"/>
                  </w:tcBorders>
                  <w:shd w:val="clear" w:color="auto" w:fill="auto"/>
                  <w:noWrap/>
                  <w:tcMar>
                    <w:top w:w="15" w:type="dxa"/>
                    <w:left w:w="15" w:type="dxa"/>
                    <w:right w:w="15" w:type="dxa"/>
                  </w:tcMar>
                  <w:vAlign w:val="center"/>
                </w:tcPr>
                <w:p w14:paraId="4C4E3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0</w:t>
                  </w:r>
                </w:p>
              </w:tc>
              <w:tc>
                <w:tcPr>
                  <w:tcW w:w="675" w:type="dxa"/>
                  <w:tcBorders>
                    <w:tl2br w:val="nil"/>
                    <w:tr2bl w:val="nil"/>
                  </w:tcBorders>
                  <w:shd w:val="clear" w:color="auto" w:fill="auto"/>
                  <w:noWrap/>
                  <w:tcMar>
                    <w:top w:w="15" w:type="dxa"/>
                    <w:left w:w="15" w:type="dxa"/>
                    <w:right w:w="15" w:type="dxa"/>
                  </w:tcMar>
                  <w:vAlign w:val="center"/>
                </w:tcPr>
                <w:p w14:paraId="11632F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w:t>
                  </w:r>
                </w:p>
              </w:tc>
            </w:tr>
          </w:tbl>
          <w:p w14:paraId="63C9A624">
            <w:pPr>
              <w:spacing w:line="360" w:lineRule="auto"/>
              <w:ind w:right="-1" w:firstLine="480" w:firstLineChars="200"/>
              <w:contextualSpacing/>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2）施工建筑垃圾</w:t>
            </w:r>
          </w:p>
          <w:p w14:paraId="337024BE">
            <w:pPr>
              <w:spacing w:line="360" w:lineRule="auto"/>
              <w:ind w:right="-1" w:firstLine="480" w:firstLineChars="200"/>
              <w:contextualSpacing/>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本项目建筑垃圾主要为施工过程中产生的生产废料、建筑垃圾</w:t>
            </w:r>
            <w:r>
              <w:rPr>
                <w:rFonts w:hint="eastAsia" w:ascii="Times New Roman" w:hAnsi="Times New Roman" w:eastAsia="宋体"/>
                <w:color w:val="000000" w:themeColor="text1"/>
                <w:sz w:val="24"/>
                <w:szCs w:val="24"/>
                <w:highlight w:val="none"/>
                <w:lang w:eastAsia="zh-CN"/>
                <w14:textFill>
                  <w14:solidFill>
                    <w14:schemeClr w14:val="tx1"/>
                  </w14:solidFill>
                </w14:textFill>
              </w:rPr>
              <w:t>等。</w:t>
            </w:r>
            <w:r>
              <w:rPr>
                <w:rFonts w:hint="eastAsia" w:ascii="Times New Roman" w:hAnsi="Times New Roman" w:eastAsia="宋体"/>
                <w:color w:val="000000" w:themeColor="text1"/>
                <w:sz w:val="24"/>
                <w:szCs w:val="24"/>
                <w:highlight w:val="none"/>
                <w14:textFill>
                  <w14:solidFill>
                    <w14:schemeClr w14:val="tx1"/>
                  </w14:solidFill>
                </w14:textFill>
              </w:rPr>
              <w:t>生产废料主要为废铁、废钢丝、木料废块等，对于有利用价值的进行分拣回用，</w:t>
            </w:r>
            <w:r>
              <w:rPr>
                <w:rFonts w:hint="eastAsia"/>
                <w:color w:val="000000" w:themeColor="text1"/>
                <w:sz w:val="24"/>
                <w:szCs w:val="24"/>
                <w:highlight w:val="none"/>
                <w:lang w:eastAsia="zh-CN"/>
                <w14:textFill>
                  <w14:solidFill>
                    <w14:schemeClr w14:val="tx1"/>
                  </w14:solidFill>
                </w14:textFill>
              </w:rPr>
              <w:t>无法利用的拉运至宁县建筑垃圾填埋场填埋</w:t>
            </w:r>
            <w:r>
              <w:rPr>
                <w:rFonts w:hint="eastAsia" w:ascii="Times New Roman" w:hAnsi="Times New Roman" w:eastAsia="宋体"/>
                <w:color w:val="000000" w:themeColor="text1"/>
                <w:sz w:val="24"/>
                <w:szCs w:val="24"/>
                <w:highlight w:val="none"/>
                <w14:textFill>
                  <w14:solidFill>
                    <w14:schemeClr w14:val="tx1"/>
                  </w14:solidFill>
                </w14:textFill>
              </w:rPr>
              <w:t>。</w:t>
            </w:r>
          </w:p>
          <w:p w14:paraId="2E72292C">
            <w:pPr>
              <w:spacing w:line="360" w:lineRule="auto"/>
              <w:ind w:right="-1" w:firstLine="480" w:firstLineChars="200"/>
              <w:contextualSpacing/>
              <w:rPr>
                <w:rFonts w:hint="eastAsia"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施工人员生活垃圾</w:t>
            </w:r>
          </w:p>
          <w:p w14:paraId="1931F28A">
            <w:pPr>
              <w:spacing w:line="360" w:lineRule="auto"/>
              <w:ind w:right="-1" w:firstLine="480" w:firstLineChars="200"/>
              <w:contextualSpacing/>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w:t>
            </w:r>
            <w:r>
              <w:rPr>
                <w:rFonts w:hint="eastAsia"/>
                <w:color w:val="000000" w:themeColor="text1"/>
                <w:sz w:val="24"/>
                <w:szCs w:val="24"/>
                <w:lang w:eastAsia="zh-CN"/>
                <w14:textFill>
                  <w14:solidFill>
                    <w14:schemeClr w14:val="tx1"/>
                  </w14:solidFill>
                </w14:textFill>
              </w:rPr>
              <w:t>施工人员为</w:t>
            </w:r>
            <w:r>
              <w:rPr>
                <w:rFonts w:hint="eastAsia"/>
                <w:color w:val="000000" w:themeColor="text1"/>
                <w:sz w:val="24"/>
                <w:szCs w:val="24"/>
                <w:lang w:val="en-US" w:eastAsia="zh-CN"/>
                <w14:textFill>
                  <w14:solidFill>
                    <w14:schemeClr w14:val="tx1"/>
                  </w14:solidFill>
                </w14:textFill>
              </w:rPr>
              <w:t>20</w:t>
            </w:r>
            <w:r>
              <w:rPr>
                <w:rFonts w:hint="eastAsia" w:ascii="Times New Roman" w:hAnsi="Times New Roman" w:eastAsia="宋体"/>
                <w:color w:val="000000" w:themeColor="text1"/>
                <w:sz w:val="24"/>
                <w:szCs w:val="24"/>
                <w14:textFill>
                  <w14:solidFill>
                    <w14:schemeClr w14:val="tx1"/>
                  </w14:solidFill>
                </w14:textFill>
              </w:rPr>
              <w:t>人，施工营地施工人员生活垃圾按每人每天0.5kg/d计，施工区施工时间</w:t>
            </w:r>
            <w:r>
              <w:rPr>
                <w:rFonts w:hint="eastAsia"/>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个月，生活垃圾产生量约为</w:t>
            </w:r>
            <w:r>
              <w:rPr>
                <w:rFonts w:hint="eastAsia"/>
                <w:color w:val="000000" w:themeColor="text1"/>
                <w:sz w:val="24"/>
                <w:szCs w:val="24"/>
                <w:lang w:val="en-US" w:eastAsia="zh-CN"/>
                <w14:textFill>
                  <w14:solidFill>
                    <w14:schemeClr w14:val="tx1"/>
                  </w14:solidFill>
                </w14:textFill>
              </w:rPr>
              <w:t>0.9</w:t>
            </w:r>
            <w:r>
              <w:rPr>
                <w:rFonts w:hint="eastAsia" w:ascii="Times New Roman" w:hAnsi="Times New Roman" w:eastAsia="宋体"/>
                <w:color w:val="000000" w:themeColor="text1"/>
                <w:sz w:val="24"/>
                <w:szCs w:val="24"/>
                <w14:textFill>
                  <w14:solidFill>
                    <w14:schemeClr w14:val="tx1"/>
                  </w14:solidFill>
                </w14:textFill>
              </w:rPr>
              <w:t>t，生活垃圾</w:t>
            </w:r>
            <w:r>
              <w:rPr>
                <w:rFonts w:hint="eastAsia" w:ascii="Times New Roman" w:hAnsi="Times New Roman" w:eastAsia="宋体" w:cs="宋体"/>
                <w:bCs/>
                <w:color w:val="000000" w:themeColor="text1"/>
                <w:sz w:val="24"/>
                <w:szCs w:val="24"/>
                <w14:textFill>
                  <w14:solidFill>
                    <w14:schemeClr w14:val="tx1"/>
                  </w14:solidFill>
                </w14:textFill>
              </w:rPr>
              <w:t>清运至</w:t>
            </w:r>
            <w:r>
              <w:rPr>
                <w:rFonts w:hint="eastAsia" w:cs="宋体"/>
                <w:bCs/>
                <w:color w:val="000000" w:themeColor="text1"/>
                <w:sz w:val="24"/>
                <w:szCs w:val="24"/>
                <w:lang w:eastAsia="zh-CN"/>
                <w14:textFill>
                  <w14:solidFill>
                    <w14:schemeClr w14:val="tx1"/>
                  </w14:solidFill>
                </w14:textFill>
              </w:rPr>
              <w:t>附近村庄生活垃圾暂存点</w:t>
            </w:r>
            <w:r>
              <w:rPr>
                <w:rFonts w:hint="default" w:ascii="Times New Roman" w:hAnsi="Times New Roman" w:eastAsia="宋体" w:cs="Times New Roman"/>
                <w:color w:val="auto"/>
                <w:sz w:val="24"/>
                <w:szCs w:val="24"/>
              </w:rPr>
              <w:t>。</w:t>
            </w:r>
          </w:p>
          <w:p w14:paraId="7A73EEED">
            <w:pPr>
              <w:keepNext w:val="0"/>
              <w:keepLines w:val="0"/>
              <w:pageBreakBefore w:val="0"/>
              <w:kinsoku/>
              <w:wordWrap/>
              <w:overflowPunct/>
              <w:topLinePunct w:val="0"/>
              <w:bidi w:val="0"/>
              <w:spacing w:line="360" w:lineRule="auto"/>
              <w:ind w:right="0" w:firstLine="480" w:firstLineChars="200"/>
              <w:contextualSpacing/>
              <w:textAlignment w:val="auto"/>
              <w:rPr>
                <w:rFonts w:ascii="宋体" w:hAnsi="宋体" w:cs="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综上所述，</w:t>
            </w:r>
            <w:r>
              <w:rPr>
                <w:rFonts w:ascii="Times New Roman" w:hAnsi="Times New Roman" w:eastAsia="宋体"/>
                <w:color w:val="000000" w:themeColor="text1"/>
                <w:sz w:val="24"/>
                <w14:textFill>
                  <w14:solidFill>
                    <w14:schemeClr w14:val="tx1"/>
                  </w14:solidFill>
                </w14:textFill>
              </w:rPr>
              <w:t>项目施工</w:t>
            </w:r>
            <w:r>
              <w:rPr>
                <w:rFonts w:hint="eastAsia" w:ascii="Times New Roman" w:hAnsi="Times New Roman" w:eastAsia="宋体"/>
                <w:color w:val="000000" w:themeColor="text1"/>
                <w:sz w:val="24"/>
                <w14:textFill>
                  <w14:solidFill>
                    <w14:schemeClr w14:val="tx1"/>
                  </w14:solidFill>
                </w14:textFill>
              </w:rPr>
              <w:t>期固废100%得到处置，</w:t>
            </w:r>
            <w:r>
              <w:rPr>
                <w:rFonts w:ascii="Times New Roman" w:hAnsi="Times New Roman" w:eastAsia="宋体"/>
                <w:color w:val="000000" w:themeColor="text1"/>
                <w:sz w:val="24"/>
                <w14:textFill>
                  <w14:solidFill>
                    <w14:schemeClr w14:val="tx1"/>
                  </w14:solidFill>
                </w14:textFill>
              </w:rPr>
              <w:t>对周围环境</w:t>
            </w:r>
            <w:r>
              <w:rPr>
                <w:rFonts w:hint="eastAsia" w:ascii="Times New Roman" w:hAnsi="Times New Roman" w:eastAsia="宋体"/>
                <w:color w:val="000000" w:themeColor="text1"/>
                <w:sz w:val="24"/>
                <w14:textFill>
                  <w14:solidFill>
                    <w14:schemeClr w14:val="tx1"/>
                  </w14:solidFill>
                </w14:textFill>
              </w:rPr>
              <w:t>基本无</w:t>
            </w:r>
            <w:r>
              <w:rPr>
                <w:rFonts w:ascii="Times New Roman" w:hAnsi="Times New Roman" w:eastAsia="宋体"/>
                <w:color w:val="000000" w:themeColor="text1"/>
                <w:sz w:val="24"/>
                <w14:textFill>
                  <w14:solidFill>
                    <w14:schemeClr w14:val="tx1"/>
                  </w14:solidFill>
                </w14:textFill>
              </w:rPr>
              <w:t>影响</w:t>
            </w:r>
            <w:r>
              <w:rPr>
                <w:rFonts w:hint="eastAsia" w:ascii="Times New Roman" w:hAnsi="Times New Roman" w:eastAsia="宋体"/>
                <w:color w:val="000000" w:themeColor="text1"/>
                <w:sz w:val="24"/>
                <w14:textFill>
                  <w14:solidFill>
                    <w14:schemeClr w14:val="tx1"/>
                  </w14:solidFill>
                </w14:textFill>
              </w:rPr>
              <w:t>。</w:t>
            </w:r>
          </w:p>
        </w:tc>
      </w:tr>
      <w:tr w14:paraId="066D5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79" w:type="dxa"/>
            <w:noWrap w:val="0"/>
            <w:tcMar>
              <w:left w:w="28" w:type="dxa"/>
              <w:right w:w="28" w:type="dxa"/>
            </w:tcMar>
            <w:vAlign w:val="center"/>
          </w:tcPr>
          <w:p w14:paraId="3AF56143">
            <w:pPr>
              <w:pStyle w:val="16"/>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r>
              <w:rPr>
                <w:rFonts w:hint="eastAsia" w:cs="宋体"/>
                <w:bCs/>
                <w:color w:val="000000" w:themeColor="text1"/>
                <w:spacing w:val="10"/>
                <w:kern w:val="2"/>
                <w:sz w:val="24"/>
                <w:szCs w:val="24"/>
                <w14:textFill>
                  <w14:solidFill>
                    <w14:schemeClr w14:val="tx1"/>
                  </w14:solidFill>
                </w14:textFill>
              </w:rPr>
              <w:t>运营期生态环境影响分析</w:t>
            </w:r>
          </w:p>
        </w:tc>
        <w:tc>
          <w:tcPr>
            <w:tcW w:w="8363" w:type="dxa"/>
            <w:noWrap w:val="0"/>
            <w:vAlign w:val="top"/>
          </w:tcPr>
          <w:p w14:paraId="4CFFF28E">
            <w:pPr>
              <w:keepNext w:val="0"/>
              <w:keepLines w:val="0"/>
              <w:pageBreakBefore w:val="0"/>
              <w:widowControl w:val="0"/>
              <w:kinsoku/>
              <w:wordWrap/>
              <w:overflowPunct/>
              <w:topLinePunct w:val="0"/>
              <w:autoSpaceDE/>
              <w:autoSpaceDN/>
              <w:bidi w:val="0"/>
              <w:adjustRightInd/>
              <w:snapToGrid/>
              <w:spacing w:line="360" w:lineRule="auto"/>
              <w:contextualSpacing/>
              <w:textAlignment w:val="auto"/>
              <w:outlineLvl w:val="2"/>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运行期</w:t>
            </w:r>
          </w:p>
          <w:p w14:paraId="1BCA009D">
            <w:pPr>
              <w:spacing w:line="360" w:lineRule="auto"/>
              <w:ind w:firstLine="482" w:firstLineChars="200"/>
              <w:rPr>
                <w:rFonts w:ascii="Times New Roman" w:hAnsi="Times New Roman" w:cs="Times New Roman"/>
                <w:b/>
                <w:bCs/>
                <w:color w:val="000000" w:themeColor="text1"/>
                <w:sz w:val="24"/>
                <w:szCs w:val="28"/>
                <w14:textFill>
                  <w14:solidFill>
                    <w14:schemeClr w14:val="tx1"/>
                  </w14:solidFill>
                </w14:textFill>
              </w:rPr>
            </w:pPr>
            <w:r>
              <w:rPr>
                <w:rFonts w:hint="eastAsia" w:ascii="Times New Roman" w:hAnsi="Times New Roman" w:cs="Times New Roman"/>
                <w:b/>
                <w:bCs/>
                <w:color w:val="000000" w:themeColor="text1"/>
                <w:sz w:val="24"/>
                <w:szCs w:val="28"/>
                <w:lang w:val="en-US" w:eastAsia="zh-CN"/>
                <w14:textFill>
                  <w14:solidFill>
                    <w14:schemeClr w14:val="tx1"/>
                  </w14:solidFill>
                </w14:textFill>
              </w:rPr>
              <w:t>1、</w:t>
            </w:r>
            <w:r>
              <w:rPr>
                <w:rFonts w:ascii="Times New Roman" w:hAnsi="Times New Roman" w:cs="Times New Roman"/>
                <w:b/>
                <w:bCs/>
                <w:color w:val="000000" w:themeColor="text1"/>
                <w:sz w:val="24"/>
                <w:szCs w:val="28"/>
                <w14:textFill>
                  <w14:solidFill>
                    <w14:schemeClr w14:val="tx1"/>
                  </w14:solidFill>
                </w14:textFill>
              </w:rPr>
              <w:t>大气环境影响分析</w:t>
            </w:r>
          </w:p>
          <w:p w14:paraId="40543ED4">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本项目为非污染生态类项目，营运期无废气产生，对周边大气环境无影响；</w:t>
            </w:r>
          </w:p>
          <w:p w14:paraId="61AE8D40">
            <w:pPr>
              <w:spacing w:line="360" w:lineRule="auto"/>
              <w:ind w:firstLine="482" w:firstLineChars="200"/>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2、</w:t>
            </w:r>
            <w:r>
              <w:rPr>
                <w:rFonts w:ascii="Times New Roman" w:hAnsi="Times New Roman" w:cs="Times New Roman"/>
                <w:b/>
                <w:bCs/>
                <w:color w:val="000000" w:themeColor="text1"/>
                <w:sz w:val="24"/>
                <w14:textFill>
                  <w14:solidFill>
                    <w14:schemeClr w14:val="tx1"/>
                  </w14:solidFill>
                </w14:textFill>
              </w:rPr>
              <w:t>水环境影响分析</w:t>
            </w:r>
          </w:p>
          <w:p w14:paraId="0EDF8C3F">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本项目为非污染生态类项目，营运期无废水产生，对周边地表水环境无影响。</w:t>
            </w:r>
          </w:p>
          <w:p w14:paraId="57036A73">
            <w:pPr>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3、声环境影响分析</w:t>
            </w:r>
          </w:p>
          <w:p w14:paraId="2FFF0654">
            <w:pPr>
              <w:spacing w:line="360" w:lineRule="auto"/>
              <w:ind w:firstLine="480"/>
              <w:jc w:val="left"/>
              <w:rPr>
                <w:color w:val="000000" w:themeColor="text1"/>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本工程无新建泵站、机房及其它产生噪声的设施与设备，故运营期无噪声产生与排放，对周边环境无噪声影响。</w:t>
            </w:r>
          </w:p>
        </w:tc>
      </w:tr>
      <w:tr w14:paraId="396CB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8" w:hRule="atLeast"/>
          <w:jc w:val="center"/>
        </w:trPr>
        <w:tc>
          <w:tcPr>
            <w:tcW w:w="879" w:type="dxa"/>
            <w:noWrap w:val="0"/>
            <w:vAlign w:val="center"/>
          </w:tcPr>
          <w:p w14:paraId="26ED0717">
            <w:pPr>
              <w:pStyle w:val="16"/>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r>
              <w:rPr>
                <w:rFonts w:hint="eastAsia" w:cs="宋体"/>
                <w:bCs/>
                <w:color w:val="000000" w:themeColor="text1"/>
                <w:kern w:val="2"/>
                <w:sz w:val="24"/>
                <w:szCs w:val="24"/>
                <w14:textFill>
                  <w14:solidFill>
                    <w14:schemeClr w14:val="tx1"/>
                  </w14:solidFill>
                </w14:textFill>
              </w:rPr>
              <w:t>选址选线环境合理性分析</w:t>
            </w:r>
          </w:p>
        </w:tc>
        <w:tc>
          <w:tcPr>
            <w:tcW w:w="8363" w:type="dxa"/>
            <w:noWrap w:val="0"/>
            <w:vAlign w:val="top"/>
          </w:tcPr>
          <w:p w14:paraId="2C0CAB0F">
            <w:pPr>
              <w:adjustRightInd w:val="0"/>
              <w:snapToGrid w:val="0"/>
              <w:spacing w:line="360" w:lineRule="auto"/>
              <w:ind w:firstLine="480" w:firstLineChars="200"/>
              <w:rPr>
                <w:rFonts w:ascii="宋体" w:hAnsi="宋体" w:cs="宋体"/>
                <w:bCs/>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依据甘肃省水利厅编制的《甘肃省江河主要支流和内陆河流治理任务前期安排意见》及实施方案和《甘肃省水利厅关于做好病险水库（水闸）和中小河流治理项目有关事项的通知》的精神</w:t>
            </w:r>
            <w:r>
              <w:rPr>
                <w:rFonts w:hint="eastAsia" w:ascii="Times New Roman" w:hAnsi="Times New Roman" w:cs="宋体"/>
                <w:color w:val="000000" w:themeColor="text1"/>
                <w:sz w:val="24"/>
                <w:szCs w:val="24"/>
                <w14:textFill>
                  <w14:solidFill>
                    <w14:schemeClr w14:val="tx1"/>
                  </w14:solidFill>
                </w14:textFill>
              </w:rPr>
              <w:t>（甘水</w:t>
            </w:r>
            <w:r>
              <w:rPr>
                <w:rFonts w:ascii="Times New Roman" w:hAnsi="Times New Roman" w:cs="宋体"/>
                <w:color w:val="000000" w:themeColor="text1"/>
                <w:sz w:val="24"/>
                <w:szCs w:val="24"/>
                <w14:textFill>
                  <w14:solidFill>
                    <w14:schemeClr w14:val="tx1"/>
                  </w14:solidFill>
                </w14:textFill>
              </w:rPr>
              <w:t>建管发</w:t>
            </w:r>
            <w:r>
              <w:rPr>
                <w:rFonts w:hint="eastAsia" w:ascii="Times New Roman" w:hAnsi="Times New Roman" w:cs="宋体"/>
                <w:color w:val="000000" w:themeColor="text1"/>
                <w:sz w:val="24"/>
                <w:szCs w:val="24"/>
                <w14:textFill>
                  <w14:solidFill>
                    <w14:schemeClr w14:val="tx1"/>
                  </w14:solidFill>
                </w14:textFill>
              </w:rPr>
              <w:t>[</w:t>
            </w:r>
            <w:r>
              <w:rPr>
                <w:rFonts w:ascii="Times New Roman" w:hAnsi="Times New Roman" w:cs="宋体"/>
                <w:color w:val="000000" w:themeColor="text1"/>
                <w:sz w:val="24"/>
                <w:szCs w:val="24"/>
                <w14:textFill>
                  <w14:solidFill>
                    <w14:schemeClr w14:val="tx1"/>
                  </w14:solidFill>
                </w14:textFill>
              </w:rPr>
              <w:t>2020</w:t>
            </w:r>
            <w:r>
              <w:rPr>
                <w:rFonts w:hint="eastAsia" w:ascii="Times New Roman" w:hAnsi="Times New Roman" w:cs="宋体"/>
                <w:color w:val="000000" w:themeColor="text1"/>
                <w:sz w:val="24"/>
                <w:szCs w:val="24"/>
                <w14:textFill>
                  <w14:solidFill>
                    <w14:schemeClr w14:val="tx1"/>
                  </w14:solidFill>
                </w14:textFill>
              </w:rPr>
              <w:t>]</w:t>
            </w:r>
            <w:r>
              <w:rPr>
                <w:rFonts w:ascii="Times New Roman" w:hAnsi="Times New Roman" w:cs="宋体"/>
                <w:color w:val="000000" w:themeColor="text1"/>
                <w:sz w:val="24"/>
                <w:szCs w:val="24"/>
                <w14:textFill>
                  <w14:solidFill>
                    <w14:schemeClr w14:val="tx1"/>
                  </w14:solidFill>
                </w14:textFill>
              </w:rPr>
              <w:t>141</w:t>
            </w:r>
            <w:r>
              <w:rPr>
                <w:rFonts w:hint="eastAsia" w:ascii="Times New Roman" w:hAnsi="Times New Roman" w:cs="宋体"/>
                <w:color w:val="000000" w:themeColor="text1"/>
                <w:sz w:val="24"/>
                <w:szCs w:val="24"/>
                <w14:textFill>
                  <w14:solidFill>
                    <w14:schemeClr w14:val="tx1"/>
                  </w14:solidFill>
                </w14:textFill>
              </w:rPr>
              <w:t>号）文件</w:t>
            </w:r>
            <w:r>
              <w:rPr>
                <w:rFonts w:hint="eastAsia" w:ascii="Times New Roman" w:hAnsi="Times New Roman" w:cs="宋体"/>
                <w:color w:val="000000" w:themeColor="text1"/>
                <w:sz w:val="24"/>
                <w:szCs w:val="24"/>
                <w:lang w:eastAsia="zh-CN"/>
                <w14:textFill>
                  <w14:solidFill>
                    <w14:schemeClr w14:val="tx1"/>
                  </w14:solidFill>
                </w14:textFill>
              </w:rPr>
              <w:t>，本项目段属于中小河流，本次治理在河流现有的天然护坡的基础上进行护堤及护岸的修筑，不改变河流流向及流域面积，同时尽可能少占或不占耕地，因此项目选线合理。</w:t>
            </w:r>
          </w:p>
        </w:tc>
      </w:tr>
    </w:tbl>
    <w:p w14:paraId="176A8128">
      <w:pPr>
        <w:pStyle w:val="16"/>
        <w:jc w:val="center"/>
        <w:rPr>
          <w:rFonts w:ascii="黑体" w:hAnsi="黑体" w:eastAsia="黑体"/>
          <w:snapToGrid w:val="0"/>
          <w:color w:val="000000" w:themeColor="text1"/>
          <w:sz w:val="36"/>
          <w:szCs w:val="36"/>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425" w:num="1"/>
          <w:docGrid w:linePitch="312" w:charSpace="0"/>
        </w:sectPr>
      </w:pPr>
    </w:p>
    <w:p w14:paraId="0DD3C0B8">
      <w:pPr>
        <w:pStyle w:val="16"/>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五、主要生态环境保护措施</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7"/>
        <w:gridCol w:w="7742"/>
      </w:tblGrid>
      <w:tr w14:paraId="1D868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461" w:hRule="atLeast"/>
          <w:jc w:val="center"/>
        </w:trPr>
        <w:tc>
          <w:tcPr>
            <w:tcW w:w="753" w:type="dxa"/>
            <w:noWrap w:val="0"/>
            <w:tcMar>
              <w:left w:w="28" w:type="dxa"/>
              <w:right w:w="28" w:type="dxa"/>
            </w:tcMar>
            <w:vAlign w:val="center"/>
          </w:tcPr>
          <w:p w14:paraId="7DE5859D">
            <w:pPr>
              <w:adjustRightInd w:val="0"/>
              <w:snapToGrid w:val="0"/>
              <w:jc w:val="center"/>
              <w:rPr>
                <w:rFonts w:ascii="宋体" w:hAnsi="宋体"/>
                <w:bCs/>
                <w:color w:val="000000" w:themeColor="text1"/>
                <w:sz w:val="24"/>
                <w:szCs w:val="24"/>
                <w14:textFill>
                  <w14:solidFill>
                    <w14:schemeClr w14:val="tx1"/>
                  </w14:solidFill>
                </w14:textFill>
              </w:rPr>
            </w:pPr>
            <w:r>
              <w:rPr>
                <w:rFonts w:hint="eastAsia" w:ascii="宋体" w:hAnsi="宋体" w:cs="宋体"/>
                <w:bCs/>
                <w:color w:val="000000" w:themeColor="text1"/>
                <w:spacing w:val="10"/>
                <w:sz w:val="24"/>
                <w:szCs w:val="24"/>
                <w14:textFill>
                  <w14:solidFill>
                    <w14:schemeClr w14:val="tx1"/>
                  </w14:solidFill>
                </w14:textFill>
              </w:rPr>
              <w:t>施工期生态环境保护措施</w:t>
            </w:r>
          </w:p>
        </w:tc>
        <w:tc>
          <w:tcPr>
            <w:tcW w:w="8457" w:type="dxa"/>
            <w:noWrap w:val="0"/>
            <w:vAlign w:val="top"/>
          </w:tcPr>
          <w:p w14:paraId="7B08A4F4">
            <w:pPr>
              <w:pStyle w:val="48"/>
              <w:spacing w:line="360" w:lineRule="auto"/>
              <w:ind w:right="-1" w:firstLine="0" w:firstLineChars="0"/>
              <w:contextualSpacing/>
              <w:outlineLvl w:val="2"/>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1、</w:t>
            </w:r>
            <w:r>
              <w:rPr>
                <w:rFonts w:hint="eastAsia" w:ascii="Times New Roman" w:hAnsi="Times New Roman" w:eastAsia="宋体"/>
                <w:b/>
                <w:color w:val="000000" w:themeColor="text1"/>
                <w:sz w:val="24"/>
                <w:szCs w:val="24"/>
                <w14:textFill>
                  <w14:solidFill>
                    <w14:schemeClr w14:val="tx1"/>
                  </w14:solidFill>
                </w14:textFill>
              </w:rPr>
              <w:t>生态</w:t>
            </w:r>
            <w:r>
              <w:rPr>
                <w:rFonts w:hint="eastAsia" w:ascii="Times New Roman" w:hAnsi="Times New Roman" w:eastAsia="宋体"/>
                <w:b/>
                <w:color w:val="000000" w:themeColor="text1"/>
                <w:sz w:val="24"/>
                <w:szCs w:val="24"/>
                <w:lang w:eastAsia="zh-CN"/>
                <w14:textFill>
                  <w14:solidFill>
                    <w14:schemeClr w14:val="tx1"/>
                  </w14:solidFill>
                </w14:textFill>
              </w:rPr>
              <w:t>保护</w:t>
            </w:r>
            <w:r>
              <w:rPr>
                <w:rFonts w:hint="eastAsia" w:ascii="Times New Roman" w:hAnsi="Times New Roman" w:eastAsia="宋体"/>
                <w:b/>
                <w:color w:val="000000" w:themeColor="text1"/>
                <w:sz w:val="24"/>
                <w:szCs w:val="24"/>
                <w14:textFill>
                  <w14:solidFill>
                    <w14:schemeClr w14:val="tx1"/>
                  </w14:solidFill>
                </w14:textFill>
              </w:rPr>
              <w:t>措施</w:t>
            </w:r>
          </w:p>
          <w:p w14:paraId="69D90E64">
            <w:pPr>
              <w:spacing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项目建设对生态环境的影响主要是施工期地基开挖对地表土壤的破坏及水土流失，从而影响区域生态系统的变化或引发相关环境问题。项目生态保护措施布设</w:t>
            </w:r>
            <w:r>
              <w:rPr>
                <w:rFonts w:hint="eastAsia" w:ascii="Times New Roman" w:hAnsi="Times New Roman" w:eastAsia="宋体" w:cs="宋体"/>
                <w:color w:val="000000" w:themeColor="text1"/>
                <w:sz w:val="24"/>
                <w:lang w:eastAsia="zh-CN"/>
                <w14:textFill>
                  <w14:solidFill>
                    <w14:schemeClr w14:val="tx1"/>
                  </w14:solidFill>
                </w14:textFill>
              </w:rPr>
              <w:t>见附图</w:t>
            </w:r>
            <w:r>
              <w:rPr>
                <w:rFonts w:hint="eastAsia" w:ascii="Times New Roman" w:hAnsi="Times New Roman" w:eastAsia="宋体" w:cs="宋体"/>
                <w:color w:val="000000" w:themeColor="text1"/>
                <w:sz w:val="24"/>
                <w:lang w:val="en-US" w:eastAsia="zh-CN"/>
                <w14:textFill>
                  <w14:solidFill>
                    <w14:schemeClr w14:val="tx1"/>
                  </w14:solidFill>
                </w14:textFill>
              </w:rPr>
              <w:t>5，</w:t>
            </w:r>
            <w:r>
              <w:rPr>
                <w:rFonts w:hint="eastAsia" w:ascii="Times New Roman" w:hAnsi="Times New Roman" w:eastAsia="宋体" w:cs="宋体"/>
                <w:color w:val="000000" w:themeColor="text1"/>
                <w:sz w:val="24"/>
                <w14:textFill>
                  <w14:solidFill>
                    <w14:schemeClr w14:val="tx1"/>
                  </w14:solidFill>
                </w14:textFill>
              </w:rPr>
              <w:t>为将这些负面影响降低到最小程度，实现开发建设与生态保护协调发展，应采取的措施有以下几点：</w:t>
            </w:r>
          </w:p>
          <w:p w14:paraId="779234B6">
            <w:pPr>
              <w:pStyle w:val="25"/>
              <w:spacing w:line="360" w:lineRule="auto"/>
              <w:ind w:firstLine="480" w:firstLineChars="200"/>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color w:val="000000" w:themeColor="text1"/>
                <w:kern w:val="2"/>
                <w:sz w:val="24"/>
                <w:szCs w:val="24"/>
                <w:lang w:val="en-US" w:eastAsia="zh-CN" w:bidi="ar-SA"/>
                <w14:textFill>
                  <w14:solidFill>
                    <w14:schemeClr w14:val="tx1"/>
                  </w14:solidFill>
                </w14:textFill>
              </w:rPr>
              <w:t>建设项目</w:t>
            </w:r>
            <w:r>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t>生态保护</w:t>
            </w:r>
            <w:r>
              <w:rPr>
                <w:rFonts w:hint="eastAsia" w:ascii="Times New Roman" w:hAnsi="Times New Roman" w:eastAsia="宋体" w:cs="宋体"/>
                <w:b w:val="0"/>
                <w:bCs/>
                <w:color w:val="000000" w:themeColor="text1"/>
                <w:kern w:val="2"/>
                <w:sz w:val="24"/>
                <w:szCs w:val="24"/>
                <w:lang w:val="en-US" w:eastAsia="zh-CN" w:bidi="ar-SA"/>
                <w14:textFill>
                  <w14:solidFill>
                    <w14:schemeClr w14:val="tx1"/>
                  </w14:solidFill>
                </w14:textFill>
              </w:rPr>
              <w:t>与减缓对策</w:t>
            </w:r>
          </w:p>
          <w:p w14:paraId="06C33EE3">
            <w:pPr>
              <w:pStyle w:val="25"/>
              <w:spacing w:line="360" w:lineRule="auto"/>
              <w:ind w:firstLine="480" w:firstLineChars="200"/>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t>工程监理人员、管理人员和施工人员应熟悉各施工点及其周边的主要植物种类及分布，以便在施工过程中进行严格的监理和管理，减少不必要的破坏。对施工人员进行环境教育、生物多样性保护教育及有关法律、法规的宣传教育，破坏生物多样性将要承担相应的法律责任。虽然在现状调查期间工程区内未发现珍稀保护动植物，一旦发现，及时采取措施，并及时上报，管理部门应遵循就地保护优先、迀地保护其次的原则，确保保护植物不受或少受工程影响。在施工过程中，如发现重点保护野生植物，应立即上报林业等相关部门，采取就地或迀地保护。</w:t>
            </w:r>
          </w:p>
          <w:p w14:paraId="4CA320F8">
            <w:pPr>
              <w:pStyle w:val="25"/>
              <w:spacing w:line="360" w:lineRule="auto"/>
              <w:ind w:firstLine="480" w:firstLineChars="200"/>
              <w:rPr>
                <w:rFonts w:hint="default" w:ascii="Times New Roman" w:hAnsi="Times New Roman" w:eastAsia="宋体" w:cs="宋体"/>
                <w:b w:val="0"/>
                <w:bCs/>
                <w:color w:val="FF0000"/>
                <w:kern w:val="2"/>
                <w:sz w:val="24"/>
                <w:szCs w:val="24"/>
                <w:lang w:val="en-US" w:eastAsia="zh-CN" w:bidi="ar-SA"/>
              </w:rPr>
            </w:pPr>
            <w:r>
              <w:rPr>
                <w:rFonts w:hint="eastAsia" w:ascii="Times New Roman" w:hAnsi="Times New Roman" w:eastAsia="宋体" w:cs="宋体"/>
                <w:b w:val="0"/>
                <w:bCs/>
                <w:color w:val="FF0000"/>
                <w:kern w:val="2"/>
                <w:sz w:val="24"/>
                <w:szCs w:val="24"/>
                <w:lang w:val="en-US" w:eastAsia="zh-CN" w:bidi="ar-SA"/>
              </w:rPr>
              <w:t>2）</w:t>
            </w:r>
            <w:r>
              <w:rPr>
                <w:rFonts w:hint="default" w:ascii="Times New Roman" w:hAnsi="Times New Roman" w:eastAsia="宋体" w:cs="宋体"/>
                <w:b w:val="0"/>
                <w:bCs/>
                <w:color w:val="FF0000"/>
                <w:kern w:val="2"/>
                <w:sz w:val="24"/>
                <w:szCs w:val="24"/>
                <w:lang w:val="en-US" w:eastAsia="zh-CN" w:bidi="ar-SA"/>
              </w:rPr>
              <w:t>在施工区设置陆生生物保护警示牌。施工结束后，应及时进行绿化、迹地恢复等生态恢复措施，以恢复区域动物栖息地环境。</w:t>
            </w:r>
          </w:p>
          <w:p w14:paraId="1F2CA19E">
            <w:pPr>
              <w:pStyle w:val="25"/>
              <w:spacing w:line="360" w:lineRule="auto"/>
              <w:ind w:firstLine="480" w:firstLineChars="200"/>
              <w:rPr>
                <w:rFonts w:hint="default" w:ascii="Times New Roman" w:hAnsi="Times New Roman" w:eastAsia="宋体" w:cs="宋体"/>
                <w:b w:val="0"/>
                <w:bCs/>
                <w:color w:val="FF0000"/>
                <w:kern w:val="2"/>
                <w:sz w:val="24"/>
                <w:szCs w:val="24"/>
                <w:lang w:val="en-US" w:eastAsia="zh-CN" w:bidi="ar-SA"/>
              </w:rPr>
            </w:pPr>
            <w:r>
              <w:rPr>
                <w:rFonts w:hint="eastAsia" w:ascii="Times New Roman" w:hAnsi="Times New Roman" w:eastAsia="宋体" w:cs="宋体"/>
                <w:b w:val="0"/>
                <w:bCs/>
                <w:color w:val="FF0000"/>
                <w:kern w:val="2"/>
                <w:sz w:val="24"/>
                <w:szCs w:val="24"/>
                <w:lang w:val="en-US" w:eastAsia="zh-CN" w:bidi="ar-SA"/>
              </w:rPr>
              <w:t>3）</w:t>
            </w:r>
            <w:r>
              <w:rPr>
                <w:rFonts w:hint="default" w:ascii="Times New Roman" w:hAnsi="Times New Roman" w:eastAsia="宋体" w:cs="宋体"/>
                <w:b w:val="0"/>
                <w:bCs/>
                <w:color w:val="FF0000"/>
                <w:kern w:val="2"/>
                <w:sz w:val="24"/>
                <w:szCs w:val="24"/>
                <w:lang w:val="en-US" w:eastAsia="zh-CN" w:bidi="ar-SA"/>
              </w:rPr>
              <w:t>严格执行施工规划，不得随意扩大作业面。施工人员在施工过程中应尽量避免对现有植物的干扰，严格执行施工规划，不得随意扩大作业面，不得滥采滥伐。施工过程中应尽量减少高噪声施工。在工程初设阶级应进一步优化施工组织设计，减少对于周边动物的扰动；同时，做好车辆及各施工机械的保养和维护，减小噪声以减轻对周边活动的动物影响。建立生态破坏惩罚制度，严禁施工人员非法猎捕鸟类、兽类、鱼等野生动物。</w:t>
            </w:r>
          </w:p>
          <w:p w14:paraId="43798718">
            <w:pPr>
              <w:pStyle w:val="25"/>
              <w:spacing w:line="360" w:lineRule="auto"/>
              <w:ind w:firstLine="480" w:firstLineChars="200"/>
              <w:rPr>
                <w:rFonts w:hint="default" w:ascii="Times New Roman" w:hAnsi="Times New Roman" w:eastAsia="宋体" w:cs="宋体"/>
                <w:b w:val="0"/>
                <w:bCs/>
                <w:color w:val="FF0000"/>
                <w:kern w:val="2"/>
                <w:sz w:val="24"/>
                <w:szCs w:val="24"/>
                <w:lang w:val="en-US" w:eastAsia="zh-CN" w:bidi="ar-SA"/>
              </w:rPr>
            </w:pPr>
            <w:r>
              <w:rPr>
                <w:rFonts w:hint="eastAsia" w:ascii="Times New Roman" w:hAnsi="Times New Roman" w:eastAsia="宋体" w:cs="宋体"/>
                <w:b w:val="0"/>
                <w:bCs/>
                <w:color w:val="FF0000"/>
                <w:kern w:val="2"/>
                <w:sz w:val="24"/>
                <w:szCs w:val="24"/>
                <w:lang w:val="en-US" w:eastAsia="zh-CN" w:bidi="ar-SA"/>
              </w:rPr>
              <w:t>4）</w:t>
            </w:r>
            <w:r>
              <w:rPr>
                <w:rFonts w:hint="default" w:ascii="Times New Roman" w:hAnsi="Times New Roman" w:eastAsia="宋体" w:cs="宋体"/>
                <w:b w:val="0"/>
                <w:bCs/>
                <w:color w:val="FF0000"/>
                <w:kern w:val="2"/>
                <w:sz w:val="24"/>
                <w:szCs w:val="24"/>
                <w:lang w:val="en-US" w:eastAsia="zh-CN" w:bidi="ar-SA"/>
              </w:rPr>
              <w:t>在施工前应注意表土与底层土分开堆放，表层0.3m的土壤单独堆放，在风大的季节采取适当覆盖措施，保护土壤成分利结构；在施工结束恢复地貌时，分层回填，尽可能保持植物原有的生存环境，以利于植被恢复。回填时，还应留足适宜的堆积层，防止因降水、径流造成地表下陷和水土流失。回填后及时补种草类植物，以免植被覆盖度下降。</w:t>
            </w:r>
          </w:p>
          <w:p w14:paraId="7C2EABA2">
            <w:pPr>
              <w:pStyle w:val="25"/>
              <w:spacing w:line="360" w:lineRule="auto"/>
              <w:ind w:firstLine="480" w:firstLineChars="200"/>
              <w:rPr>
                <w:rFonts w:hint="eastAsia"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5）</w:t>
            </w:r>
            <w:r>
              <w:rPr>
                <w:rFonts w:hint="eastAsia" w:ascii="Times New Roman" w:eastAsia="宋体" w:cs="宋体"/>
                <w:b w:val="0"/>
                <w:bCs/>
                <w:color w:val="auto"/>
                <w:kern w:val="2"/>
                <w:sz w:val="24"/>
                <w:szCs w:val="24"/>
                <w:lang w:val="en-US" w:eastAsia="zh-CN" w:bidi="ar-SA"/>
              </w:rPr>
              <w:t>根据《建设项目环境影响报告表编制技术指南》（生态影响类）主要生态环境保护措施要求“涉及河流、湖泊或海域治理的，应尽量塑造近自然水域形态和亲水岸线，尽量避免采取完全硬化措施”本项目护岸建设跟随河道现有地势走向进行建设，不强行改变河道走向，考虑整体稳定，不采取全部硬化处理措施。对天然岸坡表面进行清理，清理后进行绿化；对局部不稳定的边坡采用</w:t>
            </w:r>
            <w:r>
              <w:rPr>
                <w:rFonts w:hint="eastAsia" w:ascii="Times New Roman" w:hAnsi="Times New Roman" w:eastAsia="宋体"/>
                <w:b w:val="0"/>
                <w:bCs/>
                <w:color w:val="auto"/>
                <w:kern w:val="0"/>
                <w:sz w:val="24"/>
                <w:szCs w:val="24"/>
              </w:rPr>
              <w:t>格宾石笼护坡</w:t>
            </w:r>
            <w:r>
              <w:rPr>
                <w:rFonts w:hint="eastAsia" w:ascii="Times New Roman" w:eastAsia="宋体"/>
                <w:b w:val="0"/>
                <w:bCs/>
                <w:color w:val="auto"/>
                <w:kern w:val="0"/>
                <w:sz w:val="24"/>
                <w:szCs w:val="24"/>
                <w:lang w:eastAsia="zh-CN"/>
              </w:rPr>
              <w:t>进行硬化处理，护坡采用灌草绿化。项目天然护岸与人工硬化护岸绿化灌木和草种选用当地树草种，与周围环境相协调。</w:t>
            </w:r>
          </w:p>
          <w:p w14:paraId="00C2E400">
            <w:pPr>
              <w:pStyle w:val="25"/>
              <w:spacing w:line="360" w:lineRule="auto"/>
              <w:ind w:firstLine="480" w:firstLineChars="200"/>
              <w:rPr>
                <w:rFonts w:hint="eastAsia" w:ascii="Times New Roman" w:hAnsi="Times New Roman" w:eastAsia="宋体" w:cs="宋体"/>
                <w:b w:val="0"/>
                <w:bCs/>
                <w:color w:val="000000" w:themeColor="text1"/>
                <w:kern w:val="2"/>
                <w:sz w:val="24"/>
                <w:szCs w:val="24"/>
                <w:lang w:val="en-US" w:eastAsia="zh-CN" w:bidi="ar-SA"/>
                <w14:textFill>
                  <w14:solidFill>
                    <w14:schemeClr w14:val="tx1"/>
                  </w14:solidFill>
                </w14:textFill>
              </w:rPr>
            </w:pPr>
            <w:r>
              <w:rPr>
                <w:rFonts w:hint="eastAsia" w:ascii="Times New Roman" w:eastAsia="宋体" w:cs="宋体"/>
                <w:b w:val="0"/>
                <w:bCs/>
                <w:color w:val="000000" w:themeColor="text1"/>
                <w:kern w:val="2"/>
                <w:sz w:val="24"/>
                <w:szCs w:val="24"/>
                <w:lang w:val="en-US" w:eastAsia="zh-CN" w:bidi="ar-SA"/>
                <w14:textFill>
                  <w14:solidFill>
                    <w14:schemeClr w14:val="tx1"/>
                  </w14:solidFill>
                </w14:textFill>
              </w:rPr>
              <w:t>6</w:t>
            </w:r>
            <w:r>
              <w:rPr>
                <w:rFonts w:hint="eastAsia" w:ascii="Times New Roman" w:hAnsi="Times New Roman" w:eastAsia="宋体" w:cs="宋体"/>
                <w:b w:val="0"/>
                <w:bCs/>
                <w:color w:val="000000" w:themeColor="text1"/>
                <w:kern w:val="2"/>
                <w:sz w:val="24"/>
                <w:szCs w:val="24"/>
                <w:lang w:val="en-US" w:eastAsia="zh-CN" w:bidi="ar-SA"/>
                <w14:textFill>
                  <w14:solidFill>
                    <w14:schemeClr w14:val="tx1"/>
                  </w14:solidFill>
                </w14:textFill>
              </w:rPr>
              <w:t>）施工过程中，加强施工管理，控制施工活动范围，严格控制施工车辆、机械及施工人员活动范围，应根据各种施工作业的要求和环境保护要求，确定场地的占地面积控制标准。</w:t>
            </w:r>
          </w:p>
          <w:p w14:paraId="09FB1846">
            <w:pPr>
              <w:pStyle w:val="25"/>
              <w:spacing w:line="360" w:lineRule="auto"/>
              <w:ind w:firstLine="480" w:firstLineChars="200"/>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7）</w:t>
            </w:r>
            <w:r>
              <w:rPr>
                <w:rFonts w:hint="eastAsia" w:ascii="宋体" w:hAnsi="宋体" w:eastAsia="宋体" w:cs="宋体"/>
                <w:b w:val="0"/>
                <w:bCs/>
                <w:color w:val="000000" w:themeColor="text1"/>
                <w14:textFill>
                  <w14:solidFill>
                    <w14:schemeClr w14:val="tx1"/>
                  </w14:solidFill>
                </w14:textFill>
              </w:rPr>
              <w:t>根据</w:t>
            </w:r>
            <w:r>
              <w:rPr>
                <w:rFonts w:hint="eastAsia" w:ascii="宋体" w:hAnsi="宋体" w:eastAsia="宋体" w:cs="宋体"/>
                <w:b w:val="0"/>
                <w:bCs/>
                <w:color w:val="000000" w:themeColor="text1"/>
                <w:lang w:eastAsia="zh-CN"/>
                <w14:textFill>
                  <w14:solidFill>
                    <w14:schemeClr w14:val="tx1"/>
                  </w14:solidFill>
                </w14:textFill>
              </w:rPr>
              <w:t>防洪要求及</w:t>
            </w:r>
            <w:r>
              <w:rPr>
                <w:rFonts w:hint="eastAsia" w:ascii="宋体" w:hAnsi="宋体" w:eastAsia="宋体" w:cs="宋体"/>
                <w:b w:val="0"/>
                <w:bCs/>
                <w:color w:val="000000" w:themeColor="text1"/>
                <w14:textFill>
                  <w14:solidFill>
                    <w14:schemeClr w14:val="tx1"/>
                  </w14:solidFill>
                </w14:textFill>
              </w:rPr>
              <w:t>地表植被特征，因地制宜地选择施工季节，尽可能避开植物生长期</w:t>
            </w:r>
            <w:r>
              <w:rPr>
                <w:rFonts w:hint="eastAsia" w:ascii="宋体" w:hAnsi="宋体" w:eastAsia="宋体" w:cs="宋体"/>
                <w:b w:val="0"/>
                <w:bCs/>
                <w:color w:val="000000" w:themeColor="text1"/>
                <w:lang w:eastAsia="zh-CN"/>
                <w14:textFill>
                  <w14:solidFill>
                    <w14:schemeClr w14:val="tx1"/>
                  </w14:solidFill>
                </w14:textFill>
              </w:rPr>
              <w:t>和排洪期</w:t>
            </w:r>
            <w:r>
              <w:rPr>
                <w:rFonts w:hint="eastAsia" w:ascii="宋体" w:hAnsi="宋体" w:eastAsia="宋体" w:cs="宋体"/>
                <w:b w:val="0"/>
                <w:bCs/>
                <w:color w:val="000000" w:themeColor="text1"/>
                <w14:textFill>
                  <w14:solidFill>
                    <w14:schemeClr w14:val="tx1"/>
                  </w14:solidFill>
                </w14:textFill>
              </w:rPr>
              <w:t>，以对生态环境的影响较少到最小</w:t>
            </w:r>
            <w:r>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t>。</w:t>
            </w:r>
          </w:p>
          <w:p w14:paraId="75FA12F9">
            <w:pPr>
              <w:pStyle w:val="25"/>
              <w:spacing w:line="360" w:lineRule="auto"/>
              <w:ind w:firstLine="480" w:firstLineChars="200"/>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宋体"/>
                <w:b w:val="0"/>
                <w:bCs/>
                <w:color w:val="000000" w:themeColor="text1"/>
                <w:kern w:val="2"/>
                <w:sz w:val="24"/>
                <w:szCs w:val="24"/>
                <w:lang w:val="en-US" w:eastAsia="zh-CN" w:bidi="ar-SA"/>
                <w14:textFill>
                  <w14:solidFill>
                    <w14:schemeClr w14:val="tx1"/>
                  </w14:solidFill>
                </w14:textFill>
              </w:rPr>
              <w:t>减缓生态破坏措施</w:t>
            </w:r>
          </w:p>
          <w:p w14:paraId="7354F707">
            <w:pPr>
              <w:pStyle w:val="5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根据本工程施工总体布局、水土流失特点等因素，将本工程划分为施工场地防治区和临时堆料场两个防治分区分别采取防治措施。</w:t>
            </w:r>
          </w:p>
          <w:p w14:paraId="2A3E34CF">
            <w:pPr>
              <w:pStyle w:val="5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1）施工场地防治区：施工场地应布置临时排水沟和沉砂池，以拦截径流减少对地表的冲刷。施工结束后，对施工场地进行植被恢复。</w:t>
            </w:r>
          </w:p>
          <w:p w14:paraId="36D19109">
            <w:pPr>
              <w:pStyle w:val="5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①排水沟：在施工场地周边布设临时排水沟，防止外部雨水、径流的冲刷，造成严重的水土流失，雨水沿排水沟排入地势低洼处。</w:t>
            </w:r>
          </w:p>
          <w:p w14:paraId="58E3A363">
            <w:pPr>
              <w:pStyle w:val="5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②植物措施：施工完毕，采用乔灌草相结合的方式进行绿化。</w:t>
            </w:r>
          </w:p>
          <w:p w14:paraId="0D79A43B">
            <w:pPr>
              <w:pStyle w:val="5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2）临时堆料场：应布置临时拦挡、覆盖、排水及施工完成后的土地整治及绿化措施。</w:t>
            </w:r>
          </w:p>
          <w:p w14:paraId="145EDD50">
            <w:pPr>
              <w:pStyle w:val="56"/>
              <w:bidi w:val="0"/>
              <w:rPr>
                <w:rFonts w:hint="eastAsia"/>
                <w:color w:val="FF0000"/>
                <w:lang w:val="en-US" w:eastAsia="zh-CN"/>
              </w:rPr>
            </w:pPr>
            <w:r>
              <w:rPr>
                <w:rFonts w:hint="eastAsia"/>
                <w:color w:val="FF0000"/>
                <w:lang w:val="en-US" w:eastAsia="zh-CN"/>
              </w:rPr>
              <w:t>①编织袋拦挡：为防止临时堆料场物料外泄，在堆料场周边可布设编织袋拦挡，采用直角梯形断面，顶宽0.5m，高1.0m，外边坡坡度为1:1。</w:t>
            </w:r>
          </w:p>
          <w:p w14:paraId="331B56BC">
            <w:pPr>
              <w:pStyle w:val="56"/>
              <w:bidi w:val="0"/>
              <w:rPr>
                <w:rFonts w:hint="eastAsia" w:ascii="Times New Roman" w:hAnsi="Times New Roman" w:eastAsia="宋体"/>
                <w:color w:val="FF0000"/>
                <w:lang w:val="en-US" w:eastAsia="zh-CN"/>
              </w:rPr>
            </w:pPr>
            <w:r>
              <w:rPr>
                <w:rFonts w:hint="eastAsia"/>
                <w:color w:val="FF0000"/>
                <w:lang w:val="en-US" w:eastAsia="zh-CN"/>
              </w:rPr>
              <w:t>②排水沟：在临时堆土场周边编织袋拦挡外侧布设临时排水沟，防止外部</w:t>
            </w:r>
            <w:r>
              <w:rPr>
                <w:rFonts w:hint="eastAsia"/>
                <w:color w:val="FF0000"/>
                <w:lang w:eastAsia="zh-CN"/>
              </w:rPr>
              <w:t>雨水径流对临时堆土场的冲刷，造成严重的水土流失，雨水沿排水沟排入地势低洼处。</w:t>
            </w:r>
          </w:p>
          <w:p w14:paraId="26D4A3E7">
            <w:pPr>
              <w:pStyle w:val="56"/>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③防尘网：临时堆料场堆放过程中，采用防尘网进行覆盖。</w:t>
            </w:r>
          </w:p>
          <w:p w14:paraId="12982843">
            <w:pPr>
              <w:pStyle w:val="56"/>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⑤施工完毕土地平整后进行植被恢复，采用乔灌草相结合的方式。总之，需做好堆放场的防护工作，先挡后堆，在堆放场四周设置挡土墙、排水沟。</w:t>
            </w:r>
          </w:p>
          <w:p w14:paraId="33477533">
            <w:pPr>
              <w:spacing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水土流失防护措施布设应结合工程实际和项目区水土流失现状，因地 制宜、因害设防、总体设计全面布局、科学配置。</w:t>
            </w:r>
          </w:p>
          <w:p w14:paraId="09108936">
            <w:pPr>
              <w:spacing w:line="360" w:lineRule="auto"/>
              <w:ind w:firstLine="480" w:firstLineChars="200"/>
              <w:rPr>
                <w:rFonts w:hint="eastAsia"/>
                <w:color w:val="000000" w:themeColor="text1"/>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3</w:t>
            </w:r>
            <w:r>
              <w:rPr>
                <w:rFonts w:hint="eastAsia" w:ascii="Times New Roman" w:hAnsi="Times New Roman" w:eastAsia="宋体" w:cs="宋体"/>
                <w:color w:val="000000" w:themeColor="text1"/>
                <w:sz w:val="24"/>
                <w14:textFill>
                  <w14:solidFill>
                    <w14:schemeClr w14:val="tx1"/>
                  </w14:solidFill>
                </w14:textFill>
              </w:rPr>
              <w:t>）根据本项目的水土流失预测结果、划定的防治责任范围、水土流失防治分区及防治内容，确定不同的防治区采用不同的防治措施及布局，形成本方案的水土流失防治措施体系。</w:t>
            </w:r>
          </w:p>
          <w:p w14:paraId="6FE1FB2D">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4</w:t>
            </w:r>
            <w:r>
              <w:rPr>
                <w:rFonts w:hint="eastAsia" w:ascii="Times New Roman" w:hAnsi="Times New Roman" w:eastAsia="宋体" w:cs="宋体"/>
                <w:color w:val="000000" w:themeColor="text1"/>
                <w:sz w:val="24"/>
                <w14:textFill>
                  <w14:solidFill>
                    <w14:schemeClr w14:val="tx1"/>
                  </w14:solidFill>
                </w14:textFill>
              </w:rPr>
              <w:t>）合理安排施工计划，做好挖填方平衡。合理安排施工单元，减少施工面的裸露时间；</w:t>
            </w:r>
          </w:p>
          <w:p w14:paraId="7E798CEB">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5</w:t>
            </w:r>
            <w:r>
              <w:rPr>
                <w:rFonts w:hint="eastAsia" w:ascii="Times New Roman" w:hAnsi="Times New Roman" w:eastAsia="宋体" w:cs="宋体"/>
                <w:color w:val="000000" w:themeColor="text1"/>
                <w:sz w:val="24"/>
                <w14:textFill>
                  <w14:solidFill>
                    <w14:schemeClr w14:val="tx1"/>
                  </w14:solidFill>
                </w14:textFill>
              </w:rPr>
              <w:t>）在满足施工要求的前提下，施工场地要尽量小，不得随意侵占周围土地；</w:t>
            </w:r>
          </w:p>
          <w:p w14:paraId="6CEB22F2">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6</w:t>
            </w:r>
            <w:r>
              <w:rPr>
                <w:rFonts w:hint="eastAsia" w:ascii="Times New Roman" w:hAnsi="Times New Roman" w:eastAsia="宋体" w:cs="宋体"/>
                <w:color w:val="000000" w:themeColor="text1"/>
                <w:sz w:val="24"/>
                <w14:textFill>
                  <w14:solidFill>
                    <w14:schemeClr w14:val="tx1"/>
                  </w14:solidFill>
                </w14:textFill>
              </w:rPr>
              <w:t>）严格控制施工作业区，不得随意扩大范围，必须减少对附近植被和道路的破坏；</w:t>
            </w:r>
          </w:p>
          <w:p w14:paraId="13DB3736">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7</w:t>
            </w:r>
            <w:r>
              <w:rPr>
                <w:rFonts w:hint="eastAsia" w:ascii="Times New Roman" w:hAnsi="Times New Roman" w:eastAsia="宋体" w:cs="宋体"/>
                <w:color w:val="000000" w:themeColor="text1"/>
                <w:sz w:val="24"/>
                <w14:textFill>
                  <w14:solidFill>
                    <w14:schemeClr w14:val="tx1"/>
                  </w14:solidFill>
                </w14:textFill>
              </w:rPr>
              <w:t>）应采取工程措施与植物措施有机结合，点、线、面水土流失综合防治，充分发挥工程措施的时效性，保证在短期内遏制或减少水土流失；</w:t>
            </w:r>
          </w:p>
          <w:p w14:paraId="5E46C46E">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8</w:t>
            </w:r>
            <w:r>
              <w:rPr>
                <w:rFonts w:hint="eastAsia" w:ascii="Times New Roman" w:hAnsi="Times New Roman" w:eastAsia="宋体" w:cs="宋体"/>
                <w:color w:val="000000" w:themeColor="text1"/>
                <w:sz w:val="24"/>
                <w14:textFill>
                  <w14:solidFill>
                    <w14:schemeClr w14:val="tx1"/>
                  </w14:solidFill>
                </w14:textFill>
              </w:rPr>
              <w:t>）根据工期进度和规划分区，修建临时性围墙封闭施工，将水土流失尽量控制在项目区内进行防治，既有利于阻挡水、土外流，又有利于施工管理；</w:t>
            </w:r>
          </w:p>
          <w:p w14:paraId="396DC953">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9</w:t>
            </w:r>
            <w:r>
              <w:rPr>
                <w:rFonts w:hint="eastAsia" w:ascii="Times New Roman" w:hAnsi="Times New Roman" w:eastAsia="宋体" w:cs="宋体"/>
                <w:color w:val="000000" w:themeColor="text1"/>
                <w:sz w:val="24"/>
                <w14:textFill>
                  <w14:solidFill>
                    <w14:schemeClr w14:val="tx1"/>
                  </w14:solidFill>
                </w14:textFill>
              </w:rPr>
              <w:t>）项目在施工过程中应采取尽量少占地，少破坏植被的原则，尽量缩小施工范围，各种施工活动应严格的控制在施工区域内，并将临时占地面积控制在最低限度，以免造成土壤与植被的不必要破坏。在施工中应执行“分层开挖、分层堆放、分层填埋原则”，施工后及时进行地貌、植被的恢复，减少水土流失。</w:t>
            </w:r>
          </w:p>
          <w:p w14:paraId="6F6C1F82">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10</w:t>
            </w:r>
            <w:r>
              <w:rPr>
                <w:rFonts w:hint="eastAsia" w:ascii="Times New Roman" w:hAnsi="Times New Roman" w:eastAsia="宋体" w:cs="宋体"/>
                <w:color w:val="000000" w:themeColor="text1"/>
                <w:sz w:val="24"/>
                <w14:textFill>
                  <w14:solidFill>
                    <w14:schemeClr w14:val="tx1"/>
                  </w14:solidFill>
                </w14:textFill>
              </w:rPr>
              <w:t>）做好项目挖、填方的合理调配工作，临时弃土堆放点应采取防护措施，避免在降雨期间挖填土方，以防造成水土流失和水体污染。</w:t>
            </w:r>
          </w:p>
          <w:p w14:paraId="5BDD1343">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11</w:t>
            </w:r>
            <w:r>
              <w:rPr>
                <w:rFonts w:hint="eastAsia" w:ascii="Times New Roman" w:hAnsi="Times New Roman" w:eastAsia="宋体" w:cs="宋体"/>
                <w:color w:val="000000" w:themeColor="text1"/>
                <w:sz w:val="24"/>
                <w14:textFill>
                  <w14:solidFill>
                    <w14:schemeClr w14:val="tx1"/>
                  </w14:solidFill>
                </w14:textFill>
              </w:rPr>
              <w:t>）强化建设期生态保护意识，制定并落实生态环境与恢复的监督管理措施，指定专门人员负责建设期生态环境监督与管理工作；</w:t>
            </w:r>
          </w:p>
          <w:p w14:paraId="2B73697C">
            <w:pPr>
              <w:pStyle w:val="48"/>
              <w:spacing w:line="360" w:lineRule="auto"/>
              <w:ind w:right="-1" w:firstLine="480" w:firstLineChars="200"/>
              <w:contextualSpacing/>
              <w:outlineLvl w:val="2"/>
              <w:rPr>
                <w:rFonts w:hint="eastAsia" w:ascii="Times New Roman" w:hAnsi="Times New Roman" w:eastAsia="宋体" w:cs="宋体"/>
                <w:color w:val="FF0000"/>
                <w:kern w:val="2"/>
                <w:sz w:val="24"/>
                <w:szCs w:val="24"/>
                <w:lang w:val="en-US" w:eastAsia="zh-CN" w:bidi="ar-SA"/>
              </w:rPr>
            </w:pPr>
            <w:r>
              <w:rPr>
                <w:rFonts w:hint="eastAsia" w:ascii="Times New Roman" w:hAnsi="Times New Roman" w:eastAsia="宋体" w:cs="宋体"/>
                <w:color w:val="FF0000"/>
                <w:kern w:val="2"/>
                <w:sz w:val="24"/>
                <w:szCs w:val="24"/>
                <w:lang w:val="en-US" w:eastAsia="zh-CN" w:bidi="ar-SA"/>
              </w:rPr>
              <w:t>12）护岸工程做到一次开挖、修建，集中堆放开挖松土；施工过程中一旦遇到大雨或暴雨，应采用塑料薄膜覆盖裸露的破面，以减少水土流失。护岸开挖土方量集中堆放在临时弃渣场内，并采取临时保护措施防止养分流失，表土周边利用袋装土临时拦挡。</w:t>
            </w:r>
          </w:p>
          <w:p w14:paraId="1E5623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FF0000"/>
                <w:sz w:val="24"/>
                <w:szCs w:val="22"/>
                <w:lang w:eastAsia="zh-CN"/>
              </w:rPr>
            </w:pPr>
            <w:r>
              <w:rPr>
                <w:rFonts w:hint="eastAsia"/>
                <w:color w:val="FF0000"/>
                <w:sz w:val="24"/>
                <w:szCs w:val="22"/>
                <w:lang w:eastAsia="zh-CN"/>
              </w:rPr>
              <w:t>（</w:t>
            </w:r>
            <w:r>
              <w:rPr>
                <w:rFonts w:hint="eastAsia"/>
                <w:color w:val="FF0000"/>
                <w:sz w:val="24"/>
                <w:szCs w:val="22"/>
                <w:lang w:val="en-US" w:eastAsia="zh-CN"/>
              </w:rPr>
              <w:t>3</w:t>
            </w:r>
            <w:r>
              <w:rPr>
                <w:rFonts w:hint="eastAsia"/>
                <w:color w:val="FF0000"/>
                <w:sz w:val="24"/>
                <w:szCs w:val="22"/>
                <w:lang w:eastAsia="zh-CN"/>
              </w:rPr>
              <w:t>）湘乐川保护措施</w:t>
            </w:r>
          </w:p>
          <w:p w14:paraId="0C9DDB06">
            <w:pPr>
              <w:keepNext w:val="0"/>
              <w:keepLines w:val="0"/>
              <w:pageBreakBefore w:val="0"/>
              <w:widowControl w:val="0"/>
              <w:tabs>
                <w:tab w:val="left" w:pos="3408"/>
                <w:tab w:val="center" w:pos="4648"/>
              </w:tabs>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24"/>
                <w:lang w:eastAsia="zh-CN"/>
              </w:rPr>
            </w:pPr>
            <w:r>
              <w:rPr>
                <w:rFonts w:hint="eastAsia"/>
                <w:color w:val="FF0000"/>
                <w:sz w:val="24"/>
                <w:szCs w:val="22"/>
                <w:lang w:eastAsia="zh-CN"/>
              </w:rPr>
              <w:t>①</w:t>
            </w:r>
            <w:r>
              <w:rPr>
                <w:rFonts w:hint="eastAsia"/>
                <w:color w:val="FF0000"/>
                <w:sz w:val="24"/>
                <w:szCs w:val="24"/>
                <w:lang w:eastAsia="zh-CN"/>
              </w:rPr>
              <w:t>由于护岸线路短，结合实际左右施工，进行设置围堰进行导流，汛期施工要注意施工安全，随时了解观测天气情况，流域内有大暴雨，施工人员和机诫要及时撤离施工场地，以免造成人员伤亡和经济损失。</w:t>
            </w:r>
          </w:p>
          <w:p w14:paraId="6C639410">
            <w:pPr>
              <w:keepNext w:val="0"/>
              <w:keepLines w:val="0"/>
              <w:pageBreakBefore w:val="0"/>
              <w:widowControl w:val="0"/>
              <w:tabs>
                <w:tab w:val="left" w:pos="3408"/>
                <w:tab w:val="center" w:pos="4648"/>
              </w:tabs>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24"/>
                <w:lang w:eastAsia="zh-CN"/>
              </w:rPr>
            </w:pPr>
            <w:r>
              <w:rPr>
                <w:rFonts w:hint="eastAsia"/>
                <w:color w:val="FF0000"/>
                <w:sz w:val="24"/>
                <w:szCs w:val="24"/>
                <w:lang w:eastAsia="zh-CN"/>
              </w:rPr>
              <w:t>②为避免施工废水污染周围的地表水体，施工单位不在施工现场设置施工营地，不进行设备机械维修活动。</w:t>
            </w:r>
          </w:p>
          <w:p w14:paraId="60A6B696">
            <w:pPr>
              <w:keepNext w:val="0"/>
              <w:keepLines w:val="0"/>
              <w:pageBreakBefore w:val="0"/>
              <w:widowControl w:val="0"/>
              <w:tabs>
                <w:tab w:val="left" w:pos="3408"/>
                <w:tab w:val="center" w:pos="4648"/>
              </w:tabs>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24"/>
                <w:lang w:eastAsia="zh-CN"/>
              </w:rPr>
            </w:pPr>
            <w:r>
              <w:rPr>
                <w:rFonts w:hint="eastAsia"/>
                <w:color w:val="FF0000"/>
                <w:sz w:val="24"/>
                <w:szCs w:val="24"/>
                <w:lang w:eastAsia="zh-CN"/>
              </w:rPr>
              <w:t>③由于排放量较小，且施工线路长、点分散，对施工人员的生活洗漱废水</w:t>
            </w:r>
            <w:r>
              <w:rPr>
                <w:rFonts w:hint="eastAsia"/>
                <w:color w:val="FF0000"/>
                <w:sz w:val="24"/>
                <w:szCs w:val="24"/>
                <w:lang w:val="en-US" w:eastAsia="zh-CN"/>
              </w:rPr>
              <w:t>设置移动环保厕所</w:t>
            </w:r>
            <w:r>
              <w:rPr>
                <w:rFonts w:hint="eastAsia"/>
                <w:color w:val="FF0000"/>
                <w:sz w:val="24"/>
                <w:szCs w:val="24"/>
                <w:lang w:eastAsia="zh-CN"/>
              </w:rPr>
              <w:t>，对环境影响较小，禁止施工人员将各类垃圾投入河道内。</w:t>
            </w:r>
          </w:p>
          <w:p w14:paraId="384E92EA">
            <w:pPr>
              <w:pStyle w:val="48"/>
              <w:spacing w:line="360" w:lineRule="auto"/>
              <w:ind w:right="-1" w:firstLine="480" w:firstLineChars="200"/>
              <w:contextualSpacing/>
              <w:outlineLvl w:val="2"/>
              <w:rPr>
                <w:rFonts w:hint="eastAsia"/>
                <w:color w:val="000000" w:themeColor="text1"/>
                <w:sz w:val="24"/>
                <w14:textFill>
                  <w14:solidFill>
                    <w14:schemeClr w14:val="tx1"/>
                  </w14:solidFill>
                </w14:textFill>
              </w:rPr>
            </w:pPr>
            <w:r>
              <w:rPr>
                <w:rFonts w:hint="eastAsia"/>
                <w:color w:val="FF0000"/>
                <w:sz w:val="24"/>
              </w:rPr>
              <w:t>施工期经采取上述措施后，对生态环境影响较小</w:t>
            </w:r>
            <w:r>
              <w:rPr>
                <w:rFonts w:hint="eastAsia"/>
                <w:color w:val="000000" w:themeColor="text1"/>
                <w:sz w:val="24"/>
                <w14:textFill>
                  <w14:solidFill>
                    <w14:schemeClr w14:val="tx1"/>
                  </w14:solidFill>
                </w14:textFill>
              </w:rPr>
              <w:t>。</w:t>
            </w:r>
          </w:p>
          <w:p w14:paraId="6C2DA7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FF0000"/>
                <w:sz w:val="24"/>
              </w:rPr>
            </w:pPr>
            <w:r>
              <w:rPr>
                <w:rFonts w:hint="eastAsia"/>
                <w:color w:val="FF0000"/>
                <w:sz w:val="24"/>
                <w:lang w:eastAsia="zh-CN"/>
              </w:rPr>
              <w:t>（</w:t>
            </w:r>
            <w:r>
              <w:rPr>
                <w:rFonts w:hint="eastAsia"/>
                <w:color w:val="FF0000"/>
                <w:sz w:val="24"/>
                <w:lang w:val="en-US" w:eastAsia="zh-CN"/>
              </w:rPr>
              <w:t>4</w:t>
            </w:r>
            <w:r>
              <w:rPr>
                <w:rFonts w:hint="eastAsia"/>
                <w:color w:val="FF0000"/>
                <w:sz w:val="24"/>
                <w:lang w:eastAsia="zh-CN"/>
              </w:rPr>
              <w:t>）</w:t>
            </w:r>
            <w:r>
              <w:rPr>
                <w:rFonts w:hint="eastAsia"/>
                <w:color w:val="FF0000"/>
                <w:sz w:val="24"/>
              </w:rPr>
              <w:t>水土流失预防措施</w:t>
            </w:r>
          </w:p>
          <w:p w14:paraId="145EF5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FF0000"/>
                <w:sz w:val="24"/>
              </w:rPr>
            </w:pPr>
            <w:r>
              <w:rPr>
                <w:rFonts w:hint="eastAsia"/>
                <w:color w:val="FF0000"/>
                <w:sz w:val="24"/>
              </w:rPr>
              <w:t>按照水土保持方案编制原则和指导思想，在实际调查基础上，根据地形地貌、水土流失强度以及项目建设的施工特点来划分水土流失防治分区，确定各分区的防治任务，因地制宜，因害设防，分区分类布设水土流失防治措施，分区应本着地形地貌类型相似、立地条件大致相同的原则进行；各分区内造成土壤侵蚀或水土流失的主导因子相近或相似；分区结果对防治措施总体布局具有指导作用，有利于分类实施防治措施；应具有控制性、整体性、全局性，各分区具有关联性和系统性。工程区设计的水土保持防治措施主要包括工程措施、植物措施和临时防护措施三大类，工程措施有排水工程、固沙工程、拦挡工程、土地整治、砂砾压盖等，植物措施有植树种草等，临时措施有临时拦挡、洒水等措施。</w:t>
            </w:r>
          </w:p>
          <w:p w14:paraId="67E886EB">
            <w:pPr>
              <w:pStyle w:val="48"/>
              <w:spacing w:line="360" w:lineRule="auto"/>
              <w:ind w:right="-1" w:firstLine="480" w:firstLineChars="200"/>
              <w:contextualSpacing/>
              <w:outlineLvl w:val="2"/>
              <w:rPr>
                <w:rFonts w:hint="eastAsia"/>
                <w:color w:val="FF0000"/>
                <w:sz w:val="24"/>
                <w:lang w:val="en-US" w:eastAsia="zh-CN"/>
              </w:rPr>
            </w:pPr>
            <w:r>
              <w:rPr>
                <w:rFonts w:hint="eastAsia"/>
                <w:color w:val="FF0000"/>
                <w:sz w:val="24"/>
              </w:rPr>
              <w:t>上述地质灾害防护措施在技术和经济上均可行，可有效防治地质灾害造成破坏。</w:t>
            </w:r>
          </w:p>
          <w:p w14:paraId="64F8D47C">
            <w:pPr>
              <w:pStyle w:val="48"/>
              <w:spacing w:line="360" w:lineRule="auto"/>
              <w:ind w:right="-1" w:firstLine="0" w:firstLineChars="0"/>
              <w:contextualSpacing/>
              <w:outlineLvl w:val="2"/>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2、</w:t>
            </w:r>
            <w:r>
              <w:rPr>
                <w:rFonts w:ascii="Times New Roman" w:hAnsi="Times New Roman" w:eastAsia="宋体"/>
                <w:b/>
                <w:color w:val="000000" w:themeColor="text1"/>
                <w:sz w:val="24"/>
                <w:szCs w:val="24"/>
                <w14:textFill>
                  <w14:solidFill>
                    <w14:schemeClr w14:val="tx1"/>
                  </w14:solidFill>
                </w14:textFill>
              </w:rPr>
              <w:t>大气污染防治措施</w:t>
            </w:r>
          </w:p>
          <w:p w14:paraId="3B9DEA9B">
            <w:pPr>
              <w:spacing w:line="360" w:lineRule="auto"/>
              <w:ind w:firstLine="480" w:firstLineChars="200"/>
              <w:rPr>
                <w:rFonts w:ascii="Times New Roman" w:hAnsi="Times New Roman" w:eastAsia="宋体" w:cs="宋体"/>
                <w:color w:val="FF0000"/>
                <w:sz w:val="24"/>
                <w:szCs w:val="24"/>
              </w:rPr>
            </w:pPr>
            <w:r>
              <w:rPr>
                <w:rFonts w:hint="default" w:ascii="Times New Roman" w:hAnsi="Times New Roman" w:eastAsia="宋体" w:cs="Times New Roman"/>
                <w:color w:val="FF0000"/>
                <w:sz w:val="24"/>
                <w:szCs w:val="21"/>
                <w:lang w:bidi="ar"/>
              </w:rPr>
              <w:t>施工过程中产生的扬尘等废气会对周围环境带来不利的影响，为有效防治扬尘及尾气污染，施工单位在施工期应严格执行</w:t>
            </w:r>
            <w:r>
              <w:rPr>
                <w:rFonts w:hint="eastAsia" w:ascii="Times New Roman" w:hAnsi="Times New Roman" w:eastAsia="宋体" w:cs="Times New Roman"/>
                <w:color w:val="FF0000"/>
                <w:sz w:val="24"/>
                <w:szCs w:val="21"/>
                <w:lang w:bidi="ar"/>
              </w:rPr>
              <w:t>《甘肃省住房城乡建设系统建筑工地施工扬尘专项治理工作实施方案》（甘建工〔2017〕139号）</w:t>
            </w:r>
            <w:r>
              <w:rPr>
                <w:rFonts w:hint="eastAsia" w:eastAsia="宋体" w:cs="Times New Roman"/>
                <w:color w:val="FF0000"/>
                <w:sz w:val="24"/>
                <w:szCs w:val="21"/>
                <w:lang w:eastAsia="zh-CN" w:bidi="ar"/>
              </w:rPr>
              <w:t>、</w:t>
            </w:r>
            <w:r>
              <w:rPr>
                <w:rFonts w:hint="eastAsia" w:ascii="Times New Roman" w:hAnsi="Times New Roman" w:eastAsia="宋体" w:cs="Times New Roman"/>
                <w:color w:val="FF0000"/>
                <w:sz w:val="24"/>
                <w:szCs w:val="21"/>
                <w:lang w:eastAsia="zh-CN" w:bidi="ar"/>
              </w:rPr>
              <w:t>《</w:t>
            </w:r>
            <w:r>
              <w:rPr>
                <w:rFonts w:hint="eastAsia" w:ascii="Times New Roman" w:hAnsi="Times New Roman" w:eastAsia="宋体" w:cs="Times New Roman"/>
                <w:color w:val="FF0000"/>
                <w:sz w:val="24"/>
                <w:szCs w:val="21"/>
                <w:lang w:val="en-US" w:eastAsia="zh-CN" w:bidi="ar"/>
              </w:rPr>
              <w:t>2018年庆阳市大气污染防治攻坚行动方案</w:t>
            </w:r>
            <w:r>
              <w:rPr>
                <w:rFonts w:hint="eastAsia" w:ascii="Times New Roman" w:hAnsi="Times New Roman" w:eastAsia="宋体" w:cs="Times New Roman"/>
                <w:color w:val="FF0000"/>
                <w:sz w:val="24"/>
                <w:szCs w:val="21"/>
                <w:lang w:eastAsia="zh-CN" w:bidi="ar"/>
              </w:rPr>
              <w:t>》</w:t>
            </w:r>
            <w:r>
              <w:rPr>
                <w:rFonts w:hint="eastAsia" w:eastAsia="宋体" w:cs="Times New Roman"/>
                <w:color w:val="FF0000"/>
                <w:sz w:val="24"/>
                <w:szCs w:val="21"/>
                <w:lang w:eastAsia="zh-CN" w:bidi="ar"/>
              </w:rPr>
              <w:t>和《宁县大气污染防治方案》</w:t>
            </w:r>
            <w:r>
              <w:rPr>
                <w:rFonts w:hint="eastAsia" w:ascii="Times New Roman" w:hAnsi="Times New Roman" w:eastAsia="宋体" w:cs="Times New Roman"/>
                <w:color w:val="FF0000"/>
                <w:sz w:val="24"/>
                <w:szCs w:val="21"/>
                <w:lang w:eastAsia="zh-CN" w:bidi="ar"/>
              </w:rPr>
              <w:t>的要求</w:t>
            </w:r>
            <w:r>
              <w:rPr>
                <w:rFonts w:hint="default" w:ascii="Times New Roman" w:hAnsi="Times New Roman" w:eastAsia="宋体" w:cs="Times New Roman"/>
                <w:color w:val="FF0000"/>
                <w:sz w:val="24"/>
                <w:szCs w:val="21"/>
                <w:lang w:bidi="ar"/>
              </w:rPr>
              <w:t>，</w:t>
            </w:r>
            <w:r>
              <w:rPr>
                <w:rFonts w:hint="eastAsia" w:ascii="Times New Roman" w:hAnsi="Times New Roman" w:eastAsia="宋体" w:cs="Times New Roman"/>
                <w:color w:val="FF0000"/>
                <w:sz w:val="24"/>
                <w:szCs w:val="21"/>
                <w:lang w:eastAsia="zh-CN" w:bidi="ar"/>
              </w:rPr>
              <w:t>“减轻四级及以上大风天气扬尘污染。四级及以上大风天气城区道路实施机械化清扫，人工清扫必须先洒水后清扫，减轻扬尘污染。落实大风天气建筑施工地裸露地面洒水措施，四级及以上大风天气大风来临前，建筑施工地裸露地面全部洒水，渣土运输车辆停止运输，防止尘土飞扬；施工场地建筑施工场地扬尘管控“</w:t>
            </w:r>
            <w:r>
              <w:rPr>
                <w:rFonts w:hint="eastAsia" w:cs="Times New Roman"/>
                <w:color w:val="FF0000"/>
                <w:sz w:val="24"/>
                <w:szCs w:val="21"/>
                <w:lang w:val="en-US" w:eastAsia="zh-CN" w:bidi="ar"/>
              </w:rPr>
              <w:t>6</w:t>
            </w:r>
            <w:r>
              <w:rPr>
                <w:rFonts w:hint="eastAsia" w:ascii="Times New Roman" w:hAnsi="Times New Roman" w:eastAsia="宋体" w:cs="Times New Roman"/>
                <w:color w:val="FF0000"/>
                <w:sz w:val="24"/>
                <w:szCs w:val="21"/>
                <w:lang w:eastAsia="zh-CN" w:bidi="ar"/>
              </w:rPr>
              <w:t>个100%”措施</w:t>
            </w:r>
            <w:r>
              <w:rPr>
                <w:rFonts w:hint="default" w:ascii="Times New Roman" w:hAnsi="Times New Roman" w:eastAsia="宋体" w:cs="Times New Roman"/>
                <w:color w:val="FF0000"/>
                <w:sz w:val="24"/>
                <w:szCs w:val="21"/>
                <w:lang w:bidi="ar"/>
              </w:rPr>
              <w:t>。针对工程特点应采取如下防治措施</w:t>
            </w:r>
            <w:r>
              <w:rPr>
                <w:rFonts w:hint="eastAsia" w:ascii="Times New Roman" w:hAnsi="Times New Roman" w:eastAsia="宋体" w:cs="宋体"/>
                <w:color w:val="FF0000"/>
                <w:sz w:val="24"/>
                <w:szCs w:val="24"/>
              </w:rPr>
              <w:t>：</w:t>
            </w:r>
          </w:p>
          <w:p w14:paraId="30AC932C">
            <w:pPr>
              <w:spacing w:line="360" w:lineRule="auto"/>
              <w:ind w:firstLine="480" w:firstLineChars="200"/>
              <w:rPr>
                <w:rFonts w:ascii="Times New Roman" w:hAnsi="Times New Roman" w:eastAsia="宋体" w:cs="宋体"/>
                <w:color w:val="FF0000"/>
                <w:sz w:val="24"/>
                <w:szCs w:val="24"/>
              </w:rPr>
            </w:pPr>
            <w:r>
              <w:rPr>
                <w:rFonts w:hint="eastAsia" w:ascii="Times New Roman" w:hAnsi="Times New Roman" w:eastAsia="宋体" w:cs="宋体"/>
                <w:color w:val="FF0000"/>
                <w:sz w:val="24"/>
                <w:szCs w:val="24"/>
              </w:rPr>
              <w:t>（</w:t>
            </w:r>
            <w:r>
              <w:rPr>
                <w:rFonts w:ascii="Times New Roman" w:hAnsi="Times New Roman" w:eastAsia="宋体" w:cs="宋体"/>
                <w:color w:val="FF0000"/>
                <w:sz w:val="24"/>
                <w:szCs w:val="24"/>
              </w:rPr>
              <w:t>1</w:t>
            </w:r>
            <w:r>
              <w:rPr>
                <w:rFonts w:hint="eastAsia" w:ascii="Times New Roman" w:hAnsi="Times New Roman" w:eastAsia="宋体" w:cs="宋体"/>
                <w:color w:val="FF0000"/>
                <w:sz w:val="24"/>
                <w:szCs w:val="24"/>
              </w:rPr>
              <w:t>）强化施工期环境管理，提高施工人员环保意识宣传和教育，制定合理的施工计划，缩短工期，采取集中力量逐项施工方法，坚决杜绝粗放式施工现象发生。</w:t>
            </w:r>
          </w:p>
          <w:p w14:paraId="24B42EA5">
            <w:pPr>
              <w:spacing w:line="360" w:lineRule="auto"/>
              <w:ind w:firstLine="480" w:firstLineChars="200"/>
              <w:rPr>
                <w:rFonts w:ascii="Times New Roman" w:hAnsi="Times New Roman" w:eastAsia="宋体" w:cs="宋体"/>
                <w:color w:val="FF0000"/>
                <w:sz w:val="24"/>
                <w:szCs w:val="24"/>
              </w:rPr>
            </w:pPr>
            <w:r>
              <w:rPr>
                <w:rFonts w:hint="eastAsia" w:ascii="Times New Roman" w:hAnsi="Times New Roman" w:eastAsia="宋体" w:cs="宋体"/>
                <w:color w:val="FF0000"/>
                <w:sz w:val="24"/>
                <w:szCs w:val="24"/>
              </w:rPr>
              <w:t>（</w:t>
            </w:r>
            <w:r>
              <w:rPr>
                <w:rFonts w:ascii="Times New Roman" w:hAnsi="Times New Roman" w:eastAsia="宋体" w:cs="宋体"/>
                <w:color w:val="FF0000"/>
                <w:sz w:val="24"/>
                <w:szCs w:val="24"/>
              </w:rPr>
              <w:t>2</w:t>
            </w:r>
            <w:r>
              <w:rPr>
                <w:rFonts w:hint="eastAsia" w:ascii="Times New Roman" w:hAnsi="Times New Roman" w:eastAsia="宋体" w:cs="宋体"/>
                <w:color w:val="FF0000"/>
                <w:sz w:val="24"/>
                <w:szCs w:val="24"/>
              </w:rPr>
              <w:t>）建设单位应定时洒水、对裸露土方进行覆盖等防尘措施，定期对围挡落尘进行清洗，保证施工工地周围环境整洁。</w:t>
            </w:r>
          </w:p>
          <w:p w14:paraId="2B82775E">
            <w:pPr>
              <w:spacing w:line="360" w:lineRule="auto"/>
              <w:ind w:firstLine="480" w:firstLineChars="200"/>
              <w:rPr>
                <w:rFonts w:ascii="Times New Roman" w:hAnsi="Times New Roman" w:eastAsia="宋体" w:cs="宋体"/>
                <w:color w:val="FF0000"/>
                <w:sz w:val="24"/>
                <w:szCs w:val="21"/>
              </w:rPr>
            </w:pPr>
            <w:r>
              <w:rPr>
                <w:rFonts w:hint="eastAsia" w:ascii="Times New Roman" w:hAnsi="Times New Roman" w:eastAsia="宋体" w:cs="宋体"/>
                <w:color w:val="FF0000"/>
                <w:sz w:val="24"/>
                <w:szCs w:val="24"/>
              </w:rPr>
              <w:t>（</w:t>
            </w:r>
            <w:r>
              <w:rPr>
                <w:rFonts w:ascii="Times New Roman" w:hAnsi="Times New Roman" w:eastAsia="宋体" w:cs="宋体"/>
                <w:color w:val="FF0000"/>
                <w:sz w:val="24"/>
                <w:szCs w:val="24"/>
              </w:rPr>
              <w:t>3</w:t>
            </w:r>
            <w:r>
              <w:rPr>
                <w:rFonts w:hint="eastAsia" w:ascii="Times New Roman" w:hAnsi="Times New Roman" w:eastAsia="宋体" w:cs="宋体"/>
                <w:color w:val="FF0000"/>
                <w:sz w:val="24"/>
                <w:szCs w:val="24"/>
              </w:rPr>
              <w:t>）</w:t>
            </w:r>
            <w:r>
              <w:rPr>
                <w:rFonts w:hint="eastAsia" w:ascii="Times New Roman" w:hAnsi="Times New Roman" w:eastAsia="宋体" w:cs="宋体"/>
                <w:color w:val="FF0000"/>
                <w:sz w:val="24"/>
                <w:szCs w:val="21"/>
                <w:highlight w:val="none"/>
                <w:lang w:eastAsia="zh-CN"/>
              </w:rPr>
              <w:t>基础开挖</w:t>
            </w:r>
            <w:r>
              <w:rPr>
                <w:rFonts w:hint="eastAsia" w:ascii="Times New Roman" w:hAnsi="Times New Roman" w:eastAsia="宋体" w:cs="宋体"/>
                <w:color w:val="FF0000"/>
                <w:sz w:val="24"/>
                <w:szCs w:val="21"/>
                <w:highlight w:val="none"/>
              </w:rPr>
              <w:t>时，应辅以洒水降尘，尽量缩短起尘操作时间。对于土方开挖、回填，临时堆土产生的扬尘，有条件的尽量在施工周围连续设置硬质围挡，主要施工段围挡高度不低于2.5m，一般施工段的围挡不低于1.8m，将施工区与外环境隔离，减少施工扬尘对外环境的不利影响。遇到四级或以上大风天气应停止</w:t>
            </w:r>
            <w:r>
              <w:rPr>
                <w:rFonts w:hint="eastAsia" w:ascii="Times New Roman" w:hAnsi="Times New Roman" w:eastAsia="宋体" w:cs="宋体"/>
                <w:color w:val="FF0000"/>
                <w:sz w:val="24"/>
                <w:szCs w:val="21"/>
              </w:rPr>
              <w:t>土方作业，作业时应覆以防尘网，减轻施工扬尘对外环境造成影响。</w:t>
            </w:r>
          </w:p>
          <w:p w14:paraId="29DF491D">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4</w:t>
            </w:r>
            <w:r>
              <w:rPr>
                <w:rFonts w:hint="eastAsia" w:ascii="Times New Roman" w:hAnsi="Times New Roman" w:eastAsia="宋体" w:cs="宋体"/>
                <w:color w:val="000000" w:themeColor="text1"/>
                <w:sz w:val="24"/>
                <w:szCs w:val="24"/>
                <w14:textFill>
                  <w14:solidFill>
                    <w14:schemeClr w14:val="tx1"/>
                  </w14:solidFill>
                </w14:textFill>
              </w:rPr>
              <w:t>）施工期还要注意减少土方、物料运输过程产生二次扬尘，在土方、物料运输时应加盖蓬布以防尘土扬撒。</w:t>
            </w:r>
          </w:p>
          <w:p w14:paraId="0D54749F">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5</w:t>
            </w:r>
            <w:r>
              <w:rPr>
                <w:rFonts w:hint="eastAsia" w:ascii="Times New Roman" w:hAnsi="Times New Roman" w:eastAsia="宋体" w:cs="宋体"/>
                <w:color w:val="000000" w:themeColor="text1"/>
                <w:sz w:val="24"/>
                <w:szCs w:val="24"/>
                <w14:textFill>
                  <w14:solidFill>
                    <w14:schemeClr w14:val="tx1"/>
                  </w14:solidFill>
                </w14:textFill>
              </w:rPr>
              <w:t>）对施工过程中产生的弃料、建筑垃圾等及时清运，若在工地内堆放超过一周的，须采取加盖防尘网并定期喷洒水等防尘措施。</w:t>
            </w:r>
          </w:p>
          <w:p w14:paraId="619DECC5">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6</w:t>
            </w:r>
            <w:r>
              <w:rPr>
                <w:rFonts w:hint="eastAsia" w:ascii="Times New Roman" w:hAnsi="Times New Roman" w:eastAsia="宋体" w:cs="宋体"/>
                <w:color w:val="000000" w:themeColor="text1"/>
                <w:sz w:val="24"/>
                <w:szCs w:val="24"/>
                <w14:textFill>
                  <w14:solidFill>
                    <w14:schemeClr w14:val="tx1"/>
                  </w14:solidFill>
                </w14:textFill>
              </w:rPr>
              <w:t>）场地车辆出入口道路应硬化及时清扫。</w:t>
            </w:r>
          </w:p>
          <w:p w14:paraId="2AB63B71">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7</w:t>
            </w:r>
            <w:r>
              <w:rPr>
                <w:rFonts w:hint="eastAsia" w:ascii="Times New Roman" w:hAnsi="Times New Roman" w:eastAsia="宋体" w:cs="宋体"/>
                <w:color w:val="000000" w:themeColor="text1"/>
                <w:sz w:val="24"/>
                <w:szCs w:val="24"/>
                <w14:textFill>
                  <w14:solidFill>
                    <w14:schemeClr w14:val="tx1"/>
                  </w14:solidFill>
                </w14:textFill>
              </w:rPr>
              <w:t>）施工场地的扬尘大部分来自施工车辆，在同样清洁程度的条件下，车速越慢，扬尘量越小。施工车辆在进入施工场地后，需减速行驶，以减少施工场地扬尘，建议行驶车速不大于</w:t>
            </w:r>
            <w:r>
              <w:rPr>
                <w:rFonts w:ascii="Times New Roman" w:hAnsi="Times New Roman" w:eastAsia="宋体" w:cs="宋体"/>
                <w:color w:val="000000" w:themeColor="text1"/>
                <w:sz w:val="24"/>
                <w:szCs w:val="24"/>
                <w14:textFill>
                  <w14:solidFill>
                    <w14:schemeClr w14:val="tx1"/>
                  </w14:solidFill>
                </w14:textFill>
              </w:rPr>
              <w:t>5km/h</w:t>
            </w:r>
            <w:r>
              <w:rPr>
                <w:rFonts w:hint="eastAsia" w:ascii="Times New Roman" w:hAnsi="Times New Roman" w:eastAsia="宋体" w:cs="宋体"/>
                <w:color w:val="000000" w:themeColor="text1"/>
                <w:sz w:val="24"/>
                <w:szCs w:val="24"/>
                <w14:textFill>
                  <w14:solidFill>
                    <w14:schemeClr w14:val="tx1"/>
                  </w14:solidFill>
                </w14:textFill>
              </w:rPr>
              <w:t>，扬尘量可减少为一般行驶速度</w:t>
            </w:r>
            <w:r>
              <w:rPr>
                <w:rFonts w:ascii="Times New Roman" w:hAnsi="Times New Roman" w:eastAsia="宋体" w:cs="宋体"/>
                <w:color w:val="000000" w:themeColor="text1"/>
                <w:sz w:val="24"/>
                <w:szCs w:val="24"/>
                <w14:textFill>
                  <w14:solidFill>
                    <w14:schemeClr w14:val="tx1"/>
                  </w14:solidFill>
                </w14:textFill>
              </w:rPr>
              <w:t>15</w:t>
            </w: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20km/h</w:t>
            </w:r>
            <w:r>
              <w:rPr>
                <w:rFonts w:hint="eastAsia" w:ascii="Times New Roman" w:hAnsi="Times New Roman" w:eastAsia="宋体" w:cs="宋体"/>
                <w:color w:val="000000" w:themeColor="text1"/>
                <w:sz w:val="24"/>
                <w:szCs w:val="24"/>
                <w14:textFill>
                  <w14:solidFill>
                    <w14:schemeClr w14:val="tx1"/>
                  </w14:solidFill>
                </w14:textFill>
              </w:rPr>
              <w:t>时的三分之一。</w:t>
            </w:r>
          </w:p>
          <w:p w14:paraId="4721C642">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8</w:t>
            </w:r>
            <w:r>
              <w:rPr>
                <w:rFonts w:hint="eastAsia" w:ascii="Times New Roman" w:hAnsi="Times New Roman" w:eastAsia="宋体" w:cs="宋体"/>
                <w:color w:val="000000" w:themeColor="text1"/>
                <w:sz w:val="24"/>
                <w:szCs w:val="24"/>
                <w14:textFill>
                  <w14:solidFill>
                    <w14:schemeClr w14:val="tx1"/>
                  </w14:solidFill>
                </w14:textFill>
              </w:rPr>
              <w:t>）为了减少施工扬尘，须保持施工场地、进出道路以及施工车辆的清洁，禁止超载、防止洒落等有效措施来保持场地路面的清洁，减少施工扬尘。</w:t>
            </w:r>
          </w:p>
          <w:p w14:paraId="47D12F5E">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9</w:t>
            </w:r>
            <w:r>
              <w:rPr>
                <w:rFonts w:hint="eastAsia" w:ascii="Times New Roman" w:hAnsi="Times New Roman" w:eastAsia="宋体" w:cs="宋体"/>
                <w:color w:val="000000" w:themeColor="text1"/>
                <w:sz w:val="24"/>
                <w:szCs w:val="24"/>
                <w14:textFill>
                  <w14:solidFill>
                    <w14:schemeClr w14:val="tx1"/>
                  </w14:solidFill>
                </w14:textFill>
              </w:rPr>
              <w:t>）确保所有机械设备良性运作，减少尾气的排放量。</w:t>
            </w:r>
          </w:p>
          <w:p w14:paraId="2AD47E2B">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10</w:t>
            </w:r>
            <w:r>
              <w:rPr>
                <w:rFonts w:hint="eastAsia" w:ascii="Times New Roman" w:hAnsi="Times New Roman" w:eastAsia="宋体" w:cs="宋体"/>
                <w:color w:val="000000" w:themeColor="text1"/>
                <w:sz w:val="24"/>
                <w:szCs w:val="24"/>
                <w14:textFill>
                  <w14:solidFill>
                    <w14:schemeClr w14:val="tx1"/>
                  </w14:solidFill>
                </w14:textFill>
              </w:rPr>
              <w:t>）场外运输</w:t>
            </w:r>
          </w:p>
          <w:p w14:paraId="4358E22B">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①运输方式：运沙、石、水泥等的车辆加盖篷布，防止沿途洒落。</w:t>
            </w:r>
          </w:p>
          <w:p w14:paraId="21F12080">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②车辆限速：建议行驶车速不大于</w:t>
            </w:r>
            <w:r>
              <w:rPr>
                <w:rFonts w:ascii="Times New Roman" w:hAnsi="Times New Roman" w:eastAsia="宋体"/>
                <w:color w:val="000000" w:themeColor="text1"/>
                <w:sz w:val="24"/>
                <w:szCs w:val="24"/>
                <w14:textFill>
                  <w14:solidFill>
                    <w14:schemeClr w14:val="tx1"/>
                  </w14:solidFill>
                </w14:textFill>
              </w:rPr>
              <w:t>50km/h</w:t>
            </w:r>
            <w:r>
              <w:rPr>
                <w:rFonts w:hint="eastAsia" w:ascii="Times New Roman" w:hAnsi="Times New Roman" w:eastAsia="宋体" w:cs="宋体"/>
                <w:color w:val="000000" w:themeColor="text1"/>
                <w:sz w:val="24"/>
                <w:szCs w:val="24"/>
                <w14:textFill>
                  <w14:solidFill>
                    <w14:schemeClr w14:val="tx1"/>
                  </w14:solidFill>
                </w14:textFill>
              </w:rPr>
              <w:t>，据资料显示：此时的扬尘量可减少为一般行驶速度</w:t>
            </w:r>
            <w:r>
              <w:rPr>
                <w:rFonts w:ascii="Times New Roman" w:hAnsi="Times New Roman" w:eastAsia="宋体"/>
                <w:color w:val="000000" w:themeColor="text1"/>
                <w:sz w:val="24"/>
                <w:szCs w:val="24"/>
                <w14:textFill>
                  <w14:solidFill>
                    <w14:schemeClr w14:val="tx1"/>
                  </w14:solidFill>
                </w14:textFill>
              </w:rPr>
              <w:t>(15km/h</w:t>
            </w:r>
            <w:r>
              <w:rPr>
                <w:rFonts w:hint="eastAsia" w:ascii="Times New Roman" w:hAnsi="Times New Roman" w:eastAsia="宋体" w:cs="宋体"/>
                <w:color w:val="000000" w:themeColor="text1"/>
                <w:sz w:val="24"/>
                <w:szCs w:val="24"/>
                <w14:textFill>
                  <w14:solidFill>
                    <w14:schemeClr w14:val="tx1"/>
                  </w14:solidFill>
                </w14:textFill>
              </w:rPr>
              <w:t>计</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情况下的</w:t>
            </w:r>
            <w:r>
              <w:rPr>
                <w:rFonts w:ascii="Times New Roman" w:hAnsi="Times New Roman" w:eastAsia="宋体"/>
                <w:color w:val="000000" w:themeColor="text1"/>
                <w:sz w:val="24"/>
                <w:szCs w:val="24"/>
                <w14:textFill>
                  <w14:solidFill>
                    <w14:schemeClr w14:val="tx1"/>
                  </w14:solidFill>
                </w14:textFill>
              </w:rPr>
              <w:t>1/3</w:t>
            </w:r>
            <w:r>
              <w:rPr>
                <w:rFonts w:hint="eastAsia" w:ascii="Times New Roman" w:hAnsi="Times New Roman" w:eastAsia="宋体" w:cs="宋体"/>
                <w:color w:val="000000" w:themeColor="text1"/>
                <w:sz w:val="24"/>
                <w:szCs w:val="24"/>
                <w14:textFill>
                  <w14:solidFill>
                    <w14:schemeClr w14:val="tx1"/>
                  </w14:solidFill>
                </w14:textFill>
              </w:rPr>
              <w:t>。</w:t>
            </w:r>
          </w:p>
          <w:p w14:paraId="4C48B157">
            <w:pPr>
              <w:spacing w:line="360" w:lineRule="auto"/>
              <w:ind w:firstLine="480" w:firstLineChars="200"/>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③运输时间：选择车流、人流较少的时间，运输时间：上午9：00～1：00，下午：3：30～6：00，晚上：7：30～10：30。</w:t>
            </w:r>
          </w:p>
          <w:p w14:paraId="3CD098DD">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（11）项目产生的弃渣及时清运，混凝土采用商品混凝土，严禁现场露天搅拌。</w:t>
            </w:r>
          </w:p>
          <w:p w14:paraId="49B7CCDE">
            <w:pPr>
              <w:spacing w:line="360" w:lineRule="auto"/>
              <w:ind w:firstLine="480" w:firstLineChars="200"/>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在采取上述防尘措施后，可有效控制施工场地扬尘对周边环境的影响</w:t>
            </w:r>
            <w:r>
              <w:rPr>
                <w:rFonts w:hint="eastAsia" w:cs="宋体"/>
                <w:color w:val="000000" w:themeColor="text1"/>
                <w:sz w:val="24"/>
                <w:szCs w:val="24"/>
                <w:lang w:eastAsia="zh-CN"/>
                <w14:textFill>
                  <w14:solidFill>
                    <w14:schemeClr w14:val="tx1"/>
                  </w14:solidFill>
                </w14:textFill>
              </w:rPr>
              <w:t>。</w:t>
            </w:r>
          </w:p>
          <w:p w14:paraId="3AE0932A">
            <w:pPr>
              <w:pStyle w:val="48"/>
              <w:spacing w:line="360" w:lineRule="auto"/>
              <w:ind w:right="-1" w:firstLine="0" w:firstLineChars="0"/>
              <w:contextualSpacing/>
              <w:outlineLvl w:val="2"/>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3、</w:t>
            </w:r>
            <w:r>
              <w:rPr>
                <w:rFonts w:ascii="Times New Roman" w:hAnsi="Times New Roman" w:eastAsia="宋体"/>
                <w:b/>
                <w:color w:val="000000" w:themeColor="text1"/>
                <w:sz w:val="24"/>
                <w:szCs w:val="24"/>
                <w14:textFill>
                  <w14:solidFill>
                    <w14:schemeClr w14:val="tx1"/>
                  </w14:solidFill>
                </w14:textFill>
              </w:rPr>
              <w:t>水污染防治措施</w:t>
            </w:r>
          </w:p>
          <w:p w14:paraId="6777E5BE">
            <w:pPr>
              <w:spacing w:line="360" w:lineRule="auto"/>
              <w:ind w:firstLine="480" w:firstLineChars="200"/>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本工程施工期产生的废水主要有施工人员生活</w:t>
            </w:r>
            <w:r>
              <w:rPr>
                <w:rFonts w:hint="eastAsia" w:cs="宋体"/>
                <w:bCs/>
                <w:color w:val="000000" w:themeColor="text1"/>
                <w:sz w:val="24"/>
                <w:szCs w:val="24"/>
                <w:lang w:eastAsia="zh-CN"/>
                <w14:textFill>
                  <w14:solidFill>
                    <w14:schemeClr w14:val="tx1"/>
                  </w14:solidFill>
                </w14:textFill>
              </w:rPr>
              <w:t>洗漱废水</w:t>
            </w:r>
            <w:r>
              <w:rPr>
                <w:rFonts w:hint="eastAsia" w:ascii="Times New Roman" w:hAnsi="Times New Roman" w:eastAsia="宋体" w:cs="宋体"/>
                <w:bCs/>
                <w:color w:val="000000" w:themeColor="text1"/>
                <w:sz w:val="24"/>
                <w:szCs w:val="24"/>
                <w14:textFill>
                  <w14:solidFill>
                    <w14:schemeClr w14:val="tx1"/>
                  </w14:solidFill>
                </w14:textFill>
              </w:rPr>
              <w:t>。因此，建议施工期废水做好以下防治措施：</w:t>
            </w:r>
          </w:p>
          <w:p w14:paraId="3A1C9039">
            <w:pPr>
              <w:widowControl/>
              <w:spacing w:line="360" w:lineRule="auto"/>
              <w:ind w:firstLine="480" w:firstLineChars="200"/>
              <w:jc w:val="left"/>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（1）加强对施工队伍管理，</w:t>
            </w:r>
            <w:r>
              <w:rPr>
                <w:rFonts w:hint="eastAsia" w:cs="宋体"/>
                <w:color w:val="000000" w:themeColor="text1"/>
                <w:kern w:val="0"/>
                <w:sz w:val="24"/>
                <w:szCs w:val="24"/>
                <w:lang w:eastAsia="zh-CN"/>
                <w14:textFill>
                  <w14:solidFill>
                    <w14:schemeClr w14:val="tx1"/>
                  </w14:solidFill>
                </w14:textFill>
              </w:rPr>
              <w:t>施工人员洗漱废水</w:t>
            </w:r>
            <w:r>
              <w:rPr>
                <w:rFonts w:hint="eastAsia" w:cs="宋体"/>
                <w:color w:val="000000" w:themeColor="text1"/>
                <w:kern w:val="0"/>
                <w:sz w:val="24"/>
                <w:szCs w:val="24"/>
                <w:lang w:val="en-US" w:eastAsia="zh-CN"/>
                <w14:textFill>
                  <w14:solidFill>
                    <w14:schemeClr w14:val="tx1"/>
                  </w14:solidFill>
                </w14:textFill>
              </w:rPr>
              <w:t>采用移动环保厕所收集</w:t>
            </w:r>
            <w:r>
              <w:rPr>
                <w:rFonts w:hint="eastAsia" w:ascii="Times New Roman" w:hAnsi="Times New Roman" w:eastAsia="宋体" w:cs="宋体"/>
                <w:color w:val="000000" w:themeColor="text1"/>
                <w:sz w:val="24"/>
                <w:szCs w:val="24"/>
                <w14:textFill>
                  <w14:solidFill>
                    <w14:schemeClr w14:val="tx1"/>
                  </w14:solidFill>
                </w14:textFill>
              </w:rPr>
              <w:t>，严禁乱排、乱流污染道路、水体</w:t>
            </w:r>
            <w:r>
              <w:rPr>
                <w:rFonts w:hint="eastAsia" w:cs="宋体"/>
                <w:color w:val="000000" w:themeColor="text1"/>
                <w:sz w:val="24"/>
                <w:szCs w:val="24"/>
                <w:lang w:eastAsia="zh-CN"/>
                <w14:textFill>
                  <w14:solidFill>
                    <w14:schemeClr w14:val="tx1"/>
                  </w14:solidFill>
                </w14:textFill>
              </w:rPr>
              <w:t>。</w:t>
            </w:r>
          </w:p>
          <w:p w14:paraId="13031D68">
            <w:pPr>
              <w:widowControl/>
              <w:spacing w:line="360" w:lineRule="auto"/>
              <w:ind w:firstLine="480" w:firstLineChars="200"/>
              <w:jc w:val="left"/>
              <w:rPr>
                <w:rFonts w:hint="eastAsia"/>
                <w:color w:val="000000" w:themeColor="text1"/>
                <w:kern w:val="0"/>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（2）雨季施工时，施工场地应设置雨水导排系统，对施工现场形成的雨污水及时疏导，防治</w:t>
            </w:r>
            <w:r>
              <w:rPr>
                <w:rFonts w:hint="eastAsia" w:ascii="Times New Roman" w:hAnsi="Times New Roman" w:cs="宋体"/>
                <w:color w:val="000000" w:themeColor="text1"/>
                <w:sz w:val="24"/>
                <w:szCs w:val="24"/>
                <w:lang w:eastAsia="zh-CN"/>
                <w14:textFill>
                  <w14:solidFill>
                    <w14:schemeClr w14:val="tx1"/>
                  </w14:solidFill>
                </w14:textFill>
              </w:rPr>
              <w:t>施工废水进入河道中</w:t>
            </w:r>
            <w:r>
              <w:rPr>
                <w:rFonts w:hint="eastAsia" w:ascii="Times New Roman" w:hAnsi="Times New Roman" w:eastAsia="宋体" w:cs="宋体"/>
                <w:color w:val="000000" w:themeColor="text1"/>
                <w:sz w:val="24"/>
                <w:szCs w:val="24"/>
                <w14:textFill>
                  <w14:solidFill>
                    <w14:schemeClr w14:val="tx1"/>
                  </w14:solidFill>
                </w14:textFill>
              </w:rPr>
              <w:t>，对</w:t>
            </w:r>
            <w:r>
              <w:rPr>
                <w:rFonts w:hint="eastAsia" w:ascii="Times New Roman" w:hAnsi="Times New Roman" w:cs="宋体"/>
                <w:color w:val="000000" w:themeColor="text1"/>
                <w:sz w:val="24"/>
                <w:szCs w:val="24"/>
                <w:lang w:eastAsia="zh-CN"/>
                <w14:textFill>
                  <w14:solidFill>
                    <w14:schemeClr w14:val="tx1"/>
                  </w14:solidFill>
                </w14:textFill>
              </w:rPr>
              <w:t>河流</w:t>
            </w:r>
            <w:r>
              <w:rPr>
                <w:rFonts w:hint="eastAsia" w:ascii="Times New Roman" w:hAnsi="Times New Roman" w:eastAsia="宋体" w:cs="宋体"/>
                <w:color w:val="000000" w:themeColor="text1"/>
                <w:sz w:val="24"/>
                <w:szCs w:val="24"/>
                <w14:textFill>
                  <w14:solidFill>
                    <w14:schemeClr w14:val="tx1"/>
                  </w14:solidFill>
                </w14:textFill>
              </w:rPr>
              <w:t>造成污染；</w:t>
            </w:r>
            <w:r>
              <w:rPr>
                <w:rFonts w:hint="eastAsia"/>
                <w:color w:val="000000" w:themeColor="text1"/>
                <w:kern w:val="0"/>
                <w:sz w:val="24"/>
                <w:szCs w:val="24"/>
                <w:lang w:eastAsia="zh-CN"/>
                <w14:textFill>
                  <w14:solidFill>
                    <w14:schemeClr w14:val="tx1"/>
                  </w14:solidFill>
                </w14:textFill>
              </w:rPr>
              <w:t>雨天严禁施工。</w:t>
            </w:r>
          </w:p>
          <w:p w14:paraId="10E92413">
            <w:pPr>
              <w:widowControl/>
              <w:spacing w:line="360" w:lineRule="auto"/>
              <w:ind w:firstLine="480" w:firstLineChars="200"/>
              <w:jc w:val="left"/>
              <w:rPr>
                <w:rFonts w:ascii="Times New Roman" w:hAnsi="Times New Roman" w:eastAsia="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w:t>
            </w:r>
            <w:r>
              <w:rPr>
                <w:rFonts w:ascii="Times New Roman" w:hAnsi="Times New Roman" w:eastAsia="宋体"/>
                <w:color w:val="000000" w:themeColor="text1"/>
                <w:kern w:val="0"/>
                <w:sz w:val="24"/>
                <w:szCs w:val="24"/>
                <w14:textFill>
                  <w14:solidFill>
                    <w14:schemeClr w14:val="tx1"/>
                  </w14:solidFill>
                </w14:textFill>
              </w:rPr>
              <w:t>3</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lang w:eastAsia="zh-CN"/>
                <w14:textFill>
                  <w14:solidFill>
                    <w14:schemeClr w14:val="tx1"/>
                  </w14:solidFill>
                </w14:textFill>
              </w:rPr>
              <w:t>项目</w:t>
            </w:r>
            <w:r>
              <w:rPr>
                <w:rFonts w:hint="eastAsia" w:ascii="Times New Roman" w:hAnsi="Times New Roman" w:eastAsia="宋体" w:cs="宋体"/>
                <w:color w:val="000000" w:themeColor="text1"/>
                <w:kern w:val="0"/>
                <w:sz w:val="24"/>
                <w14:textFill>
                  <w14:solidFill>
                    <w14:schemeClr w14:val="tx1"/>
                  </w14:solidFill>
                </w14:textFill>
              </w:rPr>
              <w:t>施工</w:t>
            </w:r>
            <w:r>
              <w:rPr>
                <w:rFonts w:hint="eastAsia" w:cs="宋体"/>
                <w:color w:val="000000" w:themeColor="text1"/>
                <w:kern w:val="0"/>
                <w:sz w:val="24"/>
                <w:lang w:eastAsia="zh-CN"/>
                <w14:textFill>
                  <w14:solidFill>
                    <w14:schemeClr w14:val="tx1"/>
                  </w14:solidFill>
                </w14:textFill>
              </w:rPr>
              <w:t>现场</w:t>
            </w:r>
            <w:r>
              <w:rPr>
                <w:rFonts w:hint="eastAsia" w:ascii="Times New Roman" w:hAnsi="Times New Roman" w:eastAsia="宋体" w:cs="宋体"/>
                <w:color w:val="000000" w:themeColor="text1"/>
                <w:kern w:val="0"/>
                <w:sz w:val="24"/>
                <w:lang w:eastAsia="zh-CN"/>
                <w14:textFill>
                  <w14:solidFill>
                    <w14:schemeClr w14:val="tx1"/>
                  </w14:solidFill>
                </w14:textFill>
              </w:rPr>
              <w:t>产生的污染物要及时清理</w:t>
            </w:r>
            <w:r>
              <w:rPr>
                <w:rFonts w:hint="eastAsia" w:ascii="Times New Roman" w:hAnsi="Times New Roman" w:eastAsia="宋体" w:cs="宋体"/>
                <w:color w:val="000000" w:themeColor="text1"/>
                <w:kern w:val="0"/>
                <w:sz w:val="24"/>
                <w14:textFill>
                  <w14:solidFill>
                    <w14:schemeClr w14:val="tx1"/>
                  </w14:solidFill>
                </w14:textFill>
              </w:rPr>
              <w:t>，防止生活污水对地表水造成污染；</w:t>
            </w:r>
          </w:p>
          <w:p w14:paraId="3CCAC88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（4）场地出入道路应硬化且及时清扫、清洗。</w:t>
            </w:r>
          </w:p>
          <w:p w14:paraId="155C8897">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color w:val="000000" w:themeColor="text1"/>
                <w:kern w:val="2"/>
                <w:sz w:val="24"/>
                <w:szCs w:val="24"/>
                <w:lang w:val="en-US" w:eastAsia="zh-CN"/>
                <w14:textFill>
                  <w14:solidFill>
                    <w14:schemeClr w14:val="tx1"/>
                  </w14:solidFill>
                </w14:textFill>
              </w:rPr>
              <w:t>5</w:t>
            </w: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olor w:val="000000" w:themeColor="text1"/>
                <w:kern w:val="2"/>
                <w:sz w:val="24"/>
                <w:szCs w:val="24"/>
                <w14:textFill>
                  <w14:solidFill>
                    <w14:schemeClr w14:val="tx1"/>
                  </w14:solidFill>
                </w14:textFill>
              </w:rPr>
              <w:t>在河道施工时，应采取围堰施工</w:t>
            </w:r>
            <w:r>
              <w:rPr>
                <w:rFonts w:hint="eastAsia" w:ascii="Times New Roman" w:hAnsi="Times New Roman"/>
                <w:color w:val="000000" w:themeColor="text1"/>
                <w:kern w:val="2"/>
                <w:sz w:val="24"/>
                <w:szCs w:val="24"/>
                <w:lang w:eastAsia="zh-CN"/>
                <w14:textFill>
                  <w14:solidFill>
                    <w14:schemeClr w14:val="tx1"/>
                  </w14:solidFill>
                </w14:textFill>
              </w:rPr>
              <w:t>及施工导流渠</w:t>
            </w:r>
            <w:r>
              <w:rPr>
                <w:rFonts w:hint="eastAsia" w:ascii="Times New Roman" w:hAnsi="Times New Roman" w:eastAsia="宋体"/>
                <w:color w:val="000000" w:themeColor="text1"/>
                <w:kern w:val="2"/>
                <w:sz w:val="24"/>
                <w:szCs w:val="24"/>
                <w14:textFill>
                  <w14:solidFill>
                    <w14:schemeClr w14:val="tx1"/>
                  </w14:solidFill>
                </w14:textFill>
              </w:rPr>
              <w:t>，避免丰水期及雨季。开挖石方尽量不要堆在河流附近，以防造成水体污染。</w:t>
            </w:r>
          </w:p>
          <w:p w14:paraId="798B176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（7）在施工期间严禁将废水排入</w:t>
            </w:r>
            <w:r>
              <w:rPr>
                <w:rFonts w:hint="eastAsia" w:ascii="Times New Roman" w:hAnsi="Times New Roman"/>
                <w:color w:val="000000" w:themeColor="text1"/>
                <w:kern w:val="2"/>
                <w:sz w:val="24"/>
                <w:szCs w:val="24"/>
                <w:lang w:eastAsia="zh-CN"/>
                <w14:textFill>
                  <w14:solidFill>
                    <w14:schemeClr w14:val="tx1"/>
                  </w14:solidFill>
                </w14:textFill>
              </w:rPr>
              <w:t>湘乐川</w:t>
            </w:r>
            <w:r>
              <w:rPr>
                <w:rFonts w:hint="eastAsia" w:ascii="Times New Roman" w:hAnsi="Times New Roman" w:eastAsia="宋体"/>
                <w:color w:val="000000" w:themeColor="text1"/>
                <w:kern w:val="2"/>
                <w:sz w:val="24"/>
                <w:szCs w:val="24"/>
                <w14:textFill>
                  <w14:solidFill>
                    <w14:schemeClr w14:val="tx1"/>
                  </w14:solidFill>
                </w14:textFill>
              </w:rPr>
              <w:t>。</w:t>
            </w:r>
          </w:p>
          <w:p w14:paraId="7A94AE2C">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color w:val="000000" w:themeColor="text1"/>
                <w:kern w:val="2"/>
                <w:sz w:val="24"/>
                <w:szCs w:val="24"/>
                <w:lang w:eastAsia="zh-CN"/>
                <w14:textFill>
                  <w14:solidFill>
                    <w14:schemeClr w14:val="tx1"/>
                  </w14:solidFill>
                </w14:textFill>
              </w:rPr>
            </w:pP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color w:val="000000" w:themeColor="text1"/>
                <w:kern w:val="2"/>
                <w:sz w:val="24"/>
                <w:szCs w:val="24"/>
                <w:lang w:val="en-US" w:eastAsia="zh-CN"/>
                <w14:textFill>
                  <w14:solidFill>
                    <w14:schemeClr w14:val="tx1"/>
                  </w14:solidFill>
                </w14:textFill>
              </w:rPr>
              <w:t>8</w:t>
            </w:r>
            <w:r>
              <w:rPr>
                <w:rFonts w:hint="eastAsia" w:ascii="Times New Roman" w:hAnsi="Times New Roman"/>
                <w:color w:val="000000" w:themeColor="text1"/>
                <w:kern w:val="2"/>
                <w:sz w:val="24"/>
                <w:szCs w:val="24"/>
                <w:lang w:eastAsia="zh-CN"/>
                <w14:textFill>
                  <w14:solidFill>
                    <w14:schemeClr w14:val="tx1"/>
                  </w14:solidFill>
                </w14:textFill>
              </w:rPr>
              <w:t>）项目在设置弃渣场时，应进行围挡，以确保项目产生的废渣不会进入河流，以防造成水体污染。</w:t>
            </w:r>
          </w:p>
          <w:p w14:paraId="6D69E39B">
            <w:pPr>
              <w:pStyle w:val="16"/>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color w:val="000000" w:themeColor="text1"/>
                <w:kern w:val="2"/>
                <w:sz w:val="24"/>
                <w:szCs w:val="24"/>
                <w:lang w:val="en-US" w:eastAsia="zh-CN"/>
                <w14:textFill>
                  <w14:solidFill>
                    <w14:schemeClr w14:val="tx1"/>
                  </w14:solidFill>
                </w14:textFill>
              </w:rPr>
            </w:pPr>
            <w:r>
              <w:rPr>
                <w:rFonts w:hint="eastAsia" w:ascii="Times New Roman" w:hAnsi="Times New Roman"/>
                <w:color w:val="000000" w:themeColor="text1"/>
                <w:kern w:val="2"/>
                <w:sz w:val="24"/>
                <w:szCs w:val="24"/>
                <w:lang w:val="en-US" w:eastAsia="zh-CN"/>
                <w14:textFill>
                  <w14:solidFill>
                    <w14:schemeClr w14:val="tx1"/>
                  </w14:solidFill>
                </w14:textFill>
              </w:rPr>
              <w:t>（9）</w:t>
            </w:r>
            <w:r>
              <w:rPr>
                <w:rFonts w:hint="eastAsia" w:ascii="Times New Roman" w:hAnsi="Times New Roman" w:eastAsia="宋体"/>
                <w:color w:val="000000" w:themeColor="text1"/>
                <w:sz w:val="24"/>
                <w14:textFill>
                  <w14:solidFill>
                    <w14:schemeClr w14:val="tx1"/>
                  </w14:solidFill>
                </w14:textFill>
              </w:rPr>
              <w:t>监测计划实施 监测重点为水环境质量，根据施工时间，对不同监测点的监测时间进行适当调整。具体监测计划见表</w:t>
            </w:r>
            <w:r>
              <w:rPr>
                <w:rFonts w:hint="eastAsia" w:ascii="Times New Roman" w:hAnsi="Times New Roman" w:eastAsia="宋体"/>
                <w:color w:val="000000" w:themeColor="text1"/>
                <w:sz w:val="24"/>
                <w:lang w:val="en-US" w:eastAsia="zh-CN"/>
                <w14:textFill>
                  <w14:solidFill>
                    <w14:schemeClr w14:val="tx1"/>
                  </w14:solidFill>
                </w14:textFill>
              </w:rPr>
              <w:t>5-1</w:t>
            </w:r>
            <w:r>
              <w:rPr>
                <w:rFonts w:hint="eastAsia" w:ascii="Times New Roman" w:hAnsi="Times New Roman" w:eastAsia="宋体"/>
                <w:color w:val="000000" w:themeColor="text1"/>
                <w:sz w:val="24"/>
                <w14:textFill>
                  <w14:solidFill>
                    <w14:schemeClr w14:val="tx1"/>
                  </w14:solidFill>
                </w14:textFill>
              </w:rPr>
              <w:t>。</w:t>
            </w:r>
          </w:p>
          <w:p w14:paraId="13C9C567">
            <w:pPr>
              <w:pStyle w:val="52"/>
              <w:keepNext w:val="0"/>
              <w:keepLines w:val="0"/>
              <w:pageBreakBefore w:val="0"/>
              <w:widowControl w:val="0"/>
              <w:kinsoku/>
              <w:wordWrap/>
              <w:overflowPunct/>
              <w:topLinePunct w:val="0"/>
              <w:autoSpaceDE/>
              <w:autoSpaceDN/>
              <w:bidi w:val="0"/>
              <w:adjustRightInd/>
              <w:snapToGrid/>
              <w:spacing w:after="0" w:line="240" w:lineRule="auto"/>
              <w:ind w:left="0" w:leftChars="0"/>
              <w:textAlignment w:val="auto"/>
              <w:rPr>
                <w:rFonts w:hint="default"/>
                <w:color w:val="FF0000"/>
                <w:lang w:val="en-US" w:eastAsia="zh-CN"/>
              </w:rPr>
            </w:pPr>
            <w:r>
              <w:rPr>
                <w:rFonts w:hint="eastAsia"/>
                <w:color w:val="FF0000"/>
                <w:lang w:eastAsia="zh-CN"/>
              </w:rPr>
              <w:t>表</w:t>
            </w:r>
            <w:r>
              <w:rPr>
                <w:rFonts w:hint="eastAsia"/>
                <w:color w:val="FF0000"/>
                <w:lang w:val="en-US" w:eastAsia="zh-CN"/>
              </w:rPr>
              <w:t>5-1  施工期环境监测一览表</w:t>
            </w:r>
          </w:p>
          <w:tbl>
            <w:tblPr>
              <w:tblStyle w:val="20"/>
              <w:tblW w:w="77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762"/>
              <w:gridCol w:w="2005"/>
              <w:gridCol w:w="1560"/>
              <w:gridCol w:w="874"/>
            </w:tblGrid>
            <w:tr w14:paraId="3D37E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56" w:type="dxa"/>
                  <w:tcBorders>
                    <w:tl2br w:val="nil"/>
                    <w:tr2bl w:val="nil"/>
                  </w:tcBorders>
                  <w:noWrap w:val="0"/>
                  <w:vAlign w:val="center"/>
                </w:tcPr>
                <w:p w14:paraId="2572CFBD">
                  <w:pPr>
                    <w:pStyle w:val="51"/>
                    <w:bidi w:val="0"/>
                    <w:rPr>
                      <w:color w:val="FF0000"/>
                    </w:rPr>
                  </w:pPr>
                  <w:r>
                    <w:rPr>
                      <w:color w:val="FF0000"/>
                    </w:rPr>
                    <w:t>类   别</w:t>
                  </w:r>
                </w:p>
              </w:tc>
              <w:tc>
                <w:tcPr>
                  <w:tcW w:w="1762" w:type="dxa"/>
                  <w:tcBorders>
                    <w:tl2br w:val="nil"/>
                    <w:tr2bl w:val="nil"/>
                  </w:tcBorders>
                  <w:noWrap w:val="0"/>
                  <w:vAlign w:val="center"/>
                </w:tcPr>
                <w:p w14:paraId="1C1240C7">
                  <w:pPr>
                    <w:pStyle w:val="51"/>
                    <w:bidi w:val="0"/>
                    <w:rPr>
                      <w:color w:val="FF0000"/>
                    </w:rPr>
                  </w:pPr>
                  <w:r>
                    <w:rPr>
                      <w:color w:val="FF0000"/>
                    </w:rPr>
                    <w:t>监测因子</w:t>
                  </w:r>
                </w:p>
              </w:tc>
              <w:tc>
                <w:tcPr>
                  <w:tcW w:w="2005" w:type="dxa"/>
                  <w:tcBorders>
                    <w:tl2br w:val="nil"/>
                    <w:tr2bl w:val="nil"/>
                  </w:tcBorders>
                  <w:noWrap w:val="0"/>
                  <w:vAlign w:val="center"/>
                </w:tcPr>
                <w:p w14:paraId="1C06FF00">
                  <w:pPr>
                    <w:pStyle w:val="51"/>
                    <w:bidi w:val="0"/>
                    <w:rPr>
                      <w:color w:val="FF0000"/>
                    </w:rPr>
                  </w:pPr>
                  <w:r>
                    <w:rPr>
                      <w:color w:val="FF0000"/>
                    </w:rPr>
                    <w:t>监测点位置</w:t>
                  </w:r>
                </w:p>
              </w:tc>
              <w:tc>
                <w:tcPr>
                  <w:tcW w:w="1560" w:type="dxa"/>
                  <w:tcBorders>
                    <w:tl2br w:val="nil"/>
                    <w:tr2bl w:val="nil"/>
                  </w:tcBorders>
                  <w:noWrap w:val="0"/>
                  <w:vAlign w:val="center"/>
                </w:tcPr>
                <w:p w14:paraId="51CA96C9">
                  <w:pPr>
                    <w:pStyle w:val="51"/>
                    <w:bidi w:val="0"/>
                    <w:rPr>
                      <w:color w:val="FF0000"/>
                    </w:rPr>
                  </w:pPr>
                  <w:r>
                    <w:rPr>
                      <w:color w:val="FF0000"/>
                    </w:rPr>
                    <w:t>监测频率</w:t>
                  </w:r>
                </w:p>
              </w:tc>
              <w:tc>
                <w:tcPr>
                  <w:tcW w:w="874" w:type="dxa"/>
                  <w:tcBorders>
                    <w:tl2br w:val="nil"/>
                    <w:tr2bl w:val="nil"/>
                  </w:tcBorders>
                  <w:noWrap w:val="0"/>
                  <w:vAlign w:val="center"/>
                </w:tcPr>
                <w:p w14:paraId="2626AF46">
                  <w:pPr>
                    <w:pStyle w:val="51"/>
                    <w:bidi w:val="0"/>
                    <w:rPr>
                      <w:rFonts w:hint="eastAsia"/>
                      <w:color w:val="FF0000"/>
                      <w:lang w:eastAsia="zh-CN"/>
                    </w:rPr>
                  </w:pPr>
                  <w:r>
                    <w:rPr>
                      <w:rFonts w:hint="eastAsia"/>
                      <w:color w:val="FF0000"/>
                      <w:lang w:eastAsia="zh-CN"/>
                    </w:rPr>
                    <w:t>备注</w:t>
                  </w:r>
                </w:p>
              </w:tc>
            </w:tr>
            <w:tr w14:paraId="3EBF3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556" w:type="dxa"/>
                  <w:tcBorders>
                    <w:tl2br w:val="nil"/>
                    <w:tr2bl w:val="nil"/>
                  </w:tcBorders>
                  <w:noWrap w:val="0"/>
                  <w:vAlign w:val="center"/>
                </w:tcPr>
                <w:p w14:paraId="135F9205">
                  <w:pPr>
                    <w:pStyle w:val="51"/>
                    <w:bidi w:val="0"/>
                    <w:rPr>
                      <w:rFonts w:hint="eastAsia"/>
                      <w:color w:val="FF0000"/>
                    </w:rPr>
                  </w:pPr>
                  <w:r>
                    <w:rPr>
                      <w:rFonts w:hint="eastAsia"/>
                      <w:color w:val="FF0000"/>
                      <w:lang w:val="en-US" w:eastAsia="zh-CN"/>
                    </w:rPr>
                    <w:t>水环境</w:t>
                  </w:r>
                </w:p>
              </w:tc>
              <w:tc>
                <w:tcPr>
                  <w:tcW w:w="1762" w:type="dxa"/>
                  <w:tcBorders>
                    <w:tl2br w:val="nil"/>
                    <w:tr2bl w:val="nil"/>
                  </w:tcBorders>
                  <w:noWrap w:val="0"/>
                  <w:vAlign w:val="center"/>
                </w:tcPr>
                <w:p w14:paraId="55EEC22C">
                  <w:pPr>
                    <w:pStyle w:val="51"/>
                    <w:bidi w:val="0"/>
                    <w:rPr>
                      <w:rFonts w:hint="default"/>
                      <w:color w:val="FF0000"/>
                      <w:lang w:val="en-US" w:eastAsia="zh-CN"/>
                    </w:rPr>
                  </w:pPr>
                  <w:r>
                    <w:rPr>
                      <w:color w:val="FF0000"/>
                      <w:lang w:val="en-US" w:eastAsia="zh-CN"/>
                    </w:rPr>
                    <w:t>pH</w:t>
                  </w:r>
                  <w:r>
                    <w:rPr>
                      <w:rFonts w:hint="eastAsia"/>
                      <w:color w:val="FF0000"/>
                      <w:lang w:val="en-US" w:eastAsia="zh-CN"/>
                    </w:rPr>
                    <w:t>、</w:t>
                  </w:r>
                  <w:r>
                    <w:rPr>
                      <w:rFonts w:hint="default"/>
                      <w:color w:val="FF0000"/>
                      <w:lang w:val="en-US" w:eastAsia="zh-CN"/>
                    </w:rPr>
                    <w:t>SS</w:t>
                  </w:r>
                  <w:r>
                    <w:rPr>
                      <w:rFonts w:hint="eastAsia"/>
                      <w:color w:val="FF0000"/>
                      <w:lang w:val="en-US" w:eastAsia="zh-CN"/>
                    </w:rPr>
                    <w:t>、氨氮、化学需氧量、生化需氧量、总磷、总氮等</w:t>
                  </w:r>
                </w:p>
              </w:tc>
              <w:tc>
                <w:tcPr>
                  <w:tcW w:w="2005" w:type="dxa"/>
                  <w:tcBorders>
                    <w:tl2br w:val="nil"/>
                    <w:tr2bl w:val="nil"/>
                  </w:tcBorders>
                  <w:noWrap w:val="0"/>
                  <w:vAlign w:val="center"/>
                </w:tcPr>
                <w:p w14:paraId="3FF29894">
                  <w:pPr>
                    <w:pStyle w:val="51"/>
                    <w:bidi w:val="0"/>
                    <w:rPr>
                      <w:rFonts w:hint="eastAsia"/>
                      <w:color w:val="FF0000"/>
                      <w:lang w:val="en-US" w:eastAsia="zh-CN"/>
                    </w:rPr>
                  </w:pPr>
                  <w:r>
                    <w:rPr>
                      <w:rFonts w:hint="eastAsia"/>
                      <w:color w:val="FF0000"/>
                      <w:lang w:val="en-US" w:eastAsia="zh-CN"/>
                    </w:rPr>
                    <w:t>本治理河段起点上游</w:t>
                  </w:r>
                  <w:r>
                    <w:rPr>
                      <w:color w:val="FF0000"/>
                      <w:lang w:val="en-US" w:eastAsia="zh-CN"/>
                    </w:rPr>
                    <w:t>500m</w:t>
                  </w:r>
                  <w:r>
                    <w:rPr>
                      <w:rFonts w:hint="eastAsia"/>
                      <w:color w:val="FF0000"/>
                      <w:lang w:val="en-US" w:eastAsia="zh-CN"/>
                    </w:rPr>
                    <w:t>、治理河段点下游</w:t>
                  </w:r>
                  <w:r>
                    <w:rPr>
                      <w:rFonts w:hint="default"/>
                      <w:color w:val="FF0000"/>
                      <w:lang w:val="en-US" w:eastAsia="zh-CN"/>
                    </w:rPr>
                    <w:t>1000m</w:t>
                  </w:r>
                </w:p>
              </w:tc>
              <w:tc>
                <w:tcPr>
                  <w:tcW w:w="1560" w:type="dxa"/>
                  <w:tcBorders>
                    <w:tl2br w:val="nil"/>
                    <w:tr2bl w:val="nil"/>
                  </w:tcBorders>
                  <w:noWrap w:val="0"/>
                  <w:vAlign w:val="center"/>
                </w:tcPr>
                <w:p w14:paraId="24D846FA">
                  <w:pPr>
                    <w:pStyle w:val="51"/>
                    <w:bidi w:val="0"/>
                    <w:rPr>
                      <w:rFonts w:hint="eastAsia"/>
                      <w:color w:val="FF0000"/>
                      <w:lang w:eastAsia="zh-CN"/>
                    </w:rPr>
                  </w:pPr>
                  <w:r>
                    <w:rPr>
                      <w:rFonts w:hint="eastAsia"/>
                      <w:color w:val="FF0000"/>
                      <w:lang w:val="en-US" w:eastAsia="zh-CN"/>
                    </w:rPr>
                    <w:t>监测</w:t>
                  </w:r>
                  <w:r>
                    <w:rPr>
                      <w:color w:val="FF0000"/>
                      <w:lang w:val="en-US" w:eastAsia="zh-CN"/>
                    </w:rPr>
                    <w:t>1</w:t>
                  </w:r>
                  <w:r>
                    <w:rPr>
                      <w:rFonts w:hint="eastAsia"/>
                      <w:color w:val="FF0000"/>
                      <w:lang w:val="en-US" w:eastAsia="zh-CN"/>
                    </w:rPr>
                    <w:t>期；取样</w:t>
                  </w:r>
                  <w:r>
                    <w:rPr>
                      <w:rFonts w:hint="default"/>
                      <w:color w:val="FF0000"/>
                      <w:lang w:val="en-US" w:eastAsia="zh-CN"/>
                    </w:rPr>
                    <w:t>1</w:t>
                  </w:r>
                  <w:r>
                    <w:rPr>
                      <w:rFonts w:hint="eastAsia"/>
                      <w:color w:val="FF0000"/>
                      <w:lang w:val="en-US" w:eastAsia="zh-CN"/>
                    </w:rPr>
                    <w:t>次</w:t>
                  </w:r>
                </w:p>
              </w:tc>
              <w:tc>
                <w:tcPr>
                  <w:tcW w:w="874" w:type="dxa"/>
                  <w:tcBorders>
                    <w:tl2br w:val="nil"/>
                    <w:tr2bl w:val="nil"/>
                  </w:tcBorders>
                  <w:noWrap w:val="0"/>
                  <w:vAlign w:val="center"/>
                </w:tcPr>
                <w:p w14:paraId="03FD3CBB">
                  <w:pPr>
                    <w:pStyle w:val="51"/>
                    <w:bidi w:val="0"/>
                    <w:rPr>
                      <w:color w:val="FF0000"/>
                    </w:rPr>
                  </w:pPr>
                </w:p>
              </w:tc>
            </w:tr>
          </w:tbl>
          <w:p w14:paraId="667820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在采取上述废水防治措施后，可有效控制施工期废水对周边环境的影响。</w:t>
            </w:r>
          </w:p>
          <w:p w14:paraId="18DA531D">
            <w:pPr>
              <w:pStyle w:val="8"/>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eastAsia="宋体"/>
                <w:b/>
                <w:color w:val="000000" w:themeColor="text1"/>
                <w:sz w:val="24"/>
                <w:szCs w:val="24"/>
                <w14:textFill>
                  <w14:solidFill>
                    <w14:schemeClr w14:val="tx1"/>
                  </w14:solidFill>
                </w14:textFill>
              </w:rPr>
            </w:pPr>
            <w:r>
              <w:rPr>
                <w:rFonts w:hint="eastAsia"/>
                <w:b/>
                <w:bCs/>
                <w:color w:val="000000" w:themeColor="text1"/>
                <w:sz w:val="24"/>
                <w:szCs w:val="36"/>
                <w:lang w:val="en-US" w:eastAsia="zh-CN"/>
                <w14:textFill>
                  <w14:solidFill>
                    <w14:schemeClr w14:val="tx1"/>
                  </w14:solidFill>
                </w14:textFill>
              </w:rPr>
              <w:t>4</w:t>
            </w:r>
            <w:r>
              <w:rPr>
                <w:rFonts w:hint="eastAsia"/>
                <w:b/>
                <w:color w:val="000000" w:themeColor="text1"/>
                <w:sz w:val="24"/>
                <w:szCs w:val="24"/>
                <w:lang w:val="en-US" w:eastAsia="zh-CN"/>
                <w14:textFill>
                  <w14:solidFill>
                    <w14:schemeClr w14:val="tx1"/>
                  </w14:solidFill>
                </w14:textFill>
              </w:rPr>
              <w:t>、</w:t>
            </w:r>
            <w:r>
              <w:rPr>
                <w:rFonts w:ascii="Times New Roman" w:hAnsi="Times New Roman" w:eastAsia="宋体"/>
                <w:b/>
                <w:color w:val="000000" w:themeColor="text1"/>
                <w:sz w:val="24"/>
                <w:szCs w:val="24"/>
                <w14:textFill>
                  <w14:solidFill>
                    <w14:schemeClr w14:val="tx1"/>
                  </w14:solidFill>
                </w14:textFill>
              </w:rPr>
              <w:t>固废污染防治措施</w:t>
            </w:r>
          </w:p>
          <w:p w14:paraId="1AAF7A9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拟建项目产生的废渣主要包括施工人员生活垃圾、建筑垃圾、剩余土方等。为妥善处理施工过程产生的固体废弃物，针对项目固体废弃物产生特点，应采取如下措施：</w:t>
            </w:r>
          </w:p>
          <w:p w14:paraId="350A59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（1）</w:t>
            </w:r>
            <w:r>
              <w:rPr>
                <w:rFonts w:hint="eastAsia" w:ascii="Times New Roman" w:hAnsi="Times New Roman" w:eastAsia="宋体" w:cs="宋体"/>
                <w:bCs/>
                <w:color w:val="000000" w:themeColor="text1"/>
                <w:sz w:val="24"/>
                <w:szCs w:val="24"/>
                <w14:textFill>
                  <w14:solidFill>
                    <w14:schemeClr w14:val="tx1"/>
                  </w14:solidFill>
                </w14:textFill>
              </w:rPr>
              <w:t>生活垃圾应定点堆放，及时清运至</w:t>
            </w:r>
            <w:r>
              <w:rPr>
                <w:rFonts w:hint="eastAsia" w:cs="宋体"/>
                <w:bCs/>
                <w:color w:val="000000" w:themeColor="text1"/>
                <w:sz w:val="24"/>
                <w:szCs w:val="24"/>
                <w:lang w:eastAsia="zh-CN"/>
                <w14:textFill>
                  <w14:solidFill>
                    <w14:schemeClr w14:val="tx1"/>
                  </w14:solidFill>
                </w14:textFill>
              </w:rPr>
              <w:t>附近村庄生活垃圾暂存点</w:t>
            </w:r>
            <w:r>
              <w:rPr>
                <w:rFonts w:hint="eastAsia" w:ascii="Times New Roman" w:hAnsi="Times New Roman" w:eastAsia="宋体" w:cs="宋体"/>
                <w:bCs/>
                <w:color w:val="000000" w:themeColor="text1"/>
                <w:sz w:val="24"/>
                <w:szCs w:val="24"/>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 xml:space="preserve"> </w:t>
            </w:r>
          </w:p>
          <w:p w14:paraId="59CFB8A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宋体"/>
                <w:bCs/>
                <w:color w:val="000000" w:themeColor="text1"/>
                <w:sz w:val="24"/>
                <w14:textFill>
                  <w14:solidFill>
                    <w14:schemeClr w14:val="tx1"/>
                  </w14:solidFill>
                </w14:textFill>
              </w:rPr>
            </w:pPr>
            <w:r>
              <w:rPr>
                <w:rFonts w:hint="eastAsia" w:ascii="Times New Roman" w:hAnsi="Times New Roman" w:eastAsia="宋体" w:cs="宋体"/>
                <w:bCs/>
                <w:color w:val="000000" w:themeColor="text1"/>
                <w:sz w:val="24"/>
                <w14:textFill>
                  <w14:solidFill>
                    <w14:schemeClr w14:val="tx1"/>
                  </w14:solidFill>
                </w14:textFill>
              </w:rPr>
              <w:t>（2）废弃建筑材料应设置专门临时堆放点，</w:t>
            </w:r>
            <w:r>
              <w:rPr>
                <w:rFonts w:hint="eastAsia" w:ascii="Times New Roman" w:hAnsi="Times New Roman" w:eastAsia="宋体" w:cs="宋体"/>
                <w:bCs/>
                <w:color w:val="000000" w:themeColor="text1"/>
                <w:sz w:val="24"/>
                <w:lang w:eastAsia="zh-CN"/>
                <w14:textFill>
                  <w14:solidFill>
                    <w14:schemeClr w14:val="tx1"/>
                  </w14:solidFill>
                </w14:textFill>
              </w:rPr>
              <w:t>堆放点应设置在远离河道，底部采取塑料布敷设，并</w:t>
            </w:r>
            <w:r>
              <w:rPr>
                <w:rFonts w:hint="eastAsia" w:ascii="Times New Roman" w:hAnsi="Times New Roman" w:eastAsia="宋体" w:cs="宋体"/>
                <w:bCs/>
                <w:color w:val="000000" w:themeColor="text1"/>
                <w:sz w:val="24"/>
                <w14:textFill>
                  <w14:solidFill>
                    <w14:schemeClr w14:val="tx1"/>
                  </w14:solidFill>
                </w14:textFill>
              </w:rPr>
              <w:t>采用防尘、防遗漏车辆及时外运；</w:t>
            </w:r>
          </w:p>
          <w:p w14:paraId="40DEBF6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（3）</w:t>
            </w:r>
            <w:r>
              <w:rPr>
                <w:rFonts w:hint="eastAsia" w:ascii="Times New Roman" w:hAnsi="Times New Roman" w:eastAsia="宋体" w:cs="宋体"/>
                <w:bCs/>
                <w:color w:val="000000" w:themeColor="text1"/>
                <w:sz w:val="24"/>
                <w:szCs w:val="24"/>
                <w14:textFill>
                  <w14:solidFill>
                    <w14:schemeClr w14:val="tx1"/>
                  </w14:solidFill>
                </w14:textFill>
              </w:rPr>
              <w:t>项目区内建筑垃圾外运时，合理选择路线及运输时段；</w:t>
            </w:r>
          </w:p>
          <w:p w14:paraId="6222B2F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（4）</w:t>
            </w:r>
            <w:r>
              <w:rPr>
                <w:rFonts w:hint="eastAsia" w:ascii="Times New Roman" w:hAnsi="Times New Roman" w:eastAsia="宋体" w:cs="宋体"/>
                <w:bCs/>
                <w:color w:val="000000" w:themeColor="text1"/>
                <w:sz w:val="24"/>
                <w:szCs w:val="24"/>
                <w14:textFill>
                  <w14:solidFill>
                    <w14:schemeClr w14:val="tx1"/>
                  </w14:solidFill>
                </w14:textFill>
              </w:rPr>
              <w:t>物料临时堆放场所应设置防尘措施，及时清运，避免在施工现场长时间存放，以免雨水冲淋，产生地面污水，对外环境造成污染；</w:t>
            </w:r>
          </w:p>
          <w:p w14:paraId="4AA2162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（5）</w:t>
            </w:r>
            <w:r>
              <w:rPr>
                <w:rFonts w:ascii="Times New Roman" w:hAnsi="Times New Roman" w:eastAsia="宋体"/>
                <w:color w:val="000000" w:themeColor="text1"/>
                <w:sz w:val="24"/>
                <w:szCs w:val="24"/>
                <w14:textFill>
                  <w14:solidFill>
                    <w14:schemeClr w14:val="tx1"/>
                  </w14:solidFill>
                </w14:textFill>
              </w:rPr>
              <w:t>施工土石挖方主要用于</w:t>
            </w:r>
            <w:r>
              <w:rPr>
                <w:rFonts w:hint="eastAsia"/>
                <w:color w:val="000000" w:themeColor="text1"/>
                <w:sz w:val="24"/>
                <w:szCs w:val="24"/>
                <w:lang w:eastAsia="zh-CN"/>
                <w14:textFill>
                  <w14:solidFill>
                    <w14:schemeClr w14:val="tx1"/>
                  </w14:solidFill>
                </w14:textFill>
              </w:rPr>
              <w:t>基础</w:t>
            </w:r>
            <w:r>
              <w:rPr>
                <w:rFonts w:ascii="Times New Roman" w:hAnsi="Times New Roman" w:eastAsia="宋体"/>
                <w:color w:val="000000" w:themeColor="text1"/>
                <w:sz w:val="24"/>
                <w:szCs w:val="24"/>
                <w14:textFill>
                  <w14:solidFill>
                    <w14:schemeClr w14:val="tx1"/>
                  </w14:solidFill>
                </w14:textFill>
              </w:rPr>
              <w:t>回填，少量可用于</w:t>
            </w:r>
            <w:r>
              <w:rPr>
                <w:rFonts w:hint="eastAsia" w:ascii="Times New Roman" w:hAnsi="Times New Roman" w:eastAsia="宋体"/>
                <w:color w:val="000000" w:themeColor="text1"/>
                <w:sz w:val="24"/>
                <w:szCs w:val="24"/>
                <w14:textFill>
                  <w14:solidFill>
                    <w14:schemeClr w14:val="tx1"/>
                  </w14:solidFill>
                </w14:textFill>
              </w:rPr>
              <w:t>周围绿化</w:t>
            </w:r>
            <w:r>
              <w:rPr>
                <w:rFonts w:ascii="Times New Roman" w:hAnsi="Times New Roman" w:eastAsia="宋体"/>
                <w:color w:val="000000" w:themeColor="text1"/>
                <w:sz w:val="24"/>
                <w:szCs w:val="24"/>
                <w14:textFill>
                  <w14:solidFill>
                    <w14:schemeClr w14:val="tx1"/>
                  </w14:solidFill>
                </w14:textFill>
              </w:rPr>
              <w:t>及边坡整治，工程无弃方。</w:t>
            </w:r>
          </w:p>
          <w:p w14:paraId="66414AB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（6）</w:t>
            </w:r>
            <w:r>
              <w:rPr>
                <w:rFonts w:hint="eastAsia" w:ascii="Times New Roman" w:hAnsi="Times New Roman" w:eastAsia="宋体" w:cs="宋体"/>
                <w:bCs/>
                <w:color w:val="000000" w:themeColor="text1"/>
                <w:sz w:val="24"/>
                <w:szCs w:val="24"/>
                <w14:textFill>
                  <w14:solidFill>
                    <w14:schemeClr w14:val="tx1"/>
                  </w14:solidFill>
                </w14:textFill>
              </w:rPr>
              <w:t>物料运输过程中，应覆盖防尘网布，防止洒落，引发扬尘污染；</w:t>
            </w:r>
          </w:p>
          <w:p w14:paraId="1F002E9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（7）</w:t>
            </w:r>
            <w:r>
              <w:rPr>
                <w:rFonts w:hint="eastAsia" w:ascii="Times New Roman" w:hAnsi="Times New Roman" w:eastAsia="宋体" w:cs="宋体"/>
                <w:bCs/>
                <w:color w:val="000000" w:themeColor="text1"/>
                <w:sz w:val="24"/>
                <w:szCs w:val="24"/>
                <w14:textFill>
                  <w14:solidFill>
                    <w14:schemeClr w14:val="tx1"/>
                  </w14:solidFill>
                </w14:textFill>
              </w:rPr>
              <w:t>加强施工管理，文明施工，提高原料利用率，节约原料，降低固体废弃物产生量。</w:t>
            </w:r>
          </w:p>
          <w:p w14:paraId="644FC14D">
            <w:pPr>
              <w:keepNext w:val="0"/>
              <w:keepLines w:val="0"/>
              <w:pageBreakBefore w:val="0"/>
              <w:widowControl w:val="0"/>
              <w:kinsoku/>
              <w:wordWrap/>
              <w:overflowPunct/>
              <w:topLinePunct w:val="0"/>
              <w:autoSpaceDE/>
              <w:autoSpaceDN/>
              <w:bidi w:val="0"/>
              <w:spacing w:line="360" w:lineRule="auto"/>
              <w:ind w:firstLine="57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采取上述措施，可有效减小固体废弃物对外环境的影响，则施工产生的固体废弃物对外环境影响较小。</w:t>
            </w:r>
          </w:p>
          <w:p w14:paraId="4FA8D736">
            <w:pPr>
              <w:spacing w:line="360" w:lineRule="auto"/>
              <w:ind w:right="-1"/>
              <w:contextualSpacing/>
              <w:rPr>
                <w:rFonts w:hint="default" w:ascii="Times New Roman" w:hAnsi="Times New Roman" w:eastAsia="宋体" w:cs="Times New Roman"/>
                <w:b/>
                <w:bCs/>
                <w:color w:val="FF0000"/>
                <w:sz w:val="24"/>
                <w:szCs w:val="24"/>
                <w:lang w:val="en-US" w:eastAsia="zh-CN"/>
              </w:rPr>
            </w:pPr>
            <w:r>
              <w:rPr>
                <w:rFonts w:hint="eastAsia" w:cs="Times New Roman"/>
                <w:b/>
                <w:bCs/>
                <w:color w:val="FF0000"/>
                <w:sz w:val="24"/>
                <w:szCs w:val="24"/>
                <w:lang w:val="en-US" w:eastAsia="zh-CN"/>
              </w:rPr>
              <w:t>5、生态恢复</w:t>
            </w:r>
          </w:p>
          <w:p w14:paraId="3AC5FF8C">
            <w:pPr>
              <w:keepNext w:val="0"/>
              <w:keepLines w:val="0"/>
              <w:pageBreakBefore w:val="0"/>
              <w:widowControl w:val="0"/>
              <w:kinsoku/>
              <w:wordWrap/>
              <w:overflowPunct/>
              <w:topLinePunct w:val="0"/>
              <w:autoSpaceDE/>
              <w:autoSpaceDN/>
              <w:bidi w:val="0"/>
              <w:spacing w:line="360" w:lineRule="auto"/>
              <w:ind w:firstLine="570"/>
              <w:textAlignment w:val="auto"/>
              <w:rPr>
                <w:rFonts w:hint="eastAsia" w:ascii="Times New Roman" w:hAnsi="Times New Roman" w:eastAsia="宋体" w:cs="宋体"/>
                <w:bCs/>
                <w:color w:val="FF0000"/>
                <w:sz w:val="24"/>
                <w:szCs w:val="24"/>
                <w:lang w:val="en-US" w:eastAsia="zh-CN"/>
              </w:rPr>
            </w:pPr>
            <w:r>
              <w:rPr>
                <w:rFonts w:hint="default" w:ascii="Times New Roman" w:hAnsi="Times New Roman" w:eastAsia="宋体" w:cs="宋体"/>
                <w:bCs/>
                <w:color w:val="FF0000"/>
                <w:sz w:val="24"/>
                <w:szCs w:val="24"/>
                <w:lang w:val="en-US" w:eastAsia="zh-CN"/>
              </w:rPr>
              <w:t>项目河道治理工程结束后对临时占地进行恢复，本项目河道治理临时占地主要为</w:t>
            </w:r>
            <w:r>
              <w:rPr>
                <w:rFonts w:hint="eastAsia" w:ascii="Times New Roman" w:hAnsi="Times New Roman" w:eastAsia="宋体" w:cs="宋体"/>
                <w:bCs/>
                <w:color w:val="FF0000"/>
                <w:sz w:val="24"/>
                <w:szCs w:val="24"/>
                <w:lang w:val="en-US" w:eastAsia="zh-CN"/>
              </w:rPr>
              <w:t>1</w:t>
            </w:r>
            <w:r>
              <w:rPr>
                <w:rFonts w:hint="default" w:ascii="Times New Roman" w:hAnsi="Times New Roman" w:eastAsia="宋体" w:cs="宋体"/>
                <w:bCs/>
                <w:color w:val="FF0000"/>
                <w:sz w:val="24"/>
                <w:szCs w:val="24"/>
                <w:lang w:val="en-US" w:eastAsia="zh-CN"/>
              </w:rPr>
              <w:t>处施工料场占地，占地类型为河滩地，施工结束后对其进行恢复，拆除临时建筑，地面进行混播草籽绿化，</w:t>
            </w:r>
            <w:r>
              <w:rPr>
                <w:rFonts w:hint="default" w:ascii="Times New Roman" w:hAnsi="Times New Roman" w:eastAsia="宋体" w:cs="宋体"/>
                <w:bCs/>
                <w:color w:val="FF0000"/>
                <w:sz w:val="24"/>
                <w:szCs w:val="24"/>
              </w:rPr>
              <w:t>水土流失治理度</w:t>
            </w:r>
            <w:r>
              <w:rPr>
                <w:rFonts w:hint="default" w:ascii="Times New Roman" w:hAnsi="Times New Roman" w:eastAsia="宋体" w:cs="宋体"/>
                <w:bCs/>
                <w:color w:val="FF0000"/>
                <w:sz w:val="24"/>
                <w:szCs w:val="24"/>
                <w:lang w:eastAsia="zh-CN"/>
              </w:rPr>
              <w:t>9</w:t>
            </w:r>
            <w:r>
              <w:rPr>
                <w:rFonts w:hint="default" w:ascii="Times New Roman" w:hAnsi="Times New Roman" w:eastAsia="宋体" w:cs="宋体"/>
                <w:bCs/>
                <w:color w:val="FF0000"/>
                <w:sz w:val="24"/>
                <w:szCs w:val="24"/>
                <w:lang w:val="en-US" w:eastAsia="zh-CN"/>
              </w:rPr>
              <w:t>5.7</w:t>
            </w:r>
            <w:r>
              <w:rPr>
                <w:rFonts w:hint="default" w:ascii="Times New Roman" w:hAnsi="Times New Roman" w:eastAsia="宋体" w:cs="宋体"/>
                <w:bCs/>
                <w:color w:val="FF0000"/>
                <w:sz w:val="24"/>
                <w:szCs w:val="24"/>
              </w:rPr>
              <w:t>%，土壤流失控制比0.98，渣土防护率</w:t>
            </w:r>
            <w:r>
              <w:rPr>
                <w:rFonts w:hint="default" w:ascii="Times New Roman" w:hAnsi="Times New Roman" w:eastAsia="宋体" w:cs="宋体"/>
                <w:bCs/>
                <w:color w:val="FF0000"/>
                <w:sz w:val="24"/>
                <w:szCs w:val="24"/>
                <w:lang w:eastAsia="zh-CN"/>
              </w:rPr>
              <w:t>9</w:t>
            </w:r>
            <w:r>
              <w:rPr>
                <w:rFonts w:hint="default" w:ascii="Times New Roman" w:hAnsi="Times New Roman" w:eastAsia="宋体" w:cs="宋体"/>
                <w:bCs/>
                <w:color w:val="FF0000"/>
                <w:sz w:val="24"/>
                <w:szCs w:val="24"/>
                <w:lang w:val="en-US" w:eastAsia="zh-CN"/>
              </w:rPr>
              <w:t>9</w:t>
            </w:r>
            <w:r>
              <w:rPr>
                <w:rFonts w:hint="default" w:ascii="Times New Roman" w:hAnsi="Times New Roman" w:eastAsia="宋体" w:cs="宋体"/>
                <w:bCs/>
                <w:color w:val="FF0000"/>
                <w:sz w:val="24"/>
                <w:szCs w:val="24"/>
              </w:rPr>
              <w:t>.0%，表土保护率99.3%，林草植被恢复率99.4%，林草覆盖率</w:t>
            </w:r>
            <w:r>
              <w:rPr>
                <w:rFonts w:hint="default" w:ascii="Times New Roman" w:hAnsi="Times New Roman" w:eastAsia="宋体" w:cs="宋体"/>
                <w:bCs/>
                <w:color w:val="FF0000"/>
                <w:sz w:val="24"/>
                <w:szCs w:val="24"/>
                <w:lang w:eastAsia="zh-CN"/>
              </w:rPr>
              <w:t>24.5%。</w:t>
            </w:r>
          </w:p>
          <w:p w14:paraId="7E67EEF3">
            <w:pPr>
              <w:pStyle w:val="48"/>
              <w:spacing w:line="360" w:lineRule="auto"/>
              <w:ind w:right="-1" w:firstLine="0" w:firstLineChars="0"/>
              <w:contextualSpacing/>
              <w:outlineLvl w:val="2"/>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6、</w:t>
            </w:r>
            <w:r>
              <w:rPr>
                <w:rFonts w:ascii="Times New Roman" w:hAnsi="Times New Roman" w:eastAsia="宋体"/>
                <w:b/>
                <w:color w:val="000000" w:themeColor="text1"/>
                <w:sz w:val="24"/>
                <w:szCs w:val="24"/>
                <w14:textFill>
                  <w14:solidFill>
                    <w14:schemeClr w14:val="tx1"/>
                  </w14:solidFill>
                </w14:textFill>
              </w:rPr>
              <w:t>噪声污染防治措施</w:t>
            </w:r>
          </w:p>
          <w:p w14:paraId="23BF70B0">
            <w:pPr>
              <w:adjustRightInd w:val="0"/>
              <w:spacing w:line="360" w:lineRule="auto"/>
              <w:ind w:firstLine="482"/>
              <w:contextualSpacing/>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本项目噪声声源主要是施工设备产生的机械噪声和运输车辆。为有效降低噪声排放强度，需采取以下防治措施：</w:t>
            </w:r>
          </w:p>
          <w:p w14:paraId="2ABB4CED">
            <w:pPr>
              <w:adjustRightInd w:val="0"/>
              <w:spacing w:line="360" w:lineRule="auto"/>
              <w:ind w:firstLine="482"/>
              <w:contextualSpacing/>
              <w:rPr>
                <w:rFonts w:ascii="Times New Roman" w:hAnsi="Times New Roman" w:eastAsia="宋体"/>
                <w:color w:val="auto"/>
                <w:sz w:val="24"/>
                <w:szCs w:val="24"/>
              </w:rPr>
            </w:pPr>
            <w:r>
              <w:rPr>
                <w:rFonts w:hint="eastAsia" w:ascii="Times New Roman" w:hAnsi="Times New Roman" w:eastAsia="宋体"/>
                <w:bCs/>
                <w:color w:val="auto"/>
                <w:sz w:val="24"/>
                <w:szCs w:val="24"/>
              </w:rPr>
              <w:t>（1）</w:t>
            </w:r>
            <w:r>
              <w:rPr>
                <w:rFonts w:ascii="Times New Roman" w:hAnsi="Times New Roman" w:eastAsia="宋体"/>
                <w:color w:val="auto"/>
                <w:sz w:val="24"/>
                <w:szCs w:val="24"/>
              </w:rPr>
              <w:t>施工过程中对机械噪声加强管理，使用低噪声、先进的设备</w:t>
            </w:r>
            <w:r>
              <w:rPr>
                <w:rFonts w:hint="eastAsia" w:ascii="Times New Roman" w:hAnsi="Times New Roman" w:eastAsia="宋体"/>
                <w:color w:val="auto"/>
                <w:sz w:val="24"/>
                <w:szCs w:val="24"/>
              </w:rPr>
              <w:t>；</w:t>
            </w:r>
          </w:p>
          <w:p w14:paraId="0668ECFD">
            <w:pPr>
              <w:adjustRightInd w:val="0"/>
              <w:spacing w:line="360" w:lineRule="auto"/>
              <w:ind w:firstLine="482"/>
              <w:contextualSpacing/>
              <w:rPr>
                <w:rFonts w:ascii="Times New Roman" w:hAnsi="Times New Roman" w:eastAsia="宋体"/>
                <w:color w:val="auto"/>
                <w:sz w:val="24"/>
                <w:szCs w:val="24"/>
              </w:rPr>
            </w:pPr>
            <w:r>
              <w:rPr>
                <w:rFonts w:hint="eastAsia" w:ascii="Times New Roman" w:hAnsi="Times New Roman" w:eastAsia="宋体"/>
                <w:bCs/>
                <w:color w:val="auto"/>
                <w:sz w:val="24"/>
                <w:szCs w:val="24"/>
              </w:rPr>
              <w:t>（2）</w:t>
            </w:r>
            <w:r>
              <w:rPr>
                <w:rFonts w:ascii="Times New Roman" w:hAnsi="Times New Roman" w:eastAsia="宋体"/>
                <w:color w:val="auto"/>
                <w:sz w:val="24"/>
                <w:szCs w:val="24"/>
              </w:rPr>
              <w:t>定期对</w:t>
            </w:r>
            <w:r>
              <w:rPr>
                <w:rFonts w:hint="eastAsia" w:ascii="Times New Roman" w:hAnsi="Times New Roman" w:eastAsia="宋体"/>
                <w:color w:val="auto"/>
                <w:sz w:val="24"/>
                <w:szCs w:val="24"/>
              </w:rPr>
              <w:t>施工设备等</w:t>
            </w:r>
            <w:r>
              <w:rPr>
                <w:rFonts w:ascii="Times New Roman" w:hAnsi="Times New Roman" w:eastAsia="宋体"/>
                <w:color w:val="auto"/>
                <w:sz w:val="24"/>
                <w:szCs w:val="24"/>
              </w:rPr>
              <w:t>进行维护，确保设备良性工作，并采取必要的噪声控制措施；</w:t>
            </w:r>
          </w:p>
          <w:p w14:paraId="405B236A">
            <w:pPr>
              <w:adjustRightInd w:val="0"/>
              <w:spacing w:line="360" w:lineRule="auto"/>
              <w:ind w:firstLine="482"/>
              <w:contextualSpacing/>
              <w:rPr>
                <w:rFonts w:ascii="Times New Roman" w:hAnsi="Times New Roman" w:eastAsia="宋体"/>
                <w:color w:val="auto"/>
                <w:sz w:val="24"/>
                <w:szCs w:val="24"/>
              </w:rPr>
            </w:pPr>
            <w:r>
              <w:rPr>
                <w:rFonts w:hint="eastAsia" w:ascii="Times New Roman" w:hAnsi="Times New Roman" w:eastAsia="宋体"/>
                <w:color w:val="auto"/>
                <w:sz w:val="24"/>
                <w:szCs w:val="24"/>
              </w:rPr>
              <w:t>（3）</w:t>
            </w:r>
            <w:r>
              <w:rPr>
                <w:rFonts w:ascii="Times New Roman" w:hAnsi="Times New Roman" w:eastAsia="宋体"/>
                <w:color w:val="auto"/>
                <w:sz w:val="24"/>
                <w:szCs w:val="24"/>
              </w:rPr>
              <w:t>施工过程应合理安排施工工段，避免高噪声设备在同一作业面同时施工，增加噪声局部排放强度；</w:t>
            </w:r>
          </w:p>
          <w:p w14:paraId="3225C5D1">
            <w:pPr>
              <w:spacing w:line="360" w:lineRule="auto"/>
              <w:ind w:firstLine="482"/>
              <w:contextualSpacing/>
              <w:rPr>
                <w:rFonts w:ascii="Times New Roman" w:hAnsi="Times New Roman" w:eastAsia="宋体"/>
                <w:color w:val="auto"/>
                <w:sz w:val="24"/>
                <w:szCs w:val="24"/>
              </w:rPr>
            </w:pPr>
            <w:r>
              <w:rPr>
                <w:rFonts w:hint="eastAsia" w:ascii="Times New Roman" w:hAnsi="Times New Roman" w:eastAsia="宋体"/>
                <w:color w:val="auto"/>
                <w:sz w:val="24"/>
                <w:szCs w:val="24"/>
              </w:rPr>
              <w:t>（4）</w:t>
            </w:r>
            <w:r>
              <w:rPr>
                <w:rFonts w:ascii="Times New Roman" w:hAnsi="Times New Roman" w:eastAsia="宋体"/>
                <w:color w:val="auto"/>
                <w:sz w:val="24"/>
                <w:szCs w:val="24"/>
              </w:rPr>
              <w:t>应加强施工现场的环境管理，严格执行《建筑施工场界环境噪声排放标准》(GB12523-2011)要求，确保噪声达标排放</w:t>
            </w:r>
            <w:r>
              <w:rPr>
                <w:rFonts w:hint="eastAsia" w:ascii="Times New Roman" w:hAnsi="Times New Roman" w:eastAsia="宋体"/>
                <w:color w:val="auto"/>
                <w:sz w:val="24"/>
                <w:szCs w:val="24"/>
              </w:rPr>
              <w:t>；</w:t>
            </w:r>
          </w:p>
          <w:p w14:paraId="5462D8C7">
            <w:pPr>
              <w:spacing w:line="360" w:lineRule="auto"/>
              <w:ind w:right="-1" w:firstLine="482"/>
              <w:contextualSpacing/>
              <w:rPr>
                <w:rFonts w:ascii="Times New Roman" w:hAnsi="Times New Roman" w:eastAsia="宋体"/>
                <w:color w:val="FF0000"/>
                <w:sz w:val="24"/>
                <w:szCs w:val="24"/>
              </w:rPr>
            </w:pPr>
            <w:r>
              <w:rPr>
                <w:rFonts w:hint="eastAsia" w:ascii="Times New Roman" w:hAnsi="Times New Roman" w:eastAsia="宋体"/>
                <w:color w:val="FF0000"/>
                <w:sz w:val="24"/>
                <w:szCs w:val="24"/>
              </w:rPr>
              <w:t>（5）</w:t>
            </w:r>
            <w:r>
              <w:rPr>
                <w:rFonts w:hint="eastAsia"/>
                <w:color w:val="FF0000"/>
                <w:sz w:val="24"/>
                <w:szCs w:val="24"/>
                <w:lang w:eastAsia="zh-CN"/>
              </w:rPr>
              <w:t>治理段</w:t>
            </w:r>
            <w:r>
              <w:rPr>
                <w:rFonts w:ascii="Times New Roman" w:hAnsi="Times New Roman" w:eastAsia="宋体"/>
                <w:color w:val="FF0000"/>
                <w:sz w:val="24"/>
                <w:szCs w:val="24"/>
              </w:rPr>
              <w:t>两侧</w:t>
            </w:r>
            <w:r>
              <w:rPr>
                <w:rFonts w:hint="eastAsia" w:ascii="Times New Roman" w:hAnsi="Times New Roman" w:eastAsia="宋体"/>
                <w:color w:val="FF0000"/>
                <w:sz w:val="24"/>
                <w:szCs w:val="24"/>
              </w:rPr>
              <w:t>200</w:t>
            </w:r>
            <w:r>
              <w:rPr>
                <w:rFonts w:ascii="Times New Roman" w:hAnsi="Times New Roman" w:eastAsia="宋体"/>
                <w:color w:val="FF0000"/>
                <w:sz w:val="24"/>
                <w:szCs w:val="24"/>
              </w:rPr>
              <w:t>m范围内分布有噪声敏感点的地段，应合理安排施工时间，尽量避开午休时间</w:t>
            </w:r>
            <w:r>
              <w:rPr>
                <w:rFonts w:hint="eastAsia" w:ascii="Times New Roman" w:hAnsi="Times New Roman" w:eastAsia="宋体"/>
                <w:color w:val="FF0000"/>
                <w:sz w:val="24"/>
                <w:szCs w:val="24"/>
              </w:rPr>
              <w:t>；</w:t>
            </w:r>
          </w:p>
          <w:p w14:paraId="11E77F33">
            <w:pPr>
              <w:spacing w:line="360" w:lineRule="auto"/>
              <w:ind w:right="-1" w:firstLine="482"/>
              <w:contextualSpacing/>
              <w:rPr>
                <w:rFonts w:ascii="Times New Roman" w:hAnsi="Times New Roman" w:eastAsia="宋体"/>
                <w:color w:val="auto"/>
                <w:sz w:val="24"/>
                <w:szCs w:val="24"/>
              </w:rPr>
            </w:pPr>
            <w:r>
              <w:rPr>
                <w:rFonts w:hint="eastAsia" w:ascii="Times New Roman" w:hAnsi="Times New Roman" w:eastAsia="宋体"/>
                <w:color w:val="auto"/>
                <w:sz w:val="24"/>
                <w:szCs w:val="24"/>
              </w:rPr>
              <w:t>（6）</w:t>
            </w:r>
            <w:r>
              <w:rPr>
                <w:rFonts w:ascii="Times New Roman" w:hAnsi="Times New Roman" w:eastAsia="宋体"/>
                <w:color w:val="auto"/>
                <w:sz w:val="24"/>
                <w:szCs w:val="24"/>
              </w:rPr>
              <w:t>要求对施工机械及时进行维护和保养，加强施工管理，文明施工</w:t>
            </w:r>
            <w:r>
              <w:rPr>
                <w:rFonts w:hint="eastAsia" w:ascii="Times New Roman" w:hAnsi="Times New Roman" w:eastAsia="宋体"/>
                <w:color w:val="auto"/>
                <w:sz w:val="24"/>
                <w:szCs w:val="24"/>
              </w:rPr>
              <w:t>；</w:t>
            </w:r>
          </w:p>
          <w:p w14:paraId="377E9FF9">
            <w:pPr>
              <w:spacing w:line="360" w:lineRule="auto"/>
              <w:ind w:right="-1" w:firstLine="482"/>
              <w:contextualSpacing/>
              <w:rPr>
                <w:rFonts w:ascii="Times New Roman" w:hAnsi="Times New Roman" w:eastAsia="宋体"/>
                <w:color w:val="auto"/>
                <w:sz w:val="24"/>
                <w:szCs w:val="24"/>
              </w:rPr>
            </w:pPr>
            <w:r>
              <w:rPr>
                <w:rFonts w:hint="eastAsia" w:ascii="Times New Roman" w:hAnsi="Times New Roman" w:eastAsia="宋体"/>
                <w:color w:val="auto"/>
                <w:sz w:val="24"/>
                <w:szCs w:val="24"/>
              </w:rPr>
              <w:t>（7）尽量</w:t>
            </w:r>
            <w:r>
              <w:rPr>
                <w:rFonts w:ascii="Times New Roman" w:hAnsi="Times New Roman" w:eastAsia="宋体"/>
                <w:color w:val="auto"/>
                <w:sz w:val="24"/>
                <w:szCs w:val="24"/>
              </w:rPr>
              <w:t>缩短工期，减少施工噪声对周围居民日常生活影响</w:t>
            </w:r>
            <w:r>
              <w:rPr>
                <w:rFonts w:hint="eastAsia" w:ascii="Times New Roman" w:hAnsi="Times New Roman" w:eastAsia="宋体"/>
                <w:color w:val="auto"/>
                <w:sz w:val="24"/>
                <w:szCs w:val="24"/>
              </w:rPr>
              <w:t>。</w:t>
            </w:r>
          </w:p>
          <w:p w14:paraId="55B5A2D5">
            <w:pPr>
              <w:spacing w:line="360" w:lineRule="auto"/>
              <w:ind w:right="-1" w:firstLine="482"/>
              <w:contextualSpacing/>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（8）噪声监测计划</w:t>
            </w:r>
          </w:p>
          <w:p w14:paraId="14184A81">
            <w:pPr>
              <w:pStyle w:val="52"/>
              <w:keepNext w:val="0"/>
              <w:keepLines w:val="0"/>
              <w:pageBreakBefore w:val="0"/>
              <w:widowControl w:val="0"/>
              <w:kinsoku/>
              <w:wordWrap/>
              <w:overflowPunct/>
              <w:topLinePunct w:val="0"/>
              <w:autoSpaceDE/>
              <w:autoSpaceDN/>
              <w:bidi w:val="0"/>
              <w:adjustRightInd/>
              <w:snapToGrid/>
              <w:spacing w:after="0" w:line="240" w:lineRule="auto"/>
              <w:ind w:left="0" w:leftChars="0"/>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表</w:t>
            </w:r>
            <w:r>
              <w:rPr>
                <w:rFonts w:hint="eastAsia"/>
                <w:color w:val="000000" w:themeColor="text1"/>
                <w:lang w:val="en-US" w:eastAsia="zh-CN"/>
                <w14:textFill>
                  <w14:solidFill>
                    <w14:schemeClr w14:val="tx1"/>
                  </w14:solidFill>
                </w14:textFill>
              </w:rPr>
              <w:t>5-2  施工期环境监测一览表</w:t>
            </w:r>
          </w:p>
          <w:tbl>
            <w:tblPr>
              <w:tblStyle w:val="20"/>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98"/>
              <w:gridCol w:w="2047"/>
              <w:gridCol w:w="1593"/>
              <w:gridCol w:w="892"/>
            </w:tblGrid>
            <w:tr w14:paraId="12917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88" w:type="dxa"/>
                  <w:tcBorders>
                    <w:tl2br w:val="nil"/>
                    <w:tr2bl w:val="nil"/>
                  </w:tcBorders>
                  <w:noWrap w:val="0"/>
                  <w:vAlign w:val="center"/>
                </w:tcPr>
                <w:p w14:paraId="2529C1FE">
                  <w:pPr>
                    <w:pStyle w:val="51"/>
                    <w:bidi w:val="0"/>
                    <w:rPr>
                      <w:color w:val="000000" w:themeColor="text1"/>
                      <w14:textFill>
                        <w14:solidFill>
                          <w14:schemeClr w14:val="tx1"/>
                        </w14:solidFill>
                      </w14:textFill>
                    </w:rPr>
                  </w:pPr>
                  <w:r>
                    <w:rPr>
                      <w:color w:val="000000" w:themeColor="text1"/>
                      <w14:textFill>
                        <w14:solidFill>
                          <w14:schemeClr w14:val="tx1"/>
                        </w14:solidFill>
                      </w14:textFill>
                    </w:rPr>
                    <w:t>类   别</w:t>
                  </w:r>
                </w:p>
              </w:tc>
              <w:tc>
                <w:tcPr>
                  <w:tcW w:w="1798" w:type="dxa"/>
                  <w:tcBorders>
                    <w:tl2br w:val="nil"/>
                    <w:tr2bl w:val="nil"/>
                  </w:tcBorders>
                  <w:noWrap w:val="0"/>
                  <w:vAlign w:val="center"/>
                </w:tcPr>
                <w:p w14:paraId="5C2CEC33">
                  <w:pPr>
                    <w:pStyle w:val="51"/>
                    <w:bidi w:val="0"/>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2047" w:type="dxa"/>
                  <w:tcBorders>
                    <w:tl2br w:val="nil"/>
                    <w:tr2bl w:val="nil"/>
                  </w:tcBorders>
                  <w:noWrap w:val="0"/>
                  <w:vAlign w:val="center"/>
                </w:tcPr>
                <w:p w14:paraId="47B3F5B1">
                  <w:pPr>
                    <w:pStyle w:val="51"/>
                    <w:bidi w:val="0"/>
                    <w:rPr>
                      <w:color w:val="000000" w:themeColor="text1"/>
                      <w14:textFill>
                        <w14:solidFill>
                          <w14:schemeClr w14:val="tx1"/>
                        </w14:solidFill>
                      </w14:textFill>
                    </w:rPr>
                  </w:pPr>
                  <w:r>
                    <w:rPr>
                      <w:color w:val="000000" w:themeColor="text1"/>
                      <w14:textFill>
                        <w14:solidFill>
                          <w14:schemeClr w14:val="tx1"/>
                        </w14:solidFill>
                      </w14:textFill>
                    </w:rPr>
                    <w:t>监测点位置</w:t>
                  </w:r>
                </w:p>
              </w:tc>
              <w:tc>
                <w:tcPr>
                  <w:tcW w:w="1593" w:type="dxa"/>
                  <w:tcBorders>
                    <w:tl2br w:val="nil"/>
                    <w:tr2bl w:val="nil"/>
                  </w:tcBorders>
                  <w:noWrap w:val="0"/>
                  <w:vAlign w:val="center"/>
                </w:tcPr>
                <w:p w14:paraId="28F50D4B">
                  <w:pPr>
                    <w:pStyle w:val="51"/>
                    <w:bidi w:val="0"/>
                    <w:rPr>
                      <w:color w:val="000000" w:themeColor="text1"/>
                      <w14:textFill>
                        <w14:solidFill>
                          <w14:schemeClr w14:val="tx1"/>
                        </w14:solidFill>
                      </w14:textFill>
                    </w:rPr>
                  </w:pPr>
                  <w:r>
                    <w:rPr>
                      <w:color w:val="000000" w:themeColor="text1"/>
                      <w14:textFill>
                        <w14:solidFill>
                          <w14:schemeClr w14:val="tx1"/>
                        </w14:solidFill>
                      </w14:textFill>
                    </w:rPr>
                    <w:t>监测频率</w:t>
                  </w:r>
                </w:p>
              </w:tc>
              <w:tc>
                <w:tcPr>
                  <w:tcW w:w="892" w:type="dxa"/>
                  <w:tcBorders>
                    <w:tl2br w:val="nil"/>
                    <w:tr2bl w:val="nil"/>
                  </w:tcBorders>
                  <w:noWrap w:val="0"/>
                  <w:vAlign w:val="center"/>
                </w:tcPr>
                <w:p w14:paraId="409E2237">
                  <w:pPr>
                    <w:pStyle w:val="51"/>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备注</w:t>
                  </w:r>
                </w:p>
              </w:tc>
            </w:tr>
            <w:tr w14:paraId="3FC9A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588" w:type="dxa"/>
                  <w:tcBorders>
                    <w:tl2br w:val="nil"/>
                    <w:tr2bl w:val="nil"/>
                  </w:tcBorders>
                  <w:noWrap w:val="0"/>
                  <w:vAlign w:val="center"/>
                </w:tcPr>
                <w:p w14:paraId="25ABC54A">
                  <w:pPr>
                    <w:pStyle w:val="51"/>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声环境</w:t>
                  </w:r>
                </w:p>
              </w:tc>
              <w:tc>
                <w:tcPr>
                  <w:tcW w:w="1798" w:type="dxa"/>
                  <w:tcBorders>
                    <w:tl2br w:val="nil"/>
                    <w:tr2bl w:val="nil"/>
                  </w:tcBorders>
                  <w:noWrap w:val="0"/>
                  <w:vAlign w:val="center"/>
                </w:tcPr>
                <w:p w14:paraId="4B7D28D2">
                  <w:pPr>
                    <w:pStyle w:val="51"/>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等效连续 </w:t>
                  </w:r>
                  <w:r>
                    <w:rPr>
                      <w:color w:val="000000" w:themeColor="text1"/>
                      <w:lang w:val="en-US" w:eastAsia="zh-CN"/>
                      <w14:textFill>
                        <w14:solidFill>
                          <w14:schemeClr w14:val="tx1"/>
                        </w14:solidFill>
                      </w14:textFill>
                    </w:rPr>
                    <w:t xml:space="preserve">A </w:t>
                  </w:r>
                  <w:r>
                    <w:rPr>
                      <w:rFonts w:hint="eastAsia"/>
                      <w:color w:val="000000" w:themeColor="text1"/>
                      <w:lang w:val="en-US" w:eastAsia="zh-CN"/>
                      <w14:textFill>
                        <w14:solidFill>
                          <w14:schemeClr w14:val="tx1"/>
                        </w14:solidFill>
                      </w14:textFill>
                    </w:rPr>
                    <w:t xml:space="preserve">声级 </w:t>
                  </w:r>
                  <w:r>
                    <w:rPr>
                      <w:rFonts w:hint="default"/>
                      <w:color w:val="000000" w:themeColor="text1"/>
                      <w:lang w:val="en-US" w:eastAsia="zh-CN"/>
                      <w14:textFill>
                        <w14:solidFill>
                          <w14:schemeClr w14:val="tx1"/>
                        </w14:solidFill>
                      </w14:textFill>
                    </w:rPr>
                    <w:t>LAeq</w:t>
                  </w:r>
                </w:p>
              </w:tc>
              <w:tc>
                <w:tcPr>
                  <w:tcW w:w="2047" w:type="dxa"/>
                  <w:tcBorders>
                    <w:tl2br w:val="nil"/>
                    <w:tr2bl w:val="nil"/>
                  </w:tcBorders>
                  <w:noWrap w:val="0"/>
                  <w:vAlign w:val="center"/>
                </w:tcPr>
                <w:p w14:paraId="0F371E86">
                  <w:pPr>
                    <w:pStyle w:val="51"/>
                    <w:bidi w:val="0"/>
                    <w:rPr>
                      <w:rFonts w:hint="eastAsia"/>
                      <w:color w:val="000000" w:themeColor="text1"/>
                      <w:lang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前渠村</w:t>
                  </w:r>
                  <w:r>
                    <w:rPr>
                      <w:rFonts w:hint="eastAsia"/>
                      <w:color w:val="000000" w:themeColor="text1"/>
                      <w:lang w:eastAsia="zh-CN"/>
                      <w14:textFill>
                        <w14:solidFill>
                          <w14:schemeClr w14:val="tx1"/>
                        </w14:solidFill>
                      </w14:textFill>
                    </w:rPr>
                    <w:t>、</w:t>
                  </w:r>
                  <w:r>
                    <w:rPr>
                      <w:rFonts w:hint="eastAsia" w:cs="宋体"/>
                      <w:color w:val="000000" w:themeColor="text1"/>
                      <w:kern w:val="0"/>
                      <w:sz w:val="21"/>
                      <w:szCs w:val="21"/>
                      <w:lang w:val="en-US" w:eastAsia="zh-CN" w:bidi="ar-SA"/>
                      <w14:textFill>
                        <w14:solidFill>
                          <w14:schemeClr w14:val="tx1"/>
                        </w14:solidFill>
                      </w14:textFill>
                    </w:rPr>
                    <w:t>杨家台</w:t>
                  </w:r>
                </w:p>
              </w:tc>
              <w:tc>
                <w:tcPr>
                  <w:tcW w:w="1593" w:type="dxa"/>
                  <w:tcBorders>
                    <w:tl2br w:val="nil"/>
                    <w:tr2bl w:val="nil"/>
                  </w:tcBorders>
                  <w:noWrap w:val="0"/>
                  <w:vAlign w:val="center"/>
                </w:tcPr>
                <w:p w14:paraId="655CB76A">
                  <w:pPr>
                    <w:pStyle w:val="51"/>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监测</w:t>
                  </w:r>
                  <w:r>
                    <w:rPr>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期；昼夜各监测</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次</w:t>
                  </w:r>
                </w:p>
                <w:p w14:paraId="6D865DF2">
                  <w:pPr>
                    <w:rPr>
                      <w:color w:val="000000" w:themeColor="text1"/>
                      <w14:textFill>
                        <w14:solidFill>
                          <w14:schemeClr w14:val="tx1"/>
                        </w14:solidFill>
                      </w14:textFill>
                    </w:rPr>
                  </w:pPr>
                </w:p>
              </w:tc>
              <w:tc>
                <w:tcPr>
                  <w:tcW w:w="892" w:type="dxa"/>
                  <w:tcBorders>
                    <w:tl2br w:val="nil"/>
                    <w:tr2bl w:val="nil"/>
                  </w:tcBorders>
                  <w:noWrap w:val="0"/>
                  <w:vAlign w:val="center"/>
                </w:tcPr>
                <w:p w14:paraId="12BA124E">
                  <w:pPr>
                    <w:pStyle w:val="51"/>
                    <w:bidi w:val="0"/>
                    <w:rPr>
                      <w:color w:val="000000" w:themeColor="text1"/>
                      <w14:textFill>
                        <w14:solidFill>
                          <w14:schemeClr w14:val="tx1"/>
                        </w14:solidFill>
                      </w14:textFill>
                    </w:rPr>
                  </w:pPr>
                </w:p>
              </w:tc>
            </w:tr>
          </w:tbl>
          <w:p w14:paraId="45BB2E49">
            <w:pPr>
              <w:pStyle w:val="25"/>
              <w:spacing w:line="360" w:lineRule="auto"/>
              <w:ind w:firstLine="482"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p>
        </w:tc>
      </w:tr>
      <w:tr w14:paraId="3B91E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53" w:type="dxa"/>
            <w:noWrap w:val="0"/>
            <w:tcMar>
              <w:left w:w="28" w:type="dxa"/>
              <w:right w:w="28" w:type="dxa"/>
            </w:tcMar>
            <w:vAlign w:val="center"/>
          </w:tcPr>
          <w:p w14:paraId="0568B5C9">
            <w:pPr>
              <w:adjustRightInd w:val="0"/>
              <w:snapToGrid w:val="0"/>
              <w:jc w:val="center"/>
              <w:rPr>
                <w:rFonts w:ascii="宋体" w:hAnsi="宋体" w:cs="宋体"/>
                <w:bCs/>
                <w:color w:val="000000" w:themeColor="text1"/>
                <w:spacing w:val="10"/>
                <w:sz w:val="24"/>
                <w:szCs w:val="24"/>
                <w14:textFill>
                  <w14:solidFill>
                    <w14:schemeClr w14:val="tx1"/>
                  </w14:solidFill>
                </w14:textFill>
              </w:rPr>
            </w:pPr>
            <w:r>
              <w:rPr>
                <w:rFonts w:hint="eastAsia" w:ascii="宋体" w:hAnsi="宋体" w:cs="宋体"/>
                <w:bCs/>
                <w:color w:val="000000" w:themeColor="text1"/>
                <w:spacing w:val="10"/>
                <w:sz w:val="24"/>
                <w:szCs w:val="24"/>
                <w14:textFill>
                  <w14:solidFill>
                    <w14:schemeClr w14:val="tx1"/>
                  </w14:solidFill>
                </w14:textFill>
              </w:rPr>
              <w:t>运营期生态环境保护措施</w:t>
            </w:r>
          </w:p>
        </w:tc>
        <w:tc>
          <w:tcPr>
            <w:tcW w:w="8457" w:type="dxa"/>
            <w:noWrap w:val="0"/>
            <w:vAlign w:val="top"/>
          </w:tcPr>
          <w:p w14:paraId="3CB730C3">
            <w:pPr>
              <w:spacing w:line="360" w:lineRule="auto"/>
              <w:ind w:firstLine="480" w:firstLineChars="200"/>
              <w:rPr>
                <w:rFonts w:ascii="宋体" w:hAnsi="宋体" w:cs="宋体"/>
                <w:bCs/>
                <w:color w:val="000000" w:themeColor="text1"/>
                <w:spacing w:val="10"/>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本项目为</w:t>
            </w:r>
            <w:r>
              <w:rPr>
                <w:rFonts w:hint="eastAsia" w:ascii="Times New Roman" w:hAnsi="Times New Roman"/>
                <w:color w:val="000000" w:themeColor="text1"/>
                <w:sz w:val="24"/>
                <w:szCs w:val="24"/>
                <w:lang w:eastAsia="zh-CN"/>
                <w14:textFill>
                  <w14:solidFill>
                    <w14:schemeClr w14:val="tx1"/>
                  </w14:solidFill>
                </w14:textFill>
              </w:rPr>
              <w:t>河道</w:t>
            </w:r>
            <w:r>
              <w:rPr>
                <w:rFonts w:hint="eastAsia" w:ascii="Times New Roman" w:hAnsi="Times New Roman" w:eastAsia="宋体"/>
                <w:color w:val="000000" w:themeColor="text1"/>
                <w:sz w:val="24"/>
                <w:szCs w:val="24"/>
                <w14:textFill>
                  <w14:solidFill>
                    <w14:schemeClr w14:val="tx1"/>
                  </w14:solidFill>
                </w14:textFill>
              </w:rPr>
              <w:t>整治工程，工程建成后</w:t>
            </w:r>
            <w:r>
              <w:rPr>
                <w:rFonts w:hint="eastAsia" w:ascii="Times New Roman" w:hAnsi="Times New Roman"/>
                <w:color w:val="000000" w:themeColor="text1"/>
                <w:sz w:val="24"/>
                <w:szCs w:val="24"/>
                <w:lang w:eastAsia="zh-CN"/>
                <w14:textFill>
                  <w14:solidFill>
                    <w14:schemeClr w14:val="tx1"/>
                  </w14:solidFill>
                </w14:textFill>
              </w:rPr>
              <w:t>河流防洪级别可达</w:t>
            </w:r>
            <w:r>
              <w:rPr>
                <w:rFonts w:hint="eastAsia" w:ascii="Times New Roman" w:hAnsi="Times New Roman" w:eastAsia="宋体"/>
                <w:color w:val="000000" w:themeColor="text1"/>
                <w:sz w:val="24"/>
                <w:szCs w:val="24"/>
                <w14:textFill>
                  <w14:solidFill>
                    <w14:schemeClr w14:val="tx1"/>
                  </w14:solidFill>
                </w14:textFill>
              </w:rPr>
              <w:t>到</w:t>
            </w:r>
            <w:r>
              <w:rPr>
                <w:rFonts w:hint="eastAsia" w:ascii="Times New Roman" w:hAnsi="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olor w:val="000000" w:themeColor="text1"/>
                <w:sz w:val="24"/>
                <w:szCs w:val="24"/>
                <w14:textFill>
                  <w14:solidFill>
                    <w14:schemeClr w14:val="tx1"/>
                  </w14:solidFill>
                </w14:textFill>
              </w:rPr>
              <w:t>年一遇，有利于改善河道防洪现状，提高河道行洪能力，保护区域</w:t>
            </w:r>
            <w:r>
              <w:rPr>
                <w:rFonts w:hint="eastAsia" w:ascii="Times New Roman" w:hAnsi="Times New Roman"/>
                <w:color w:val="000000" w:themeColor="text1"/>
                <w:sz w:val="24"/>
                <w:szCs w:val="24"/>
                <w:lang w:eastAsia="zh-CN"/>
                <w14:textFill>
                  <w14:solidFill>
                    <w14:schemeClr w14:val="tx1"/>
                  </w14:solidFill>
                </w14:textFill>
              </w:rPr>
              <w:t>农田</w:t>
            </w:r>
            <w:r>
              <w:rPr>
                <w:rFonts w:hint="eastAsia" w:ascii="Times New Roman" w:hAnsi="Times New Roman" w:eastAsia="宋体"/>
                <w:color w:val="000000" w:themeColor="text1"/>
                <w:sz w:val="24"/>
                <w:szCs w:val="24"/>
                <w14:textFill>
                  <w14:solidFill>
                    <w14:schemeClr w14:val="tx1"/>
                  </w14:solidFill>
                </w14:textFill>
              </w:rPr>
              <w:t>安全。此外</w:t>
            </w:r>
            <w:r>
              <w:rPr>
                <w:rFonts w:hint="eastAsia" w:ascii="Times New Roman" w:hAnsi="Times New Roman"/>
                <w:color w:val="000000" w:themeColor="text1"/>
                <w:sz w:val="24"/>
                <w:szCs w:val="24"/>
                <w:lang w:eastAsia="zh-CN"/>
                <w14:textFill>
                  <w14:solidFill>
                    <w14:schemeClr w14:val="tx1"/>
                  </w14:solidFill>
                </w14:textFill>
              </w:rPr>
              <w:t>，项目</w:t>
            </w:r>
            <w:r>
              <w:rPr>
                <w:rFonts w:ascii="Times New Roman" w:hAnsi="Times New Roman" w:cs="Times New Roman"/>
                <w:color w:val="000000" w:themeColor="text1"/>
                <w:sz w:val="24"/>
                <w:szCs w:val="24"/>
                <w14:textFill>
                  <w14:solidFill>
                    <w14:schemeClr w14:val="tx1"/>
                  </w14:solidFill>
                </w14:textFill>
              </w:rPr>
              <w:t>运营期不向外界排放污染物</w:t>
            </w:r>
            <w:r>
              <w:rPr>
                <w:rFonts w:hint="eastAsia" w:ascii="Times New Roman" w:hAnsi="Times New Roman" w:cs="Times New Roman"/>
                <w:color w:val="000000" w:themeColor="text1"/>
                <w:sz w:val="24"/>
                <w:szCs w:val="24"/>
                <w:lang w:eastAsia="zh-CN"/>
                <w14:textFill>
                  <w14:solidFill>
                    <w14:schemeClr w14:val="tx1"/>
                  </w14:solidFill>
                </w14:textFill>
              </w:rPr>
              <w:t>，因此运营期无三废的产生。运营期加强巡查管护工作，确保行洪安全。</w:t>
            </w:r>
          </w:p>
        </w:tc>
      </w:tr>
      <w:tr w14:paraId="1A2A0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noWrap w:val="0"/>
            <w:vAlign w:val="center"/>
          </w:tcPr>
          <w:p w14:paraId="014AACEE">
            <w:pPr>
              <w:adjustRightInd w:val="0"/>
              <w:snapToGrid w:val="0"/>
              <w:jc w:val="center"/>
              <w:rPr>
                <w:rFonts w:ascii="宋体" w:hAnsi="宋体" w:cs="宋体"/>
                <w:bCs/>
                <w:color w:val="000000" w:themeColor="text1"/>
                <w:spacing w:val="10"/>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其他</w:t>
            </w:r>
          </w:p>
        </w:tc>
        <w:tc>
          <w:tcPr>
            <w:tcW w:w="8457" w:type="dxa"/>
            <w:noWrap w:val="0"/>
            <w:vAlign w:val="top"/>
          </w:tcPr>
          <w:p w14:paraId="4AB4EAF8">
            <w:pPr>
              <w:adjustRightInd w:val="0"/>
              <w:snapToGrid w:val="0"/>
              <w:rPr>
                <w:rFonts w:hint="eastAsia" w:ascii="宋体" w:hAnsi="宋体" w:eastAsia="宋体" w:cs="宋体"/>
                <w:bCs/>
                <w:color w:val="000000" w:themeColor="text1"/>
                <w:spacing w:val="10"/>
                <w:sz w:val="24"/>
                <w:szCs w:val="24"/>
                <w:lang w:eastAsia="zh-CN"/>
                <w14:textFill>
                  <w14:solidFill>
                    <w14:schemeClr w14:val="tx1"/>
                  </w14:solidFill>
                </w14:textFill>
              </w:rPr>
            </w:pPr>
            <w:r>
              <w:rPr>
                <w:rFonts w:hint="eastAsia" w:ascii="宋体" w:hAnsi="宋体" w:cs="宋体"/>
                <w:bCs/>
                <w:color w:val="000000" w:themeColor="text1"/>
                <w:spacing w:val="10"/>
                <w:sz w:val="24"/>
                <w:szCs w:val="24"/>
                <w:lang w:eastAsia="zh-CN"/>
                <w14:textFill>
                  <w14:solidFill>
                    <w14:schemeClr w14:val="tx1"/>
                  </w14:solidFill>
                </w14:textFill>
              </w:rPr>
              <w:t>无</w:t>
            </w:r>
          </w:p>
        </w:tc>
      </w:tr>
      <w:tr w14:paraId="107A8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2" w:hRule="atLeast"/>
          <w:jc w:val="center"/>
        </w:trPr>
        <w:tc>
          <w:tcPr>
            <w:tcW w:w="753" w:type="dxa"/>
            <w:noWrap w:val="0"/>
            <w:vAlign w:val="center"/>
          </w:tcPr>
          <w:p w14:paraId="3E5D252C">
            <w:pPr>
              <w:adjustRightInd w:val="0"/>
              <w:snapToGrid w:val="0"/>
              <w:jc w:val="center"/>
              <w:rPr>
                <w:rFonts w:ascii="宋体" w:hAnsi="宋体" w:cs="宋体"/>
                <w:bCs/>
                <w:color w:val="000000" w:themeColor="text1"/>
                <w:spacing w:val="10"/>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环保投资</w:t>
            </w:r>
          </w:p>
        </w:tc>
        <w:tc>
          <w:tcPr>
            <w:tcW w:w="8457" w:type="dxa"/>
            <w:noWrap w:val="0"/>
            <w:vAlign w:val="top"/>
          </w:tcPr>
          <w:p w14:paraId="2282EC9D">
            <w:pPr>
              <w:spacing w:line="360" w:lineRule="auto"/>
              <w:ind w:firstLine="480" w:firstLineChars="200"/>
              <w:contextualSpacing/>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本项目环保投资主要用于水土保持、</w:t>
            </w:r>
            <w:r>
              <w:rPr>
                <w:rFonts w:hint="eastAsia"/>
                <w:color w:val="000000" w:themeColor="text1"/>
                <w:sz w:val="24"/>
                <w:szCs w:val="24"/>
                <w:highlight w:val="none"/>
                <w:lang w:eastAsia="zh-CN"/>
                <w14:textFill>
                  <w14:solidFill>
                    <w14:schemeClr w14:val="tx1"/>
                  </w14:solidFill>
                </w14:textFill>
              </w:rPr>
              <w:t>场地平整</w:t>
            </w:r>
            <w:r>
              <w:rPr>
                <w:rFonts w:ascii="Times New Roman" w:hAnsi="Times New Roman" w:eastAsia="宋体"/>
                <w:color w:val="000000" w:themeColor="text1"/>
                <w:sz w:val="24"/>
                <w:szCs w:val="24"/>
                <w:highlight w:val="none"/>
                <w14:textFill>
                  <w14:solidFill>
                    <w14:schemeClr w14:val="tx1"/>
                  </w14:solidFill>
                </w14:textFill>
              </w:rPr>
              <w:t>恢复、绿化等方面。本项目总投资为</w:t>
            </w:r>
            <w:r>
              <w:rPr>
                <w:rFonts w:hint="eastAsia"/>
                <w:color w:val="000000" w:themeColor="text1"/>
                <w:spacing w:val="10"/>
                <w:sz w:val="24"/>
                <w:szCs w:val="21"/>
                <w:highlight w:val="none"/>
                <w:lang w:val="en-US" w:eastAsia="zh-CN"/>
                <w14:textFill>
                  <w14:solidFill>
                    <w14:schemeClr w14:val="tx1"/>
                  </w14:solidFill>
                </w14:textFill>
              </w:rPr>
              <w:t>3234.79</w:t>
            </w:r>
            <w:r>
              <w:rPr>
                <w:rFonts w:ascii="Times New Roman" w:hAnsi="Times New Roman" w:eastAsia="宋体"/>
                <w:color w:val="000000" w:themeColor="text1"/>
                <w:sz w:val="24"/>
                <w:szCs w:val="24"/>
                <w:highlight w:val="none"/>
                <w14:textFill>
                  <w14:solidFill>
                    <w14:schemeClr w14:val="tx1"/>
                  </w14:solidFill>
                </w14:textFill>
              </w:rPr>
              <w:t>万元，</w:t>
            </w:r>
            <w:r>
              <w:rPr>
                <w:rFonts w:hint="eastAsia" w:ascii="Times New Roman" w:hAnsi="Times New Roman" w:eastAsia="宋体" w:cs="Times New Roman"/>
                <w:color w:val="000000" w:themeColor="text1"/>
                <w:spacing w:val="10"/>
                <w:sz w:val="24"/>
                <w:szCs w:val="21"/>
                <w:highlight w:val="none"/>
                <w:lang w:val="en-US" w:eastAsia="zh-CN"/>
                <w14:textFill>
                  <w14:solidFill>
                    <w14:schemeClr w14:val="tx1"/>
                  </w14:solidFill>
                </w14:textFill>
              </w:rPr>
              <w:t>其中环保投资为39万元，</w:t>
            </w:r>
            <w:r>
              <w:rPr>
                <w:rFonts w:ascii="Times New Roman" w:hAnsi="Times New Roman" w:eastAsia="宋体"/>
                <w:color w:val="000000" w:themeColor="text1"/>
                <w:sz w:val="24"/>
                <w:szCs w:val="24"/>
                <w:highlight w:val="none"/>
                <w14:textFill>
                  <w14:solidFill>
                    <w14:schemeClr w14:val="tx1"/>
                  </w14:solidFill>
                </w14:textFill>
              </w:rPr>
              <w:t>占工程总投资的</w:t>
            </w:r>
            <w:r>
              <w:rPr>
                <w:rFonts w:hint="eastAsia"/>
                <w:color w:val="000000" w:themeColor="text1"/>
                <w:sz w:val="24"/>
                <w:szCs w:val="24"/>
                <w:highlight w:val="none"/>
                <w:lang w:val="en-US" w:eastAsia="zh-CN"/>
                <w14:textFill>
                  <w14:solidFill>
                    <w14:schemeClr w14:val="tx1"/>
                  </w14:solidFill>
                </w14:textFill>
              </w:rPr>
              <w:t>1.2</w:t>
            </w:r>
            <w:r>
              <w:rPr>
                <w:rFonts w:hint="eastAsia"/>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。各项环保投资概算详见表</w:t>
            </w:r>
            <w:r>
              <w:rPr>
                <w:rFonts w:hint="eastAsia"/>
                <w:color w:val="000000" w:themeColor="text1"/>
                <w:sz w:val="24"/>
                <w:szCs w:val="24"/>
                <w:highlight w:val="none"/>
                <w:lang w:val="en-US" w:eastAsia="zh-CN"/>
                <w14:textFill>
                  <w14:solidFill>
                    <w14:schemeClr w14:val="tx1"/>
                  </w14:solidFill>
                </w14:textFill>
              </w:rPr>
              <w:t>5-3</w:t>
            </w:r>
            <w:r>
              <w:rPr>
                <w:rFonts w:ascii="Times New Roman" w:hAnsi="Times New Roman" w:eastAsia="宋体"/>
                <w:color w:val="000000" w:themeColor="text1"/>
                <w:sz w:val="24"/>
                <w:szCs w:val="24"/>
                <w:highlight w:val="none"/>
                <w14:textFill>
                  <w14:solidFill>
                    <w14:schemeClr w14:val="tx1"/>
                  </w14:solidFill>
                </w14:textFill>
              </w:rPr>
              <w:t xml:space="preserve">。 </w:t>
            </w:r>
          </w:p>
          <w:p w14:paraId="24094524">
            <w:pPr>
              <w:pStyle w:val="52"/>
              <w:keepNext w:val="0"/>
              <w:keepLines w:val="0"/>
              <w:pageBreakBefore w:val="0"/>
              <w:widowControl w:val="0"/>
              <w:kinsoku/>
              <w:wordWrap/>
              <w:overflowPunct/>
              <w:topLinePunct w:val="0"/>
              <w:autoSpaceDE/>
              <w:autoSpaceDN/>
              <w:bidi w:val="0"/>
              <w:adjustRightInd/>
              <w:snapToGrid/>
              <w:spacing w:after="0" w:line="240" w:lineRule="auto"/>
              <w:ind w:left="0" w:leftChars="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表</w:t>
            </w:r>
            <w:r>
              <w:rPr>
                <w:rFonts w:hint="eastAsia"/>
                <w:color w:val="000000" w:themeColor="text1"/>
                <w:lang w:val="en-US" w:eastAsia="zh-CN"/>
                <w14:textFill>
                  <w14:solidFill>
                    <w14:schemeClr w14:val="tx1"/>
                  </w14:solidFill>
                </w14:textFill>
              </w:rPr>
              <w:t>5-3</w:t>
            </w:r>
            <w:r>
              <w:rPr>
                <w:rFonts w:hint="eastAsia"/>
                <w:color w:val="000000" w:themeColor="text1"/>
                <w:lang w:eastAsia="zh-CN"/>
                <w14:textFill>
                  <w14:solidFill>
                    <w14:schemeClr w14:val="tx1"/>
                  </w14:solidFill>
                </w14:textFill>
              </w:rPr>
              <w:t xml:space="preserve">    环保投资一览表     单位：万元</w:t>
            </w:r>
          </w:p>
          <w:tbl>
            <w:tblPr>
              <w:tblStyle w:val="20"/>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0"/>
              <w:gridCol w:w="1905"/>
              <w:gridCol w:w="3409"/>
              <w:gridCol w:w="1066"/>
              <w:gridCol w:w="867"/>
            </w:tblGrid>
            <w:tr w14:paraId="3942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76" w:type="pct"/>
                  <w:vAlign w:val="center"/>
                </w:tcPr>
                <w:p w14:paraId="4716E86A">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阶段</w:t>
                  </w:r>
                </w:p>
              </w:tc>
              <w:tc>
                <w:tcPr>
                  <w:tcW w:w="1215" w:type="pct"/>
                  <w:vAlign w:val="center"/>
                </w:tcPr>
                <w:p w14:paraId="46812E2D">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名称</w:t>
                  </w:r>
                </w:p>
              </w:tc>
              <w:tc>
                <w:tcPr>
                  <w:tcW w:w="2174" w:type="pct"/>
                  <w:vAlign w:val="center"/>
                </w:tcPr>
                <w:p w14:paraId="37E4E280">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环保项目</w:t>
                  </w:r>
                </w:p>
              </w:tc>
              <w:tc>
                <w:tcPr>
                  <w:tcW w:w="680" w:type="pct"/>
                  <w:vAlign w:val="center"/>
                </w:tcPr>
                <w:p w14:paraId="20B7DC88">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投资估算</w:t>
                  </w:r>
                </w:p>
              </w:tc>
              <w:tc>
                <w:tcPr>
                  <w:tcW w:w="553" w:type="pct"/>
                  <w:vAlign w:val="center"/>
                </w:tcPr>
                <w:p w14:paraId="36CBDB20">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备注</w:t>
                  </w:r>
                </w:p>
              </w:tc>
            </w:tr>
            <w:tr w14:paraId="603B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376" w:type="pct"/>
                  <w:vMerge w:val="restart"/>
                  <w:vAlign w:val="center"/>
                </w:tcPr>
                <w:p w14:paraId="28F97205">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施</w:t>
                  </w:r>
                </w:p>
                <w:p w14:paraId="4584983C">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工</w:t>
                  </w:r>
                </w:p>
                <w:p w14:paraId="1568F099">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期</w:t>
                  </w:r>
                </w:p>
              </w:tc>
              <w:tc>
                <w:tcPr>
                  <w:tcW w:w="1215" w:type="pct"/>
                  <w:shd w:val="clear" w:color="auto" w:fill="auto"/>
                  <w:vAlign w:val="center"/>
                </w:tcPr>
                <w:p w14:paraId="52F91D48">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扬尘污染防治措施</w:t>
                  </w:r>
                </w:p>
              </w:tc>
              <w:tc>
                <w:tcPr>
                  <w:tcW w:w="2174" w:type="pct"/>
                  <w:vAlign w:val="center"/>
                </w:tcPr>
                <w:p w14:paraId="716BE001">
                  <w:pPr>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洒水降尘、围挡设施</w:t>
                  </w:r>
                  <w:r>
                    <w:rPr>
                      <w:rFonts w:hint="eastAsia" w:ascii="Times New Roman" w:hAnsi="Times New Roman" w:eastAsia="宋体"/>
                      <w:color w:val="000000" w:themeColor="text1"/>
                      <w:sz w:val="21"/>
                      <w:szCs w:val="21"/>
                      <w14:textFill>
                        <w14:solidFill>
                          <w14:schemeClr w14:val="tx1"/>
                        </w14:solidFill>
                      </w14:textFill>
                    </w:rPr>
                    <w:t>、遮盖布</w:t>
                  </w:r>
                </w:p>
              </w:tc>
              <w:tc>
                <w:tcPr>
                  <w:tcW w:w="680" w:type="pct"/>
                  <w:vAlign w:val="center"/>
                </w:tcPr>
                <w:p w14:paraId="0402DF9F">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14:paraId="0C8F7A2D">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157C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376" w:type="pct"/>
                  <w:vMerge w:val="continue"/>
                  <w:vAlign w:val="center"/>
                </w:tcPr>
                <w:p w14:paraId="5D272D79">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shd w:val="clear" w:color="auto" w:fill="auto"/>
                  <w:vAlign w:val="center"/>
                </w:tcPr>
                <w:p w14:paraId="71867FF4">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噪声污染防治措施</w:t>
                  </w:r>
                </w:p>
              </w:tc>
              <w:tc>
                <w:tcPr>
                  <w:tcW w:w="2174" w:type="pct"/>
                  <w:vAlign w:val="center"/>
                </w:tcPr>
                <w:p w14:paraId="1257B6E7">
                  <w:pPr>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夜间禁止施工</w:t>
                  </w:r>
                  <w:r>
                    <w:rPr>
                      <w:rFonts w:hint="eastAsia" w:ascii="Times New Roman" w:hAnsi="Times New Roman" w:eastAsia="宋体"/>
                      <w:color w:val="000000" w:themeColor="text1"/>
                      <w:sz w:val="21"/>
                      <w:szCs w:val="21"/>
                      <w14:textFill>
                        <w14:solidFill>
                          <w14:schemeClr w14:val="tx1"/>
                        </w14:solidFill>
                      </w14:textFill>
                    </w:rPr>
                    <w:t>、围挡</w:t>
                  </w:r>
                  <w:r>
                    <w:rPr>
                      <w:rFonts w:ascii="Times New Roman" w:hAnsi="Times New Roman" w:eastAsia="宋体"/>
                      <w:color w:val="000000" w:themeColor="text1"/>
                      <w:sz w:val="21"/>
                      <w:szCs w:val="21"/>
                      <w14:textFill>
                        <w14:solidFill>
                          <w14:schemeClr w14:val="tx1"/>
                        </w14:solidFill>
                      </w14:textFill>
                    </w:rPr>
                    <w:t>等</w:t>
                  </w:r>
                </w:p>
              </w:tc>
              <w:tc>
                <w:tcPr>
                  <w:tcW w:w="680" w:type="pct"/>
                  <w:vAlign w:val="center"/>
                </w:tcPr>
                <w:p w14:paraId="40EE264D">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14:paraId="757588E7">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7E6F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4" w:hRule="atLeast"/>
                <w:jc w:val="center"/>
              </w:trPr>
              <w:tc>
                <w:tcPr>
                  <w:tcW w:w="376" w:type="pct"/>
                  <w:vMerge w:val="continue"/>
                  <w:vAlign w:val="center"/>
                </w:tcPr>
                <w:p w14:paraId="4800123B">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Merge w:val="restart"/>
                  <w:shd w:val="clear" w:color="auto" w:fill="auto"/>
                  <w:vAlign w:val="center"/>
                </w:tcPr>
                <w:p w14:paraId="7E5157B4">
                  <w:pPr>
                    <w:tabs>
                      <w:tab w:val="left" w:pos="1021"/>
                    </w:tabs>
                    <w:spacing w:line="240" w:lineRule="exact"/>
                    <w:jc w:val="center"/>
                    <w:rPr>
                      <w:rFonts w:ascii="Times New Roman" w:hAnsi="Times New Roman" w:eastAsia="宋体"/>
                      <w:color w:val="FF0000"/>
                      <w:sz w:val="21"/>
                      <w:szCs w:val="21"/>
                    </w:rPr>
                  </w:pPr>
                  <w:r>
                    <w:rPr>
                      <w:rFonts w:ascii="Times New Roman" w:hAnsi="Times New Roman" w:eastAsia="宋体"/>
                      <w:color w:val="FF0000"/>
                      <w:sz w:val="21"/>
                      <w:szCs w:val="21"/>
                    </w:rPr>
                    <w:t>废水污染防治措施</w:t>
                  </w:r>
                </w:p>
              </w:tc>
              <w:tc>
                <w:tcPr>
                  <w:tcW w:w="2174" w:type="pct"/>
                  <w:vAlign w:val="center"/>
                </w:tcPr>
                <w:p w14:paraId="27FA1883">
                  <w:pPr>
                    <w:tabs>
                      <w:tab w:val="left" w:pos="1021"/>
                    </w:tabs>
                    <w:spacing w:line="240" w:lineRule="exact"/>
                    <w:jc w:val="center"/>
                    <w:rPr>
                      <w:rFonts w:hint="eastAsia" w:ascii="Times New Roman" w:hAnsi="Times New Roman" w:eastAsia="宋体"/>
                      <w:color w:val="FF0000"/>
                      <w:sz w:val="21"/>
                      <w:szCs w:val="21"/>
                      <w:lang w:eastAsia="zh-CN"/>
                    </w:rPr>
                  </w:pPr>
                  <w:r>
                    <w:rPr>
                      <w:rFonts w:hint="eastAsia" w:ascii="Times New Roman" w:hAnsi="Times New Roman" w:eastAsia="宋体"/>
                      <w:color w:val="FF0000"/>
                      <w:sz w:val="21"/>
                      <w:szCs w:val="21"/>
                    </w:rPr>
                    <w:t>排水渠</w:t>
                  </w:r>
                  <w:r>
                    <w:rPr>
                      <w:rFonts w:hint="eastAsia" w:ascii="Times New Roman" w:hAnsi="Times New Roman" w:eastAsia="宋体"/>
                      <w:color w:val="FF0000"/>
                      <w:sz w:val="21"/>
                      <w:szCs w:val="21"/>
                      <w:lang w:eastAsia="zh-CN"/>
                    </w:rPr>
                    <w:t>、围堰</w:t>
                  </w:r>
                  <w:r>
                    <w:rPr>
                      <w:rFonts w:hint="eastAsia"/>
                      <w:color w:val="FF0000"/>
                      <w:sz w:val="21"/>
                      <w:szCs w:val="21"/>
                      <w:lang w:eastAsia="zh-CN"/>
                    </w:rPr>
                    <w:t>，</w:t>
                  </w:r>
                  <w:r>
                    <w:rPr>
                      <w:rFonts w:hint="default" w:ascii="Times New Roman" w:hAnsi="Times New Roman" w:eastAsia="宋体" w:cs="Times New Roman"/>
                      <w:color w:val="FF0000"/>
                      <w:szCs w:val="21"/>
                    </w:rPr>
                    <w:t>设置</w:t>
                  </w:r>
                  <w:r>
                    <w:rPr>
                      <w:rFonts w:hint="eastAsia" w:cs="Times New Roman"/>
                      <w:color w:val="FF0000"/>
                      <w:szCs w:val="21"/>
                      <w:lang w:val="en-US" w:eastAsia="zh-CN"/>
                    </w:rPr>
                    <w:t>1</w:t>
                  </w:r>
                  <w:r>
                    <w:rPr>
                      <w:rFonts w:hint="default" w:ascii="Times New Roman" w:hAnsi="Times New Roman" w:eastAsia="宋体" w:cs="Times New Roman"/>
                      <w:color w:val="FF0000"/>
                      <w:szCs w:val="21"/>
                    </w:rPr>
                    <w:t>座</w:t>
                  </w:r>
                  <w:r>
                    <w:rPr>
                      <w:rFonts w:hint="eastAsia" w:cs="Times New Roman"/>
                      <w:color w:val="FF0000"/>
                      <w:szCs w:val="21"/>
                      <w:lang w:val="en-US" w:eastAsia="zh-CN"/>
                    </w:rPr>
                    <w:t>移动环保厕所</w:t>
                  </w:r>
                </w:p>
              </w:tc>
              <w:tc>
                <w:tcPr>
                  <w:tcW w:w="680" w:type="pct"/>
                  <w:vAlign w:val="center"/>
                </w:tcPr>
                <w:p w14:paraId="1F966A8D">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14:paraId="218731AA">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6774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76" w:type="pct"/>
                  <w:vMerge w:val="continue"/>
                  <w:vAlign w:val="center"/>
                </w:tcPr>
                <w:p w14:paraId="4502E9DB">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Merge w:val="restart"/>
                  <w:shd w:val="clear" w:color="auto" w:fill="auto"/>
                  <w:vAlign w:val="center"/>
                </w:tcPr>
                <w:p w14:paraId="73D2FA3D">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固废处置措施</w:t>
                  </w:r>
                </w:p>
              </w:tc>
              <w:tc>
                <w:tcPr>
                  <w:tcW w:w="2174" w:type="pct"/>
                  <w:vAlign w:val="center"/>
                </w:tcPr>
                <w:p w14:paraId="49DD8B30">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修建临时堆场</w:t>
                  </w:r>
                </w:p>
              </w:tc>
              <w:tc>
                <w:tcPr>
                  <w:tcW w:w="680" w:type="pct"/>
                  <w:vAlign w:val="center"/>
                </w:tcPr>
                <w:p w14:paraId="03E3257B">
                  <w:pPr>
                    <w:tabs>
                      <w:tab w:val="left" w:pos="1021"/>
                    </w:tabs>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553" w:type="pct"/>
                  <w:vAlign w:val="center"/>
                </w:tcPr>
                <w:p w14:paraId="35299FB5">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5689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76" w:type="pct"/>
                  <w:vMerge w:val="continue"/>
                  <w:vAlign w:val="center"/>
                </w:tcPr>
                <w:p w14:paraId="79E5617E">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Merge w:val="continue"/>
                  <w:shd w:val="clear" w:color="auto" w:fill="auto"/>
                  <w:vAlign w:val="center"/>
                </w:tcPr>
                <w:p w14:paraId="258207F6">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2174" w:type="pct"/>
                  <w:vAlign w:val="center"/>
                </w:tcPr>
                <w:p w14:paraId="4B2F14E4">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分类垃圾桶</w:t>
                  </w:r>
                </w:p>
              </w:tc>
              <w:tc>
                <w:tcPr>
                  <w:tcW w:w="680" w:type="pct"/>
                  <w:vAlign w:val="center"/>
                </w:tcPr>
                <w:p w14:paraId="0B199AB9">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p>
              </w:tc>
              <w:tc>
                <w:tcPr>
                  <w:tcW w:w="553" w:type="pct"/>
                  <w:vAlign w:val="center"/>
                </w:tcPr>
                <w:p w14:paraId="558FA642">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24F7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376" w:type="pct"/>
                  <w:vMerge w:val="continue"/>
                  <w:vAlign w:val="center"/>
                </w:tcPr>
                <w:p w14:paraId="3F723814">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shd w:val="clear" w:color="auto" w:fill="auto"/>
                  <w:vAlign w:val="center"/>
                </w:tcPr>
                <w:p w14:paraId="0C6D9AB3">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水土保持措施</w:t>
                  </w:r>
                </w:p>
              </w:tc>
              <w:tc>
                <w:tcPr>
                  <w:tcW w:w="2174" w:type="pct"/>
                  <w:vAlign w:val="center"/>
                </w:tcPr>
                <w:p w14:paraId="2B22E54C">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防护、</w:t>
                  </w:r>
                  <w:r>
                    <w:rPr>
                      <w:rFonts w:hint="eastAsia"/>
                      <w:color w:val="000000" w:themeColor="text1"/>
                      <w:sz w:val="21"/>
                      <w:szCs w:val="21"/>
                      <w:lang w:eastAsia="zh-CN"/>
                      <w14:textFill>
                        <w14:solidFill>
                          <w14:schemeClr w14:val="tx1"/>
                        </w14:solidFill>
                      </w14:textFill>
                    </w:rPr>
                    <w:t>平整</w:t>
                  </w:r>
                  <w:r>
                    <w:rPr>
                      <w:rFonts w:ascii="Times New Roman" w:hAnsi="Times New Roman" w:eastAsia="宋体"/>
                      <w:color w:val="000000" w:themeColor="text1"/>
                      <w:sz w:val="21"/>
                      <w:szCs w:val="21"/>
                      <w14:textFill>
                        <w14:solidFill>
                          <w14:schemeClr w14:val="tx1"/>
                        </w14:solidFill>
                      </w14:textFill>
                    </w:rPr>
                    <w:t>复垦及绿化等措施</w:t>
                  </w:r>
                </w:p>
              </w:tc>
              <w:tc>
                <w:tcPr>
                  <w:tcW w:w="680" w:type="pct"/>
                  <w:vAlign w:val="center"/>
                </w:tcPr>
                <w:p w14:paraId="4200C7B4">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14:paraId="29CCDC71">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0087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376" w:type="pct"/>
                  <w:vMerge w:val="continue"/>
                  <w:vAlign w:val="center"/>
                </w:tcPr>
                <w:p w14:paraId="6876D488">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shd w:val="clear" w:color="auto" w:fill="auto"/>
                  <w:vAlign w:val="center"/>
                </w:tcPr>
                <w:p w14:paraId="052A9B18">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临时占地恢复措施</w:t>
                  </w:r>
                </w:p>
              </w:tc>
              <w:tc>
                <w:tcPr>
                  <w:tcW w:w="2174" w:type="pct"/>
                  <w:vAlign w:val="center"/>
                </w:tcPr>
                <w:p w14:paraId="58632ECA">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熟土层分层堆放，分层回填，恢复为原状</w:t>
                  </w:r>
                </w:p>
              </w:tc>
              <w:tc>
                <w:tcPr>
                  <w:tcW w:w="680" w:type="pct"/>
                  <w:vAlign w:val="center"/>
                </w:tcPr>
                <w:p w14:paraId="4A7BF435">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14:paraId="39B2FE94">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22FD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76" w:type="pct"/>
                  <w:vMerge w:val="continue"/>
                  <w:vAlign w:val="center"/>
                </w:tcPr>
                <w:p w14:paraId="234FF678">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Align w:val="center"/>
                </w:tcPr>
                <w:p w14:paraId="4EB73E1A">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环境管理</w:t>
                  </w:r>
                </w:p>
              </w:tc>
              <w:tc>
                <w:tcPr>
                  <w:tcW w:w="2174" w:type="pct"/>
                  <w:vAlign w:val="center"/>
                </w:tcPr>
                <w:p w14:paraId="40B74B3A">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制定环境管理规章制度等</w:t>
                  </w:r>
                </w:p>
              </w:tc>
              <w:tc>
                <w:tcPr>
                  <w:tcW w:w="680" w:type="pct"/>
                  <w:vAlign w:val="center"/>
                </w:tcPr>
                <w:p w14:paraId="221E9B5D">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w:t>
                  </w:r>
                </w:p>
              </w:tc>
              <w:tc>
                <w:tcPr>
                  <w:tcW w:w="553" w:type="pct"/>
                  <w:vAlign w:val="center"/>
                </w:tcPr>
                <w:p w14:paraId="5625529D">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7D72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76" w:type="pct"/>
                  <w:vMerge w:val="continue"/>
                  <w:vAlign w:val="center"/>
                </w:tcPr>
                <w:p w14:paraId="6DB6C902">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Align w:val="center"/>
                </w:tcPr>
                <w:p w14:paraId="61104C1E">
                  <w:pPr>
                    <w:keepNext w:val="0"/>
                    <w:keepLines w:val="0"/>
                    <w:pageBreakBefore w:val="0"/>
                    <w:widowControl w:val="0"/>
                    <w:tabs>
                      <w:tab w:val="left" w:pos="1021"/>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环境监测</w:t>
                  </w:r>
                </w:p>
              </w:tc>
              <w:tc>
                <w:tcPr>
                  <w:tcW w:w="2174" w:type="pct"/>
                  <w:vAlign w:val="center"/>
                </w:tcPr>
                <w:p w14:paraId="0FE8CA11">
                  <w:pPr>
                    <w:keepNext w:val="0"/>
                    <w:keepLines w:val="0"/>
                    <w:pageBreakBefore w:val="0"/>
                    <w:widowControl w:val="0"/>
                    <w:tabs>
                      <w:tab w:val="left" w:pos="1021"/>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地表水、噪声的监测</w:t>
                  </w:r>
                </w:p>
              </w:tc>
              <w:tc>
                <w:tcPr>
                  <w:tcW w:w="680" w:type="pct"/>
                  <w:vAlign w:val="center"/>
                </w:tcPr>
                <w:p w14:paraId="13D673D9">
                  <w:pPr>
                    <w:keepNext w:val="0"/>
                    <w:keepLines w:val="0"/>
                    <w:pageBreakBefore w:val="0"/>
                    <w:widowControl w:val="0"/>
                    <w:tabs>
                      <w:tab w:val="left" w:pos="1021"/>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553" w:type="pct"/>
                  <w:vAlign w:val="center"/>
                </w:tcPr>
                <w:p w14:paraId="78660A5E">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14:paraId="56A4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4" w:hRule="atLeast"/>
                <w:jc w:val="center"/>
              </w:trPr>
              <w:tc>
                <w:tcPr>
                  <w:tcW w:w="1591" w:type="pct"/>
                  <w:gridSpan w:val="2"/>
                  <w:vAlign w:val="center"/>
                </w:tcPr>
                <w:p w14:paraId="40D53542">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总环保投资</w:t>
                  </w:r>
                </w:p>
              </w:tc>
              <w:tc>
                <w:tcPr>
                  <w:tcW w:w="2174" w:type="pct"/>
                  <w:vAlign w:val="center"/>
                </w:tcPr>
                <w:p w14:paraId="73417A6D">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680" w:type="pct"/>
                  <w:vAlign w:val="center"/>
                </w:tcPr>
                <w:p w14:paraId="7397D995">
                  <w:pPr>
                    <w:tabs>
                      <w:tab w:val="left" w:pos="1021"/>
                    </w:tabs>
                    <w:spacing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w:t>
                  </w:r>
                </w:p>
              </w:tc>
              <w:tc>
                <w:tcPr>
                  <w:tcW w:w="553" w:type="pct"/>
                  <w:vAlign w:val="center"/>
                </w:tcPr>
                <w:p w14:paraId="1C0FD16C">
                  <w:pPr>
                    <w:tabs>
                      <w:tab w:val="left" w:pos="1021"/>
                    </w:tabs>
                    <w:spacing w:line="240" w:lineRule="exact"/>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占</w:t>
                  </w:r>
                  <w:r>
                    <w:rPr>
                      <w:rFonts w:hint="eastAsia"/>
                      <w:color w:val="000000" w:themeColor="text1"/>
                      <w:sz w:val="21"/>
                      <w:szCs w:val="21"/>
                      <w:highlight w:val="none"/>
                      <w:lang w:val="en-US" w:eastAsia="zh-CN"/>
                      <w14:textFill>
                        <w14:solidFill>
                          <w14:schemeClr w14:val="tx1"/>
                        </w14:solidFill>
                      </w14:textFill>
                    </w:rPr>
                    <w:t>1.2</w:t>
                  </w:r>
                  <w:r>
                    <w:rPr>
                      <w:rFonts w:hint="eastAsia"/>
                      <w:color w:val="000000" w:themeColor="text1"/>
                      <w:sz w:val="21"/>
                      <w:szCs w:val="21"/>
                      <w:highlight w:val="none"/>
                      <w:lang w:eastAsia="zh-CN"/>
                      <w14:textFill>
                        <w14:solidFill>
                          <w14:schemeClr w14:val="tx1"/>
                        </w14:solidFill>
                      </w14:textFill>
                    </w:rPr>
                    <w:t>%</w:t>
                  </w:r>
                </w:p>
              </w:tc>
            </w:tr>
          </w:tbl>
          <w:p w14:paraId="577A13A6">
            <w:pPr>
              <w:adjustRightInd w:val="0"/>
              <w:snapToGrid w:val="0"/>
              <w:rPr>
                <w:rFonts w:ascii="宋体" w:hAnsi="宋体" w:cs="宋体"/>
                <w:bCs/>
                <w:color w:val="000000" w:themeColor="text1"/>
                <w:spacing w:val="10"/>
                <w:sz w:val="24"/>
                <w:szCs w:val="24"/>
                <w14:textFill>
                  <w14:solidFill>
                    <w14:schemeClr w14:val="tx1"/>
                  </w14:solidFill>
                </w14:textFill>
              </w:rPr>
            </w:pPr>
          </w:p>
        </w:tc>
      </w:tr>
    </w:tbl>
    <w:p w14:paraId="5F2F831D">
      <w:pPr>
        <w:rPr>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425" w:num="1"/>
          <w:docGrid w:linePitch="312" w:charSpace="0"/>
        </w:sectPr>
      </w:pPr>
    </w:p>
    <w:p w14:paraId="507DC3F8">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六、生态环境保护措施监督检查清单</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3008"/>
        <w:gridCol w:w="2376"/>
        <w:gridCol w:w="983"/>
        <w:gridCol w:w="841"/>
      </w:tblGrid>
      <w:tr w14:paraId="76D8D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vMerge w:val="restart"/>
            <w:tcBorders>
              <w:tl2br w:val="single" w:color="auto" w:sz="4" w:space="0"/>
            </w:tcBorders>
            <w:noWrap w:val="0"/>
            <w:vAlign w:val="top"/>
          </w:tcPr>
          <w:p w14:paraId="4777227E">
            <w:pPr>
              <w:pStyle w:val="16"/>
              <w:adjustRightInd w:val="0"/>
              <w:snapToGrid w:val="0"/>
              <w:spacing w:before="72" w:beforeLines="30" w:beforeAutospacing="0" w:after="0" w:afterAutospacing="0"/>
              <w:jc w:val="center"/>
              <w:outlineLvl w:val="0"/>
              <w:rPr>
                <w:rFonts w:hint="eastAsia"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 xml:space="preserve">       </w:t>
            </w:r>
          </w:p>
          <w:p w14:paraId="32DAEBBA">
            <w:pPr>
              <w:pStyle w:val="16"/>
              <w:adjustRightInd w:val="0"/>
              <w:snapToGrid w:val="0"/>
              <w:spacing w:before="72" w:beforeLines="3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 xml:space="preserve">     内容        </w:t>
            </w:r>
          </w:p>
          <w:p w14:paraId="1FF27362">
            <w:pPr>
              <w:pStyle w:val="16"/>
              <w:adjustRightInd w:val="0"/>
              <w:snapToGrid w:val="0"/>
              <w:spacing w:before="0" w:beforeAutospacing="0" w:after="0" w:afterAutospacing="0" w:line="14" w:lineRule="auto"/>
              <w:outlineLvl w:val="0"/>
              <w:rPr>
                <w:rFonts w:hint="eastAsia"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 xml:space="preserve">  </w:t>
            </w:r>
          </w:p>
          <w:p w14:paraId="35192EC8">
            <w:pPr>
              <w:pStyle w:val="16"/>
              <w:adjustRightInd w:val="0"/>
              <w:snapToGrid w:val="0"/>
              <w:spacing w:before="0" w:beforeAutospacing="0" w:after="0" w:afterAutospacing="0"/>
              <w:outlineLvl w:val="0"/>
              <w:rPr>
                <w:rFonts w:hint="eastAsia"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要素</w:t>
            </w:r>
          </w:p>
        </w:tc>
        <w:tc>
          <w:tcPr>
            <w:tcW w:w="3045" w:type="pct"/>
            <w:gridSpan w:val="2"/>
            <w:noWrap w:val="0"/>
            <w:vAlign w:val="center"/>
          </w:tcPr>
          <w:p w14:paraId="0654638F">
            <w:pPr>
              <w:pStyle w:val="16"/>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施工期</w:t>
            </w:r>
          </w:p>
        </w:tc>
        <w:tc>
          <w:tcPr>
            <w:tcW w:w="1145" w:type="pct"/>
            <w:gridSpan w:val="2"/>
            <w:noWrap w:val="0"/>
            <w:vAlign w:val="center"/>
          </w:tcPr>
          <w:p w14:paraId="6401DC4B">
            <w:pPr>
              <w:pStyle w:val="16"/>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运营期</w:t>
            </w:r>
          </w:p>
        </w:tc>
      </w:tr>
      <w:tr w14:paraId="7703C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vMerge w:val="continue"/>
            <w:noWrap w:val="0"/>
            <w:vAlign w:val="top"/>
          </w:tcPr>
          <w:p w14:paraId="402A5F66">
            <w:pPr>
              <w:pStyle w:val="16"/>
              <w:adjustRightInd w:val="0"/>
              <w:snapToGrid w:val="0"/>
              <w:spacing w:before="0" w:beforeAutospacing="0" w:after="0" w:afterAutospacing="0"/>
              <w:ind w:firstLine="840"/>
              <w:jc w:val="center"/>
              <w:outlineLvl w:val="0"/>
              <w:rPr>
                <w:rFonts w:ascii="黑体" w:hAnsi="黑体" w:eastAsia="黑体" w:cs="宋体"/>
                <w:color w:val="000000" w:themeColor="text1"/>
                <w:kern w:val="2"/>
                <w:sz w:val="24"/>
                <w:szCs w:val="24"/>
                <w14:textFill>
                  <w14:solidFill>
                    <w14:schemeClr w14:val="tx1"/>
                  </w14:solidFill>
                </w14:textFill>
              </w:rPr>
            </w:pPr>
          </w:p>
        </w:tc>
        <w:tc>
          <w:tcPr>
            <w:tcW w:w="1802" w:type="pct"/>
            <w:noWrap w:val="0"/>
            <w:vAlign w:val="center"/>
          </w:tcPr>
          <w:p w14:paraId="2E1F631A">
            <w:pPr>
              <w:pStyle w:val="16"/>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环境保护措施</w:t>
            </w:r>
          </w:p>
        </w:tc>
        <w:tc>
          <w:tcPr>
            <w:tcW w:w="1243" w:type="pct"/>
            <w:noWrap w:val="0"/>
            <w:vAlign w:val="center"/>
          </w:tcPr>
          <w:p w14:paraId="6D73C412">
            <w:pPr>
              <w:pStyle w:val="16"/>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验收要求</w:t>
            </w:r>
          </w:p>
        </w:tc>
        <w:tc>
          <w:tcPr>
            <w:tcW w:w="614" w:type="pct"/>
            <w:noWrap w:val="0"/>
            <w:vAlign w:val="center"/>
          </w:tcPr>
          <w:p w14:paraId="5E0786BE">
            <w:pPr>
              <w:pStyle w:val="16"/>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环境保护措施</w:t>
            </w:r>
          </w:p>
        </w:tc>
        <w:tc>
          <w:tcPr>
            <w:tcW w:w="530" w:type="pct"/>
            <w:noWrap w:val="0"/>
            <w:vAlign w:val="center"/>
          </w:tcPr>
          <w:p w14:paraId="1B5CAB74">
            <w:pPr>
              <w:pStyle w:val="16"/>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验收要求</w:t>
            </w:r>
          </w:p>
        </w:tc>
      </w:tr>
      <w:tr w14:paraId="7AA90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2D448582">
            <w:pPr>
              <w:adjustRightInd w:val="0"/>
              <w:snapToGrid w:val="0"/>
              <w:jc w:val="center"/>
              <w:rPr>
                <w:rFonts w:ascii="宋体" w:hAnsi="宋体" w:cs="宋体"/>
                <w:color w:val="auto"/>
                <w:sz w:val="24"/>
                <w:szCs w:val="24"/>
              </w:rPr>
            </w:pPr>
            <w:r>
              <w:rPr>
                <w:rFonts w:hint="eastAsia" w:ascii="宋体" w:hAnsi="宋体" w:cs="宋体"/>
                <w:color w:val="auto"/>
                <w:sz w:val="24"/>
                <w:szCs w:val="24"/>
              </w:rPr>
              <w:t>陆生生态</w:t>
            </w:r>
          </w:p>
        </w:tc>
        <w:tc>
          <w:tcPr>
            <w:tcW w:w="1802" w:type="pct"/>
            <w:noWrap w:val="0"/>
            <w:vAlign w:val="center"/>
          </w:tcPr>
          <w:p w14:paraId="120CD35D">
            <w:pPr>
              <w:adjustRightInd w:val="0"/>
              <w:snapToGrid w:val="0"/>
              <w:rPr>
                <w:rFonts w:hint="default" w:ascii="宋体" w:hAnsi="宋体" w:eastAsia="宋体" w:cs="宋体"/>
                <w:color w:val="auto"/>
                <w:sz w:val="24"/>
                <w:szCs w:val="24"/>
                <w:highlight w:val="none"/>
                <w:lang w:val="en-US" w:eastAsia="zh-CN"/>
              </w:rPr>
            </w:pPr>
            <w:r>
              <w:rPr>
                <w:rFonts w:hint="default" w:ascii="Times New Roman" w:hAnsi="Times New Roman" w:eastAsia="宋体" w:cs="宋体"/>
                <w:color w:val="auto"/>
                <w:sz w:val="24"/>
                <w:szCs w:val="24"/>
                <w:lang w:val="en-US" w:eastAsia="zh-CN"/>
              </w:rPr>
              <w:t>新建护岸、护脚总长12.761km，其中:左岸6.176km，右岸6.585km。 其中: 新建复合式护岸2544m(左岸2269m，右岸275m);新建坡式护脚9518m(左岸3907m，右岸5611m); 右岸新建墙式护脚699m。</w:t>
            </w:r>
          </w:p>
        </w:tc>
        <w:tc>
          <w:tcPr>
            <w:tcW w:w="1243" w:type="pct"/>
            <w:noWrap w:val="0"/>
            <w:vAlign w:val="center"/>
          </w:tcPr>
          <w:p w14:paraId="3CE99037">
            <w:pPr>
              <w:adjustRightInd w:val="0"/>
              <w:snapToGrid w:val="0"/>
              <w:jc w:val="center"/>
              <w:rPr>
                <w:rFonts w:hint="default" w:ascii="宋体" w:hAnsi="宋体" w:eastAsia="宋体" w:cs="宋体"/>
                <w:color w:val="auto"/>
                <w:sz w:val="24"/>
                <w:szCs w:val="24"/>
                <w:highlight w:val="none"/>
                <w:lang w:val="en-US" w:eastAsia="zh-CN"/>
              </w:rPr>
            </w:pPr>
            <w:r>
              <w:rPr>
                <w:rFonts w:hint="default" w:ascii="Times New Roman" w:hAnsi="Times New Roman" w:eastAsia="宋体" w:cs="宋体"/>
                <w:color w:val="FF0000"/>
                <w:sz w:val="24"/>
                <w:szCs w:val="24"/>
                <w:lang w:val="en-US" w:eastAsia="zh-CN"/>
              </w:rPr>
              <w:t>护岸、护脚总长12.761km，</w:t>
            </w:r>
            <w:r>
              <w:rPr>
                <w:rFonts w:hint="default" w:ascii="Times New Roman" w:hAnsi="Times New Roman" w:eastAsia="宋体"/>
                <w:b w:val="0"/>
                <w:bCs w:val="0"/>
                <w:color w:val="FF0000"/>
                <w:sz w:val="24"/>
                <w:szCs w:val="24"/>
                <w:lang w:val="en-US" w:eastAsia="zh-CN"/>
              </w:rPr>
              <w:t>绿滨垫</w:t>
            </w:r>
            <w:r>
              <w:rPr>
                <w:rFonts w:hint="default" w:ascii="Times New Roman" w:hAnsi="Times New Roman" w:eastAsia="宋体" w:cs="宋体"/>
                <w:color w:val="FF0000"/>
                <w:sz w:val="24"/>
                <w:szCs w:val="24"/>
                <w:lang w:val="en-US" w:eastAsia="zh-CN"/>
              </w:rPr>
              <w:t>生态护坡</w:t>
            </w:r>
            <w:r>
              <w:rPr>
                <w:rFonts w:hint="eastAsia" w:ascii="Times New Roman" w:hAnsi="Times New Roman" w:eastAsia="宋体" w:cs="宋体"/>
                <w:color w:val="FF0000"/>
                <w:sz w:val="24"/>
                <w:szCs w:val="24"/>
                <w:lang w:val="en-US" w:eastAsia="zh-CN"/>
              </w:rPr>
              <w:t>，成活率80%以上</w:t>
            </w:r>
          </w:p>
        </w:tc>
        <w:tc>
          <w:tcPr>
            <w:tcW w:w="614" w:type="pct"/>
            <w:noWrap w:val="0"/>
            <w:vAlign w:val="center"/>
          </w:tcPr>
          <w:p w14:paraId="1C771F07">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4E39E5D1">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0E301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09BA2CC1">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水生生态</w:t>
            </w:r>
          </w:p>
        </w:tc>
        <w:tc>
          <w:tcPr>
            <w:tcW w:w="1802" w:type="pct"/>
            <w:noWrap w:val="0"/>
            <w:vAlign w:val="center"/>
          </w:tcPr>
          <w:p w14:paraId="3390FBB9">
            <w:pPr>
              <w:adjustRightInd w:val="0"/>
              <w:snapToGrid w:val="0"/>
              <w:rPr>
                <w:rFonts w:hint="eastAsia" w:ascii="宋体" w:hAnsi="宋体" w:cs="宋体"/>
                <w:color w:val="000000" w:themeColor="text1"/>
                <w:sz w:val="24"/>
                <w:szCs w:val="24"/>
                <w:highlight w:val="none"/>
                <w:lang w:val="en-US" w:eastAsia="zh-CN"/>
                <w14:textFill>
                  <w14:solidFill>
                    <w14:schemeClr w14:val="tx1"/>
                  </w14:solidFill>
                </w14:textFill>
              </w:rPr>
            </w:pPr>
            <w:r>
              <w:rPr>
                <w:color w:val="000000" w:themeColor="text1"/>
                <w:sz w:val="24"/>
                <w:szCs w:val="24"/>
                <w14:textFill>
                  <w14:solidFill>
                    <w14:schemeClr w14:val="tx1"/>
                  </w14:solidFill>
                </w14:textFill>
              </w:rPr>
              <w:t>导流围堰高1～4.0m，顶宽2m</w:t>
            </w:r>
            <w:r>
              <w:rPr>
                <w:rFonts w:hint="eastAsia" w:ascii="宋体" w:hAnsi="宋体" w:cs="宋体"/>
                <w:color w:val="000000" w:themeColor="text1"/>
                <w:sz w:val="24"/>
                <w:szCs w:val="24"/>
                <w:highlight w:val="none"/>
                <w:lang w:val="en-US" w:eastAsia="zh-CN"/>
                <w14:textFill>
                  <w14:solidFill>
                    <w14:schemeClr w14:val="tx1"/>
                  </w14:solidFill>
                </w14:textFill>
              </w:rPr>
              <w:t>，临时堆料场、表土暂存场周边导排渠</w:t>
            </w:r>
          </w:p>
        </w:tc>
        <w:tc>
          <w:tcPr>
            <w:tcW w:w="1243" w:type="pct"/>
            <w:noWrap w:val="0"/>
            <w:vAlign w:val="center"/>
          </w:tcPr>
          <w:p w14:paraId="49140D74">
            <w:pPr>
              <w:adjustRightInd w:val="0"/>
              <w:snapToGrid w:val="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弃方就地消化，废弃土方用于场地平整，表层剥离土壤覆盖后进行绿化恢复</w:t>
            </w:r>
          </w:p>
        </w:tc>
        <w:tc>
          <w:tcPr>
            <w:tcW w:w="614" w:type="pct"/>
            <w:noWrap w:val="0"/>
            <w:vAlign w:val="center"/>
          </w:tcPr>
          <w:p w14:paraId="57747B0A">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496749A6">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2D251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39F01A9A">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地表水环境</w:t>
            </w:r>
          </w:p>
        </w:tc>
        <w:tc>
          <w:tcPr>
            <w:tcW w:w="1802" w:type="pct"/>
            <w:noWrap w:val="0"/>
            <w:vAlign w:val="center"/>
          </w:tcPr>
          <w:p w14:paraId="4A00239B">
            <w:pPr>
              <w:adjustRightInd w:val="0"/>
              <w:snapToGrid w:val="0"/>
              <w:rPr>
                <w:rFonts w:hint="eastAsia" w:ascii="宋体" w:hAnsi="宋体" w:eastAsia="宋体" w:cs="宋体"/>
                <w:color w:val="000000" w:themeColor="text1"/>
                <w:sz w:val="24"/>
                <w:szCs w:val="24"/>
                <w:lang w:eastAsia="zh-CN"/>
                <w14:textFill>
                  <w14:solidFill>
                    <w14:schemeClr w14:val="tx1"/>
                  </w14:solidFill>
                </w14:textFill>
              </w:rPr>
            </w:pPr>
            <w:r>
              <w:rPr>
                <w:rFonts w:hint="eastAsia" w:cs="Times New Roman"/>
                <w:color w:val="FF0000"/>
                <w:sz w:val="24"/>
                <w:szCs w:val="24"/>
                <w:lang w:val="en-US" w:eastAsia="zh-CN"/>
              </w:rPr>
              <w:t>1座移动环保厕所，生活污水收集后拉运至宁县湘乐镇生活污水处理站处理</w:t>
            </w:r>
          </w:p>
        </w:tc>
        <w:tc>
          <w:tcPr>
            <w:tcW w:w="1243" w:type="pct"/>
            <w:noWrap w:val="0"/>
            <w:vAlign w:val="center"/>
          </w:tcPr>
          <w:p w14:paraId="70DBC1DA">
            <w:pPr>
              <w:adjustRightInd w:val="0"/>
              <w:snapToGrid w:val="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cs="Times New Roman"/>
                <w:color w:val="FF0000"/>
                <w:sz w:val="24"/>
                <w:szCs w:val="24"/>
                <w:lang w:val="en-US" w:eastAsia="zh-CN"/>
              </w:rPr>
              <w:t>1座移动环保厕所</w:t>
            </w:r>
          </w:p>
        </w:tc>
        <w:tc>
          <w:tcPr>
            <w:tcW w:w="614" w:type="pct"/>
            <w:noWrap w:val="0"/>
            <w:vAlign w:val="center"/>
          </w:tcPr>
          <w:p w14:paraId="42E330F6">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4DB391E6">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2022B4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480A20F5">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地下水及土壤环境</w:t>
            </w:r>
          </w:p>
        </w:tc>
        <w:tc>
          <w:tcPr>
            <w:tcW w:w="1802" w:type="pct"/>
            <w:noWrap w:val="0"/>
            <w:vAlign w:val="center"/>
          </w:tcPr>
          <w:p w14:paraId="7BA450B9">
            <w:pPr>
              <w:adjustRightInd w:val="0"/>
              <w:snapToGrid w:val="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1243" w:type="pct"/>
            <w:noWrap w:val="0"/>
            <w:vAlign w:val="center"/>
          </w:tcPr>
          <w:p w14:paraId="35E59F84">
            <w:pPr>
              <w:adjustRightInd w:val="0"/>
              <w:snapToGrid w:val="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14:paraId="050C8F3E">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5B94C1C8">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2D62B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6A17D5E6">
            <w:pPr>
              <w:adjustRightInd w:val="0"/>
              <w:snapToGrid w:val="0"/>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声环境</w:t>
            </w:r>
          </w:p>
        </w:tc>
        <w:tc>
          <w:tcPr>
            <w:tcW w:w="3072" w:type="dxa"/>
            <w:noWrap w:val="0"/>
            <w:vAlign w:val="center"/>
          </w:tcPr>
          <w:p w14:paraId="244AB54A">
            <w:pPr>
              <w:adjustRightInd w:val="0"/>
              <w:snapToGrid w:val="0"/>
              <w:jc w:val="center"/>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采用低噪声施工机械，定期进行维护保养，夜间停止施工作业。</w:t>
            </w:r>
          </w:p>
        </w:tc>
        <w:tc>
          <w:tcPr>
            <w:tcW w:w="2119" w:type="dxa"/>
            <w:noWrap w:val="0"/>
            <w:vAlign w:val="center"/>
          </w:tcPr>
          <w:p w14:paraId="53C4E38F">
            <w:pPr>
              <w:adjustRightInd w:val="0"/>
              <w:snapToGrid w:val="0"/>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满足（GB12523-2011）《建筑施工场界环境噪声排放标准》中昼间≤70dB（A），夜间≤55dB（A）</w:t>
            </w:r>
          </w:p>
        </w:tc>
        <w:tc>
          <w:tcPr>
            <w:tcW w:w="614" w:type="pct"/>
            <w:noWrap w:val="0"/>
            <w:vAlign w:val="center"/>
          </w:tcPr>
          <w:p w14:paraId="2FDA78FC">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401F77E2">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50B53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6D8F9D42">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振动</w:t>
            </w:r>
          </w:p>
        </w:tc>
        <w:tc>
          <w:tcPr>
            <w:tcW w:w="1802" w:type="pct"/>
            <w:noWrap w:val="0"/>
            <w:vAlign w:val="center"/>
          </w:tcPr>
          <w:p w14:paraId="1892764A">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1243" w:type="pct"/>
            <w:noWrap w:val="0"/>
            <w:vAlign w:val="center"/>
          </w:tcPr>
          <w:p w14:paraId="558E0EBB">
            <w:pPr>
              <w:adjustRightInd w:val="0"/>
              <w:snapToGrid w:val="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14:paraId="483F4954">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7469C433">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2C3789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47352EB3">
            <w:pPr>
              <w:adjustRightInd w:val="0"/>
              <w:snapToGrid w:val="0"/>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大气环境</w:t>
            </w:r>
          </w:p>
        </w:tc>
        <w:tc>
          <w:tcPr>
            <w:tcW w:w="1802" w:type="pct"/>
            <w:noWrap w:val="0"/>
            <w:vAlign w:val="center"/>
          </w:tcPr>
          <w:p w14:paraId="2081739B">
            <w:pPr>
              <w:adjustRightInd w:val="0"/>
              <w:snapToGrid w:val="0"/>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szCs w:val="24"/>
                <w14:textFill>
                  <w14:solidFill>
                    <w14:schemeClr w14:val="tx1"/>
                  </w14:solidFill>
                </w14:textFill>
              </w:rPr>
              <w:t>设施工围挡，堆场及运输道路定期洒水抑尘</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弃料及其他建筑垃圾，应及时清运</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物料、渣土、垃圾运输过程严格采用密闭运输</w:t>
            </w:r>
          </w:p>
        </w:tc>
        <w:tc>
          <w:tcPr>
            <w:tcW w:w="1243" w:type="pct"/>
            <w:noWrap w:val="0"/>
            <w:vAlign w:val="center"/>
          </w:tcPr>
          <w:p w14:paraId="280227B9">
            <w:pPr>
              <w:adjustRightInd w:val="0"/>
              <w:snapToGrid w:val="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项目施工期扬尘和施工车辆尾气排放执行《大气污染物综合排放标准》（GB16297-1996）中的无组织排放监控浓度限值；施工期是否有环境问题投诉</w:t>
            </w:r>
          </w:p>
        </w:tc>
        <w:tc>
          <w:tcPr>
            <w:tcW w:w="614" w:type="pct"/>
            <w:noWrap w:val="0"/>
            <w:vAlign w:val="center"/>
          </w:tcPr>
          <w:p w14:paraId="07A5E0F0">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1D9583A2">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347A6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3E65CB15">
            <w:pPr>
              <w:adjustRightInd w:val="0"/>
              <w:snapToGrid w:val="0"/>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固体废物</w:t>
            </w:r>
          </w:p>
        </w:tc>
        <w:tc>
          <w:tcPr>
            <w:tcW w:w="1802" w:type="pct"/>
            <w:noWrap w:val="0"/>
            <w:vAlign w:val="center"/>
          </w:tcPr>
          <w:p w14:paraId="082BE75F">
            <w:pPr>
              <w:adjustRightInd w:val="0"/>
              <w:snapToGrid w:val="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生活垃圾</w:t>
            </w:r>
            <w:r>
              <w:rPr>
                <w:rFonts w:hint="eastAsia" w:ascii="Times New Roman" w:hAnsi="Times New Roman" w:eastAsia="宋体" w:cs="宋体"/>
                <w:bCs/>
                <w:color w:val="000000" w:themeColor="text1"/>
                <w:sz w:val="24"/>
                <w:szCs w:val="24"/>
                <w14:textFill>
                  <w14:solidFill>
                    <w14:schemeClr w14:val="tx1"/>
                  </w14:solidFill>
                </w14:textFill>
              </w:rPr>
              <w:t>清运至</w:t>
            </w:r>
            <w:r>
              <w:rPr>
                <w:rFonts w:hint="eastAsia" w:cs="宋体"/>
                <w:bCs/>
                <w:color w:val="000000" w:themeColor="text1"/>
                <w:sz w:val="24"/>
                <w:szCs w:val="24"/>
                <w:lang w:eastAsia="zh-CN"/>
                <w14:textFill>
                  <w14:solidFill>
                    <w14:schemeClr w14:val="tx1"/>
                  </w14:solidFill>
                </w14:textFill>
              </w:rPr>
              <w:t>附近村庄生活垃圾暂存点</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对于有利用价值的</w:t>
            </w:r>
            <w:r>
              <w:rPr>
                <w:rFonts w:hint="eastAsia"/>
                <w:color w:val="000000" w:themeColor="text1"/>
                <w:sz w:val="24"/>
                <w:szCs w:val="24"/>
                <w:lang w:val="en-US" w:eastAsia="zh-CN"/>
                <w14:textFill>
                  <w14:solidFill>
                    <w14:schemeClr w14:val="tx1"/>
                  </w14:solidFill>
                </w14:textFill>
              </w:rPr>
              <w:t>建筑垃圾</w:t>
            </w:r>
            <w:r>
              <w:rPr>
                <w:rFonts w:hint="eastAsia" w:ascii="Times New Roman" w:hAnsi="Times New Roman" w:eastAsia="宋体"/>
                <w:color w:val="000000" w:themeColor="text1"/>
                <w:sz w:val="24"/>
                <w:szCs w:val="24"/>
                <w14:textFill>
                  <w14:solidFill>
                    <w14:schemeClr w14:val="tx1"/>
                  </w14:solidFill>
                </w14:textFill>
              </w:rPr>
              <w:t>进行分拣回用，无法利用的</w:t>
            </w:r>
            <w:r>
              <w:rPr>
                <w:rFonts w:hint="eastAsia"/>
                <w:color w:val="000000" w:themeColor="text1"/>
                <w:sz w:val="24"/>
                <w:szCs w:val="24"/>
                <w:lang w:eastAsia="zh-CN"/>
                <w14:textFill>
                  <w14:solidFill>
                    <w14:schemeClr w14:val="tx1"/>
                  </w14:solidFill>
                </w14:textFill>
              </w:rPr>
              <w:t>建筑垃圾</w:t>
            </w:r>
            <w:r>
              <w:rPr>
                <w:rFonts w:hint="eastAsia" w:ascii="Times New Roman" w:hAnsi="Times New Roman" w:eastAsia="宋体"/>
                <w:color w:val="000000" w:themeColor="text1"/>
                <w:sz w:val="24"/>
                <w:szCs w:val="24"/>
                <w14:textFill>
                  <w14:solidFill>
                    <w14:schemeClr w14:val="tx1"/>
                  </w14:solidFill>
                </w14:textFill>
              </w:rPr>
              <w:t>拉运至</w:t>
            </w:r>
            <w:r>
              <w:rPr>
                <w:rFonts w:hint="eastAsia"/>
                <w:color w:val="000000" w:themeColor="text1"/>
                <w:sz w:val="24"/>
                <w:szCs w:val="24"/>
                <w:lang w:eastAsia="zh-CN"/>
                <w14:textFill>
                  <w14:solidFill>
                    <w14:schemeClr w14:val="tx1"/>
                  </w14:solidFill>
                </w14:textFill>
              </w:rPr>
              <w:t>政府指定的建筑垃圾处置场所处置</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剩余土方用于河堤平整及场地平整</w:t>
            </w:r>
            <w:r>
              <w:rPr>
                <w:rFonts w:hint="eastAsia" w:ascii="Times New Roman" w:hAnsi="Times New Roman" w:eastAsia="宋体"/>
                <w:color w:val="000000" w:themeColor="text1"/>
                <w:sz w:val="24"/>
                <w:szCs w:val="24"/>
                <w:lang w:eastAsia="zh-CN"/>
                <w14:textFill>
                  <w14:solidFill>
                    <w14:schemeClr w14:val="tx1"/>
                  </w14:solidFill>
                </w14:textFill>
              </w:rPr>
              <w:t>。</w:t>
            </w:r>
          </w:p>
        </w:tc>
        <w:tc>
          <w:tcPr>
            <w:tcW w:w="1243" w:type="pct"/>
            <w:noWrap w:val="0"/>
            <w:vAlign w:val="center"/>
          </w:tcPr>
          <w:p w14:paraId="0E1D8845">
            <w:pPr>
              <w:adjustRightInd w:val="0"/>
              <w:snapToGrid w:val="0"/>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执行《一般工业固体废物贮存和填埋污染控制标准》（GB18599-2020）；建筑垃圾、废弃土方是否处置，现场是否遗留生活垃圾</w:t>
            </w:r>
          </w:p>
        </w:tc>
        <w:tc>
          <w:tcPr>
            <w:tcW w:w="614" w:type="pct"/>
            <w:noWrap w:val="0"/>
            <w:vAlign w:val="center"/>
          </w:tcPr>
          <w:p w14:paraId="07B12191">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64EF06F0">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4C789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2DA5D290">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电磁环境</w:t>
            </w:r>
          </w:p>
        </w:tc>
        <w:tc>
          <w:tcPr>
            <w:tcW w:w="1802" w:type="pct"/>
            <w:noWrap w:val="0"/>
            <w:vAlign w:val="center"/>
          </w:tcPr>
          <w:p w14:paraId="4B962A14">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1243" w:type="pct"/>
            <w:noWrap w:val="0"/>
            <w:vAlign w:val="center"/>
          </w:tcPr>
          <w:p w14:paraId="6C3C1A73">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14:paraId="2EF38ACD">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66B85956">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61E0D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15B86894">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环境风险</w:t>
            </w:r>
          </w:p>
        </w:tc>
        <w:tc>
          <w:tcPr>
            <w:tcW w:w="1802" w:type="pct"/>
            <w:noWrap w:val="0"/>
            <w:vAlign w:val="center"/>
          </w:tcPr>
          <w:p w14:paraId="53EBA65A">
            <w:pPr>
              <w:adjustRightInd w:val="0"/>
              <w:snapToGrid w:val="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p>
        </w:tc>
        <w:tc>
          <w:tcPr>
            <w:tcW w:w="1243" w:type="pct"/>
            <w:noWrap w:val="0"/>
            <w:vAlign w:val="center"/>
          </w:tcPr>
          <w:p w14:paraId="75087E6E">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14:paraId="2A4D24E3">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7699BEAD">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6B51D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14:paraId="09817D07">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环境监测</w:t>
            </w:r>
          </w:p>
        </w:tc>
        <w:tc>
          <w:tcPr>
            <w:tcW w:w="1802" w:type="pct"/>
            <w:noWrap w:val="0"/>
            <w:vAlign w:val="center"/>
          </w:tcPr>
          <w:p w14:paraId="12FA5BC9">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1243" w:type="pct"/>
            <w:noWrap w:val="0"/>
            <w:vAlign w:val="center"/>
          </w:tcPr>
          <w:p w14:paraId="6AE0D44B">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14:paraId="190476F8">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14:paraId="6890F3BA">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71404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24" w:hRule="atLeast"/>
          <w:jc w:val="center"/>
        </w:trPr>
        <w:tc>
          <w:tcPr>
            <w:tcW w:w="809" w:type="pct"/>
            <w:noWrap w:val="0"/>
            <w:vAlign w:val="center"/>
          </w:tcPr>
          <w:p w14:paraId="3723BA00">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其他</w:t>
            </w:r>
          </w:p>
        </w:tc>
        <w:tc>
          <w:tcPr>
            <w:tcW w:w="1802" w:type="pct"/>
            <w:noWrap w:val="0"/>
            <w:vAlign w:val="center"/>
          </w:tcPr>
          <w:p w14:paraId="1C317FE4">
            <w:pPr>
              <w:adjustRightInd w:val="0"/>
              <w:snapToGrid w:val="0"/>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施工前应作详细计划，尽量减少开挖面，以减少植被的破坏；平整场地时尽量使用开挖土，对于多余土尽量回用或合理堆放，减少水土流失。</w:t>
            </w:r>
          </w:p>
          <w:p w14:paraId="4CBC7DED">
            <w:pPr>
              <w:adjustRightInd w:val="0"/>
              <w:snapToGrid w:val="0"/>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建设单位及施工单位应当重视施工过程的环境保护，加强对施工人员的环保培训，尽量减少土地的开挖量，减少对土地的占用，将对陆生生态影响降到最低。项目堤防护坡，可将项目区植被覆盖率有所提高，改善区域生态环境。施工完毕后应及时对临时占地区域进行复耕</w:t>
            </w:r>
            <w:r>
              <w:rPr>
                <w:rFonts w:hint="eastAsia" w:ascii="Times New Roman" w:hAnsi="Times New Roman" w:eastAsia="宋体" w:cs="Times New Roman"/>
                <w:color w:val="000000" w:themeColor="text1"/>
                <w:sz w:val="24"/>
                <w:szCs w:val="24"/>
                <w:lang w:eastAsia="zh-CN"/>
                <w14:textFill>
                  <w14:solidFill>
                    <w14:schemeClr w14:val="tx1"/>
                  </w14:solidFill>
                </w14:textFill>
              </w:rPr>
              <w:t>平整恢复</w:t>
            </w:r>
            <w:r>
              <w:rPr>
                <w:rFonts w:hint="eastAsia" w:ascii="Times New Roman" w:hAnsi="Times New Roman" w:eastAsia="宋体" w:cs="Times New Roman"/>
                <w:color w:val="000000" w:themeColor="text1"/>
                <w:sz w:val="24"/>
                <w:szCs w:val="24"/>
                <w14:textFill>
                  <w14:solidFill>
                    <w14:schemeClr w14:val="tx1"/>
                  </w14:solidFill>
                </w14:textFill>
              </w:rPr>
              <w:t>。</w:t>
            </w:r>
          </w:p>
          <w:p w14:paraId="6EDC911C">
            <w:pPr>
              <w:adjustRightInd w:val="0"/>
              <w:snapToGrid w:val="0"/>
              <w:ind w:firstLine="480" w:firstLineChars="200"/>
              <w:rPr>
                <w:rFonts w:ascii="宋体" w:hAnsi="宋体" w:cs="宋体"/>
                <w:color w:val="000000" w:themeColor="text1"/>
                <w:sz w:val="24"/>
                <w:szCs w:val="24"/>
                <w14:textFill>
                  <w14:solidFill>
                    <w14:schemeClr w14:val="tx1"/>
                  </w14:solidFill>
                </w14:textFill>
              </w:rPr>
            </w:pPr>
          </w:p>
        </w:tc>
        <w:tc>
          <w:tcPr>
            <w:tcW w:w="1243" w:type="pct"/>
            <w:noWrap w:val="0"/>
            <w:vAlign w:val="center"/>
          </w:tcPr>
          <w:p w14:paraId="6B0778AB">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14:paraId="06A5C50B">
            <w:pPr>
              <w:adjustRightInd w:val="0"/>
              <w:snapToGrid w:val="0"/>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运营期加强巡查管护工作</w:t>
            </w:r>
          </w:p>
        </w:tc>
        <w:tc>
          <w:tcPr>
            <w:tcW w:w="530" w:type="pct"/>
            <w:noWrap w:val="0"/>
            <w:vAlign w:val="center"/>
          </w:tcPr>
          <w:p w14:paraId="629D97EB">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bl>
    <w:p w14:paraId="4633747F">
      <w:pPr>
        <w:bidi w:val="0"/>
        <w:rPr>
          <w:rFonts w:hint="eastAsia"/>
          <w:color w:val="000000" w:themeColor="text1"/>
          <w14:textFill>
            <w14:solidFill>
              <w14:schemeClr w14:val="tx1"/>
            </w14:solidFill>
          </w14:textFill>
        </w:rPr>
      </w:pPr>
      <w:r>
        <w:rPr>
          <w:color w:val="000000" w:themeColor="text1"/>
          <w14:textFill>
            <w14:solidFill>
              <w14:schemeClr w14:val="tx1"/>
            </w14:solidFill>
          </w14:textFill>
        </w:rPr>
        <w:br w:type="page"/>
      </w:r>
    </w:p>
    <w:p w14:paraId="52B49448">
      <w:pPr>
        <w:pStyle w:val="16"/>
        <w:spacing w:before="192" w:beforeLines="80" w:beforeAutospacing="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七、结论</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3CCA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4" w:hRule="atLeast"/>
          <w:jc w:val="center"/>
        </w:trPr>
        <w:tc>
          <w:tcPr>
            <w:tcW w:w="9289" w:type="dxa"/>
            <w:noWrap w:val="0"/>
            <w:vAlign w:val="top"/>
          </w:tcPr>
          <w:p w14:paraId="15FEE609">
            <w:pPr>
              <w:pStyle w:val="56"/>
              <w:bidi w:val="0"/>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符合国家和地方产业政策，工程施工期间，环境影响较小，在采取一定的环境保护措施可以得到有效恢复和减缓，且施工期较为短暂，不会对区域环境产生明显影响。工程建设后，能够进一步完善防洪体系，保障区域人民生命财产安全、经济社会发展及区域生态稳定均具有深远的意义。项目在严格落实设计和环评提出的各项污染防治措施、生态保护措施后，可实现各项污染物的达标排放，对环境的影响总体较小。从环保角度分析，项目建设可行。</w:t>
            </w:r>
          </w:p>
        </w:tc>
      </w:tr>
    </w:tbl>
    <w:p w14:paraId="680BFE1F">
      <w:pPr>
        <w:widowControl/>
        <w:adjustRightInd w:val="0"/>
        <w:snapToGrid w:val="0"/>
        <w:spacing w:before="192" w:beforeLines="80"/>
        <w:jc w:val="left"/>
        <w:rPr>
          <w:rFonts w:ascii="宋体"/>
          <w:color w:val="000000" w:themeColor="text1"/>
          <w14:textFill>
            <w14:solidFill>
              <w14:schemeClr w14:val="tx1"/>
            </w14:solidFill>
          </w14:textFill>
        </w:rPr>
      </w:pPr>
    </w:p>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99066">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9E8C">
    <w:pPr>
      <w:pStyle w:val="13"/>
      <w:framePr w:wrap="around" w:vAnchor="text" w:hAnchor="margin" w:xAlign="outside" w:y="1"/>
      <w:rPr>
        <w:rStyle w:val="23"/>
      </w:rPr>
    </w:pPr>
    <w:r>
      <w:rPr>
        <w:rStyle w:val="23"/>
      </w:rPr>
      <w:fldChar w:fldCharType="begin"/>
    </w:r>
    <w:r>
      <w:rPr>
        <w:rStyle w:val="23"/>
      </w:rPr>
      <w:instrText xml:space="preserve">PAGE  </w:instrText>
    </w:r>
    <w:r>
      <w:rPr>
        <w:rStyle w:val="23"/>
      </w:rPr>
      <w:fldChar w:fldCharType="end"/>
    </w:r>
  </w:p>
  <w:p w14:paraId="44278D96">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450D">
    <w:pPr>
      <w:pStyle w:val="1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37D7">
    <w:pPr>
      <w:pStyle w:val="1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B9C49">
                          <w:pPr>
                            <w:pStyle w:val="1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16B9C49">
                    <w:pPr>
                      <w:pStyle w:val="1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A124B"/>
    <w:multiLevelType w:val="singleLevel"/>
    <w:tmpl w:val="044A124B"/>
    <w:lvl w:ilvl="0" w:tentative="0">
      <w:start w:val="2"/>
      <w:numFmt w:val="decimal"/>
      <w:suff w:val="nothing"/>
      <w:lvlText w:val="（%1）"/>
      <w:lvlJc w:val="left"/>
    </w:lvl>
  </w:abstractNum>
  <w:abstractNum w:abstractNumId="1">
    <w:nsid w:val="65B78370"/>
    <w:multiLevelType w:val="singleLevel"/>
    <w:tmpl w:val="65B78370"/>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2MjIwNGM2YWE1MDg4NzIxYjU4ZWJmODM0N2VhZWU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5EFA"/>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4CE2"/>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23CCF"/>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8B3"/>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08CE"/>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A058C"/>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16E"/>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0A4834"/>
    <w:rsid w:val="016814B1"/>
    <w:rsid w:val="0172659B"/>
    <w:rsid w:val="01791910"/>
    <w:rsid w:val="01970E7A"/>
    <w:rsid w:val="01993D60"/>
    <w:rsid w:val="01C048F5"/>
    <w:rsid w:val="01CE34AC"/>
    <w:rsid w:val="01EB428A"/>
    <w:rsid w:val="02111B48"/>
    <w:rsid w:val="02177FA5"/>
    <w:rsid w:val="024A6D2D"/>
    <w:rsid w:val="02681FD5"/>
    <w:rsid w:val="028413A1"/>
    <w:rsid w:val="030A0A72"/>
    <w:rsid w:val="031F181B"/>
    <w:rsid w:val="032951C5"/>
    <w:rsid w:val="03D565B3"/>
    <w:rsid w:val="047149BB"/>
    <w:rsid w:val="04EA0F49"/>
    <w:rsid w:val="05575AC4"/>
    <w:rsid w:val="056C0A85"/>
    <w:rsid w:val="05742AC8"/>
    <w:rsid w:val="05863727"/>
    <w:rsid w:val="058F2B91"/>
    <w:rsid w:val="059E7E8F"/>
    <w:rsid w:val="05A465DE"/>
    <w:rsid w:val="05A469AC"/>
    <w:rsid w:val="05FE6E52"/>
    <w:rsid w:val="06352F05"/>
    <w:rsid w:val="06363491"/>
    <w:rsid w:val="063E7D85"/>
    <w:rsid w:val="065A5226"/>
    <w:rsid w:val="0660077F"/>
    <w:rsid w:val="066E30C6"/>
    <w:rsid w:val="066F474C"/>
    <w:rsid w:val="06772CA9"/>
    <w:rsid w:val="068B1C47"/>
    <w:rsid w:val="06D77FB8"/>
    <w:rsid w:val="06FB2DD4"/>
    <w:rsid w:val="070875E0"/>
    <w:rsid w:val="071C0D73"/>
    <w:rsid w:val="071D06F9"/>
    <w:rsid w:val="07293586"/>
    <w:rsid w:val="07295285"/>
    <w:rsid w:val="072A1C14"/>
    <w:rsid w:val="075E0D09"/>
    <w:rsid w:val="07770C56"/>
    <w:rsid w:val="08275C22"/>
    <w:rsid w:val="084068B5"/>
    <w:rsid w:val="08A04B9D"/>
    <w:rsid w:val="08DA7138"/>
    <w:rsid w:val="092217DD"/>
    <w:rsid w:val="09373662"/>
    <w:rsid w:val="093A7294"/>
    <w:rsid w:val="094B3351"/>
    <w:rsid w:val="09570789"/>
    <w:rsid w:val="098E1A6C"/>
    <w:rsid w:val="09C06197"/>
    <w:rsid w:val="09D90901"/>
    <w:rsid w:val="09F83373"/>
    <w:rsid w:val="0A1417B4"/>
    <w:rsid w:val="0A373969"/>
    <w:rsid w:val="0A734278"/>
    <w:rsid w:val="0AB52074"/>
    <w:rsid w:val="0AC81DA7"/>
    <w:rsid w:val="0ACC2130"/>
    <w:rsid w:val="0AF73FD1"/>
    <w:rsid w:val="0B03422D"/>
    <w:rsid w:val="0B0C14DF"/>
    <w:rsid w:val="0BA87217"/>
    <w:rsid w:val="0BB43C70"/>
    <w:rsid w:val="0BC83278"/>
    <w:rsid w:val="0BD27BF6"/>
    <w:rsid w:val="0C064986"/>
    <w:rsid w:val="0C233EFD"/>
    <w:rsid w:val="0C25393F"/>
    <w:rsid w:val="0C2F1549"/>
    <w:rsid w:val="0CDD0FA5"/>
    <w:rsid w:val="0CE9794A"/>
    <w:rsid w:val="0D241270"/>
    <w:rsid w:val="0D29243C"/>
    <w:rsid w:val="0D3E6633"/>
    <w:rsid w:val="0D5B2BE2"/>
    <w:rsid w:val="0D945637"/>
    <w:rsid w:val="0DBC3EB7"/>
    <w:rsid w:val="0E110D06"/>
    <w:rsid w:val="0E226F56"/>
    <w:rsid w:val="0E8206CA"/>
    <w:rsid w:val="0EA4062C"/>
    <w:rsid w:val="0EA7186A"/>
    <w:rsid w:val="0EAE29DC"/>
    <w:rsid w:val="0EFE3455"/>
    <w:rsid w:val="0F0C4218"/>
    <w:rsid w:val="0F13775A"/>
    <w:rsid w:val="0F47557A"/>
    <w:rsid w:val="0F4B7889"/>
    <w:rsid w:val="0F502AA8"/>
    <w:rsid w:val="0F5E07BF"/>
    <w:rsid w:val="0F692FC4"/>
    <w:rsid w:val="0F9A112B"/>
    <w:rsid w:val="0FB67BDC"/>
    <w:rsid w:val="0FF46D31"/>
    <w:rsid w:val="10473284"/>
    <w:rsid w:val="105314CD"/>
    <w:rsid w:val="10617DEC"/>
    <w:rsid w:val="106D2F64"/>
    <w:rsid w:val="10A71F97"/>
    <w:rsid w:val="10B63710"/>
    <w:rsid w:val="10DC0953"/>
    <w:rsid w:val="111C2F7A"/>
    <w:rsid w:val="11234A36"/>
    <w:rsid w:val="113013DE"/>
    <w:rsid w:val="114F7998"/>
    <w:rsid w:val="11566175"/>
    <w:rsid w:val="118C2F9A"/>
    <w:rsid w:val="11902C5A"/>
    <w:rsid w:val="11915504"/>
    <w:rsid w:val="11922747"/>
    <w:rsid w:val="11A70F13"/>
    <w:rsid w:val="11C5744F"/>
    <w:rsid w:val="11EE5A02"/>
    <w:rsid w:val="11F1104F"/>
    <w:rsid w:val="12015736"/>
    <w:rsid w:val="12055F07"/>
    <w:rsid w:val="122B06C2"/>
    <w:rsid w:val="123A5B38"/>
    <w:rsid w:val="124A5B95"/>
    <w:rsid w:val="124B5C5D"/>
    <w:rsid w:val="12704669"/>
    <w:rsid w:val="12C409F7"/>
    <w:rsid w:val="12FC4D92"/>
    <w:rsid w:val="13166FBF"/>
    <w:rsid w:val="132F192A"/>
    <w:rsid w:val="133409FD"/>
    <w:rsid w:val="133B6A25"/>
    <w:rsid w:val="133D09EF"/>
    <w:rsid w:val="136531D1"/>
    <w:rsid w:val="13752631"/>
    <w:rsid w:val="13854903"/>
    <w:rsid w:val="13946135"/>
    <w:rsid w:val="13951726"/>
    <w:rsid w:val="13B14F39"/>
    <w:rsid w:val="13C54541"/>
    <w:rsid w:val="14396509"/>
    <w:rsid w:val="1447165C"/>
    <w:rsid w:val="14636234"/>
    <w:rsid w:val="14A04B7F"/>
    <w:rsid w:val="1597796B"/>
    <w:rsid w:val="15AD4C2E"/>
    <w:rsid w:val="15BC1D94"/>
    <w:rsid w:val="15C154B8"/>
    <w:rsid w:val="15E50787"/>
    <w:rsid w:val="16873133"/>
    <w:rsid w:val="16AA4012"/>
    <w:rsid w:val="16BC1C2B"/>
    <w:rsid w:val="174476D4"/>
    <w:rsid w:val="17466077"/>
    <w:rsid w:val="175B2D65"/>
    <w:rsid w:val="17735226"/>
    <w:rsid w:val="17A54DB5"/>
    <w:rsid w:val="17D47448"/>
    <w:rsid w:val="17E4403F"/>
    <w:rsid w:val="17FB7A6B"/>
    <w:rsid w:val="182548EF"/>
    <w:rsid w:val="189974C6"/>
    <w:rsid w:val="18A14D71"/>
    <w:rsid w:val="18E24317"/>
    <w:rsid w:val="18EE7F7B"/>
    <w:rsid w:val="195E3CD9"/>
    <w:rsid w:val="19647362"/>
    <w:rsid w:val="197E21C1"/>
    <w:rsid w:val="19D11E91"/>
    <w:rsid w:val="19DA2643"/>
    <w:rsid w:val="1A1C66C0"/>
    <w:rsid w:val="1A1F0AEC"/>
    <w:rsid w:val="1A42393B"/>
    <w:rsid w:val="1A864FDA"/>
    <w:rsid w:val="1AF916A0"/>
    <w:rsid w:val="1B046F80"/>
    <w:rsid w:val="1B3267B5"/>
    <w:rsid w:val="1B4641B9"/>
    <w:rsid w:val="1B4B5C73"/>
    <w:rsid w:val="1B550A0F"/>
    <w:rsid w:val="1B724FAE"/>
    <w:rsid w:val="1B9A4FC8"/>
    <w:rsid w:val="1B9B6573"/>
    <w:rsid w:val="1BC25DC8"/>
    <w:rsid w:val="1BEC7221"/>
    <w:rsid w:val="1C0A0CCF"/>
    <w:rsid w:val="1C1B3917"/>
    <w:rsid w:val="1C344C67"/>
    <w:rsid w:val="1C3E5A3A"/>
    <w:rsid w:val="1C5E7925"/>
    <w:rsid w:val="1C887FC8"/>
    <w:rsid w:val="1C8C20A0"/>
    <w:rsid w:val="1CC72FDC"/>
    <w:rsid w:val="1CD6156D"/>
    <w:rsid w:val="1CD65CA3"/>
    <w:rsid w:val="1D055E82"/>
    <w:rsid w:val="1D1036BE"/>
    <w:rsid w:val="1D182912"/>
    <w:rsid w:val="1D2E3157"/>
    <w:rsid w:val="1D36528E"/>
    <w:rsid w:val="1D5F6196"/>
    <w:rsid w:val="1D6132A5"/>
    <w:rsid w:val="1D8E56D5"/>
    <w:rsid w:val="1D9305F4"/>
    <w:rsid w:val="1DBB0E8E"/>
    <w:rsid w:val="1DC77703"/>
    <w:rsid w:val="1E441B78"/>
    <w:rsid w:val="1E553A53"/>
    <w:rsid w:val="1E7352C5"/>
    <w:rsid w:val="1E7A43DA"/>
    <w:rsid w:val="1EB277FE"/>
    <w:rsid w:val="1F082F72"/>
    <w:rsid w:val="1F0A480F"/>
    <w:rsid w:val="1F206C3D"/>
    <w:rsid w:val="1F261684"/>
    <w:rsid w:val="1F5076B0"/>
    <w:rsid w:val="1F8C5FD7"/>
    <w:rsid w:val="1FC97167"/>
    <w:rsid w:val="1FCC28BE"/>
    <w:rsid w:val="1FE7539E"/>
    <w:rsid w:val="20004EDA"/>
    <w:rsid w:val="20055A53"/>
    <w:rsid w:val="20963CB8"/>
    <w:rsid w:val="20B07FB6"/>
    <w:rsid w:val="20D34EB3"/>
    <w:rsid w:val="20E26732"/>
    <w:rsid w:val="20FF1BA4"/>
    <w:rsid w:val="21022930"/>
    <w:rsid w:val="211657F9"/>
    <w:rsid w:val="21174F3A"/>
    <w:rsid w:val="212B03F9"/>
    <w:rsid w:val="213B74B1"/>
    <w:rsid w:val="215A2310"/>
    <w:rsid w:val="21DE318A"/>
    <w:rsid w:val="21EF5B80"/>
    <w:rsid w:val="21F11165"/>
    <w:rsid w:val="2250317F"/>
    <w:rsid w:val="22576990"/>
    <w:rsid w:val="22655454"/>
    <w:rsid w:val="22664126"/>
    <w:rsid w:val="22961DA2"/>
    <w:rsid w:val="229C4EAB"/>
    <w:rsid w:val="22B440FE"/>
    <w:rsid w:val="22C7568D"/>
    <w:rsid w:val="22E21D97"/>
    <w:rsid w:val="236773C3"/>
    <w:rsid w:val="237256A6"/>
    <w:rsid w:val="23AC31E4"/>
    <w:rsid w:val="243049F2"/>
    <w:rsid w:val="2435126F"/>
    <w:rsid w:val="244D480A"/>
    <w:rsid w:val="24955C18"/>
    <w:rsid w:val="249B1100"/>
    <w:rsid w:val="24B379D8"/>
    <w:rsid w:val="24E45965"/>
    <w:rsid w:val="24F90AE0"/>
    <w:rsid w:val="252D53FE"/>
    <w:rsid w:val="25645AF1"/>
    <w:rsid w:val="258D6A6D"/>
    <w:rsid w:val="25961C08"/>
    <w:rsid w:val="25AC00BC"/>
    <w:rsid w:val="25EC2D81"/>
    <w:rsid w:val="25F52934"/>
    <w:rsid w:val="26042AA7"/>
    <w:rsid w:val="2610540B"/>
    <w:rsid w:val="262D044F"/>
    <w:rsid w:val="264528BD"/>
    <w:rsid w:val="26461CE8"/>
    <w:rsid w:val="264F19D4"/>
    <w:rsid w:val="26753BA5"/>
    <w:rsid w:val="26856771"/>
    <w:rsid w:val="26865D97"/>
    <w:rsid w:val="26DB6595"/>
    <w:rsid w:val="27441EF5"/>
    <w:rsid w:val="27960276"/>
    <w:rsid w:val="27B34DE8"/>
    <w:rsid w:val="27D019DA"/>
    <w:rsid w:val="27D15DD1"/>
    <w:rsid w:val="27E64D5A"/>
    <w:rsid w:val="28263B9B"/>
    <w:rsid w:val="28687E65"/>
    <w:rsid w:val="289D2BE0"/>
    <w:rsid w:val="28A76295"/>
    <w:rsid w:val="28E8343D"/>
    <w:rsid w:val="28ED2118"/>
    <w:rsid w:val="29081487"/>
    <w:rsid w:val="2910731E"/>
    <w:rsid w:val="29206EB8"/>
    <w:rsid w:val="29584BD7"/>
    <w:rsid w:val="29B02E43"/>
    <w:rsid w:val="29C16373"/>
    <w:rsid w:val="29CB3381"/>
    <w:rsid w:val="29D83CC1"/>
    <w:rsid w:val="29E325E0"/>
    <w:rsid w:val="2A2B2EF8"/>
    <w:rsid w:val="2A452503"/>
    <w:rsid w:val="2A5266D7"/>
    <w:rsid w:val="2A53244F"/>
    <w:rsid w:val="2A675F78"/>
    <w:rsid w:val="2AAF6672"/>
    <w:rsid w:val="2ACD2201"/>
    <w:rsid w:val="2ACD2A8E"/>
    <w:rsid w:val="2ACD6B8C"/>
    <w:rsid w:val="2AF2047F"/>
    <w:rsid w:val="2B1A4D1A"/>
    <w:rsid w:val="2B6F5066"/>
    <w:rsid w:val="2BA936A8"/>
    <w:rsid w:val="2BB60EE7"/>
    <w:rsid w:val="2BF1120B"/>
    <w:rsid w:val="2C315A5A"/>
    <w:rsid w:val="2C750F81"/>
    <w:rsid w:val="2C9A462D"/>
    <w:rsid w:val="2CB362FA"/>
    <w:rsid w:val="2D077ECE"/>
    <w:rsid w:val="2D1273E2"/>
    <w:rsid w:val="2D1B39E7"/>
    <w:rsid w:val="2D200D0E"/>
    <w:rsid w:val="2D28628E"/>
    <w:rsid w:val="2D293AF5"/>
    <w:rsid w:val="2D3D3DD8"/>
    <w:rsid w:val="2D495CCA"/>
    <w:rsid w:val="2D9E56F5"/>
    <w:rsid w:val="2DCA6274"/>
    <w:rsid w:val="2E0B10B5"/>
    <w:rsid w:val="2E3525CE"/>
    <w:rsid w:val="2E503150"/>
    <w:rsid w:val="2E667F96"/>
    <w:rsid w:val="2E8226AB"/>
    <w:rsid w:val="2E8E7EF9"/>
    <w:rsid w:val="2EB022BA"/>
    <w:rsid w:val="2EF35FAE"/>
    <w:rsid w:val="2EF60F49"/>
    <w:rsid w:val="2F832C79"/>
    <w:rsid w:val="2FBB7087"/>
    <w:rsid w:val="2FDB0F1C"/>
    <w:rsid w:val="2FEF2D58"/>
    <w:rsid w:val="2FFE24BB"/>
    <w:rsid w:val="301520CD"/>
    <w:rsid w:val="30166163"/>
    <w:rsid w:val="3050190A"/>
    <w:rsid w:val="30580BC9"/>
    <w:rsid w:val="306F135B"/>
    <w:rsid w:val="30890D44"/>
    <w:rsid w:val="30C51E5A"/>
    <w:rsid w:val="30E91417"/>
    <w:rsid w:val="30FC3CBF"/>
    <w:rsid w:val="311E2ED7"/>
    <w:rsid w:val="315C449C"/>
    <w:rsid w:val="31611D29"/>
    <w:rsid w:val="316976DA"/>
    <w:rsid w:val="317D2C0B"/>
    <w:rsid w:val="31945827"/>
    <w:rsid w:val="31B82709"/>
    <w:rsid w:val="31D43E75"/>
    <w:rsid w:val="31F44517"/>
    <w:rsid w:val="32400B34"/>
    <w:rsid w:val="32862207"/>
    <w:rsid w:val="329E6876"/>
    <w:rsid w:val="32E021D0"/>
    <w:rsid w:val="32E107A3"/>
    <w:rsid w:val="32EE7B8B"/>
    <w:rsid w:val="333B7E36"/>
    <w:rsid w:val="33B91574"/>
    <w:rsid w:val="33CA10B3"/>
    <w:rsid w:val="33D934D4"/>
    <w:rsid w:val="33D93C2E"/>
    <w:rsid w:val="33FE2F6A"/>
    <w:rsid w:val="342B5F2F"/>
    <w:rsid w:val="345254B8"/>
    <w:rsid w:val="34675474"/>
    <w:rsid w:val="34687274"/>
    <w:rsid w:val="347802E9"/>
    <w:rsid w:val="34804753"/>
    <w:rsid w:val="348C6C89"/>
    <w:rsid w:val="34D34E19"/>
    <w:rsid w:val="34E00D83"/>
    <w:rsid w:val="34EA69CF"/>
    <w:rsid w:val="35B9451C"/>
    <w:rsid w:val="35BE203C"/>
    <w:rsid w:val="35D33FEC"/>
    <w:rsid w:val="35F8020A"/>
    <w:rsid w:val="360311CD"/>
    <w:rsid w:val="36074A7F"/>
    <w:rsid w:val="36163D5B"/>
    <w:rsid w:val="362C6DDE"/>
    <w:rsid w:val="36343A97"/>
    <w:rsid w:val="364315C9"/>
    <w:rsid w:val="366A09A6"/>
    <w:rsid w:val="36912F20"/>
    <w:rsid w:val="36923549"/>
    <w:rsid w:val="36B75FBF"/>
    <w:rsid w:val="36CD1438"/>
    <w:rsid w:val="36DD37CC"/>
    <w:rsid w:val="36EC6AED"/>
    <w:rsid w:val="36FB4891"/>
    <w:rsid w:val="371C081F"/>
    <w:rsid w:val="3756429D"/>
    <w:rsid w:val="37594224"/>
    <w:rsid w:val="37A14044"/>
    <w:rsid w:val="37DC51C5"/>
    <w:rsid w:val="38294433"/>
    <w:rsid w:val="388F6C58"/>
    <w:rsid w:val="38AA3B82"/>
    <w:rsid w:val="38F12CD3"/>
    <w:rsid w:val="38F94775"/>
    <w:rsid w:val="392971ED"/>
    <w:rsid w:val="39581830"/>
    <w:rsid w:val="3A0A14BD"/>
    <w:rsid w:val="3A6A089D"/>
    <w:rsid w:val="3A7C0B90"/>
    <w:rsid w:val="3AD35612"/>
    <w:rsid w:val="3AF61300"/>
    <w:rsid w:val="3B132A55"/>
    <w:rsid w:val="3B3763D1"/>
    <w:rsid w:val="3BC97011"/>
    <w:rsid w:val="3C4F7B3A"/>
    <w:rsid w:val="3C860462"/>
    <w:rsid w:val="3CAA4150"/>
    <w:rsid w:val="3CDA245A"/>
    <w:rsid w:val="3CDA4281"/>
    <w:rsid w:val="3CEE0A37"/>
    <w:rsid w:val="3CF7026E"/>
    <w:rsid w:val="3D0C0967"/>
    <w:rsid w:val="3D171E1D"/>
    <w:rsid w:val="3D1B275B"/>
    <w:rsid w:val="3D406863"/>
    <w:rsid w:val="3D685609"/>
    <w:rsid w:val="3D960B78"/>
    <w:rsid w:val="3DCA79A6"/>
    <w:rsid w:val="3DCB7DA0"/>
    <w:rsid w:val="3DD07BE6"/>
    <w:rsid w:val="3DEC451E"/>
    <w:rsid w:val="3E0930F8"/>
    <w:rsid w:val="3E2F52BC"/>
    <w:rsid w:val="3E43255B"/>
    <w:rsid w:val="3E4C3D9D"/>
    <w:rsid w:val="3E780F9F"/>
    <w:rsid w:val="3E9A3D53"/>
    <w:rsid w:val="3E9F580B"/>
    <w:rsid w:val="3EC11C25"/>
    <w:rsid w:val="3EC61B83"/>
    <w:rsid w:val="3F660E74"/>
    <w:rsid w:val="3F84512C"/>
    <w:rsid w:val="3FFD4B9D"/>
    <w:rsid w:val="40212390"/>
    <w:rsid w:val="404F1A48"/>
    <w:rsid w:val="407A6407"/>
    <w:rsid w:val="40A64953"/>
    <w:rsid w:val="40C652D1"/>
    <w:rsid w:val="40E44EBD"/>
    <w:rsid w:val="40F148C5"/>
    <w:rsid w:val="40F16FDA"/>
    <w:rsid w:val="413E0EFC"/>
    <w:rsid w:val="414F5582"/>
    <w:rsid w:val="41586871"/>
    <w:rsid w:val="4166016F"/>
    <w:rsid w:val="41A80683"/>
    <w:rsid w:val="41B2368F"/>
    <w:rsid w:val="41C520A1"/>
    <w:rsid w:val="41F5346F"/>
    <w:rsid w:val="421639E7"/>
    <w:rsid w:val="423A3BCC"/>
    <w:rsid w:val="42723962"/>
    <w:rsid w:val="427A6373"/>
    <w:rsid w:val="42880E86"/>
    <w:rsid w:val="428C42F8"/>
    <w:rsid w:val="429C1EF8"/>
    <w:rsid w:val="42B04D24"/>
    <w:rsid w:val="42B655C0"/>
    <w:rsid w:val="42F8326F"/>
    <w:rsid w:val="433A6FE6"/>
    <w:rsid w:val="4350713C"/>
    <w:rsid w:val="436653E0"/>
    <w:rsid w:val="43CA332A"/>
    <w:rsid w:val="43EF1274"/>
    <w:rsid w:val="43FD6620"/>
    <w:rsid w:val="44002774"/>
    <w:rsid w:val="442C7AF4"/>
    <w:rsid w:val="442E62A0"/>
    <w:rsid w:val="44641CDB"/>
    <w:rsid w:val="449016E9"/>
    <w:rsid w:val="4493196E"/>
    <w:rsid w:val="44BA07F4"/>
    <w:rsid w:val="44C52D9D"/>
    <w:rsid w:val="44CD14E0"/>
    <w:rsid w:val="450B59A8"/>
    <w:rsid w:val="45260DB6"/>
    <w:rsid w:val="45493850"/>
    <w:rsid w:val="45557C92"/>
    <w:rsid w:val="455F4180"/>
    <w:rsid w:val="45864755"/>
    <w:rsid w:val="45872666"/>
    <w:rsid w:val="458946E9"/>
    <w:rsid w:val="45D14119"/>
    <w:rsid w:val="4616671F"/>
    <w:rsid w:val="461D612D"/>
    <w:rsid w:val="462E7BA0"/>
    <w:rsid w:val="463D5EF6"/>
    <w:rsid w:val="463D7AA2"/>
    <w:rsid w:val="466F51F0"/>
    <w:rsid w:val="467E4015"/>
    <w:rsid w:val="46C60977"/>
    <w:rsid w:val="46D955A7"/>
    <w:rsid w:val="46DF5698"/>
    <w:rsid w:val="470D5A07"/>
    <w:rsid w:val="47133957"/>
    <w:rsid w:val="475353E4"/>
    <w:rsid w:val="4779329E"/>
    <w:rsid w:val="479E4B7C"/>
    <w:rsid w:val="47A07E0C"/>
    <w:rsid w:val="47A86202"/>
    <w:rsid w:val="47F13551"/>
    <w:rsid w:val="4820418B"/>
    <w:rsid w:val="4826734A"/>
    <w:rsid w:val="486332E9"/>
    <w:rsid w:val="4870272E"/>
    <w:rsid w:val="48FF15BA"/>
    <w:rsid w:val="49554A22"/>
    <w:rsid w:val="49731D6E"/>
    <w:rsid w:val="49AE179C"/>
    <w:rsid w:val="49C34AA3"/>
    <w:rsid w:val="49DC7715"/>
    <w:rsid w:val="4A023139"/>
    <w:rsid w:val="4A7B576F"/>
    <w:rsid w:val="4A827004"/>
    <w:rsid w:val="4A982B10"/>
    <w:rsid w:val="4AA038CD"/>
    <w:rsid w:val="4AAF662F"/>
    <w:rsid w:val="4AE50A49"/>
    <w:rsid w:val="4AF173EE"/>
    <w:rsid w:val="4AF80C88"/>
    <w:rsid w:val="4B1A4B97"/>
    <w:rsid w:val="4B521C75"/>
    <w:rsid w:val="4B5A699E"/>
    <w:rsid w:val="4BD46691"/>
    <w:rsid w:val="4C021D7E"/>
    <w:rsid w:val="4C494BD8"/>
    <w:rsid w:val="4C4A0649"/>
    <w:rsid w:val="4CDF01D1"/>
    <w:rsid w:val="4CE470D3"/>
    <w:rsid w:val="4D333CEE"/>
    <w:rsid w:val="4D49204E"/>
    <w:rsid w:val="4D815520"/>
    <w:rsid w:val="4DBE3AB2"/>
    <w:rsid w:val="4DEC4FB0"/>
    <w:rsid w:val="4E0401AB"/>
    <w:rsid w:val="4E075D8A"/>
    <w:rsid w:val="4E39607A"/>
    <w:rsid w:val="4E597784"/>
    <w:rsid w:val="4E8E790E"/>
    <w:rsid w:val="4EF43ECE"/>
    <w:rsid w:val="4FC62A8C"/>
    <w:rsid w:val="4FD274D4"/>
    <w:rsid w:val="4FD5193E"/>
    <w:rsid w:val="4FE20F0D"/>
    <w:rsid w:val="4FF168CB"/>
    <w:rsid w:val="50504C4B"/>
    <w:rsid w:val="506A2DA1"/>
    <w:rsid w:val="509C6E7C"/>
    <w:rsid w:val="50FA4340"/>
    <w:rsid w:val="51430EF9"/>
    <w:rsid w:val="5162104E"/>
    <w:rsid w:val="51D01B6C"/>
    <w:rsid w:val="522F7ACE"/>
    <w:rsid w:val="52E2591C"/>
    <w:rsid w:val="53202ED7"/>
    <w:rsid w:val="533E519B"/>
    <w:rsid w:val="53486019"/>
    <w:rsid w:val="5367681F"/>
    <w:rsid w:val="538A415A"/>
    <w:rsid w:val="539A6875"/>
    <w:rsid w:val="53A039CC"/>
    <w:rsid w:val="53A1505A"/>
    <w:rsid w:val="53A86AFE"/>
    <w:rsid w:val="53EE096F"/>
    <w:rsid w:val="54063E08"/>
    <w:rsid w:val="541B0A06"/>
    <w:rsid w:val="543437E8"/>
    <w:rsid w:val="54A36CEC"/>
    <w:rsid w:val="553C2734"/>
    <w:rsid w:val="5543733C"/>
    <w:rsid w:val="559B174B"/>
    <w:rsid w:val="55B41744"/>
    <w:rsid w:val="55B81234"/>
    <w:rsid w:val="55BA0837"/>
    <w:rsid w:val="55BC0118"/>
    <w:rsid w:val="55C055A4"/>
    <w:rsid w:val="55CE0CF4"/>
    <w:rsid w:val="55F54236"/>
    <w:rsid w:val="561B7C77"/>
    <w:rsid w:val="56494582"/>
    <w:rsid w:val="56680EAC"/>
    <w:rsid w:val="5671179F"/>
    <w:rsid w:val="56B22A9C"/>
    <w:rsid w:val="56EF7DA5"/>
    <w:rsid w:val="57510D9F"/>
    <w:rsid w:val="57542B58"/>
    <w:rsid w:val="57636CFE"/>
    <w:rsid w:val="57835872"/>
    <w:rsid w:val="57A77135"/>
    <w:rsid w:val="57B72A76"/>
    <w:rsid w:val="57D77679"/>
    <w:rsid w:val="57FD1DA0"/>
    <w:rsid w:val="585711D8"/>
    <w:rsid w:val="589D6FAB"/>
    <w:rsid w:val="58CE0D6F"/>
    <w:rsid w:val="58F34A11"/>
    <w:rsid w:val="591D4DAA"/>
    <w:rsid w:val="591F781C"/>
    <w:rsid w:val="59320348"/>
    <w:rsid w:val="593D293F"/>
    <w:rsid w:val="594A6647"/>
    <w:rsid w:val="597007A7"/>
    <w:rsid w:val="59A77832"/>
    <w:rsid w:val="59B45D11"/>
    <w:rsid w:val="59C26B25"/>
    <w:rsid w:val="59CB102A"/>
    <w:rsid w:val="5A1070E4"/>
    <w:rsid w:val="5A3C747D"/>
    <w:rsid w:val="5A786C69"/>
    <w:rsid w:val="5A8C0EE1"/>
    <w:rsid w:val="5AA3689A"/>
    <w:rsid w:val="5ABE2233"/>
    <w:rsid w:val="5AF94E81"/>
    <w:rsid w:val="5B276D18"/>
    <w:rsid w:val="5BA65FD3"/>
    <w:rsid w:val="5BC30933"/>
    <w:rsid w:val="5BCF5F08"/>
    <w:rsid w:val="5BDF5D95"/>
    <w:rsid w:val="5BEC60DC"/>
    <w:rsid w:val="5C377FC0"/>
    <w:rsid w:val="5C7F1626"/>
    <w:rsid w:val="5CB313FA"/>
    <w:rsid w:val="5CDA5075"/>
    <w:rsid w:val="5D477E51"/>
    <w:rsid w:val="5D4C6DCF"/>
    <w:rsid w:val="5D6A43FC"/>
    <w:rsid w:val="5D995DEF"/>
    <w:rsid w:val="5DCD3CEB"/>
    <w:rsid w:val="5DCF35BF"/>
    <w:rsid w:val="5DDB39B6"/>
    <w:rsid w:val="5DF87A0F"/>
    <w:rsid w:val="5E1A1E15"/>
    <w:rsid w:val="5E1D07CE"/>
    <w:rsid w:val="5E3753B2"/>
    <w:rsid w:val="5E522C82"/>
    <w:rsid w:val="5E9B0C4F"/>
    <w:rsid w:val="5F1A2B43"/>
    <w:rsid w:val="5F5244A8"/>
    <w:rsid w:val="5F670D1E"/>
    <w:rsid w:val="5F877F30"/>
    <w:rsid w:val="5FB837BB"/>
    <w:rsid w:val="5FC75AA8"/>
    <w:rsid w:val="5FE83335"/>
    <w:rsid w:val="5FED1755"/>
    <w:rsid w:val="601C6864"/>
    <w:rsid w:val="60261490"/>
    <w:rsid w:val="6037544B"/>
    <w:rsid w:val="604C04B2"/>
    <w:rsid w:val="60543C0E"/>
    <w:rsid w:val="60562532"/>
    <w:rsid w:val="6083199C"/>
    <w:rsid w:val="60C14270"/>
    <w:rsid w:val="613D4CE3"/>
    <w:rsid w:val="618B3CA1"/>
    <w:rsid w:val="61B94A41"/>
    <w:rsid w:val="61D40DBD"/>
    <w:rsid w:val="61D81972"/>
    <w:rsid w:val="6224338E"/>
    <w:rsid w:val="62364782"/>
    <w:rsid w:val="627B698F"/>
    <w:rsid w:val="628E2133"/>
    <w:rsid w:val="62B033F6"/>
    <w:rsid w:val="62FE04A2"/>
    <w:rsid w:val="633017BF"/>
    <w:rsid w:val="63312D96"/>
    <w:rsid w:val="63362C13"/>
    <w:rsid w:val="63482F90"/>
    <w:rsid w:val="635D341B"/>
    <w:rsid w:val="63B84AF5"/>
    <w:rsid w:val="63D40BE9"/>
    <w:rsid w:val="63E0211F"/>
    <w:rsid w:val="64685078"/>
    <w:rsid w:val="64BF39A4"/>
    <w:rsid w:val="6525440C"/>
    <w:rsid w:val="65373578"/>
    <w:rsid w:val="656F6D34"/>
    <w:rsid w:val="65707231"/>
    <w:rsid w:val="658C4B14"/>
    <w:rsid w:val="65932238"/>
    <w:rsid w:val="66441962"/>
    <w:rsid w:val="66564241"/>
    <w:rsid w:val="67394586"/>
    <w:rsid w:val="673F2C7A"/>
    <w:rsid w:val="676015CF"/>
    <w:rsid w:val="6768731F"/>
    <w:rsid w:val="676C4A66"/>
    <w:rsid w:val="67A411EC"/>
    <w:rsid w:val="680C5410"/>
    <w:rsid w:val="680D7DB5"/>
    <w:rsid w:val="681F6961"/>
    <w:rsid w:val="684828EC"/>
    <w:rsid w:val="68610A2F"/>
    <w:rsid w:val="68805514"/>
    <w:rsid w:val="68B746D8"/>
    <w:rsid w:val="69006D22"/>
    <w:rsid w:val="69045C66"/>
    <w:rsid w:val="694E2071"/>
    <w:rsid w:val="697A3B33"/>
    <w:rsid w:val="69801C11"/>
    <w:rsid w:val="699A0CCE"/>
    <w:rsid w:val="699E2456"/>
    <w:rsid w:val="69AA4EE0"/>
    <w:rsid w:val="69FE705B"/>
    <w:rsid w:val="6A6A0BB4"/>
    <w:rsid w:val="6A8C1125"/>
    <w:rsid w:val="6AE80539"/>
    <w:rsid w:val="6B014FD4"/>
    <w:rsid w:val="6B322639"/>
    <w:rsid w:val="6B3A5ACE"/>
    <w:rsid w:val="6B713452"/>
    <w:rsid w:val="6B881251"/>
    <w:rsid w:val="6BA10D8E"/>
    <w:rsid w:val="6BF07522"/>
    <w:rsid w:val="6C2E7FDA"/>
    <w:rsid w:val="6C424533"/>
    <w:rsid w:val="6C636C38"/>
    <w:rsid w:val="6C726518"/>
    <w:rsid w:val="6C7E71BC"/>
    <w:rsid w:val="6C8C1B81"/>
    <w:rsid w:val="6CA44B85"/>
    <w:rsid w:val="6CC76411"/>
    <w:rsid w:val="6CD94EBF"/>
    <w:rsid w:val="6CF913F9"/>
    <w:rsid w:val="6CFF5543"/>
    <w:rsid w:val="6D655CEE"/>
    <w:rsid w:val="6D6F4734"/>
    <w:rsid w:val="6D7E0B5E"/>
    <w:rsid w:val="6D837F22"/>
    <w:rsid w:val="6DA06196"/>
    <w:rsid w:val="6DB34098"/>
    <w:rsid w:val="6DB545B6"/>
    <w:rsid w:val="6E40711C"/>
    <w:rsid w:val="6E4375A0"/>
    <w:rsid w:val="6E514CED"/>
    <w:rsid w:val="6E581158"/>
    <w:rsid w:val="6E79491A"/>
    <w:rsid w:val="6E9C74ED"/>
    <w:rsid w:val="6EB563D5"/>
    <w:rsid w:val="6F225983"/>
    <w:rsid w:val="6F35349E"/>
    <w:rsid w:val="6F5E29F5"/>
    <w:rsid w:val="6F914EDF"/>
    <w:rsid w:val="6F9F588C"/>
    <w:rsid w:val="6FFC5590"/>
    <w:rsid w:val="7018767A"/>
    <w:rsid w:val="70301DA3"/>
    <w:rsid w:val="706D1DD0"/>
    <w:rsid w:val="70856B87"/>
    <w:rsid w:val="709A231C"/>
    <w:rsid w:val="70A97A97"/>
    <w:rsid w:val="70D04123"/>
    <w:rsid w:val="70D527EE"/>
    <w:rsid w:val="70DC1E23"/>
    <w:rsid w:val="70E179F1"/>
    <w:rsid w:val="70F17827"/>
    <w:rsid w:val="71153587"/>
    <w:rsid w:val="711A29A0"/>
    <w:rsid w:val="712D6B22"/>
    <w:rsid w:val="715B5300"/>
    <w:rsid w:val="715F4BD7"/>
    <w:rsid w:val="717903AB"/>
    <w:rsid w:val="71BD019A"/>
    <w:rsid w:val="71D27F8A"/>
    <w:rsid w:val="71F744C6"/>
    <w:rsid w:val="71F960CF"/>
    <w:rsid w:val="71FC3F4E"/>
    <w:rsid w:val="71FF3645"/>
    <w:rsid w:val="722D2621"/>
    <w:rsid w:val="72846BCB"/>
    <w:rsid w:val="72A87991"/>
    <w:rsid w:val="730C00AA"/>
    <w:rsid w:val="731F5D5E"/>
    <w:rsid w:val="739C4222"/>
    <w:rsid w:val="739E0C13"/>
    <w:rsid w:val="73C92407"/>
    <w:rsid w:val="741E793C"/>
    <w:rsid w:val="74463A57"/>
    <w:rsid w:val="749C157E"/>
    <w:rsid w:val="74B518BA"/>
    <w:rsid w:val="757C3303"/>
    <w:rsid w:val="758D75E2"/>
    <w:rsid w:val="75A43E14"/>
    <w:rsid w:val="75C66B54"/>
    <w:rsid w:val="75CA690C"/>
    <w:rsid w:val="75D21A46"/>
    <w:rsid w:val="76035982"/>
    <w:rsid w:val="76217EBE"/>
    <w:rsid w:val="76596686"/>
    <w:rsid w:val="77121D63"/>
    <w:rsid w:val="774342F4"/>
    <w:rsid w:val="77762421"/>
    <w:rsid w:val="77AB5301"/>
    <w:rsid w:val="780305DD"/>
    <w:rsid w:val="780A371A"/>
    <w:rsid w:val="780F09F4"/>
    <w:rsid w:val="78106FDD"/>
    <w:rsid w:val="781A0800"/>
    <w:rsid w:val="78265BC4"/>
    <w:rsid w:val="78387633"/>
    <w:rsid w:val="787307EF"/>
    <w:rsid w:val="78770683"/>
    <w:rsid w:val="789171A3"/>
    <w:rsid w:val="789C4F47"/>
    <w:rsid w:val="78A90480"/>
    <w:rsid w:val="78B52F8D"/>
    <w:rsid w:val="78D15FE5"/>
    <w:rsid w:val="78FC585B"/>
    <w:rsid w:val="79304FEA"/>
    <w:rsid w:val="7934284E"/>
    <w:rsid w:val="794C3995"/>
    <w:rsid w:val="796C3F60"/>
    <w:rsid w:val="79811327"/>
    <w:rsid w:val="79944772"/>
    <w:rsid w:val="79CD3333"/>
    <w:rsid w:val="7A140880"/>
    <w:rsid w:val="7A364017"/>
    <w:rsid w:val="7A642F9A"/>
    <w:rsid w:val="7A69347E"/>
    <w:rsid w:val="7A7D7953"/>
    <w:rsid w:val="7A7E3F4B"/>
    <w:rsid w:val="7A8265E1"/>
    <w:rsid w:val="7A991D05"/>
    <w:rsid w:val="7A9F3AB9"/>
    <w:rsid w:val="7AB756AF"/>
    <w:rsid w:val="7B1467F3"/>
    <w:rsid w:val="7B686D42"/>
    <w:rsid w:val="7B7C092E"/>
    <w:rsid w:val="7B841746"/>
    <w:rsid w:val="7BB00252"/>
    <w:rsid w:val="7BDF7469"/>
    <w:rsid w:val="7C0248A0"/>
    <w:rsid w:val="7C1F6D5A"/>
    <w:rsid w:val="7CB741EF"/>
    <w:rsid w:val="7CF16C56"/>
    <w:rsid w:val="7CF942C4"/>
    <w:rsid w:val="7D0239FF"/>
    <w:rsid w:val="7D292894"/>
    <w:rsid w:val="7D2D0BB3"/>
    <w:rsid w:val="7D356CDC"/>
    <w:rsid w:val="7D5E40CD"/>
    <w:rsid w:val="7D693BED"/>
    <w:rsid w:val="7D820A7E"/>
    <w:rsid w:val="7DF033B2"/>
    <w:rsid w:val="7E67197E"/>
    <w:rsid w:val="7F1834C5"/>
    <w:rsid w:val="7F3F0AEE"/>
    <w:rsid w:val="7F3F49C3"/>
    <w:rsid w:val="7F504EB2"/>
    <w:rsid w:val="7F557901"/>
    <w:rsid w:val="7F601ACE"/>
    <w:rsid w:val="7FA73BC4"/>
    <w:rsid w:val="7FBD293C"/>
    <w:rsid w:val="7FE47E50"/>
    <w:rsid w:val="7FF828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27"/>
    <w:qFormat/>
    <w:locked/>
    <w:uiPriority w:val="0"/>
    <w:pPr>
      <w:keepNext/>
      <w:keepLines/>
      <w:spacing w:before="260" w:after="260" w:line="416" w:lineRule="auto"/>
      <w:outlineLvl w:val="2"/>
    </w:pPr>
    <w:rPr>
      <w:b/>
      <w:bCs/>
      <w:sz w:val="32"/>
      <w:szCs w:val="32"/>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1"/>
    <w:autoRedefine/>
    <w:qFormat/>
    <w:uiPriority w:val="0"/>
    <w:pPr>
      <w:ind w:firstLine="420" w:firstLineChars="100"/>
    </w:pPr>
  </w:style>
  <w:style w:type="paragraph" w:styleId="6">
    <w:name w:val="index 8"/>
    <w:basedOn w:val="1"/>
    <w:next w:val="1"/>
    <w:autoRedefine/>
    <w:unhideWhenUsed/>
    <w:qFormat/>
    <w:uiPriority w:val="99"/>
    <w:pPr>
      <w:adjustRightInd w:val="0"/>
      <w:snapToGrid w:val="0"/>
      <w:spacing w:line="360" w:lineRule="auto"/>
      <w:ind w:left="1400" w:leftChars="1400" w:firstLine="200" w:firstLineChars="200"/>
    </w:pPr>
    <w:rPr>
      <w:sz w:val="24"/>
      <w:szCs w:val="22"/>
    </w:rPr>
  </w:style>
  <w:style w:type="paragraph" w:styleId="7">
    <w:name w:val="Normal Indent"/>
    <w:basedOn w:val="1"/>
    <w:next w:val="1"/>
    <w:autoRedefine/>
    <w:qFormat/>
    <w:uiPriority w:val="0"/>
    <w:pPr>
      <w:ind w:firstLine="420" w:firstLineChars="200"/>
    </w:pPr>
  </w:style>
  <w:style w:type="paragraph" w:styleId="8">
    <w:name w:val="annotation text"/>
    <w:basedOn w:val="1"/>
    <w:link w:val="40"/>
    <w:autoRedefine/>
    <w:semiHidden/>
    <w:qFormat/>
    <w:uiPriority w:val="0"/>
    <w:pPr>
      <w:jc w:val="left"/>
    </w:pPr>
    <w:rPr>
      <w:kern w:val="0"/>
      <w:sz w:val="20"/>
    </w:rPr>
  </w:style>
  <w:style w:type="paragraph" w:styleId="9">
    <w:name w:val="Body Text"/>
    <w:basedOn w:val="1"/>
    <w:next w:val="10"/>
    <w:link w:val="31"/>
    <w:autoRedefine/>
    <w:qFormat/>
    <w:uiPriority w:val="0"/>
    <w:pPr>
      <w:widowControl/>
      <w:snapToGrid w:val="0"/>
      <w:spacing w:before="60" w:after="160" w:line="259" w:lineRule="auto"/>
      <w:ind w:right="113"/>
    </w:pPr>
    <w:rPr>
      <w:kern w:val="0"/>
      <w:sz w:val="18"/>
      <w:szCs w:val="18"/>
    </w:rPr>
  </w:style>
  <w:style w:type="paragraph" w:styleId="10">
    <w:name w:val="Body Text Indent"/>
    <w:basedOn w:val="1"/>
    <w:next w:val="1"/>
    <w:link w:val="42"/>
    <w:autoRedefine/>
    <w:semiHidden/>
    <w:qFormat/>
    <w:uiPriority w:val="0"/>
    <w:pPr>
      <w:spacing w:after="120"/>
      <w:ind w:left="420" w:leftChars="200"/>
    </w:pPr>
  </w:style>
  <w:style w:type="paragraph" w:styleId="11">
    <w:name w:val="Date"/>
    <w:basedOn w:val="1"/>
    <w:next w:val="1"/>
    <w:link w:val="33"/>
    <w:autoRedefine/>
    <w:qFormat/>
    <w:uiPriority w:val="0"/>
    <w:pPr>
      <w:ind w:left="100" w:leftChars="2500"/>
    </w:pPr>
    <w:rPr>
      <w:kern w:val="0"/>
      <w:sz w:val="20"/>
    </w:rPr>
  </w:style>
  <w:style w:type="paragraph" w:styleId="12">
    <w:name w:val="Balloon Text"/>
    <w:basedOn w:val="1"/>
    <w:link w:val="39"/>
    <w:autoRedefine/>
    <w:semiHidden/>
    <w:qFormat/>
    <w:uiPriority w:val="0"/>
    <w:rPr>
      <w:sz w:val="18"/>
      <w:szCs w:val="18"/>
    </w:rPr>
  </w:style>
  <w:style w:type="paragraph" w:styleId="13">
    <w:name w:val="footer"/>
    <w:basedOn w:val="1"/>
    <w:link w:val="30"/>
    <w:autoRedefine/>
    <w:qFormat/>
    <w:uiPriority w:val="0"/>
    <w:pPr>
      <w:tabs>
        <w:tab w:val="center" w:pos="4153"/>
        <w:tab w:val="right" w:pos="8306"/>
      </w:tabs>
      <w:snapToGrid w:val="0"/>
      <w:jc w:val="left"/>
    </w:pPr>
    <w:rPr>
      <w:sz w:val="18"/>
      <w:szCs w:val="18"/>
    </w:rPr>
  </w:style>
  <w:style w:type="paragraph" w:styleId="14">
    <w:name w:val="header"/>
    <w:basedOn w:val="1"/>
    <w:link w:val="29"/>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able of figures"/>
    <w:basedOn w:val="1"/>
    <w:next w:val="1"/>
    <w:autoRedefine/>
    <w:qFormat/>
    <w:uiPriority w:val="0"/>
    <w:pPr>
      <w:ind w:left="200" w:leftChars="200" w:hanging="200" w:hangingChars="200"/>
    </w:pPr>
  </w:style>
  <w:style w:type="paragraph" w:styleId="16">
    <w:name w:val="Normal (Web)"/>
    <w:basedOn w:val="1"/>
    <w:link w:val="32"/>
    <w:autoRedefine/>
    <w:qFormat/>
    <w:uiPriority w:val="0"/>
    <w:pPr>
      <w:widowControl/>
      <w:spacing w:before="100" w:beforeAutospacing="1" w:after="100" w:afterAutospacing="1"/>
      <w:jc w:val="left"/>
    </w:pPr>
    <w:rPr>
      <w:rFonts w:ascii="宋体" w:hAnsi="宋体"/>
      <w:kern w:val="0"/>
      <w:sz w:val="24"/>
    </w:rPr>
  </w:style>
  <w:style w:type="paragraph" w:styleId="17">
    <w:name w:val="Title"/>
    <w:basedOn w:val="1"/>
    <w:next w:val="1"/>
    <w:autoRedefine/>
    <w:qFormat/>
    <w:locked/>
    <w:uiPriority w:val="10"/>
    <w:pPr>
      <w:spacing w:before="240" w:after="60"/>
      <w:jc w:val="center"/>
      <w:outlineLvl w:val="0"/>
    </w:pPr>
    <w:rPr>
      <w:rFonts w:ascii="Arial" w:hAnsi="Arial" w:cs="Arial"/>
      <w:b/>
      <w:bCs/>
      <w:sz w:val="32"/>
      <w:szCs w:val="32"/>
    </w:rPr>
  </w:style>
  <w:style w:type="paragraph" w:styleId="18">
    <w:name w:val="annotation subject"/>
    <w:basedOn w:val="8"/>
    <w:next w:val="8"/>
    <w:link w:val="43"/>
    <w:autoRedefine/>
    <w:semiHidden/>
    <w:qFormat/>
    <w:uiPriority w:val="0"/>
    <w:rPr>
      <w:b/>
      <w:bCs/>
    </w:rPr>
  </w:style>
  <w:style w:type="paragraph" w:styleId="19">
    <w:name w:val="Body Text First Indent 2"/>
    <w:basedOn w:val="10"/>
    <w:next w:val="1"/>
    <w:autoRedefine/>
    <w:unhideWhenUsed/>
    <w:qFormat/>
    <w:uiPriority w:val="0"/>
    <w:pPr>
      <w:ind w:firstLine="420" w:firstLineChars="200"/>
      <w:jc w:val="left"/>
    </w:pPr>
    <w:rPr>
      <w:rFonts w:asciiTheme="minorHAnsi" w:hAnsiTheme="minorHAnsi" w:eastAsiaTheme="minorEastAsia" w:cstheme="minorBidi"/>
      <w:kern w:val="0"/>
      <w:sz w:val="22"/>
      <w:szCs w:val="22"/>
      <w:lang w:eastAsia="en-US"/>
    </w:rPr>
  </w:style>
  <w:style w:type="table" w:styleId="21">
    <w:name w:val="Table Grid"/>
    <w:basedOn w:val="20"/>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character" w:styleId="24">
    <w:name w:val="annotation reference"/>
    <w:basedOn w:val="22"/>
    <w:autoRedefine/>
    <w:semiHidden/>
    <w:qFormat/>
    <w:uiPriority w:val="0"/>
    <w:rPr>
      <w:sz w:val="21"/>
    </w:rPr>
  </w:style>
  <w:style w:type="paragraph" w:customStyle="1" w:styleId="25">
    <w:name w:val="Default"/>
    <w:basedOn w:val="26"/>
    <w:next w:val="19"/>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6">
    <w:name w:val="标题 段落4级"/>
    <w:next w:val="8"/>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character" w:customStyle="1" w:styleId="27">
    <w:name w:val="标题 3 Char"/>
    <w:link w:val="5"/>
    <w:autoRedefine/>
    <w:qFormat/>
    <w:uiPriority w:val="0"/>
    <w:rPr>
      <w:b/>
      <w:bCs/>
      <w:sz w:val="32"/>
      <w:szCs w:val="32"/>
    </w:rPr>
  </w:style>
  <w:style w:type="paragraph" w:customStyle="1" w:styleId="28">
    <w:name w:val="正文格式"/>
    <w:basedOn w:val="1"/>
    <w:autoRedefine/>
    <w:qFormat/>
    <w:uiPriority w:val="0"/>
    <w:pPr>
      <w:spacing w:beforeLines="25" w:afterLines="25" w:line="360" w:lineRule="auto"/>
      <w:ind w:firstLine="40"/>
    </w:pPr>
    <w:rPr>
      <w:rFonts w:ascii="Times New Roman" w:hAnsi="Times New Roman" w:eastAsia="宋体"/>
      <w:sz w:val="24"/>
    </w:rPr>
  </w:style>
  <w:style w:type="character" w:customStyle="1" w:styleId="29">
    <w:name w:val="Header Char"/>
    <w:basedOn w:val="22"/>
    <w:link w:val="14"/>
    <w:autoRedefine/>
    <w:qFormat/>
    <w:locked/>
    <w:uiPriority w:val="0"/>
    <w:rPr>
      <w:rFonts w:cs="Times New Roman"/>
      <w:sz w:val="18"/>
      <w:szCs w:val="18"/>
    </w:rPr>
  </w:style>
  <w:style w:type="character" w:customStyle="1" w:styleId="30">
    <w:name w:val="Footer Char"/>
    <w:basedOn w:val="22"/>
    <w:link w:val="13"/>
    <w:autoRedefine/>
    <w:qFormat/>
    <w:locked/>
    <w:uiPriority w:val="0"/>
    <w:rPr>
      <w:rFonts w:cs="Times New Roman"/>
      <w:sz w:val="18"/>
      <w:szCs w:val="18"/>
    </w:rPr>
  </w:style>
  <w:style w:type="character" w:customStyle="1" w:styleId="31">
    <w:name w:val="Body Text Char"/>
    <w:link w:val="9"/>
    <w:autoRedefine/>
    <w:qFormat/>
    <w:locked/>
    <w:uiPriority w:val="0"/>
    <w:rPr>
      <w:sz w:val="18"/>
    </w:rPr>
  </w:style>
  <w:style w:type="character" w:customStyle="1" w:styleId="32">
    <w:name w:val="Normal (Web) Char"/>
    <w:link w:val="16"/>
    <w:autoRedefine/>
    <w:qFormat/>
    <w:locked/>
    <w:uiPriority w:val="0"/>
    <w:rPr>
      <w:rFonts w:ascii="宋体" w:hAnsi="宋体" w:eastAsia="宋体"/>
      <w:sz w:val="24"/>
    </w:rPr>
  </w:style>
  <w:style w:type="character" w:customStyle="1" w:styleId="33">
    <w:name w:val="Date Char"/>
    <w:link w:val="11"/>
    <w:autoRedefine/>
    <w:qFormat/>
    <w:locked/>
    <w:uiPriority w:val="0"/>
    <w:rPr>
      <w:rFonts w:ascii="Times New Roman" w:hAnsi="Times New Roman" w:eastAsia="宋体"/>
      <w:sz w:val="24"/>
    </w:rPr>
  </w:style>
  <w:style w:type="character" w:customStyle="1" w:styleId="34">
    <w:name w:val="日期 字符"/>
    <w:basedOn w:val="22"/>
    <w:autoRedefine/>
    <w:semiHidden/>
    <w:qFormat/>
    <w:uiPriority w:val="0"/>
    <w:rPr>
      <w:rFonts w:ascii="Times New Roman" w:hAnsi="Times New Roman" w:eastAsia="宋体" w:cs="Times New Roman"/>
      <w:sz w:val="24"/>
      <w:szCs w:val="24"/>
    </w:rPr>
  </w:style>
  <w:style w:type="character" w:customStyle="1" w:styleId="35">
    <w:name w:val="正文文本 字符1"/>
    <w:basedOn w:val="22"/>
    <w:autoRedefine/>
    <w:semiHidden/>
    <w:qFormat/>
    <w:uiPriority w:val="0"/>
    <w:rPr>
      <w:rFonts w:ascii="Times New Roman" w:hAnsi="Times New Roman" w:eastAsia="宋体" w:cs="Times New Roman"/>
      <w:sz w:val="24"/>
      <w:szCs w:val="24"/>
    </w:rPr>
  </w:style>
  <w:style w:type="paragraph" w:customStyle="1" w:styleId="36">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37">
    <w:name w:val="表格 Char"/>
    <w:link w:val="38"/>
    <w:autoRedefine/>
    <w:qFormat/>
    <w:locked/>
    <w:uiPriority w:val="0"/>
    <w:rPr>
      <w:rFonts w:ascii="宋体"/>
      <w:sz w:val="21"/>
    </w:rPr>
  </w:style>
  <w:style w:type="paragraph" w:customStyle="1" w:styleId="38">
    <w:name w:val="表格"/>
    <w:basedOn w:val="1"/>
    <w:next w:val="1"/>
    <w:link w:val="37"/>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39">
    <w:name w:val="Balloon Text Char"/>
    <w:basedOn w:val="22"/>
    <w:link w:val="12"/>
    <w:autoRedefine/>
    <w:semiHidden/>
    <w:qFormat/>
    <w:locked/>
    <w:uiPriority w:val="0"/>
    <w:rPr>
      <w:rFonts w:ascii="Times New Roman" w:hAnsi="Times New Roman" w:eastAsia="宋体" w:cs="Times New Roman"/>
      <w:sz w:val="18"/>
      <w:szCs w:val="18"/>
    </w:rPr>
  </w:style>
  <w:style w:type="character" w:customStyle="1" w:styleId="40">
    <w:name w:val="Comment Text Char"/>
    <w:link w:val="8"/>
    <w:autoRedefine/>
    <w:qFormat/>
    <w:locked/>
    <w:uiPriority w:val="0"/>
    <w:rPr>
      <w:rFonts w:ascii="Times New Roman" w:hAnsi="Times New Roman" w:eastAsia="宋体"/>
      <w:sz w:val="24"/>
    </w:rPr>
  </w:style>
  <w:style w:type="character" w:customStyle="1" w:styleId="41">
    <w:name w:val="批注文字 字符1"/>
    <w:basedOn w:val="22"/>
    <w:autoRedefine/>
    <w:semiHidden/>
    <w:qFormat/>
    <w:uiPriority w:val="0"/>
    <w:rPr>
      <w:rFonts w:ascii="Times New Roman" w:hAnsi="Times New Roman" w:eastAsia="宋体" w:cs="Times New Roman"/>
      <w:sz w:val="24"/>
      <w:szCs w:val="24"/>
    </w:rPr>
  </w:style>
  <w:style w:type="character" w:customStyle="1" w:styleId="42">
    <w:name w:val="Body Text Indent Char"/>
    <w:basedOn w:val="22"/>
    <w:link w:val="10"/>
    <w:autoRedefine/>
    <w:semiHidden/>
    <w:qFormat/>
    <w:locked/>
    <w:uiPriority w:val="0"/>
    <w:rPr>
      <w:rFonts w:ascii="Times New Roman" w:hAnsi="Times New Roman" w:eastAsia="宋体" w:cs="Times New Roman"/>
      <w:sz w:val="24"/>
      <w:szCs w:val="24"/>
    </w:rPr>
  </w:style>
  <w:style w:type="character" w:customStyle="1" w:styleId="43">
    <w:name w:val="Comment Subject Char"/>
    <w:basedOn w:val="40"/>
    <w:link w:val="18"/>
    <w:autoRedefine/>
    <w:semiHidden/>
    <w:qFormat/>
    <w:locked/>
    <w:uiPriority w:val="0"/>
    <w:rPr>
      <w:rFonts w:cs="Times New Roman"/>
      <w:b/>
      <w:bCs/>
      <w:kern w:val="2"/>
      <w:szCs w:val="24"/>
    </w:rPr>
  </w:style>
  <w:style w:type="character" w:customStyle="1" w:styleId="44">
    <w:name w:val="普通(网站) Char"/>
    <w:autoRedefine/>
    <w:qFormat/>
    <w:locked/>
    <w:uiPriority w:val="0"/>
    <w:rPr>
      <w:rFonts w:ascii="宋体" w:hAnsi="宋体" w:eastAsia="宋体"/>
      <w:sz w:val="24"/>
    </w:rPr>
  </w:style>
  <w:style w:type="paragraph" w:customStyle="1" w:styleId="45">
    <w:name w:val="正文（缩进）"/>
    <w:basedOn w:val="1"/>
    <w:autoRedefine/>
    <w:qFormat/>
    <w:uiPriority w:val="99"/>
    <w:pPr>
      <w:spacing w:line="360" w:lineRule="auto"/>
      <w:ind w:firstLine="480"/>
    </w:pPr>
    <w:rPr>
      <w:szCs w:val="20"/>
    </w:rPr>
  </w:style>
  <w:style w:type="paragraph" w:customStyle="1" w:styleId="46">
    <w:name w:val="正文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47">
    <w:name w:val="表格样式1"/>
    <w:basedOn w:val="21"/>
    <w:autoRedefine/>
    <w:qFormat/>
    <w:uiPriority w:val="0"/>
    <w:pPr>
      <w:spacing w:line="240" w:lineRule="atLeast"/>
      <w:jc w:val="left"/>
    </w:pPr>
    <w:rPr>
      <w:sz w:val="21"/>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styleId="48">
    <w:name w:val="List Paragraph"/>
    <w:basedOn w:val="1"/>
    <w:autoRedefine/>
    <w:qFormat/>
    <w:uiPriority w:val="34"/>
    <w:pPr>
      <w:ind w:firstLine="420" w:firstLineChars="200"/>
    </w:pPr>
    <w:rPr>
      <w:sz w:val="24"/>
    </w:rPr>
  </w:style>
  <w:style w:type="paragraph" w:customStyle="1" w:styleId="49">
    <w:name w:val="表格文字"/>
    <w:basedOn w:val="1"/>
    <w:autoRedefine/>
    <w:qFormat/>
    <w:uiPriority w:val="0"/>
    <w:pPr>
      <w:adjustRightInd w:val="0"/>
      <w:spacing w:line="360" w:lineRule="auto"/>
      <w:ind w:right="-1" w:firstLine="360" w:firstLineChars="150"/>
    </w:pPr>
    <w:rPr>
      <w:rFonts w:hAnsi="宋体"/>
      <w:sz w:val="24"/>
    </w:rPr>
  </w:style>
  <w:style w:type="paragraph" w:customStyle="1" w:styleId="50">
    <w:name w:val="正文第"/>
    <w:basedOn w:val="10"/>
    <w:autoRedefine/>
    <w:qFormat/>
    <w:uiPriority w:val="0"/>
    <w:pPr>
      <w:ind w:firstLine="460" w:firstLineChars="200"/>
    </w:pPr>
    <w:rPr>
      <w:bCs/>
      <w:szCs w:val="21"/>
    </w:rPr>
  </w:style>
  <w:style w:type="paragraph" w:customStyle="1" w:styleId="51">
    <w:name w:val="qq表格文字qq"/>
    <w:basedOn w:val="1"/>
    <w:autoRedefine/>
    <w:qFormat/>
    <w:uiPriority w:val="0"/>
    <w:pPr>
      <w:spacing w:line="240" w:lineRule="auto"/>
      <w:jc w:val="center"/>
    </w:pPr>
    <w:rPr>
      <w:rFonts w:ascii="Times New Roman" w:hAnsi="Times New Roman" w:eastAsia="宋体"/>
      <w:sz w:val="21"/>
    </w:rPr>
  </w:style>
  <w:style w:type="paragraph" w:customStyle="1" w:styleId="52">
    <w:name w:val="小标题 qq"/>
    <w:basedOn w:val="10"/>
    <w:autoRedefine/>
    <w:qFormat/>
    <w:uiPriority w:val="0"/>
    <w:pPr>
      <w:spacing w:line="360" w:lineRule="exact"/>
      <w:ind w:firstLine="0" w:firstLineChars="0"/>
      <w:jc w:val="center"/>
    </w:pPr>
    <w:rPr>
      <w:b/>
      <w:sz w:val="21"/>
      <w:szCs w:val="21"/>
    </w:rPr>
  </w:style>
  <w:style w:type="paragraph" w:customStyle="1" w:styleId="53">
    <w:name w:val="！正文"/>
    <w:next w:val="6"/>
    <w:autoRedefine/>
    <w:qFormat/>
    <w:uiPriority w:val="0"/>
    <w:pPr>
      <w:widowControl w:val="0"/>
      <w:spacing w:line="360" w:lineRule="auto"/>
      <w:ind w:firstLine="200" w:firstLineChars="200"/>
      <w:jc w:val="both"/>
    </w:pPr>
    <w:rPr>
      <w:rFonts w:ascii="Times New Roman" w:hAnsi="Times New Roman" w:eastAsia="宋体" w:cs="Times New Roman"/>
      <w:bCs/>
      <w:color w:val="000000"/>
      <w:kern w:val="2"/>
      <w:sz w:val="24"/>
      <w:szCs w:val="28"/>
      <w:lang w:val="zh-CN" w:eastAsia="zh-CN" w:bidi="ar-SA"/>
    </w:rPr>
  </w:style>
  <w:style w:type="paragraph" w:customStyle="1" w:styleId="54">
    <w:name w:val="Table Paragraph"/>
    <w:basedOn w:val="1"/>
    <w:next w:val="1"/>
    <w:autoRedefine/>
    <w:qFormat/>
    <w:uiPriority w:val="1"/>
    <w:rPr>
      <w:rFonts w:ascii="宋体" w:hAnsi="宋体" w:eastAsia="宋体" w:cs="宋体"/>
      <w:lang w:val="zh-CN" w:eastAsia="zh-CN" w:bidi="zh-CN"/>
    </w:rPr>
  </w:style>
  <w:style w:type="paragraph" w:customStyle="1" w:styleId="55">
    <w:name w:val="样式1"/>
    <w:basedOn w:val="1"/>
    <w:autoRedefine/>
    <w:qFormat/>
    <w:uiPriority w:val="0"/>
    <w:pPr>
      <w:widowControl/>
      <w:spacing w:before="50" w:beforeLines="50" w:line="360" w:lineRule="auto"/>
      <w:ind w:firstLine="480" w:firstLineChars="200"/>
    </w:pPr>
    <w:rPr>
      <w:rFonts w:ascii="Times New Roman" w:hAnsi="Times New Roman" w:cs="Times New Roman"/>
      <w:color w:val="FF0000"/>
      <w:kern w:val="24"/>
      <w:sz w:val="24"/>
      <w:szCs w:val="21"/>
    </w:rPr>
  </w:style>
  <w:style w:type="paragraph" w:customStyle="1" w:styleId="56">
    <w:name w:val="12345正文"/>
    <w:basedOn w:val="1"/>
    <w:autoRedefine/>
    <w:qFormat/>
    <w:uiPriority w:val="0"/>
    <w:pPr>
      <w:autoSpaceDE w:val="0"/>
      <w:autoSpaceDN w:val="0"/>
      <w:adjustRightInd w:val="0"/>
      <w:spacing w:line="360" w:lineRule="auto"/>
      <w:ind w:firstLine="480" w:firstLineChars="200"/>
      <w:contextualSpacing/>
    </w:pPr>
    <w:rPr>
      <w:rFonts w:cs="宋体"/>
      <w:kern w:val="0"/>
      <w:sz w:val="24"/>
    </w:rPr>
  </w:style>
  <w:style w:type="paragraph" w:customStyle="1" w:styleId="57">
    <w:name w:val="正文qq"/>
    <w:basedOn w:val="1"/>
    <w:autoRedefine/>
    <w:qFormat/>
    <w:uiPriority w:val="0"/>
    <w:pPr>
      <w:spacing w:line="360" w:lineRule="auto"/>
      <w:ind w:firstLine="480" w:firstLineChars="200"/>
    </w:pPr>
    <w:rPr>
      <w:bCs/>
      <w:sz w:val="24"/>
    </w:rPr>
  </w:style>
  <w:style w:type="paragraph" w:customStyle="1" w:styleId="58">
    <w:name w:val="样式 正文缩进正文缩进2正文缩进 Char Char正文缩进 Char Char Char Char正文缩进 Char ..."/>
    <w:basedOn w:val="7"/>
    <w:autoRedefine/>
    <w:qFormat/>
    <w:uiPriority w:val="0"/>
    <w:pPr>
      <w:spacing w:line="360" w:lineRule="auto"/>
      <w:ind w:firstLine="200"/>
    </w:pPr>
    <w:rPr>
      <w:rFonts w:cs="宋体"/>
      <w:sz w:val="24"/>
    </w:rPr>
  </w:style>
  <w:style w:type="paragraph" w:customStyle="1" w:styleId="59">
    <w:name w:val="表格2.0"/>
    <w:basedOn w:val="4"/>
    <w:next w:val="1"/>
    <w:autoRedefine/>
    <w:qFormat/>
    <w:uiPriority w:val="0"/>
    <w:pPr>
      <w:spacing w:before="0" w:after="0" w:line="360" w:lineRule="auto"/>
    </w:pPr>
    <w:rPr>
      <w:rFonts w:eastAsia="宋体"/>
      <w:b w:val="0"/>
      <w:bCs w:val="0"/>
      <w:sz w:val="21"/>
      <w:szCs w:val="24"/>
    </w:rPr>
  </w:style>
  <w:style w:type="table" w:customStyle="1" w:styleId="60">
    <w:name w:val="Table Normal"/>
    <w:autoRedefine/>
    <w:semiHidden/>
    <w:unhideWhenUsed/>
    <w:qFormat/>
    <w:uiPriority w:val="0"/>
    <w:tblPr>
      <w:tblCellMar>
        <w:top w:w="0" w:type="dxa"/>
        <w:left w:w="0" w:type="dxa"/>
        <w:bottom w:w="0" w:type="dxa"/>
        <w:right w:w="0" w:type="dxa"/>
      </w:tblCellMar>
    </w:tblPr>
  </w:style>
  <w:style w:type="paragraph" w:customStyle="1" w:styleId="61">
    <w:name w:val="表格内容"/>
    <w:basedOn w:val="7"/>
    <w:next w:val="1"/>
    <w:autoRedefine/>
    <w:qFormat/>
    <w:uiPriority w:val="0"/>
    <w:pPr>
      <w:ind w:firstLine="0" w:firstLineChars="0"/>
      <w:jc w:val="center"/>
    </w:pPr>
    <w:rPr>
      <w:rFonts w:ascii="Calibri" w:hAnsi="Calibri" w:eastAsia="Calibri"/>
      <w:kern w:val="0"/>
      <w:szCs w:val="20"/>
      <w:lang w:eastAsia="en-US"/>
    </w:rPr>
  </w:style>
  <w:style w:type="paragraph" w:customStyle="1" w:styleId="62">
    <w:name w:val="+正文"/>
    <w:basedOn w:val="1"/>
    <w:autoRedefine/>
    <w:qFormat/>
    <w:uiPriority w:val="0"/>
    <w:pPr>
      <w:adjustRightInd w:val="0"/>
      <w:snapToGrid w:val="0"/>
      <w:spacing w:line="360" w:lineRule="auto"/>
      <w:ind w:firstLine="200" w:firstLineChars="200"/>
    </w:pPr>
    <w:rPr>
      <w:rFonts w:ascii="Times New Roman" w:hAnsi="Times New Roman"/>
      <w:sz w:val="24"/>
    </w:rPr>
  </w:style>
  <w:style w:type="paragraph" w:customStyle="1" w:styleId="63">
    <w:name w:val="样式 仿宋_GB2312 四号 行距: 1.5 倍行距"/>
    <w:basedOn w:val="1"/>
    <w:qFormat/>
    <w:uiPriority w:val="99"/>
    <w:pPr>
      <w:ind w:firstLine="723"/>
    </w:pPr>
    <w:rPr>
      <w:rFonts w:ascii="仿宋_GB2312" w:hAnsi="仿宋_GB2312" w:cs="宋体"/>
      <w:color w:val="000000"/>
    </w:rPr>
  </w:style>
  <w:style w:type="paragraph" w:customStyle="1" w:styleId="64">
    <w:name w:val="正文缩近"/>
    <w:basedOn w:val="1"/>
    <w:qFormat/>
    <w:uiPriority w:val="0"/>
    <w:pPr>
      <w:spacing w:line="360" w:lineRule="auto"/>
      <w:ind w:firstLine="560" w:firstLineChars="200"/>
    </w:pPr>
    <w:rPr>
      <w:sz w:val="28"/>
      <w:szCs w:val="28"/>
    </w:rPr>
  </w:style>
  <w:style w:type="paragraph" w:customStyle="1" w:styleId="65">
    <w:name w:val=" Char Char Char Char"/>
    <w:basedOn w:val="1"/>
    <w:qFormat/>
    <w:uiPriority w:val="0"/>
    <w:pPr>
      <w:spacing w:line="240" w:lineRule="auto"/>
      <w:ind w:firstLine="0" w:firstLineChars="0"/>
    </w:pPr>
    <w:rPr>
      <w:rFonts w:ascii="Times New Roman" w:hAnsi="Times New Roman" w:eastAsia="宋体"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DcwNDg2MzQ3ODgiLAogICAiR3JvdXBJZCIgOiAiNjI3ODA3ODA0IiwKICAgIkltYWdlIiA6ICJpVkJPUncwS0dnb0FBQUFOU1VoRVVnQUFBZmdBQUFHQkNBWUFBQUNLQmFOMkFBQUFDWEJJV1hNQUFBc1RBQUFMRXdFQW1wd1lBQUFnQUVsRVFWUjRuTzNkZTFoVTVkby84TzhhY0ZERXMybWtwb1pzYStjMm1jbFRudkJVaW9jTUJkS05tcFduVXZPdDFOeFgvcVRRS0xOMGF4NVMzOEt0YnhJb2doTG9OZ3kzbVpBTzdLd3NhanpzUUZHb0JGRjBocGw1Zm4vZ3JNM0VDSWd6ek16aSs3bXVMbWVlOWF5MWJtQTE5M3FlZGE4MUF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63</Pages>
  <Words>34938</Words>
  <Characters>38589</Characters>
  <Lines>9</Lines>
  <Paragraphs>2</Paragraphs>
  <TotalTime>5</TotalTime>
  <ScaleCrop>false</ScaleCrop>
  <LinksUpToDate>false</LinksUpToDate>
  <CharactersWithSpaces>38953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＠_＠</cp:lastModifiedBy>
  <cp:lastPrinted>2022-10-18T02:26:00Z</cp:lastPrinted>
  <dcterms:modified xsi:type="dcterms:W3CDTF">2024-08-29T08:38:08Z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8742436093B24689B44DDB2F4F374DB9</vt:lpwstr>
  </property>
</Properties>
</file>