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DB143">
      <w:pPr>
        <w:spacing w:before="231" w:line="220" w:lineRule="auto"/>
        <w:outlineLvl w:val="0"/>
        <w:rPr>
          <w:rFonts w:ascii="宋体" w:hAnsi="宋体" w:eastAsia="宋体" w:cs="宋体"/>
          <w:b/>
          <w:bCs/>
          <w:spacing w:val="1"/>
          <w:sz w:val="71"/>
          <w:szCs w:val="71"/>
        </w:rPr>
      </w:pPr>
    </w:p>
    <w:p w14:paraId="13D93B58">
      <w:pPr>
        <w:spacing w:before="231" w:line="220" w:lineRule="auto"/>
        <w:ind w:left="228"/>
        <w:outlineLvl w:val="0"/>
        <w:rPr>
          <w:rFonts w:ascii="宋体" w:hAnsi="宋体" w:eastAsia="宋体" w:cs="宋体"/>
          <w:sz w:val="71"/>
          <w:szCs w:val="71"/>
        </w:rPr>
      </w:pPr>
      <w:r>
        <w:rPr>
          <w:rFonts w:ascii="宋体" w:hAnsi="宋体" w:eastAsia="宋体" w:cs="宋体"/>
          <w:b/>
          <w:bCs/>
          <w:spacing w:val="1"/>
          <w:sz w:val="71"/>
          <w:szCs w:val="71"/>
        </w:rPr>
        <w:t>建设项目环境影响报告表</w:t>
      </w:r>
    </w:p>
    <w:p w14:paraId="198B4DC5">
      <w:pPr>
        <w:spacing w:before="290" w:line="223" w:lineRule="auto"/>
        <w:ind w:left="2515"/>
        <w:outlineLvl w:val="2"/>
        <w:rPr>
          <w:rFonts w:ascii="宋体" w:hAnsi="宋体" w:eastAsia="宋体" w:cs="宋体"/>
          <w:sz w:val="47"/>
          <w:szCs w:val="47"/>
        </w:rPr>
      </w:pPr>
      <w:r>
        <w:rPr>
          <w:rFonts w:ascii="宋体" w:hAnsi="宋体" w:eastAsia="宋体" w:cs="宋体"/>
          <w:b/>
          <w:bCs/>
          <w:spacing w:val="-1"/>
          <w:sz w:val="47"/>
          <w:szCs w:val="47"/>
        </w:rPr>
        <w:t>（污染影响类）</w:t>
      </w:r>
    </w:p>
    <w:p w14:paraId="23E6810E">
      <w:pPr>
        <w:pStyle w:val="12"/>
        <w:spacing w:line="241" w:lineRule="auto"/>
      </w:pPr>
    </w:p>
    <w:p w14:paraId="6B112A4C">
      <w:pPr>
        <w:pStyle w:val="12"/>
        <w:spacing w:line="241" w:lineRule="auto"/>
      </w:pPr>
    </w:p>
    <w:p w14:paraId="1F33AFB1">
      <w:pPr>
        <w:pStyle w:val="12"/>
        <w:spacing w:line="241" w:lineRule="auto"/>
      </w:pPr>
    </w:p>
    <w:p w14:paraId="7FEA5621">
      <w:pPr>
        <w:pStyle w:val="12"/>
        <w:spacing w:line="241" w:lineRule="auto"/>
      </w:pPr>
    </w:p>
    <w:p w14:paraId="52810598">
      <w:pPr>
        <w:pStyle w:val="12"/>
        <w:spacing w:line="241" w:lineRule="auto"/>
      </w:pPr>
    </w:p>
    <w:p w14:paraId="0F466498">
      <w:pPr>
        <w:pStyle w:val="12"/>
        <w:spacing w:line="241" w:lineRule="auto"/>
      </w:pPr>
    </w:p>
    <w:p w14:paraId="1CEEA0F0">
      <w:pPr>
        <w:pStyle w:val="12"/>
        <w:spacing w:line="241" w:lineRule="auto"/>
      </w:pPr>
      <w:bookmarkStart w:id="4" w:name="_GoBack"/>
      <w:bookmarkEnd w:id="4"/>
    </w:p>
    <w:p w14:paraId="1F0501C4">
      <w:pPr>
        <w:pStyle w:val="12"/>
        <w:spacing w:line="242" w:lineRule="auto"/>
      </w:pPr>
    </w:p>
    <w:p w14:paraId="1533450A">
      <w:pPr>
        <w:pStyle w:val="12"/>
        <w:spacing w:line="242" w:lineRule="auto"/>
      </w:pPr>
    </w:p>
    <w:p w14:paraId="7E4B3790">
      <w:pPr>
        <w:pStyle w:val="12"/>
        <w:spacing w:line="242" w:lineRule="auto"/>
      </w:pPr>
    </w:p>
    <w:p w14:paraId="22BF01AE">
      <w:pPr>
        <w:pStyle w:val="12"/>
        <w:spacing w:line="242" w:lineRule="auto"/>
      </w:pPr>
    </w:p>
    <w:p w14:paraId="7D6B6511">
      <w:pPr>
        <w:pStyle w:val="12"/>
        <w:spacing w:line="242" w:lineRule="auto"/>
      </w:pPr>
    </w:p>
    <w:p w14:paraId="46A9C51F">
      <w:pPr>
        <w:pStyle w:val="12"/>
        <w:spacing w:line="242" w:lineRule="auto"/>
      </w:pPr>
    </w:p>
    <w:p w14:paraId="1FECB890">
      <w:pPr>
        <w:pStyle w:val="12"/>
        <w:spacing w:line="242" w:lineRule="auto"/>
      </w:pPr>
    </w:p>
    <w:p w14:paraId="0A8013C5">
      <w:pPr>
        <w:pStyle w:val="12"/>
        <w:spacing w:line="242" w:lineRule="auto"/>
      </w:pPr>
    </w:p>
    <w:p w14:paraId="64767880">
      <w:pPr>
        <w:spacing w:before="114" w:line="224" w:lineRule="auto"/>
        <w:ind w:left="744"/>
        <w:rPr>
          <w:rFonts w:ascii="宋体" w:hAnsi="宋体" w:eastAsia="宋体" w:cs="宋体"/>
          <w:sz w:val="35"/>
          <w:szCs w:val="35"/>
        </w:rPr>
      </w:pPr>
      <w:r>
        <w:rPr>
          <w:rFonts w:ascii="宋体" w:hAnsi="宋体" w:eastAsia="宋体" w:cs="宋体"/>
          <w:b/>
          <w:bCs/>
          <w:spacing w:val="-27"/>
          <w:sz w:val="35"/>
          <w:szCs w:val="35"/>
        </w:rPr>
        <w:t>项目名称：</w:t>
      </w:r>
      <w:r>
        <w:rPr>
          <w:rFonts w:ascii="宋体" w:hAnsi="宋体" w:eastAsia="宋体" w:cs="宋体"/>
          <w:b/>
          <w:bCs/>
          <w:spacing w:val="-27"/>
          <w:sz w:val="35"/>
          <w:szCs w:val="35"/>
          <w:u w:val="single" w:color="auto"/>
        </w:rPr>
        <w:t>宁县源之生社会化服务组织畜禽粪污</w:t>
      </w:r>
    </w:p>
    <w:p w14:paraId="52E56D08">
      <w:pPr>
        <w:spacing w:before="276" w:line="225" w:lineRule="auto"/>
        <w:ind w:left="2392"/>
        <w:rPr>
          <w:rFonts w:ascii="宋体" w:hAnsi="宋体" w:eastAsia="宋体" w:cs="宋体"/>
          <w:sz w:val="35"/>
          <w:szCs w:val="35"/>
        </w:rPr>
      </w:pPr>
      <w:r>
        <w:rPr>
          <w:rFonts w:ascii="宋体" w:hAnsi="宋体" w:eastAsia="宋体" w:cs="宋体"/>
          <w:b/>
          <w:bCs/>
          <w:spacing w:val="-27"/>
          <w:sz w:val="35"/>
          <w:szCs w:val="35"/>
          <w:u w:val="single" w:color="auto"/>
        </w:rPr>
        <w:t>资源化处置中心建设项目</w:t>
      </w:r>
    </w:p>
    <w:p w14:paraId="613E8DE8">
      <w:pPr>
        <w:spacing w:before="273" w:line="224" w:lineRule="auto"/>
        <w:ind w:left="664"/>
        <w:rPr>
          <w:rFonts w:ascii="宋体" w:hAnsi="宋体" w:eastAsia="宋体" w:cs="宋体"/>
          <w:sz w:val="35"/>
          <w:szCs w:val="35"/>
        </w:rPr>
      </w:pPr>
      <w:r>
        <w:rPr>
          <w:rFonts w:ascii="宋体" w:hAnsi="宋体" w:eastAsia="宋体" w:cs="宋体"/>
          <w:b/>
          <w:bCs/>
          <w:spacing w:val="-28"/>
          <w:sz w:val="35"/>
          <w:szCs w:val="35"/>
        </w:rPr>
        <w:t>建设单位（盖章</w:t>
      </w:r>
      <w:r>
        <w:rPr>
          <w:rFonts w:ascii="宋体" w:hAnsi="宋体" w:eastAsia="宋体" w:cs="宋体"/>
          <w:b/>
          <w:bCs/>
          <w:spacing w:val="-91"/>
          <w:sz w:val="35"/>
          <w:szCs w:val="35"/>
        </w:rPr>
        <w:t>）：</w:t>
      </w:r>
      <w:r>
        <w:rPr>
          <w:rFonts w:ascii="宋体" w:hAnsi="宋体" w:eastAsia="宋体" w:cs="宋体"/>
          <w:b/>
          <w:bCs/>
          <w:spacing w:val="-28"/>
          <w:sz w:val="35"/>
          <w:szCs w:val="35"/>
          <w:u w:val="single" w:color="auto"/>
        </w:rPr>
        <w:t>宁县源之生农业科技有限公司</w:t>
      </w:r>
    </w:p>
    <w:p w14:paraId="67143138">
      <w:pPr>
        <w:spacing w:before="275" w:line="225" w:lineRule="auto"/>
        <w:ind w:left="2630"/>
        <w:rPr>
          <w:rFonts w:ascii="宋体" w:hAnsi="宋体" w:eastAsia="宋体" w:cs="宋体"/>
          <w:sz w:val="35"/>
          <w:szCs w:val="35"/>
        </w:rPr>
      </w:pPr>
      <w:r>
        <w:rPr>
          <w:rFonts w:ascii="宋体" w:hAnsi="宋体" w:eastAsia="宋体" w:cs="宋体"/>
          <w:b/>
          <w:bCs/>
          <w:spacing w:val="-21"/>
          <w:sz w:val="35"/>
          <w:szCs w:val="35"/>
        </w:rPr>
        <w:t>编制日期：</w:t>
      </w:r>
      <w:r>
        <w:rPr>
          <w:rFonts w:ascii="Times New Roman" w:hAnsi="Times New Roman" w:eastAsia="Times New Roman" w:cs="Times New Roman"/>
          <w:b/>
          <w:bCs/>
          <w:spacing w:val="-21"/>
          <w:sz w:val="35"/>
          <w:szCs w:val="35"/>
        </w:rPr>
        <w:t>2024</w:t>
      </w:r>
      <w:r>
        <w:rPr>
          <w:rFonts w:ascii="宋体" w:hAnsi="宋体" w:eastAsia="宋体" w:cs="宋体"/>
          <w:b/>
          <w:bCs/>
          <w:spacing w:val="-21"/>
          <w:sz w:val="35"/>
          <w:szCs w:val="35"/>
        </w:rPr>
        <w:t>年</w:t>
      </w:r>
      <w:r>
        <w:rPr>
          <w:rFonts w:ascii="Times New Roman" w:hAnsi="Times New Roman" w:eastAsia="Times New Roman" w:cs="Times New Roman"/>
          <w:b/>
          <w:bCs/>
          <w:spacing w:val="-21"/>
          <w:sz w:val="35"/>
          <w:szCs w:val="35"/>
        </w:rPr>
        <w:t>9</w:t>
      </w:r>
      <w:r>
        <w:rPr>
          <w:rFonts w:ascii="宋体" w:hAnsi="宋体" w:eastAsia="宋体" w:cs="宋体"/>
          <w:b/>
          <w:bCs/>
          <w:spacing w:val="-21"/>
          <w:sz w:val="35"/>
          <w:szCs w:val="35"/>
        </w:rPr>
        <w:t>月</w:t>
      </w:r>
    </w:p>
    <w:p w14:paraId="5BEB7ED5">
      <w:pPr>
        <w:pStyle w:val="12"/>
        <w:spacing w:line="279" w:lineRule="auto"/>
      </w:pPr>
    </w:p>
    <w:p w14:paraId="2A46416E">
      <w:pPr>
        <w:pStyle w:val="12"/>
        <w:spacing w:line="280" w:lineRule="auto"/>
      </w:pPr>
    </w:p>
    <w:p w14:paraId="7C52ADF8">
      <w:pPr>
        <w:pStyle w:val="12"/>
        <w:spacing w:line="280" w:lineRule="auto"/>
      </w:pPr>
    </w:p>
    <w:p w14:paraId="774F3DAE">
      <w:pPr>
        <w:spacing w:before="114" w:line="225" w:lineRule="auto"/>
        <w:ind w:left="1866"/>
        <w:rPr>
          <w:rFonts w:ascii="宋体" w:hAnsi="宋体" w:eastAsia="宋体" w:cs="宋体"/>
          <w:sz w:val="35"/>
          <w:szCs w:val="35"/>
        </w:rPr>
      </w:pPr>
      <w:r>
        <w:rPr>
          <w:rFonts w:ascii="宋体" w:hAnsi="宋体" w:eastAsia="宋体" w:cs="宋体"/>
          <w:b/>
          <w:bCs/>
          <w:spacing w:val="3"/>
          <w:sz w:val="35"/>
          <w:szCs w:val="35"/>
        </w:rPr>
        <w:t>中华人民共和国生态环境部制</w:t>
      </w:r>
    </w:p>
    <w:p w14:paraId="7CC6DD1F">
      <w:pPr>
        <w:spacing w:line="225" w:lineRule="auto"/>
        <w:rPr>
          <w:rFonts w:ascii="宋体" w:hAnsi="宋体" w:eastAsia="宋体" w:cs="宋体"/>
          <w:sz w:val="35"/>
          <w:szCs w:val="35"/>
        </w:rPr>
        <w:sectPr>
          <w:pgSz w:w="11906" w:h="16839"/>
          <w:pgMar w:top="1431" w:right="1785" w:bottom="0" w:left="1785" w:header="0" w:footer="0" w:gutter="0"/>
          <w:cols w:space="720" w:num="1"/>
        </w:sectPr>
      </w:pPr>
    </w:p>
    <w:p w14:paraId="01390DDF">
      <w:pPr>
        <w:pStyle w:val="31"/>
        <w:jc w:val="center"/>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一、建设项目基本情况</w:t>
      </w:r>
    </w:p>
    <w:tbl>
      <w:tblPr>
        <w:tblStyle w:val="3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8"/>
        <w:gridCol w:w="1731"/>
        <w:gridCol w:w="290"/>
        <w:gridCol w:w="1381"/>
        <w:gridCol w:w="668"/>
        <w:gridCol w:w="2802"/>
      </w:tblGrid>
      <w:tr w14:paraId="227D1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noWrap w:val="0"/>
            <w:tcMar>
              <w:top w:w="16" w:type="dxa"/>
              <w:left w:w="16" w:type="dxa"/>
              <w:right w:w="16" w:type="dxa"/>
            </w:tcMar>
            <w:vAlign w:val="center"/>
          </w:tcPr>
          <w:p w14:paraId="07427BA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6872" w:type="dxa"/>
            <w:gridSpan w:val="5"/>
            <w:noWrap w:val="0"/>
            <w:vAlign w:val="center"/>
          </w:tcPr>
          <w:p w14:paraId="575FED54">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宁县源之生社会化服务组织畜禽粪污资源化处置中心建设项目</w:t>
            </w:r>
          </w:p>
        </w:tc>
      </w:tr>
      <w:tr w14:paraId="23A37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noWrap w:val="0"/>
            <w:tcMar>
              <w:top w:w="16" w:type="dxa"/>
              <w:left w:w="16" w:type="dxa"/>
              <w:right w:w="16" w:type="dxa"/>
            </w:tcMar>
            <w:vAlign w:val="center"/>
          </w:tcPr>
          <w:p w14:paraId="03D9424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6872" w:type="dxa"/>
            <w:gridSpan w:val="5"/>
            <w:noWrap w:val="0"/>
            <w:vAlign w:val="center"/>
          </w:tcPr>
          <w:p w14:paraId="681C07A1">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2209-621026-04-01-323984</w:t>
            </w:r>
          </w:p>
        </w:tc>
      </w:tr>
      <w:tr w14:paraId="60107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noWrap w:val="0"/>
            <w:tcMar>
              <w:top w:w="16" w:type="dxa"/>
              <w:left w:w="16" w:type="dxa"/>
              <w:right w:w="16" w:type="dxa"/>
            </w:tcMar>
            <w:vAlign w:val="center"/>
          </w:tcPr>
          <w:p w14:paraId="730F3C1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731" w:type="dxa"/>
            <w:noWrap w:val="0"/>
            <w:vAlign w:val="center"/>
          </w:tcPr>
          <w:p w14:paraId="3501C2AB">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曹经理</w:t>
            </w:r>
          </w:p>
        </w:tc>
        <w:tc>
          <w:tcPr>
            <w:tcW w:w="2339" w:type="dxa"/>
            <w:gridSpan w:val="3"/>
            <w:noWrap w:val="0"/>
            <w:vAlign w:val="center"/>
          </w:tcPr>
          <w:p w14:paraId="4398EF56">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u w:val="none"/>
              </w:rPr>
              <w:t>联系方式</w:t>
            </w:r>
          </w:p>
        </w:tc>
        <w:tc>
          <w:tcPr>
            <w:tcW w:w="2802" w:type="dxa"/>
            <w:noWrap w:val="0"/>
            <w:vAlign w:val="center"/>
          </w:tcPr>
          <w:p w14:paraId="3C1711AB">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highlight w:val="none"/>
                <w:u w:val="none"/>
                <w:lang w:val="en-US" w:eastAsia="zh-CN"/>
              </w:rPr>
              <w:t>15829740893</w:t>
            </w:r>
          </w:p>
        </w:tc>
      </w:tr>
      <w:tr w14:paraId="4E270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noWrap w:val="0"/>
            <w:tcMar>
              <w:top w:w="16" w:type="dxa"/>
              <w:left w:w="16" w:type="dxa"/>
              <w:right w:w="16" w:type="dxa"/>
            </w:tcMar>
            <w:vAlign w:val="center"/>
          </w:tcPr>
          <w:p w14:paraId="1F35113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6872" w:type="dxa"/>
            <w:gridSpan w:val="5"/>
            <w:noWrap w:val="0"/>
            <w:vAlign w:val="center"/>
          </w:tcPr>
          <w:p w14:paraId="53E9C7D9">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u w:val="single"/>
                <w:lang w:eastAsia="zh-CN"/>
              </w:rPr>
              <w:t>甘肃</w:t>
            </w:r>
            <w:r>
              <w:rPr>
                <w:rFonts w:hint="default" w:ascii="Times New Roman" w:hAnsi="Times New Roman" w:eastAsia="宋体" w:cs="Times New Roman"/>
                <w:color w:val="auto"/>
                <w:sz w:val="24"/>
                <w:lang w:eastAsia="zh-CN"/>
              </w:rPr>
              <w:t>省</w:t>
            </w:r>
            <w:r>
              <w:rPr>
                <w:rFonts w:hint="default" w:ascii="Times New Roman" w:hAnsi="Times New Roman" w:eastAsia="宋体" w:cs="Times New Roman"/>
                <w:color w:val="auto"/>
                <w:sz w:val="24"/>
                <w:u w:val="single"/>
                <w:lang w:eastAsia="zh-CN"/>
              </w:rPr>
              <w:t>庆阳</w:t>
            </w:r>
            <w:r>
              <w:rPr>
                <w:rFonts w:hint="default" w:ascii="Times New Roman" w:hAnsi="Times New Roman" w:eastAsia="宋体" w:cs="Times New Roman"/>
                <w:color w:val="auto"/>
                <w:sz w:val="24"/>
                <w:lang w:eastAsia="zh-CN"/>
              </w:rPr>
              <w:t>市</w:t>
            </w:r>
            <w:r>
              <w:rPr>
                <w:rFonts w:hint="default" w:ascii="Times New Roman" w:hAnsi="Times New Roman" w:eastAsia="宋体" w:cs="Times New Roman"/>
                <w:color w:val="auto"/>
                <w:sz w:val="24"/>
                <w:u w:val="single"/>
                <w:lang w:eastAsia="zh-CN"/>
              </w:rPr>
              <w:t>宁</w:t>
            </w:r>
            <w:r>
              <w:rPr>
                <w:rFonts w:hint="default" w:ascii="Times New Roman" w:hAnsi="Times New Roman" w:eastAsia="宋体" w:cs="Times New Roman"/>
                <w:color w:val="auto"/>
                <w:sz w:val="24"/>
                <w:lang w:eastAsia="zh-CN"/>
              </w:rPr>
              <w:t>县</w:t>
            </w:r>
            <w:r>
              <w:rPr>
                <w:rFonts w:hint="default" w:ascii="Times New Roman" w:hAnsi="Times New Roman" w:eastAsia="宋体" w:cs="Times New Roman"/>
                <w:color w:val="auto"/>
                <w:sz w:val="24"/>
                <w:u w:val="single"/>
                <w:lang w:eastAsia="zh-CN"/>
              </w:rPr>
              <w:t>焦村镇洪洞张村</w:t>
            </w:r>
          </w:p>
        </w:tc>
      </w:tr>
      <w:tr w14:paraId="70FD8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1998" w:type="dxa"/>
            <w:noWrap w:val="0"/>
            <w:tcMar>
              <w:top w:w="16" w:type="dxa"/>
              <w:left w:w="16" w:type="dxa"/>
              <w:right w:w="16" w:type="dxa"/>
            </w:tcMar>
            <w:vAlign w:val="center"/>
          </w:tcPr>
          <w:p w14:paraId="08A0301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6872" w:type="dxa"/>
            <w:gridSpan w:val="5"/>
            <w:noWrap w:val="0"/>
            <w:vAlign w:val="center"/>
          </w:tcPr>
          <w:p w14:paraId="0B6BAB60">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（东经：10</w:t>
            </w:r>
            <w:r>
              <w:rPr>
                <w:rFonts w:hint="default" w:ascii="Times New Roman" w:hAnsi="Times New Roman" w:cs="Times New Roman"/>
                <w:color w:val="auto"/>
                <w:sz w:val="24"/>
                <w:lang w:val="en-US" w:eastAsia="zh-CN"/>
              </w:rPr>
              <w:t>7度45分43.340秒</w:t>
            </w:r>
            <w:r>
              <w:rPr>
                <w:rFonts w:hint="default" w:ascii="Times New Roman" w:hAnsi="Times New Roman" w:eastAsia="宋体" w:cs="Times New Roman"/>
                <w:color w:val="auto"/>
                <w:sz w:val="24"/>
                <w:lang w:eastAsia="zh-CN"/>
              </w:rPr>
              <w:t>，北纬：35</w:t>
            </w:r>
            <w:r>
              <w:rPr>
                <w:rFonts w:hint="default" w:ascii="Times New Roman" w:hAnsi="Times New Roman" w:cs="Times New Roman"/>
                <w:color w:val="auto"/>
                <w:sz w:val="24"/>
                <w:lang w:val="en-US" w:eastAsia="zh-CN"/>
              </w:rPr>
              <w:t>度30分27.424秒</w:t>
            </w:r>
            <w:r>
              <w:rPr>
                <w:rFonts w:hint="default" w:ascii="Times New Roman" w:hAnsi="Times New Roman" w:eastAsia="宋体" w:cs="Times New Roman"/>
                <w:color w:val="auto"/>
                <w:sz w:val="24"/>
                <w:lang w:eastAsia="zh-CN"/>
              </w:rPr>
              <w:t>）</w:t>
            </w:r>
          </w:p>
        </w:tc>
      </w:tr>
      <w:tr w14:paraId="7990A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1998" w:type="dxa"/>
            <w:noWrap w:val="0"/>
            <w:tcMar>
              <w:top w:w="16" w:type="dxa"/>
              <w:left w:w="16" w:type="dxa"/>
              <w:right w:w="16" w:type="dxa"/>
            </w:tcMar>
            <w:vAlign w:val="center"/>
          </w:tcPr>
          <w:p w14:paraId="4EFFF58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14:paraId="7940711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2021" w:type="dxa"/>
            <w:gridSpan w:val="2"/>
            <w:noWrap w:val="0"/>
            <w:vAlign w:val="center"/>
          </w:tcPr>
          <w:p w14:paraId="05CCCD2C">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有机肥料及微生物肥料制造C2625</w:t>
            </w:r>
          </w:p>
          <w:p w14:paraId="497388F0">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生物质能发电D4417</w:t>
            </w:r>
          </w:p>
        </w:tc>
        <w:tc>
          <w:tcPr>
            <w:tcW w:w="1381" w:type="dxa"/>
            <w:noWrap w:val="0"/>
            <w:vAlign w:val="center"/>
          </w:tcPr>
          <w:p w14:paraId="4E88FF44">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77B7FBCE">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3470" w:type="dxa"/>
            <w:gridSpan w:val="2"/>
            <w:noWrap w:val="0"/>
            <w:vAlign w:val="center"/>
          </w:tcPr>
          <w:p w14:paraId="1F58846D">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二十三、化学原料和化学制品制造业26</w:t>
            </w:r>
            <w:r>
              <w:rPr>
                <w:rFonts w:hint="default" w:ascii="Times New Roman" w:hAnsi="Times New Roman" w:cs="Times New Roman"/>
                <w:color w:val="auto"/>
                <w:lang w:val="en-US" w:eastAsia="zh-CN"/>
              </w:rPr>
              <w:t>，45.肥料制造262，</w:t>
            </w:r>
            <w:r>
              <w:rPr>
                <w:rFonts w:hint="default" w:ascii="Times New Roman" w:hAnsi="Times New Roman" w:eastAsia="宋体" w:cs="Times New Roman"/>
                <w:color w:val="auto"/>
                <w:lang w:val="en-US" w:eastAsia="zh-CN"/>
              </w:rPr>
              <w:t>其他</w:t>
            </w:r>
          </w:p>
          <w:p w14:paraId="2BE7789A">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四十一、电力、热力生产和供应业</w:t>
            </w:r>
          </w:p>
          <w:p w14:paraId="3408ABA7">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89.生物质能发电4417</w:t>
            </w:r>
          </w:p>
        </w:tc>
      </w:tr>
      <w:tr w14:paraId="040F7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98" w:type="dxa"/>
            <w:noWrap w:val="0"/>
            <w:tcMar>
              <w:top w:w="16" w:type="dxa"/>
              <w:left w:w="16" w:type="dxa"/>
              <w:right w:w="16" w:type="dxa"/>
            </w:tcMar>
            <w:vAlign w:val="center"/>
          </w:tcPr>
          <w:p w14:paraId="0CB2AAA6">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2021" w:type="dxa"/>
            <w:gridSpan w:val="2"/>
            <w:noWrap w:val="0"/>
            <w:vAlign w:val="center"/>
          </w:tcPr>
          <w:p w14:paraId="4265FDA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■新建（迁建）</w:t>
            </w:r>
          </w:p>
          <w:p w14:paraId="7572E317">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□改建</w:t>
            </w:r>
          </w:p>
          <w:p w14:paraId="196DE41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□扩建</w:t>
            </w:r>
          </w:p>
          <w:p w14:paraId="44B3BA7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□技术改造</w:t>
            </w:r>
          </w:p>
        </w:tc>
        <w:tc>
          <w:tcPr>
            <w:tcW w:w="1381" w:type="dxa"/>
            <w:noWrap w:val="0"/>
            <w:vAlign w:val="center"/>
          </w:tcPr>
          <w:p w14:paraId="0F06CC8A">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79A3FDD5">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3470" w:type="dxa"/>
            <w:gridSpan w:val="2"/>
            <w:noWrap w:val="0"/>
            <w:vAlign w:val="center"/>
          </w:tcPr>
          <w:p w14:paraId="5AB10CFE">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□首次申报项目</w:t>
            </w:r>
          </w:p>
          <w:p w14:paraId="257940DA">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□不予批准后再次申报项目</w:t>
            </w:r>
          </w:p>
          <w:p w14:paraId="1F58162C">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□超五年重新审核项目</w:t>
            </w:r>
          </w:p>
          <w:p w14:paraId="296C7786">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■重大变动重新报批项目</w:t>
            </w:r>
          </w:p>
        </w:tc>
      </w:tr>
      <w:tr w14:paraId="60932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1" w:hRule="atLeast"/>
          <w:jc w:val="center"/>
        </w:trPr>
        <w:tc>
          <w:tcPr>
            <w:tcW w:w="1998" w:type="dxa"/>
            <w:noWrap w:val="0"/>
            <w:tcMar>
              <w:top w:w="16" w:type="dxa"/>
              <w:left w:w="16" w:type="dxa"/>
              <w:right w:w="16" w:type="dxa"/>
            </w:tcMar>
            <w:vAlign w:val="center"/>
          </w:tcPr>
          <w:p w14:paraId="1BCAF36A">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14:paraId="5104D87E">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备案）部门（选填）</w:t>
            </w:r>
          </w:p>
        </w:tc>
        <w:tc>
          <w:tcPr>
            <w:tcW w:w="2021" w:type="dxa"/>
            <w:gridSpan w:val="2"/>
            <w:noWrap w:val="0"/>
            <w:vAlign w:val="center"/>
          </w:tcPr>
          <w:p w14:paraId="4FD8FD1F">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宁</w:t>
            </w:r>
            <w:r>
              <w:rPr>
                <w:rFonts w:hint="default" w:ascii="Times New Roman" w:hAnsi="Times New Roman" w:eastAsia="宋体" w:cs="Times New Roman"/>
                <w:color w:val="auto"/>
                <w:sz w:val="24"/>
              </w:rPr>
              <w:t>县</w:t>
            </w:r>
            <w:r>
              <w:rPr>
                <w:rFonts w:hint="default" w:ascii="Times New Roman" w:hAnsi="Times New Roman" w:cs="Times New Roman"/>
                <w:color w:val="auto"/>
                <w:sz w:val="24"/>
                <w:lang w:val="en-US" w:eastAsia="zh-CN"/>
              </w:rPr>
              <w:t>发展和改革局</w:t>
            </w:r>
          </w:p>
        </w:tc>
        <w:tc>
          <w:tcPr>
            <w:tcW w:w="1381" w:type="dxa"/>
            <w:noWrap w:val="0"/>
            <w:vAlign w:val="center"/>
          </w:tcPr>
          <w:p w14:paraId="6F2522C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核准/备案</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文号</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选填</w:t>
            </w:r>
            <w:r>
              <w:rPr>
                <w:rFonts w:hint="default" w:ascii="Times New Roman" w:hAnsi="Times New Roman" w:cs="Times New Roman"/>
                <w:color w:val="auto"/>
                <w:sz w:val="24"/>
                <w:lang w:eastAsia="zh-CN"/>
              </w:rPr>
              <w:t>）</w:t>
            </w:r>
          </w:p>
        </w:tc>
        <w:tc>
          <w:tcPr>
            <w:tcW w:w="3470" w:type="dxa"/>
            <w:gridSpan w:val="2"/>
            <w:noWrap w:val="0"/>
            <w:vAlign w:val="center"/>
          </w:tcPr>
          <w:p w14:paraId="767C5FD8">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庆阳市宁县发改局投资股备</w:t>
            </w:r>
          </w:p>
          <w:p w14:paraId="12025BE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[2022]</w:t>
            </w:r>
            <w:r>
              <w:rPr>
                <w:rFonts w:hint="default" w:ascii="Times New Roman" w:hAnsi="Times New Roman" w:cs="Times New Roman"/>
                <w:color w:val="auto"/>
                <w:sz w:val="24"/>
                <w:lang w:val="en-US" w:eastAsia="zh-CN"/>
              </w:rPr>
              <w:t>110</w:t>
            </w:r>
            <w:r>
              <w:rPr>
                <w:rFonts w:hint="default" w:ascii="Times New Roman" w:hAnsi="Times New Roman" w:eastAsia="宋体" w:cs="Times New Roman"/>
                <w:color w:val="auto"/>
                <w:sz w:val="24"/>
              </w:rPr>
              <w:t>号</w:t>
            </w:r>
          </w:p>
        </w:tc>
      </w:tr>
      <w:tr w14:paraId="2915A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noWrap w:val="0"/>
            <w:tcMar>
              <w:top w:w="16" w:type="dxa"/>
              <w:left w:w="16" w:type="dxa"/>
              <w:right w:w="16" w:type="dxa"/>
            </w:tcMar>
            <w:vAlign w:val="center"/>
          </w:tcPr>
          <w:p w14:paraId="0FB8EA35">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2021" w:type="dxa"/>
            <w:gridSpan w:val="2"/>
            <w:noWrap w:val="0"/>
            <w:vAlign w:val="center"/>
          </w:tcPr>
          <w:p w14:paraId="234C9E52">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2815</w:t>
            </w:r>
          </w:p>
        </w:tc>
        <w:tc>
          <w:tcPr>
            <w:tcW w:w="1381" w:type="dxa"/>
            <w:noWrap w:val="0"/>
            <w:tcMar>
              <w:top w:w="16" w:type="dxa"/>
              <w:left w:w="16" w:type="dxa"/>
              <w:right w:w="16" w:type="dxa"/>
            </w:tcMar>
            <w:vAlign w:val="center"/>
          </w:tcPr>
          <w:p w14:paraId="1DFDDD85">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环保投</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万元</w:t>
            </w:r>
            <w:r>
              <w:rPr>
                <w:rFonts w:hint="default" w:ascii="Times New Roman" w:hAnsi="Times New Roman" w:cs="Times New Roman"/>
                <w:color w:val="auto"/>
                <w:sz w:val="24"/>
                <w:lang w:eastAsia="zh-CN"/>
              </w:rPr>
              <w:t>）</w:t>
            </w:r>
          </w:p>
        </w:tc>
        <w:tc>
          <w:tcPr>
            <w:tcW w:w="3470" w:type="dxa"/>
            <w:gridSpan w:val="2"/>
            <w:noWrap w:val="0"/>
            <w:vAlign w:val="center"/>
          </w:tcPr>
          <w:p w14:paraId="654D8DA1">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168.2</w:t>
            </w:r>
          </w:p>
        </w:tc>
      </w:tr>
      <w:tr w14:paraId="23F0E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3" w:hRule="atLeast"/>
          <w:jc w:val="center"/>
        </w:trPr>
        <w:tc>
          <w:tcPr>
            <w:tcW w:w="1998" w:type="dxa"/>
            <w:noWrap w:val="0"/>
            <w:tcMar>
              <w:top w:w="16" w:type="dxa"/>
              <w:left w:w="16" w:type="dxa"/>
              <w:right w:w="16" w:type="dxa"/>
            </w:tcMar>
            <w:vAlign w:val="center"/>
          </w:tcPr>
          <w:p w14:paraId="37661948">
            <w:pPr>
              <w:adjustRightInd w:val="0"/>
              <w:snapToGrid w:val="0"/>
              <w:jc w:val="center"/>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rPr>
              <w:t>环保投资占比（%）</w:t>
            </w:r>
          </w:p>
        </w:tc>
        <w:tc>
          <w:tcPr>
            <w:tcW w:w="2021" w:type="dxa"/>
            <w:gridSpan w:val="2"/>
            <w:noWrap w:val="0"/>
            <w:vAlign w:val="center"/>
          </w:tcPr>
          <w:p w14:paraId="413FC964">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5.98</w:t>
            </w:r>
          </w:p>
        </w:tc>
        <w:tc>
          <w:tcPr>
            <w:tcW w:w="1381" w:type="dxa"/>
            <w:noWrap w:val="0"/>
            <w:tcMar>
              <w:top w:w="16" w:type="dxa"/>
              <w:left w:w="16" w:type="dxa"/>
              <w:right w:w="16" w:type="dxa"/>
            </w:tcMar>
            <w:vAlign w:val="center"/>
          </w:tcPr>
          <w:p w14:paraId="68AC1A8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3470" w:type="dxa"/>
            <w:gridSpan w:val="2"/>
            <w:noWrap w:val="0"/>
            <w:vAlign w:val="center"/>
          </w:tcPr>
          <w:p w14:paraId="585DF4D5">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w:t>
            </w:r>
          </w:p>
        </w:tc>
      </w:tr>
      <w:tr w14:paraId="3E936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4" w:hRule="atLeast"/>
          <w:jc w:val="center"/>
        </w:trPr>
        <w:tc>
          <w:tcPr>
            <w:tcW w:w="1998" w:type="dxa"/>
            <w:noWrap w:val="0"/>
            <w:tcMar>
              <w:top w:w="16" w:type="dxa"/>
              <w:left w:w="16" w:type="dxa"/>
              <w:right w:w="16" w:type="dxa"/>
            </w:tcMar>
            <w:vAlign w:val="center"/>
          </w:tcPr>
          <w:p w14:paraId="1246E562">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2021" w:type="dxa"/>
            <w:gridSpan w:val="2"/>
            <w:noWrap w:val="0"/>
            <w:vAlign w:val="center"/>
          </w:tcPr>
          <w:p w14:paraId="503BA5F8">
            <w:pPr>
              <w:adjustRightInd w:val="0"/>
              <w:snapToGrid w:val="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否</w:t>
            </w:r>
          </w:p>
          <w:p w14:paraId="37CC7078">
            <w:pPr>
              <w:adjustRightInd w:val="0"/>
              <w:snapToGrid w:val="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■是</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主体工程建设完成，试运行阶段，重大变动重新环评</w:t>
            </w:r>
          </w:p>
        </w:tc>
        <w:tc>
          <w:tcPr>
            <w:tcW w:w="1381" w:type="dxa"/>
            <w:noWrap w:val="0"/>
            <w:tcMar>
              <w:top w:w="16" w:type="dxa"/>
              <w:left w:w="16" w:type="dxa"/>
              <w:right w:w="16" w:type="dxa"/>
            </w:tcMar>
            <w:vAlign w:val="center"/>
          </w:tcPr>
          <w:p w14:paraId="0DC4D552">
            <w:pPr>
              <w:adjustRightInd w:val="0"/>
              <w:snapToGrid w:val="0"/>
              <w:jc w:val="center"/>
              <w:rPr>
                <w:rFonts w:hint="default" w:ascii="Times New Roman" w:hAnsi="Times New Roman" w:eastAsia="宋体" w:cs="Times New Roman"/>
                <w:color w:val="auto"/>
                <w:spacing w:val="-6"/>
                <w:sz w:val="24"/>
              </w:rPr>
            </w:pPr>
            <w:r>
              <w:rPr>
                <w:rFonts w:hint="default" w:ascii="Times New Roman" w:hAnsi="Times New Roman" w:eastAsia="宋体" w:cs="Times New Roman"/>
                <w:color w:val="auto"/>
                <w:spacing w:val="-6"/>
                <w:sz w:val="24"/>
              </w:rPr>
              <w:t>用地（用海）</w:t>
            </w:r>
          </w:p>
          <w:p w14:paraId="63169C2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6"/>
                <w:sz w:val="24"/>
              </w:rPr>
              <w:t>面积（m</w:t>
            </w:r>
            <w:r>
              <w:rPr>
                <w:rFonts w:hint="default" w:ascii="Times New Roman" w:hAnsi="Times New Roman" w:eastAsia="宋体" w:cs="Times New Roman"/>
                <w:color w:val="auto"/>
                <w:spacing w:val="-6"/>
                <w:sz w:val="24"/>
                <w:vertAlign w:val="superscript"/>
              </w:rPr>
              <w:t>2</w:t>
            </w:r>
            <w:r>
              <w:rPr>
                <w:rFonts w:hint="default" w:ascii="Times New Roman" w:hAnsi="Times New Roman" w:eastAsia="宋体" w:cs="Times New Roman"/>
                <w:color w:val="auto"/>
                <w:spacing w:val="-6"/>
                <w:sz w:val="24"/>
              </w:rPr>
              <w:t>）</w:t>
            </w:r>
          </w:p>
        </w:tc>
        <w:tc>
          <w:tcPr>
            <w:tcW w:w="3470" w:type="dxa"/>
            <w:gridSpan w:val="2"/>
            <w:noWrap w:val="0"/>
            <w:vAlign w:val="center"/>
          </w:tcPr>
          <w:p w14:paraId="1E20EC82">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33333.33</w:t>
            </w:r>
          </w:p>
        </w:tc>
      </w:tr>
      <w:tr w14:paraId="2C5C3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noWrap w:val="0"/>
            <w:vAlign w:val="center"/>
          </w:tcPr>
          <w:p w14:paraId="2FF0010D">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6872" w:type="dxa"/>
            <w:gridSpan w:val="5"/>
            <w:noWrap w:val="0"/>
            <w:vAlign w:val="center"/>
          </w:tcPr>
          <w:tbl>
            <w:tblPr>
              <w:tblStyle w:val="166"/>
              <w:tblW w:w="6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3039"/>
              <w:gridCol w:w="2072"/>
              <w:gridCol w:w="832"/>
            </w:tblGrid>
            <w:tr w14:paraId="00FE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9" w:type="dxa"/>
                  <w:vAlign w:val="center"/>
                </w:tcPr>
                <w:p w14:paraId="12CBF97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8"/>
                    </w:rPr>
                    <w:t>类别</w:t>
                  </w:r>
                </w:p>
              </w:tc>
              <w:tc>
                <w:tcPr>
                  <w:tcW w:w="3039" w:type="dxa"/>
                  <w:vAlign w:val="center"/>
                </w:tcPr>
                <w:p w14:paraId="03F50AD8">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4"/>
                    </w:rPr>
                    <w:t>设置原则</w:t>
                  </w:r>
                </w:p>
              </w:tc>
              <w:tc>
                <w:tcPr>
                  <w:tcW w:w="2072" w:type="dxa"/>
                  <w:vAlign w:val="center"/>
                </w:tcPr>
                <w:p w14:paraId="0A557D76">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2"/>
                    </w:rPr>
                    <w:t>判定过程</w:t>
                  </w:r>
                </w:p>
              </w:tc>
              <w:tc>
                <w:tcPr>
                  <w:tcW w:w="832" w:type="dxa"/>
                  <w:vAlign w:val="center"/>
                </w:tcPr>
                <w:p w14:paraId="22AE2E8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8"/>
                    </w:rPr>
                    <w:t>是否</w:t>
                  </w:r>
                </w:p>
                <w:p w14:paraId="2917959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4"/>
                    </w:rPr>
                    <w:t>设置</w:t>
                  </w:r>
                </w:p>
              </w:tc>
            </w:tr>
            <w:tr w14:paraId="20EB6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9" w:type="dxa"/>
                  <w:vAlign w:val="center"/>
                </w:tcPr>
                <w:p w14:paraId="095C385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7"/>
                    </w:rPr>
                    <w:t>大气</w:t>
                  </w:r>
                </w:p>
              </w:tc>
              <w:tc>
                <w:tcPr>
                  <w:tcW w:w="3039" w:type="dxa"/>
                  <w:vAlign w:val="center"/>
                </w:tcPr>
                <w:p w14:paraId="012EF0B6">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10"/>
                    </w:rPr>
                    <w:t>排放废气含有毒有害污染物、二噁</w:t>
                  </w:r>
                  <w:r>
                    <w:rPr>
                      <w:rFonts w:hint="default" w:ascii="Times New Roman" w:hAnsi="Times New Roman" w:cs="Times New Roman"/>
                      <w:color w:val="auto"/>
                      <w:spacing w:val="-17"/>
                    </w:rPr>
                    <w:t>英、苯</w:t>
                  </w:r>
                  <w:r>
                    <w:rPr>
                      <w:rFonts w:hint="default" w:ascii="Times New Roman" w:hAnsi="Times New Roman" w:cs="Times New Roman"/>
                      <w:color w:val="auto"/>
                      <w:spacing w:val="-16"/>
                    </w:rPr>
                    <w:t>并[a]芘、氰化物、氯气且</w:t>
                  </w:r>
                  <w:r>
                    <w:rPr>
                      <w:rFonts w:hint="default" w:ascii="Times New Roman" w:hAnsi="Times New Roman" w:cs="Times New Roman"/>
                      <w:color w:val="auto"/>
                      <w:spacing w:val="-13"/>
                    </w:rPr>
                    <w:t>厂</w:t>
                  </w:r>
                  <w:r>
                    <w:rPr>
                      <w:rFonts w:hint="default" w:ascii="Times New Roman" w:hAnsi="Times New Roman" w:cs="Times New Roman"/>
                      <w:color w:val="auto"/>
                      <w:spacing w:val="-3"/>
                    </w:rPr>
                    <w:t>界外500米范围内有环境空气保护</w:t>
                  </w:r>
                  <w:r>
                    <w:rPr>
                      <w:rFonts w:hint="default" w:ascii="Times New Roman" w:hAnsi="Times New Roman" w:cs="Times New Roman"/>
                      <w:color w:val="auto"/>
                      <w:spacing w:val="6"/>
                    </w:rPr>
                    <w:t>目标的建设项目</w:t>
                  </w:r>
                </w:p>
              </w:tc>
              <w:tc>
                <w:tcPr>
                  <w:tcW w:w="2072" w:type="dxa"/>
                  <w:vAlign w:val="center"/>
                </w:tcPr>
                <w:p w14:paraId="203C993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2"/>
                    </w:rPr>
                    <w:t>本项目不排放</w:t>
                  </w:r>
                  <w:r>
                    <w:rPr>
                      <w:rFonts w:hint="default" w:ascii="Times New Roman" w:hAnsi="Times New Roman" w:cs="Times New Roman"/>
                      <w:color w:val="auto"/>
                      <w:spacing w:val="2"/>
                    </w:rPr>
                    <w:t>设置原则中的有毒有害大气</w:t>
                  </w:r>
                  <w:r>
                    <w:rPr>
                      <w:rFonts w:hint="default" w:ascii="Times New Roman" w:hAnsi="Times New Roman" w:cs="Times New Roman"/>
                      <w:color w:val="auto"/>
                      <w:spacing w:val="3"/>
                    </w:rPr>
                    <w:t>污染物</w:t>
                  </w:r>
                </w:p>
              </w:tc>
              <w:tc>
                <w:tcPr>
                  <w:tcW w:w="832" w:type="dxa"/>
                  <w:vAlign w:val="center"/>
                </w:tcPr>
                <w:p w14:paraId="07E5FEF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rPr>
                    <w:t>否</w:t>
                  </w:r>
                </w:p>
              </w:tc>
            </w:tr>
            <w:tr w14:paraId="50E52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9" w:type="dxa"/>
                  <w:vAlign w:val="center"/>
                </w:tcPr>
                <w:p w14:paraId="12CBDBD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2"/>
                    </w:rPr>
                    <w:t>地表水</w:t>
                  </w:r>
                </w:p>
              </w:tc>
              <w:tc>
                <w:tcPr>
                  <w:tcW w:w="3039" w:type="dxa"/>
                  <w:vAlign w:val="center"/>
                </w:tcPr>
                <w:p w14:paraId="7D1A163F">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18"/>
                    </w:rPr>
                    <w:t>新增工业废水直</w:t>
                  </w:r>
                  <w:r>
                    <w:rPr>
                      <w:rFonts w:hint="default" w:ascii="Times New Roman" w:hAnsi="Times New Roman" w:cs="Times New Roman"/>
                      <w:color w:val="auto"/>
                      <w:spacing w:val="-17"/>
                    </w:rPr>
                    <w:t>排建设项目(槽罐</w:t>
                  </w:r>
                  <w:r>
                    <w:rPr>
                      <w:rFonts w:hint="default" w:ascii="Times New Roman" w:hAnsi="Times New Roman" w:cs="Times New Roman"/>
                      <w:color w:val="auto"/>
                      <w:spacing w:val="-10"/>
                    </w:rPr>
                    <w:t>车外送污水处理厂的除外);新增废水</w:t>
                  </w:r>
                  <w:r>
                    <w:rPr>
                      <w:rFonts w:hint="default" w:ascii="Times New Roman" w:hAnsi="Times New Roman" w:cs="Times New Roman"/>
                      <w:color w:val="auto"/>
                      <w:spacing w:val="1"/>
                    </w:rPr>
                    <w:t>直排的污水集中处理厂</w:t>
                  </w:r>
                </w:p>
              </w:tc>
              <w:tc>
                <w:tcPr>
                  <w:tcW w:w="2072" w:type="dxa"/>
                  <w:vAlign w:val="center"/>
                </w:tcPr>
                <w:p w14:paraId="3D781BD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1"/>
                    </w:rPr>
                    <w:t>项目无生产废</w:t>
                  </w:r>
                  <w:r>
                    <w:rPr>
                      <w:rFonts w:hint="default" w:ascii="Times New Roman" w:hAnsi="Times New Roman" w:cs="Times New Roman"/>
                      <w:color w:val="auto"/>
                      <w:spacing w:val="-3"/>
                    </w:rPr>
                    <w:t>水外排</w:t>
                  </w:r>
                </w:p>
              </w:tc>
              <w:tc>
                <w:tcPr>
                  <w:tcW w:w="832" w:type="dxa"/>
                  <w:vAlign w:val="center"/>
                </w:tcPr>
                <w:p w14:paraId="69FE5FCF">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rPr>
                    <w:t>否</w:t>
                  </w:r>
                </w:p>
              </w:tc>
            </w:tr>
            <w:tr w14:paraId="49BC9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9" w:type="dxa"/>
                  <w:vAlign w:val="center"/>
                </w:tcPr>
                <w:p w14:paraId="78A803F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3"/>
                    </w:rPr>
                    <w:t>环境风</w:t>
                  </w:r>
                  <w:r>
                    <w:rPr>
                      <w:rFonts w:hint="default" w:ascii="Times New Roman" w:hAnsi="Times New Roman" w:cs="Times New Roman"/>
                      <w:color w:val="auto"/>
                    </w:rPr>
                    <w:t>险</w:t>
                  </w:r>
                </w:p>
              </w:tc>
              <w:tc>
                <w:tcPr>
                  <w:tcW w:w="3039" w:type="dxa"/>
                  <w:vAlign w:val="center"/>
                </w:tcPr>
                <w:p w14:paraId="5A355E56">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10"/>
                    </w:rPr>
                    <w:t>有毒有害和易燃易爆危险物质存储</w:t>
                  </w:r>
                  <w:r>
                    <w:rPr>
                      <w:rFonts w:hint="default" w:ascii="Times New Roman" w:hAnsi="Times New Roman" w:cs="Times New Roman"/>
                      <w:color w:val="auto"/>
                      <w:spacing w:val="3"/>
                    </w:rPr>
                    <w:t>量超过临界量的建设项目</w:t>
                  </w:r>
                </w:p>
              </w:tc>
              <w:tc>
                <w:tcPr>
                  <w:tcW w:w="2072" w:type="dxa"/>
                  <w:vAlign w:val="center"/>
                </w:tcPr>
                <w:p w14:paraId="5CCCBAB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spacing w:val="-2"/>
                    </w:rPr>
                    <w:t>本项目各类风</w:t>
                  </w:r>
                  <w:r>
                    <w:rPr>
                      <w:rFonts w:hint="default" w:ascii="Times New Roman" w:hAnsi="Times New Roman" w:cs="Times New Roman"/>
                      <w:color w:val="auto"/>
                      <w:spacing w:val="1"/>
                    </w:rPr>
                    <w:t>险物质不超过</w:t>
                  </w:r>
                  <w:r>
                    <w:rPr>
                      <w:rFonts w:hint="default" w:ascii="Times New Roman" w:hAnsi="Times New Roman" w:cs="Times New Roman"/>
                      <w:color w:val="auto"/>
                      <w:spacing w:val="2"/>
                    </w:rPr>
                    <w:t>临界量</w:t>
                  </w:r>
                </w:p>
              </w:tc>
              <w:tc>
                <w:tcPr>
                  <w:tcW w:w="832" w:type="dxa"/>
                  <w:vAlign w:val="center"/>
                </w:tcPr>
                <w:p w14:paraId="63C8C45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rPr>
                  </w:pPr>
                  <w:r>
                    <w:rPr>
                      <w:rFonts w:hint="default" w:ascii="Times New Roman" w:hAnsi="Times New Roman" w:cs="Times New Roman"/>
                      <w:color w:val="auto"/>
                    </w:rPr>
                    <w:t>否</w:t>
                  </w:r>
                </w:p>
              </w:tc>
            </w:tr>
            <w:tr w14:paraId="4F339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9" w:type="dxa"/>
                  <w:vAlign w:val="center"/>
                </w:tcPr>
                <w:p w14:paraId="40C6CCA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pacing w:val="-3"/>
                      <w:lang w:val="en-US" w:eastAsia="zh-CN"/>
                    </w:rPr>
                  </w:pPr>
                  <w:r>
                    <w:rPr>
                      <w:rFonts w:hint="default" w:ascii="Times New Roman" w:hAnsi="Times New Roman" w:cs="Times New Roman"/>
                      <w:color w:val="auto"/>
                      <w:spacing w:val="-3"/>
                      <w:lang w:val="en-US" w:eastAsia="zh-CN"/>
                    </w:rPr>
                    <w:t>生态</w:t>
                  </w:r>
                </w:p>
              </w:tc>
              <w:tc>
                <w:tcPr>
                  <w:tcW w:w="3039" w:type="dxa"/>
                  <w:vAlign w:val="center"/>
                </w:tcPr>
                <w:p w14:paraId="712467A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color w:val="auto"/>
                      <w:spacing w:val="-10"/>
                    </w:rPr>
                  </w:pPr>
                  <w:r>
                    <w:rPr>
                      <w:rFonts w:hint="default" w:ascii="Times New Roman" w:hAnsi="Times New Roman" w:cs="Times New Roman"/>
                      <w:color w:val="auto"/>
                      <w:spacing w:val="-10"/>
                    </w:rPr>
                    <w:t>取水口下游500米</w:t>
                  </w:r>
                  <w:r>
                    <w:rPr>
                      <w:rFonts w:hint="default" w:ascii="Times New Roman" w:hAnsi="Times New Roman" w:cs="Times New Roman"/>
                      <w:color w:val="auto"/>
                      <w:spacing w:val="-10"/>
                      <w:lang w:val="en-US" w:eastAsia="zh-CN"/>
                    </w:rPr>
                    <w:t>范围内</w:t>
                  </w:r>
                  <w:r>
                    <w:rPr>
                      <w:rFonts w:hint="default" w:ascii="Times New Roman" w:hAnsi="Times New Roman" w:cs="Times New Roman"/>
                      <w:color w:val="auto"/>
                      <w:spacing w:val="-10"/>
                    </w:rPr>
                    <w:t>有重要水生生物的自然产卵场、索饵场、越冬场和洄游通道的新增河道取水的污染类建设项目</w:t>
                  </w:r>
                </w:p>
              </w:tc>
              <w:tc>
                <w:tcPr>
                  <w:tcW w:w="2072" w:type="dxa"/>
                  <w:vAlign w:val="center"/>
                </w:tcPr>
                <w:p w14:paraId="58217F4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pacing w:val="-2"/>
                      <w:lang w:val="en-US" w:eastAsia="zh-CN"/>
                    </w:rPr>
                  </w:pPr>
                  <w:r>
                    <w:rPr>
                      <w:rFonts w:hint="default" w:ascii="Times New Roman" w:hAnsi="Times New Roman" w:cs="Times New Roman"/>
                      <w:color w:val="auto"/>
                      <w:spacing w:val="-2"/>
                      <w:lang w:val="en-US" w:eastAsia="zh-CN"/>
                    </w:rPr>
                    <w:t>本项目不涉及取水口</w:t>
                  </w:r>
                </w:p>
              </w:tc>
              <w:tc>
                <w:tcPr>
                  <w:tcW w:w="832" w:type="dxa"/>
                  <w:vAlign w:val="center"/>
                </w:tcPr>
                <w:p w14:paraId="1FCBEF5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否</w:t>
                  </w:r>
                </w:p>
              </w:tc>
            </w:tr>
            <w:tr w14:paraId="7A539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9" w:type="dxa"/>
                  <w:vAlign w:val="center"/>
                </w:tcPr>
                <w:p w14:paraId="440BA49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pacing w:val="-3"/>
                      <w:lang w:val="en-US" w:eastAsia="zh-CN"/>
                    </w:rPr>
                  </w:pPr>
                  <w:r>
                    <w:rPr>
                      <w:rFonts w:hint="default" w:ascii="Times New Roman" w:hAnsi="Times New Roman" w:cs="Times New Roman"/>
                      <w:color w:val="auto"/>
                      <w:spacing w:val="-3"/>
                      <w:lang w:val="en-US" w:eastAsia="zh-CN"/>
                    </w:rPr>
                    <w:t>海洋</w:t>
                  </w:r>
                </w:p>
              </w:tc>
              <w:tc>
                <w:tcPr>
                  <w:tcW w:w="3039" w:type="dxa"/>
                  <w:vAlign w:val="center"/>
                </w:tcPr>
                <w:p w14:paraId="4A18095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pacing w:val="-10"/>
                      <w:lang w:val="en-US" w:eastAsia="zh-CN"/>
                    </w:rPr>
                  </w:pPr>
                  <w:r>
                    <w:rPr>
                      <w:rFonts w:hint="default" w:ascii="Times New Roman" w:hAnsi="Times New Roman" w:cs="Times New Roman"/>
                      <w:color w:val="auto"/>
                      <w:spacing w:val="-10"/>
                      <w:lang w:val="en-US" w:eastAsia="zh-CN"/>
                    </w:rPr>
                    <w:t>直接向海洋排放污染物的海洋工程建设项目</w:t>
                  </w:r>
                </w:p>
              </w:tc>
              <w:tc>
                <w:tcPr>
                  <w:tcW w:w="2072" w:type="dxa"/>
                  <w:vAlign w:val="center"/>
                </w:tcPr>
                <w:p w14:paraId="43795CA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spacing w:val="-2"/>
                      <w:lang w:val="en-US" w:eastAsia="zh-CN"/>
                    </w:rPr>
                  </w:pPr>
                  <w:r>
                    <w:rPr>
                      <w:rFonts w:hint="default" w:ascii="Times New Roman" w:hAnsi="Times New Roman" w:cs="Times New Roman"/>
                      <w:color w:val="auto"/>
                      <w:spacing w:val="-2"/>
                      <w:lang w:val="en-US" w:eastAsia="zh-CN"/>
                    </w:rPr>
                    <w:t>本项目不属于直接向海洋排放污染物的海洋工程建设项目</w:t>
                  </w:r>
                </w:p>
              </w:tc>
              <w:tc>
                <w:tcPr>
                  <w:tcW w:w="832" w:type="dxa"/>
                  <w:vAlign w:val="center"/>
                </w:tcPr>
                <w:p w14:paraId="7D173C7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否</w:t>
                  </w:r>
                </w:p>
              </w:tc>
            </w:tr>
          </w:tbl>
          <w:p w14:paraId="0BD90949">
            <w:pPr>
              <w:pStyle w:val="16"/>
              <w:rPr>
                <w:rFonts w:hint="default" w:ascii="Times New Roman" w:hAnsi="Times New Roman" w:cs="Times New Roman"/>
                <w:color w:val="auto"/>
              </w:rPr>
            </w:pPr>
          </w:p>
        </w:tc>
      </w:tr>
      <w:tr w14:paraId="5D8E8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998" w:type="dxa"/>
            <w:noWrap w:val="0"/>
            <w:vAlign w:val="center"/>
          </w:tcPr>
          <w:p w14:paraId="425744A8">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规划情况</w:t>
            </w:r>
          </w:p>
        </w:tc>
        <w:tc>
          <w:tcPr>
            <w:tcW w:w="6872" w:type="dxa"/>
            <w:gridSpan w:val="5"/>
            <w:noWrap w:val="0"/>
            <w:vAlign w:val="center"/>
          </w:tcPr>
          <w:p w14:paraId="08C68924">
            <w:pPr>
              <w:adjustRightInd w:val="0"/>
              <w:snapToGrid w:val="0"/>
              <w:spacing w:line="360" w:lineRule="auto"/>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无</w:t>
            </w:r>
          </w:p>
        </w:tc>
      </w:tr>
      <w:tr w14:paraId="6E742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998" w:type="dxa"/>
            <w:noWrap w:val="0"/>
            <w:vAlign w:val="center"/>
          </w:tcPr>
          <w:p w14:paraId="1BADDA25">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规划环境影响评价情况</w:t>
            </w:r>
          </w:p>
        </w:tc>
        <w:tc>
          <w:tcPr>
            <w:tcW w:w="6872" w:type="dxa"/>
            <w:gridSpan w:val="5"/>
            <w:noWrap w:val="0"/>
            <w:vAlign w:val="center"/>
          </w:tcPr>
          <w:p w14:paraId="02FC0661">
            <w:pPr>
              <w:spacing w:line="360" w:lineRule="auto"/>
              <w:jc w:val="both"/>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无</w:t>
            </w:r>
          </w:p>
        </w:tc>
      </w:tr>
      <w:tr w14:paraId="0FFFE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noWrap w:val="0"/>
            <w:vAlign w:val="center"/>
          </w:tcPr>
          <w:p w14:paraId="28270A80">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规划及规划环境</w:t>
            </w:r>
          </w:p>
          <w:p w14:paraId="3FA8C7A7">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影响评价符合性分析</w:t>
            </w:r>
          </w:p>
        </w:tc>
        <w:tc>
          <w:tcPr>
            <w:tcW w:w="6872" w:type="dxa"/>
            <w:gridSpan w:val="5"/>
            <w:noWrap w:val="0"/>
            <w:vAlign w:val="center"/>
          </w:tcPr>
          <w:p w14:paraId="49FA3A2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w:t>
            </w:r>
          </w:p>
        </w:tc>
      </w:tr>
      <w:tr w14:paraId="5BC80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noWrap w:val="0"/>
            <w:vAlign w:val="center"/>
          </w:tcPr>
          <w:p w14:paraId="7C600594">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其他符合性分析</w:t>
            </w:r>
          </w:p>
        </w:tc>
        <w:tc>
          <w:tcPr>
            <w:tcW w:w="6872" w:type="dxa"/>
            <w:gridSpan w:val="5"/>
            <w:noWrap w:val="0"/>
            <w:vAlign w:val="center"/>
          </w:tcPr>
          <w:p w14:paraId="33BB65F5">
            <w:pPr>
              <w:autoSpaceDE w:val="0"/>
              <w:autoSpaceDN w:val="0"/>
              <w:adjustRightInd w:val="0"/>
              <w:snapToGrid w:val="0"/>
              <w:spacing w:line="360" w:lineRule="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lang w:val="en-US" w:eastAsia="zh-CN"/>
              </w:rPr>
              <w:t>1.</w:t>
            </w:r>
            <w:r>
              <w:rPr>
                <w:rFonts w:hint="default" w:ascii="Times New Roman" w:hAnsi="Times New Roman" w:eastAsia="宋体" w:cs="Times New Roman"/>
                <w:b/>
                <w:color w:val="auto"/>
                <w:kern w:val="0"/>
                <w:sz w:val="24"/>
              </w:rPr>
              <w:t>与国家产业政策符合性分析</w:t>
            </w:r>
          </w:p>
          <w:p w14:paraId="4AF8077B">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本项目主要对农业有机废弃物进行资源化利用</w:t>
            </w:r>
            <w:r>
              <w:rPr>
                <w:rFonts w:hint="default" w:ascii="Times New Roman" w:hAnsi="Times New Roman" w:cs="Times New Roman"/>
                <w:color w:val="auto"/>
                <w:sz w:val="24"/>
                <w:lang w:val="en-US" w:eastAsia="zh-CN"/>
              </w:rPr>
              <w:t>。</w:t>
            </w:r>
          </w:p>
          <w:p w14:paraId="02750EB4">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根据国家中华人民共和国国家发展和改革委员会令第7号《产业结构调整指导目录（2024年本）》</w:t>
            </w:r>
            <w:r>
              <w:rPr>
                <w:rFonts w:hint="default" w:ascii="Times New Roman" w:hAnsi="Times New Roman" w:cs="Times New Roman"/>
                <w:color w:val="auto"/>
                <w:sz w:val="24"/>
                <w:lang w:val="en-US" w:eastAsia="zh-CN"/>
              </w:rPr>
              <w:t>要求</w:t>
            </w:r>
            <w:r>
              <w:rPr>
                <w:rFonts w:hint="default" w:ascii="Times New Roman" w:hAnsi="Times New Roman" w:eastAsia="宋体" w:cs="Times New Roman"/>
                <w:color w:val="auto"/>
                <w:sz w:val="24"/>
                <w:lang w:eastAsia="zh-CN"/>
              </w:rPr>
              <w:t>：</w:t>
            </w:r>
          </w:p>
          <w:p w14:paraId="18E93B55">
            <w:pPr>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属于鼓励类：13.绿色农业中的有机废弃物无害化、价值化处理及有机肥料产业化技术开发与应用；因此，本项目</w:t>
            </w:r>
            <w:r>
              <w:rPr>
                <w:rFonts w:hint="default" w:ascii="Times New Roman" w:hAnsi="Times New Roman" w:eastAsia="宋体" w:cs="Times New Roman"/>
                <w:b w:val="0"/>
                <w:bCs w:val="0"/>
                <w:color w:val="auto"/>
                <w:sz w:val="24"/>
                <w:lang w:val="en-US" w:eastAsia="zh-CN"/>
              </w:rPr>
              <w:t>符合国家的相关产业政策。</w:t>
            </w:r>
          </w:p>
          <w:p w14:paraId="746DA6AA">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bCs/>
                <w:color w:val="auto"/>
                <w:sz w:val="24"/>
                <w:szCs w:val="24"/>
                <w:lang w:val="en-US" w:eastAsia="zh-CN"/>
              </w:rPr>
              <w:t>“三线一单”相符性分析</w:t>
            </w:r>
          </w:p>
          <w:p w14:paraId="17A63CAA">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2.1</w:t>
            </w:r>
            <w:r>
              <w:rPr>
                <w:rFonts w:hint="default" w:ascii="Times New Roman" w:hAnsi="Times New Roman" w:eastAsia="宋体" w:cs="Times New Roman"/>
                <w:b/>
                <w:bCs/>
                <w:color w:val="auto"/>
                <w:sz w:val="24"/>
                <w:lang w:val="en-US" w:eastAsia="zh-CN"/>
              </w:rPr>
              <w:t>与《甘肃省"三线一单"生态环境分区管控的意见》的相符性分析如下：</w:t>
            </w:r>
          </w:p>
          <w:p w14:paraId="205FE7A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甘肃省生态环境厅关于实施“三线一单”生态环境分区管控动态更新成果的通知》（甘环发[2024]18号），全省共划定环境管控单元842个，分为优先保护单元、重点管控单元和一般管控单元三类，实施分类管控。</w:t>
            </w:r>
          </w:p>
          <w:p w14:paraId="027391F6">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优先保护单元。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14:paraId="1E6C5614">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重点管控单元。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14:paraId="42BE75B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一般管控单元。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14:paraId="29CDAA22">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本项目位于宁县焦村镇洪洞张村，不在生态保护红线、自然保护地、集中式饮用水水源保护区等生态功能重要区和生态环境敏感区内，本项目位于重点管控单元</w:t>
            </w:r>
            <w:r>
              <w:rPr>
                <w:rFonts w:hint="default" w:ascii="Times New Roman" w:hAnsi="Times New Roman" w:cs="Times New Roman"/>
                <w:color w:val="auto"/>
                <w:sz w:val="24"/>
                <w:lang w:val="en-US" w:eastAsia="zh-CN"/>
              </w:rPr>
              <w:t>（黄河流域-陇东陇中片区-庆阳、平凉、定西、天水四市（除秦州区部分乡镇）及白银市的会宁县）</w:t>
            </w:r>
            <w:r>
              <w:rPr>
                <w:rFonts w:hint="default" w:ascii="Times New Roman" w:hAnsi="Times New Roman" w:eastAsia="宋体" w:cs="Times New Roman"/>
                <w:color w:val="auto"/>
                <w:sz w:val="24"/>
                <w:lang w:val="en-US" w:eastAsia="zh-CN"/>
              </w:rPr>
              <w:t>。本项目不涉及生态红线，项目施工期和运营期采取有效的污染防治措施之后，废气、废水、噪声均可达标排放，固体废物得到妥善处置，符合"重点管控单元"管控要求，符合"三线一单"管控要求。</w:t>
            </w:r>
          </w:p>
          <w:p w14:paraId="691CCB55">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lang w:val="en-US" w:eastAsia="zh-CN"/>
              </w:rPr>
              <w:t>2.2</w:t>
            </w:r>
            <w:r>
              <w:rPr>
                <w:rFonts w:hint="default" w:ascii="Times New Roman" w:hAnsi="Times New Roman" w:eastAsia="宋体" w:cs="Times New Roman"/>
                <w:b/>
                <w:bCs/>
                <w:color w:val="auto"/>
                <w:sz w:val="24"/>
                <w:lang w:val="en-US" w:eastAsia="zh-CN"/>
              </w:rPr>
              <w:t>与《庆阳市生态环境准入清单（试行）》（庆环委办发〔2022〕2号）的相符性分析如下：</w:t>
            </w:r>
          </w:p>
          <w:p w14:paraId="1C4258E1">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本项目选址位于</w:t>
            </w:r>
            <w:r>
              <w:rPr>
                <w:rFonts w:hint="default" w:ascii="Times New Roman" w:hAnsi="Times New Roman" w:cs="Times New Roman"/>
                <w:color w:val="auto"/>
                <w:sz w:val="24"/>
                <w:lang w:val="en-US" w:eastAsia="zh-CN"/>
              </w:rPr>
              <w:t>宁</w:t>
            </w:r>
            <w:r>
              <w:rPr>
                <w:rFonts w:hint="default" w:ascii="Times New Roman" w:hAnsi="Times New Roman" w:eastAsia="宋体" w:cs="Times New Roman"/>
                <w:color w:val="auto"/>
                <w:sz w:val="24"/>
                <w:lang w:val="en-US" w:eastAsia="zh-CN"/>
              </w:rPr>
              <w:t>县焦村镇洪洞张村</w:t>
            </w:r>
            <w:r>
              <w:rPr>
                <w:rFonts w:hint="default" w:ascii="Times New Roman" w:hAnsi="Times New Roman" w:cs="Times New Roman"/>
                <w:color w:val="auto"/>
                <w:sz w:val="24"/>
                <w:lang w:val="en-US" w:eastAsia="zh-CN"/>
              </w:rPr>
              <w:t>，</w:t>
            </w:r>
            <w:r>
              <w:rPr>
                <w:rFonts w:hint="default" w:ascii="Times New Roman" w:hAnsi="Times New Roman" w:eastAsia="宋体" w:cs="Times New Roman"/>
                <w:snapToGrid w:val="0"/>
                <w:color w:val="auto"/>
                <w:sz w:val="24"/>
                <w:highlight w:val="none"/>
              </w:rPr>
              <w:t>根据项目在</w:t>
            </w:r>
            <w:r>
              <w:rPr>
                <w:rFonts w:hint="default" w:ascii="Times New Roman" w:hAnsi="Times New Roman" w:cs="Times New Roman"/>
                <w:snapToGrid w:val="0"/>
                <w:color w:val="auto"/>
                <w:sz w:val="24"/>
                <w:highlight w:val="none"/>
                <w:lang w:val="en-US" w:eastAsia="zh-CN"/>
              </w:rPr>
              <w:t>甘肃省三线一单查询平台查询</w:t>
            </w:r>
            <w:r>
              <w:rPr>
                <w:rFonts w:hint="default" w:ascii="Times New Roman" w:hAnsi="Times New Roman" w:eastAsia="宋体" w:cs="Times New Roman"/>
                <w:snapToGrid w:val="0"/>
                <w:color w:val="auto"/>
                <w:sz w:val="24"/>
                <w:highlight w:val="none"/>
                <w:lang w:val="en-US" w:eastAsia="zh-CN"/>
              </w:rPr>
              <w:t>可知</w:t>
            </w:r>
            <w:r>
              <w:rPr>
                <w:rFonts w:hint="default" w:ascii="Times New Roman" w:hAnsi="Times New Roman" w:cs="Times New Roman"/>
                <w:color w:val="auto"/>
                <w:sz w:val="24"/>
                <w:highlight w:val="none"/>
              </w:rPr>
              <w:t>属于宁县重点管控单元01</w:t>
            </w:r>
            <w:r>
              <w:rPr>
                <w:rFonts w:hint="default" w:ascii="Times New Roman" w:hAnsi="Times New Roman" w:cs="Times New Roman"/>
                <w:color w:val="auto"/>
                <w:sz w:val="24"/>
                <w:lang w:val="en-US" w:eastAsia="zh-CN"/>
              </w:rPr>
              <w:t>（见附件）</w:t>
            </w:r>
            <w:r>
              <w:rPr>
                <w:rFonts w:hint="default" w:ascii="Times New Roman" w:hAnsi="Times New Roman" w:eastAsia="宋体" w:cs="Times New Roman"/>
                <w:color w:val="auto"/>
                <w:sz w:val="24"/>
                <w:lang w:val="en-US" w:eastAsia="zh-CN"/>
              </w:rPr>
              <w:t>，环境管控单元编码ZH62102630001，本项目与《庆阳市生态环境准入清单（试行）》（庆环委办发〔2022〕2号）中宁县重点管控单元01要求符合性分析见表1-</w:t>
            </w:r>
            <w:r>
              <w:rPr>
                <w:rFonts w:hint="default" w:ascii="Times New Roman" w:hAnsi="Times New Roman" w:cs="Times New Roman"/>
                <w:color w:val="auto"/>
                <w:sz w:val="24"/>
                <w:lang w:val="en-US" w:eastAsia="zh-CN"/>
              </w:rPr>
              <w:t>1</w:t>
            </w:r>
            <w:r>
              <w:rPr>
                <w:rFonts w:hint="default" w:ascii="Times New Roman" w:hAnsi="Times New Roman" w:eastAsia="宋体" w:cs="Times New Roman"/>
                <w:color w:val="auto"/>
                <w:sz w:val="24"/>
                <w:lang w:val="en-US" w:eastAsia="zh-CN"/>
              </w:rPr>
              <w:t>。</w:t>
            </w:r>
          </w:p>
          <w:p w14:paraId="1C4931F1">
            <w:pPr>
              <w:spacing w:line="360" w:lineRule="auto"/>
              <w:ind w:firstLine="420" w:firstLineChars="200"/>
              <w:jc w:val="center"/>
              <w:rPr>
                <w:rFonts w:hint="default" w:ascii="Times New Roman" w:hAnsi="Times New Roman" w:eastAsia="宋体" w:cs="Times New Roman"/>
                <w:color w:val="auto"/>
                <w:sz w:val="24"/>
                <w:lang w:val="en-US" w:eastAsia="zh-CN"/>
              </w:rPr>
            </w:pPr>
            <w:r>
              <w:rPr>
                <w:rFonts w:hint="default" w:ascii="Times New Roman" w:hAnsi="Times New Roman" w:eastAsia="黑体" w:cs="Times New Roman"/>
                <w:color w:val="auto"/>
                <w:sz w:val="21"/>
                <w:szCs w:val="21"/>
                <w:lang w:val="en-US" w:eastAsia="zh-CN"/>
              </w:rPr>
              <w:t>表1-1  本项目与宁县重点管控单元01符合性分析</w:t>
            </w:r>
          </w:p>
          <w:tbl>
            <w:tblPr>
              <w:tblStyle w:val="35"/>
              <w:tblW w:w="664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850"/>
              <w:gridCol w:w="2997"/>
              <w:gridCol w:w="1269"/>
              <w:gridCol w:w="763"/>
            </w:tblGrid>
            <w:tr w14:paraId="4D256C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dxa"/>
                  <w:tcBorders>
                    <w:tl2br w:val="nil"/>
                    <w:tr2bl w:val="nil"/>
                  </w:tcBorders>
                  <w:vAlign w:val="center"/>
                </w:tcPr>
                <w:p w14:paraId="3A124B0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3847" w:type="dxa"/>
                  <w:gridSpan w:val="2"/>
                  <w:tcBorders>
                    <w:tl2br w:val="nil"/>
                    <w:tr2bl w:val="nil"/>
                  </w:tcBorders>
                  <w:vAlign w:val="center"/>
                </w:tcPr>
                <w:p w14:paraId="366C4A7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管控要求</w:t>
                  </w:r>
                </w:p>
              </w:tc>
              <w:tc>
                <w:tcPr>
                  <w:tcW w:w="1269" w:type="dxa"/>
                  <w:tcBorders>
                    <w:tl2br w:val="nil"/>
                    <w:tr2bl w:val="nil"/>
                  </w:tcBorders>
                  <w:vAlign w:val="center"/>
                </w:tcPr>
                <w:p w14:paraId="2AED5FF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本项目情况</w:t>
                  </w:r>
                </w:p>
              </w:tc>
              <w:tc>
                <w:tcPr>
                  <w:tcW w:w="763" w:type="dxa"/>
                  <w:tcBorders>
                    <w:tl2br w:val="nil"/>
                    <w:tr2bl w:val="nil"/>
                  </w:tcBorders>
                  <w:vAlign w:val="center"/>
                </w:tcPr>
                <w:p w14:paraId="69A50B4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符合性分析</w:t>
                  </w:r>
                </w:p>
              </w:tc>
            </w:tr>
            <w:tr w14:paraId="51E376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dxa"/>
                  <w:vMerge w:val="restart"/>
                  <w:tcBorders>
                    <w:tl2br w:val="nil"/>
                    <w:tr2bl w:val="nil"/>
                  </w:tcBorders>
                  <w:vAlign w:val="center"/>
                </w:tcPr>
                <w:p w14:paraId="484610C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宁县重点管控单元01</w:t>
                  </w:r>
                </w:p>
              </w:tc>
              <w:tc>
                <w:tcPr>
                  <w:tcW w:w="850" w:type="dxa"/>
                  <w:tcBorders>
                    <w:tl2br w:val="nil"/>
                    <w:tr2bl w:val="nil"/>
                  </w:tcBorders>
                  <w:vAlign w:val="center"/>
                </w:tcPr>
                <w:p w14:paraId="1DEF020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空间布局约束</w:t>
                  </w:r>
                </w:p>
              </w:tc>
              <w:tc>
                <w:tcPr>
                  <w:tcW w:w="2997" w:type="dxa"/>
                  <w:tcBorders>
                    <w:tl2br w:val="nil"/>
                    <w:tr2bl w:val="nil"/>
                  </w:tcBorders>
                  <w:vAlign w:val="center"/>
                </w:tcPr>
                <w:p w14:paraId="0EFE436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禁止在居民区、学校、医疗和养老机构等周边新建有色金属冶炼、石油加工、化工等行业企业。</w:t>
                  </w:r>
                </w:p>
              </w:tc>
              <w:tc>
                <w:tcPr>
                  <w:tcW w:w="1269" w:type="dxa"/>
                  <w:tcBorders>
                    <w:tl2br w:val="nil"/>
                    <w:tr2bl w:val="nil"/>
                  </w:tcBorders>
                  <w:vAlign w:val="center"/>
                </w:tcPr>
                <w:p w14:paraId="647F485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本项目不属于禁止开发建设和限制开发建设活动，不属于《甘肃省国家重点生态功能区产业准入负面清单（试行）》限值准入行业。</w:t>
                  </w:r>
                </w:p>
              </w:tc>
              <w:tc>
                <w:tcPr>
                  <w:tcW w:w="763" w:type="dxa"/>
                  <w:tcBorders>
                    <w:tl2br w:val="nil"/>
                    <w:tr2bl w:val="nil"/>
                  </w:tcBorders>
                  <w:vAlign w:val="center"/>
                </w:tcPr>
                <w:p w14:paraId="0A32633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r w14:paraId="551160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dxa"/>
                  <w:vMerge w:val="continue"/>
                  <w:tcBorders>
                    <w:tl2br w:val="nil"/>
                    <w:tr2bl w:val="nil"/>
                  </w:tcBorders>
                  <w:vAlign w:val="center"/>
                </w:tcPr>
                <w:p w14:paraId="213CC31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p>
              </w:tc>
              <w:tc>
                <w:tcPr>
                  <w:tcW w:w="850" w:type="dxa"/>
                  <w:tcBorders>
                    <w:tl2br w:val="nil"/>
                    <w:tr2bl w:val="nil"/>
                  </w:tcBorders>
                  <w:vAlign w:val="center"/>
                </w:tcPr>
                <w:p w14:paraId="073B4FE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污染物排放管控</w:t>
                  </w:r>
                </w:p>
              </w:tc>
              <w:tc>
                <w:tcPr>
                  <w:tcW w:w="2997" w:type="dxa"/>
                  <w:tcBorders>
                    <w:tl2br w:val="nil"/>
                    <w:tr2bl w:val="nil"/>
                  </w:tcBorders>
                  <w:vAlign w:val="center"/>
                </w:tcPr>
                <w:p w14:paraId="44515C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1、城镇污水处理厂应稳定达到相应排放标准要求，提高城镇生活污水收集处理率。</w:t>
                  </w:r>
                </w:p>
                <w:p w14:paraId="5372EBE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2、加大对煤矿开采和能源开发企业的废水排放管控力度。逐步推进矿山开采和煤矿开发企业矿井水的再生利用和综合利用；规范处理油田开发企业采出水，禁止将不符合要求的采出水直接回注地下油层。</w:t>
                  </w:r>
                </w:p>
                <w:p w14:paraId="438A797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3、严格执行《甘肃省石油勘探开发生态环境保护条例》中规定的各项污染物防治措施。</w:t>
                  </w:r>
                </w:p>
              </w:tc>
              <w:tc>
                <w:tcPr>
                  <w:tcW w:w="1269" w:type="dxa"/>
                  <w:tcBorders>
                    <w:tl2br w:val="nil"/>
                    <w:tr2bl w:val="nil"/>
                  </w:tcBorders>
                  <w:vAlign w:val="center"/>
                </w:tcPr>
                <w:p w14:paraId="01BD3A6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本项目不属于上述企业。</w:t>
                  </w:r>
                </w:p>
              </w:tc>
              <w:tc>
                <w:tcPr>
                  <w:tcW w:w="763" w:type="dxa"/>
                  <w:tcBorders>
                    <w:tl2br w:val="nil"/>
                    <w:tr2bl w:val="nil"/>
                  </w:tcBorders>
                  <w:vAlign w:val="center"/>
                </w:tcPr>
                <w:p w14:paraId="5FD211F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r w14:paraId="50CE08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dxa"/>
                  <w:vMerge w:val="continue"/>
                  <w:tcBorders>
                    <w:tl2br w:val="nil"/>
                    <w:tr2bl w:val="nil"/>
                  </w:tcBorders>
                  <w:vAlign w:val="center"/>
                </w:tcPr>
                <w:p w14:paraId="5C0B67D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p>
              </w:tc>
              <w:tc>
                <w:tcPr>
                  <w:tcW w:w="850" w:type="dxa"/>
                  <w:tcBorders>
                    <w:tl2br w:val="nil"/>
                    <w:tr2bl w:val="nil"/>
                  </w:tcBorders>
                  <w:vAlign w:val="center"/>
                </w:tcPr>
                <w:p w14:paraId="7A9AD23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环境风险防控</w:t>
                  </w:r>
                </w:p>
              </w:tc>
              <w:tc>
                <w:tcPr>
                  <w:tcW w:w="2997" w:type="dxa"/>
                  <w:tcBorders>
                    <w:tl2br w:val="nil"/>
                    <w:tr2bl w:val="nil"/>
                  </w:tcBorders>
                  <w:vAlign w:val="center"/>
                </w:tcPr>
                <w:p w14:paraId="0CCE1DF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1、严格执行《产业结构调整指导目录》和相关行业企业布局选址要求，禁止在居民区、学校、医疗和养老机构等周边新建有色金属冶炼、焦化等行业企业；结合推进新型城镇化建设、产业结构调整和化解</w:t>
                  </w:r>
                </w:p>
                <w:p w14:paraId="185BD21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过剩产能等，有序搬迁或依法关闭对土壤造成严重污染的现有企业。结合区域功能定位和土壤污染防治需要，科学布局生活垃圾处理、危险废物处置、废旧资源再生利用等设施和场所，合理确定畜禽养殖布局和规模。</w:t>
                  </w:r>
                </w:p>
                <w:p w14:paraId="0016D7A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永久基本农田，实行严格保护，确保其面积不减少、土壤环境质量不下降，除法律规定的重点建设项目选址确实无法避让外，其他任何建设项目不得占用。高标准农田建设项目向优先保护类耕地集中的地区倾斜。严格控制在优先保护类耕地集中区域新建有色金属冶炼、石油加工、化工、焦化、电镀、制革等行业企业，现有相关行业企业要采用新技术、新工艺，加快提标升级改造步伐。</w:t>
                  </w:r>
                </w:p>
                <w:p w14:paraId="38D83A9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3、加强纳入耕地后备资源的未利用地保护，定期开展巡查，依法严查向沙漠、滩涂、盐碱地、沼泽地等非法排污、倾倒有毒有害物质的环境违法行为。</w:t>
                  </w:r>
                </w:p>
                <w:p w14:paraId="4DC7EDA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1、加强环境风险防范，编制园区突发性环境事件应急预案和环境风险评估报告，完善环保管理机构设置。</w:t>
                  </w:r>
                </w:p>
                <w:p w14:paraId="7DE8D32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建立空气质量预报预警体系及地表水和土壤监测预警系统，建设西峰工业园区空气质量预警站，按照预警分级标准、信息发布、应急响应要求，落实应急减排和重污染应急管控措施，实施区域应急联动，健全联合执法。</w:t>
                  </w:r>
                </w:p>
                <w:p w14:paraId="3C83B2C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3、加快工业集聚区污水集中处理设施建设。工业集中区内各企业工业废水必须经预处理达到集中处理要求，现有工业集中区按规定建成污水集中处理设施，并安装自动在线监控装置。</w:t>
                  </w:r>
                </w:p>
                <w:p w14:paraId="26AB777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全面整治油泥、煤矸石、工业副产石膏、粉煤灰、赤泥、冶炼渣、电石渣、铬渣、砷渣以及脱硫、脱硝、除尘产生固体废物的堆存场所，完善防扬散、防流失、防渗漏等设施。加强工业固体废物综合利用。引导有关企业采用先进适用加工工艺、集聚发展，集中建设和运营污染治理设施，防止污染土壤和地下水。</w:t>
                  </w:r>
                </w:p>
                <w:p w14:paraId="5CC4D67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2、严格落实国家清废行动有关要求，开展废铅蓄电池污染防治专项行动，加快推进地方危险废物集中处置设施建设，持续提升危险废物集中处置水平。</w:t>
                  </w:r>
                </w:p>
                <w:p w14:paraId="23262F2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3、新建的涉重金属及涉化企业原则上应建设在工业园区内，严格建设项目环境防护距离的管控。开展石油、化工、农副食品加工、制药等重点行业专项治理，并将上述行业企业纳入强制性清洁生产审核范</w:t>
                  </w:r>
                </w:p>
                <w:p w14:paraId="3E3F351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围。加强污染土壤用途管控，对农用地按照污染程度实施分类管理，对建设用地实施准入管理。</w:t>
                  </w:r>
                </w:p>
                <w:p w14:paraId="5898FB9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全面排查无主尾矿库、石油开采等主要环境风险源，有效防范采掘、石油行业对地表水、地下水的环境风险。全面整治油田开发遗留的废渣、废油泥等环境风险源。严格按照危险废物管理有关规定，安全处置“石油开采产生的油泥和油脚、废弃钻井液处理产生的污泥”等危险废物，严禁随意倾倒和就地掩埋；对未列入《国家危险废物名录》的固体废物，应根据《危险废物鉴别标准》（GB5085.1-GB5085.6）进行鉴别后再按照国家规定安全处置。5、对原马岭炼厂、庆阳石化公司老厂区、原正宁恒强铅业有限公司遗留厂址3处污染地块，应执行庆阳市生态环境局关于印发《庆阳市建设用地土壤污染风险 管控和修复名录（第一批）》的通知要求，采取相应的风险管控措施，并定期向地方人民政府生态环境主管部门报告。风险管控措施应当包括地下水污染防治的内容。同重点管控单元要求。</w:t>
                  </w:r>
                </w:p>
              </w:tc>
              <w:tc>
                <w:tcPr>
                  <w:tcW w:w="1269" w:type="dxa"/>
                  <w:tcBorders>
                    <w:tl2br w:val="nil"/>
                    <w:tr2bl w:val="nil"/>
                  </w:tcBorders>
                  <w:vAlign w:val="center"/>
                </w:tcPr>
                <w:p w14:paraId="25C6096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本项目按照要求编制突发环境事件应急预案。</w:t>
                  </w:r>
                </w:p>
              </w:tc>
              <w:tc>
                <w:tcPr>
                  <w:tcW w:w="763" w:type="dxa"/>
                  <w:tcBorders>
                    <w:tl2br w:val="nil"/>
                    <w:tr2bl w:val="nil"/>
                  </w:tcBorders>
                  <w:vAlign w:val="center"/>
                </w:tcPr>
                <w:p w14:paraId="654230B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r w14:paraId="20E9FD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dxa"/>
                  <w:vMerge w:val="continue"/>
                  <w:tcBorders>
                    <w:tl2br w:val="nil"/>
                    <w:tr2bl w:val="nil"/>
                  </w:tcBorders>
                  <w:vAlign w:val="center"/>
                </w:tcPr>
                <w:p w14:paraId="064F789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p>
              </w:tc>
              <w:tc>
                <w:tcPr>
                  <w:tcW w:w="850" w:type="dxa"/>
                  <w:tcBorders>
                    <w:tl2br w:val="nil"/>
                    <w:tr2bl w:val="nil"/>
                  </w:tcBorders>
                  <w:vAlign w:val="center"/>
                </w:tcPr>
                <w:p w14:paraId="3C17A01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资源利用效率要求</w:t>
                  </w:r>
                </w:p>
              </w:tc>
              <w:tc>
                <w:tcPr>
                  <w:tcW w:w="2997" w:type="dxa"/>
                  <w:tcBorders>
                    <w:tl2br w:val="nil"/>
                    <w:tr2bl w:val="nil"/>
                  </w:tcBorders>
                  <w:vAlign w:val="center"/>
                </w:tcPr>
                <w:p w14:paraId="51A6635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到2020年，区域用水总量不得超过3.44亿立方米，2030年不得超过5.05亿立方米。在地下水限采区内，除应急供水和生活用水更新井外，严禁开凿取水井。确需取用地下水的，一般超采区要在现有地下水</w:t>
                  </w:r>
                </w:p>
                <w:p w14:paraId="7105246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开采总量内调剂解决，并逐步削减地下水开采量；严重超采区应按照用1减2的比例削减地下水开采量，直至地下水采补平衡。能源消费总</w:t>
                  </w:r>
                </w:p>
                <w:p w14:paraId="0DB0EB2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量在2020年不得超过378万吨标准煤，煤炭占能源消费总量比重不得超过56.1%，天然气消费占比达到5%。2025年、2030年继续实施能源消费总量和强度“双控”，完成省上下达的目标指标。禁止销售、燃用高污染燃料，禁止新建、扩建燃用高污染燃料的设施，已建成的要在当地政府规定的期限内改用天然气、页岩气、液化石油气、电力或者其他清洁能源。同重点管控单元要求</w:t>
                  </w:r>
                </w:p>
              </w:tc>
              <w:tc>
                <w:tcPr>
                  <w:tcW w:w="1269" w:type="dxa"/>
                  <w:tcBorders>
                    <w:tl2br w:val="nil"/>
                    <w:tr2bl w:val="nil"/>
                  </w:tcBorders>
                  <w:vAlign w:val="center"/>
                </w:tcPr>
                <w:p w14:paraId="7380C6E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本项目生产过程中选用节能、先进、环保设备，有效减少能源用量，提高资源利用效率。</w:t>
                  </w:r>
                </w:p>
              </w:tc>
              <w:tc>
                <w:tcPr>
                  <w:tcW w:w="763" w:type="dxa"/>
                  <w:tcBorders>
                    <w:tl2br w:val="nil"/>
                    <w:tr2bl w:val="nil"/>
                  </w:tcBorders>
                  <w:vAlign w:val="center"/>
                </w:tcPr>
                <w:p w14:paraId="21BF88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bl>
          <w:p w14:paraId="7744130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综上，本项目符合</w:t>
            </w:r>
            <w:r>
              <w:rPr>
                <w:rFonts w:hint="default" w:ascii="Times New Roman" w:hAnsi="Times New Roman" w:cs="Times New Roman"/>
                <w:color w:val="auto"/>
                <w:sz w:val="24"/>
                <w:lang w:val="en-US" w:eastAsia="zh-CN"/>
              </w:rPr>
              <w:t>宁</w:t>
            </w:r>
            <w:r>
              <w:rPr>
                <w:rFonts w:hint="default" w:ascii="Times New Roman" w:hAnsi="Times New Roman" w:eastAsia="宋体" w:cs="Times New Roman"/>
                <w:color w:val="auto"/>
                <w:sz w:val="24"/>
                <w:lang w:val="en-US" w:eastAsia="zh-CN"/>
              </w:rPr>
              <w:t>县重点管控单元01相关管控要求。</w:t>
            </w:r>
          </w:p>
          <w:p w14:paraId="4F8ED0F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3、选址可行性分析</w:t>
            </w:r>
          </w:p>
          <w:p w14:paraId="72B75C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（1）环境相容性分析</w:t>
            </w:r>
          </w:p>
          <w:p w14:paraId="283021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选址位于宁县焦村镇洪洞张村，根据现场调查，项目占地范围内不涉及自然保护区、世界文化和自然遗产地、风景名胜区、森林公园、地质公园、重要湿地、原始天然林、珍稀濒危野生动植物天然集中分布区、水源保护区等敏感区。</w:t>
            </w:r>
          </w:p>
          <w:p w14:paraId="305C1A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区域环境质量现状监测数据表明，本项目所在区域环境空气、地表水、地下水、声环境等均满足相应环境质量标准，项目所在区域尚有一定环境容量。根据工程分析，本项目运营期废气排放浓度能够实现达标排放，且各污染最大落地浓度满足均满足《环境影响评价技术导则大气环境》(HJ2.2-2018)附录D中其他污染物空气质量浓度参考限值和《环境空气质量标准》(GB3095-2012)中二级标准；无废水外排；固体废物均能得到合理有效的处置，所以项目运营期各污染物排放对周围环境影响较小。</w:t>
            </w:r>
          </w:p>
          <w:p w14:paraId="4A63C1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因此，本项目建设与外环境相容。</w:t>
            </w:r>
          </w:p>
          <w:p w14:paraId="1375D5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（2）环境制约因素</w:t>
            </w:r>
          </w:p>
          <w:p w14:paraId="707647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项目周边有完善的配套设施（供水、供电），项目建成后，用水、用电能够满足要求；项目四周交通运输条件良好，能够满足项目物料运输需求。</w:t>
            </w:r>
          </w:p>
          <w:p w14:paraId="0F86DC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因此，拟建项目无重大的环境制约因素。</w:t>
            </w:r>
          </w:p>
          <w:p w14:paraId="2FF63B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（3）用地合理性分析</w:t>
            </w:r>
          </w:p>
          <w:p w14:paraId="285384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位于宁县焦村镇洪洞张村，根据宁县人民政府出具的《关于宁县源之生农业科技有限公司10万吨有机肥加工厂项目集体建设用地的批复》（宁政拨土发【2022】40号），本项目用地性质为集体建设用地，用地合理。</w:t>
            </w:r>
          </w:p>
          <w:p w14:paraId="7CA80C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综上所述，本项目从环保角度分析，本项目选址可行。</w:t>
            </w:r>
          </w:p>
          <w:p w14:paraId="786268FC">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与《畜禽粪便无害化处理技术规范》（GB_T 36195-2018）符合性分析</w:t>
            </w:r>
          </w:p>
          <w:p w14:paraId="4DACA283">
            <w:pPr>
              <w:pStyle w:val="53"/>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表1-2  项目与《畜禽粪便无害化处理技术规范》（GB_T 36195-2018）符合性分析</w:t>
            </w:r>
          </w:p>
          <w:tbl>
            <w:tblPr>
              <w:tblStyle w:val="35"/>
              <w:tblW w:w="665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2"/>
              <w:gridCol w:w="2475"/>
              <w:gridCol w:w="1119"/>
            </w:tblGrid>
            <w:tr w14:paraId="1F4D2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62" w:type="dxa"/>
                  <w:tcBorders>
                    <w:tl2br w:val="nil"/>
                    <w:tr2bl w:val="nil"/>
                  </w:tcBorders>
                  <w:vAlign w:val="center"/>
                </w:tcPr>
                <w:p w14:paraId="17AA452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粪便处理厂选址及布局</w:t>
                  </w:r>
                </w:p>
              </w:tc>
              <w:tc>
                <w:tcPr>
                  <w:tcW w:w="2475" w:type="dxa"/>
                  <w:tcBorders>
                    <w:tl2br w:val="nil"/>
                    <w:tr2bl w:val="nil"/>
                  </w:tcBorders>
                  <w:vAlign w:val="center"/>
                </w:tcPr>
                <w:p w14:paraId="40C66B0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项目选址</w:t>
                  </w:r>
                </w:p>
              </w:tc>
              <w:tc>
                <w:tcPr>
                  <w:tcW w:w="1119" w:type="dxa"/>
                  <w:tcBorders>
                    <w:tl2br w:val="nil"/>
                    <w:tr2bl w:val="nil"/>
                  </w:tcBorders>
                  <w:vAlign w:val="center"/>
                </w:tcPr>
                <w:p w14:paraId="020D8F5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符合性</w:t>
                  </w:r>
                </w:p>
              </w:tc>
            </w:tr>
            <w:tr w14:paraId="56FA9A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62" w:type="dxa"/>
                  <w:tcBorders>
                    <w:tl2br w:val="nil"/>
                    <w:tr2bl w:val="nil"/>
                  </w:tcBorders>
                  <w:vAlign w:val="center"/>
                </w:tcPr>
                <w:p w14:paraId="24067EC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不应在下列区域内建设畜禽粪便处理场:</w:t>
                  </w:r>
                </w:p>
                <w:p w14:paraId="112C2057">
                  <w:pPr>
                    <w:keepNext w:val="0"/>
                    <w:keepLines w:val="0"/>
                    <w:pageBreakBefore w:val="0"/>
                    <w:widowControl w:val="0"/>
                    <w:numPr>
                      <w:ilvl w:val="0"/>
                      <w:numId w:val="7"/>
                    </w:numPr>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生活饮用水水源保护区、风景名胜区、自然保护区的核心区及缓冲区;</w:t>
                  </w:r>
                </w:p>
                <w:p w14:paraId="20F4A909">
                  <w:pPr>
                    <w:keepNext w:val="0"/>
                    <w:keepLines w:val="0"/>
                    <w:pageBreakBefore w:val="0"/>
                    <w:widowControl w:val="0"/>
                    <w:numPr>
                      <w:ilvl w:val="0"/>
                      <w:numId w:val="7"/>
                    </w:numPr>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城市和城镇居民区,包括文教科研、医疗、商业和工业等人口集中地区;</w:t>
                  </w:r>
                </w:p>
                <w:p w14:paraId="4ED23F5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c)县级及县级以上人民政府依法划定的禁养区域;</w:t>
                  </w:r>
                </w:p>
                <w:p w14:paraId="08DDEC8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d)国家或地方法律、法规规定需特殊保护的其他区域。</w:t>
                  </w:r>
                </w:p>
              </w:tc>
              <w:tc>
                <w:tcPr>
                  <w:tcW w:w="2475" w:type="dxa"/>
                  <w:tcBorders>
                    <w:tl2br w:val="nil"/>
                    <w:tr2bl w:val="nil"/>
                  </w:tcBorders>
                  <w:vAlign w:val="center"/>
                </w:tcPr>
                <w:p w14:paraId="5BE79E2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A）本项目建设地点位于宁县焦村镇洪洞张村，周围500m无生活饮用水水源保护区、风景名胜区、自然保护区的核心区及缓冲区；</w:t>
                  </w:r>
                </w:p>
                <w:p w14:paraId="21BC999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B）项目建设地点不属于居民集中区；</w:t>
                  </w:r>
                </w:p>
                <w:p w14:paraId="55C208B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C）不属于县级及县级以上人民政府依法划定的禁养区域；</w:t>
                  </w:r>
                </w:p>
                <w:p w14:paraId="733EDA7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color w:val="auto"/>
                      <w:sz w:val="21"/>
                      <w:szCs w:val="21"/>
                      <w:vertAlign w:val="baseline"/>
                      <w:lang w:val="en-US" w:eastAsia="zh-CN"/>
                    </w:rPr>
                    <w:t>D）无国家或地方法律、法规规定需特殊保护的其他区域。</w:t>
                  </w:r>
                </w:p>
              </w:tc>
              <w:tc>
                <w:tcPr>
                  <w:tcW w:w="1119" w:type="dxa"/>
                  <w:tcBorders>
                    <w:tl2br w:val="nil"/>
                    <w:tr2bl w:val="nil"/>
                  </w:tcBorders>
                  <w:vAlign w:val="center"/>
                </w:tcPr>
                <w:p w14:paraId="6F6485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r w14:paraId="5A0844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62" w:type="dxa"/>
                  <w:tcBorders>
                    <w:tl2br w:val="nil"/>
                    <w:tr2bl w:val="nil"/>
                  </w:tcBorders>
                  <w:vAlign w:val="center"/>
                </w:tcPr>
                <w:p w14:paraId="69A4D39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5.2在禁建区域附近建设畜禽粪便处理场,应设在5.1规定的禁建区域常年主导风向的下风向或侧下风向处,场界与禁建区域边界的最小距离不应小于3km。</w:t>
                  </w:r>
                </w:p>
              </w:tc>
              <w:tc>
                <w:tcPr>
                  <w:tcW w:w="2475" w:type="dxa"/>
                  <w:tcBorders>
                    <w:tl2br w:val="nil"/>
                    <w:tr2bl w:val="nil"/>
                  </w:tcBorders>
                  <w:vAlign w:val="center"/>
                </w:tcPr>
                <w:p w14:paraId="54B1119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项目不在禁建区域，在洪洞张村侧风向。</w:t>
                  </w:r>
                </w:p>
              </w:tc>
              <w:tc>
                <w:tcPr>
                  <w:tcW w:w="1119" w:type="dxa"/>
                  <w:tcBorders>
                    <w:tl2br w:val="nil"/>
                    <w:tr2bl w:val="nil"/>
                  </w:tcBorders>
                  <w:vAlign w:val="center"/>
                </w:tcPr>
                <w:p w14:paraId="657DDCB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r w14:paraId="56BED0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62" w:type="dxa"/>
                  <w:tcBorders>
                    <w:tl2br w:val="nil"/>
                    <w:tr2bl w:val="nil"/>
                  </w:tcBorders>
                  <w:vAlign w:val="center"/>
                </w:tcPr>
                <w:p w14:paraId="2C83E74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5.3集中建立的畜禽粪便处理场与畜禽养殖区域的最小距离应大于2km。</w:t>
                  </w:r>
                </w:p>
              </w:tc>
              <w:tc>
                <w:tcPr>
                  <w:tcW w:w="2475" w:type="dxa"/>
                  <w:tcBorders>
                    <w:tl2br w:val="nil"/>
                    <w:tr2bl w:val="nil"/>
                  </w:tcBorders>
                  <w:vAlign w:val="center"/>
                </w:tcPr>
                <w:p w14:paraId="0759228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项目与畜禽养殖区域的最小距离大于2km</w:t>
                  </w:r>
                </w:p>
              </w:tc>
              <w:tc>
                <w:tcPr>
                  <w:tcW w:w="1119" w:type="dxa"/>
                  <w:tcBorders>
                    <w:tl2br w:val="nil"/>
                    <w:tr2bl w:val="nil"/>
                  </w:tcBorders>
                  <w:vAlign w:val="center"/>
                </w:tcPr>
                <w:p w14:paraId="0B3C240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r w14:paraId="45B037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62" w:type="dxa"/>
                  <w:tcBorders>
                    <w:tl2br w:val="nil"/>
                    <w:tr2bl w:val="nil"/>
                  </w:tcBorders>
                  <w:vAlign w:val="center"/>
                </w:tcPr>
                <w:p w14:paraId="636B33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5.4畜禽粪便处理场地应距离功能地表水体400m以上。</w:t>
                  </w:r>
                </w:p>
              </w:tc>
              <w:tc>
                <w:tcPr>
                  <w:tcW w:w="2475" w:type="dxa"/>
                  <w:tcBorders>
                    <w:tl2br w:val="nil"/>
                    <w:tr2bl w:val="nil"/>
                  </w:tcBorders>
                  <w:vAlign w:val="center"/>
                </w:tcPr>
                <w:p w14:paraId="083C42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项目距离东南侧马莲河13km</w:t>
                  </w:r>
                </w:p>
              </w:tc>
              <w:tc>
                <w:tcPr>
                  <w:tcW w:w="1119" w:type="dxa"/>
                  <w:tcBorders>
                    <w:tl2br w:val="nil"/>
                    <w:tr2bl w:val="nil"/>
                  </w:tcBorders>
                  <w:vAlign w:val="center"/>
                </w:tcPr>
                <w:p w14:paraId="271F7DE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r w14:paraId="686825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62" w:type="dxa"/>
                  <w:tcBorders>
                    <w:tl2br w:val="nil"/>
                    <w:tr2bl w:val="nil"/>
                  </w:tcBorders>
                  <w:vAlign w:val="center"/>
                </w:tcPr>
                <w:p w14:paraId="41D7E72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5.5畜禽粪便处理场区应采取地面硬化、防渗漏、防径流和雨污分流等措施</w:t>
                  </w:r>
                </w:p>
              </w:tc>
              <w:tc>
                <w:tcPr>
                  <w:tcW w:w="2475" w:type="dxa"/>
                  <w:tcBorders>
                    <w:tl2br w:val="nil"/>
                    <w:tr2bl w:val="nil"/>
                  </w:tcBorders>
                  <w:vAlign w:val="center"/>
                </w:tcPr>
                <w:p w14:paraId="4B74E57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项目场地硬化，防渗，有防径流措施和雨污分流措施</w:t>
                  </w:r>
                </w:p>
              </w:tc>
              <w:tc>
                <w:tcPr>
                  <w:tcW w:w="1119" w:type="dxa"/>
                  <w:tcBorders>
                    <w:tl2br w:val="nil"/>
                    <w:tr2bl w:val="nil"/>
                  </w:tcBorders>
                  <w:vAlign w:val="center"/>
                </w:tcPr>
                <w:p w14:paraId="468BFAE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符合</w:t>
                  </w:r>
                </w:p>
              </w:tc>
            </w:tr>
          </w:tbl>
          <w:p w14:paraId="0FECFE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p>
          <w:p w14:paraId="6FC75AB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rPr>
            </w:pPr>
          </w:p>
        </w:tc>
      </w:tr>
    </w:tbl>
    <w:p w14:paraId="2328B4F4">
      <w:pPr>
        <w:spacing w:line="360" w:lineRule="auto"/>
        <w:outlineLvl w:val="0"/>
        <w:rPr>
          <w:rFonts w:hint="default" w:ascii="Times New Roman" w:hAnsi="Times New Roman" w:eastAsia="宋体" w:cs="Times New Roman"/>
          <w:color w:val="auto"/>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07F5D3C">
      <w:pPr>
        <w:pStyle w:val="31"/>
        <w:numPr>
          <w:ilvl w:val="0"/>
          <w:numId w:val="8"/>
        </w:numPr>
        <w:jc w:val="center"/>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建设项目工程分析</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3"/>
      </w:tblGrid>
      <w:tr w14:paraId="41E9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13434B60">
            <w:pPr>
              <w:pStyle w:val="31"/>
              <w:numPr>
                <w:ilvl w:val="0"/>
                <w:numId w:val="0"/>
              </w:numPr>
              <w:jc w:val="center"/>
              <w:outlineLvl w:val="0"/>
              <w:rPr>
                <w:rFonts w:hint="default" w:ascii="Times New Roman" w:hAnsi="Times New Roman" w:eastAsia="宋体" w:cs="Times New Roman"/>
                <w:b/>
                <w:bCs/>
                <w:snapToGrid w:val="0"/>
                <w:color w:val="auto"/>
                <w:sz w:val="30"/>
                <w:szCs w:val="30"/>
                <w:vertAlign w:val="baseline"/>
                <w:lang w:val="en-US" w:eastAsia="zh-CN"/>
              </w:rPr>
            </w:pPr>
            <w:r>
              <w:rPr>
                <w:rFonts w:hint="default" w:ascii="Times New Roman" w:hAnsi="Times New Roman" w:eastAsia="宋体" w:cs="Times New Roman"/>
                <w:b/>
                <w:color w:val="auto"/>
                <w:szCs w:val="24"/>
                <w:lang w:val="en-US" w:eastAsia="zh-CN"/>
              </w:rPr>
              <w:t>建设内容</w:t>
            </w:r>
          </w:p>
        </w:tc>
        <w:tc>
          <w:tcPr>
            <w:tcW w:w="8603" w:type="dxa"/>
          </w:tcPr>
          <w:p w14:paraId="177B577B">
            <w:pPr>
              <w:spacing w:line="360" w:lineRule="auto"/>
              <w:ind w:firstLine="48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1、项目变动情况分析</w:t>
            </w:r>
          </w:p>
          <w:p w14:paraId="102816F2">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根据现场调查，并对比环境影响报告表的工程内容，在项目建设过程中，主要变动情况如下：</w:t>
            </w:r>
          </w:p>
          <w:p w14:paraId="21E55B3C">
            <w:pPr>
              <w:pStyle w:val="16"/>
              <w:jc w:val="center"/>
              <w:rPr>
                <w:rStyle w:val="107"/>
                <w:rFonts w:hint="default" w:ascii="Times New Roman" w:hAnsi="Times New Roman" w:cs="Times New Roman"/>
                <w:color w:val="auto"/>
                <w:lang w:val="en-US" w:eastAsia="zh-CN"/>
              </w:rPr>
            </w:pPr>
            <w:r>
              <w:rPr>
                <w:rStyle w:val="107"/>
                <w:rFonts w:hint="default" w:ascii="Times New Roman" w:hAnsi="Times New Roman" w:cs="Times New Roman"/>
                <w:color w:val="auto"/>
                <w:lang w:val="en-US" w:eastAsia="zh-CN"/>
              </w:rPr>
              <w:t>表2-1  项目变动情况一览表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987"/>
              <w:gridCol w:w="2439"/>
              <w:gridCol w:w="3105"/>
              <w:gridCol w:w="1059"/>
            </w:tblGrid>
            <w:tr w14:paraId="6F5B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14:paraId="7DBA3AE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项目</w:t>
                  </w:r>
                </w:p>
              </w:tc>
              <w:tc>
                <w:tcPr>
                  <w:tcW w:w="589" w:type="pct"/>
                  <w:vAlign w:val="center"/>
                </w:tcPr>
                <w:p w14:paraId="5F524F9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生产工序</w:t>
                  </w:r>
                </w:p>
              </w:tc>
              <w:tc>
                <w:tcPr>
                  <w:tcW w:w="1456" w:type="pct"/>
                  <w:vAlign w:val="center"/>
                </w:tcPr>
                <w:p w14:paraId="5390904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原环评建设内容</w:t>
                  </w:r>
                </w:p>
              </w:tc>
              <w:tc>
                <w:tcPr>
                  <w:tcW w:w="1853" w:type="pct"/>
                  <w:vAlign w:val="center"/>
                </w:tcPr>
                <w:p w14:paraId="3E83BA4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本次环评内容</w:t>
                  </w:r>
                </w:p>
              </w:tc>
              <w:tc>
                <w:tcPr>
                  <w:tcW w:w="632" w:type="pct"/>
                  <w:vAlign w:val="center"/>
                </w:tcPr>
                <w:p w14:paraId="60B6FBE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变动情况</w:t>
                  </w:r>
                </w:p>
              </w:tc>
            </w:tr>
            <w:tr w14:paraId="32E7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restart"/>
                  <w:vAlign w:val="center"/>
                </w:tcPr>
                <w:p w14:paraId="02B245C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主体工程</w:t>
                  </w:r>
                </w:p>
              </w:tc>
              <w:tc>
                <w:tcPr>
                  <w:tcW w:w="589" w:type="pct"/>
                  <w:vAlign w:val="center"/>
                </w:tcPr>
                <w:p w14:paraId="66B09CF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发酵车间</w:t>
                  </w:r>
                </w:p>
              </w:tc>
              <w:tc>
                <w:tcPr>
                  <w:tcW w:w="1456" w:type="pct"/>
                  <w:vAlign w:val="center"/>
                </w:tcPr>
                <w:p w14:paraId="7C30FBB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2幢全封闭钢结构，110*24m，高9m，采用一体化智能好氧发酵设备，建筑面积5280m</w:t>
                  </w:r>
                  <w:r>
                    <w:rPr>
                      <w:rFonts w:hint="default" w:ascii="Times New Roman" w:hAnsi="Times New Roman" w:cs="Times New Roman" w:eastAsiaTheme="minorEastAsia"/>
                      <w:color w:val="auto"/>
                      <w:sz w:val="21"/>
                      <w:szCs w:val="21"/>
                      <w:vertAlign w:val="superscript"/>
                      <w:lang w:val="en-US" w:eastAsia="zh-CN"/>
                    </w:rPr>
                    <w:t>2</w:t>
                  </w:r>
                </w:p>
              </w:tc>
              <w:tc>
                <w:tcPr>
                  <w:tcW w:w="1853" w:type="pct"/>
                  <w:vAlign w:val="center"/>
                </w:tcPr>
                <w:p w14:paraId="135B8D1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全封闭车间，轻钢结构，占地面积2600m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，分为畜禽粪便贮存区（200m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）、混料搅拌设备区及秸秆破碎区（200m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 发酵槽（200m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）个。内设轮盘式抛布料机、皮带输送机、秸秆破碎机等设备，主要用于畜禽粪便暂存、秸秆破碎、混料搅拌、发酵垛发酵。车间外布置一套生物除臭装置（过滤法）。</w:t>
                  </w:r>
                </w:p>
              </w:tc>
              <w:tc>
                <w:tcPr>
                  <w:tcW w:w="632" w:type="pct"/>
                  <w:vAlign w:val="center"/>
                </w:tcPr>
                <w:p w14:paraId="47579D0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面积，功能等存在变动</w:t>
                  </w:r>
                </w:p>
              </w:tc>
            </w:tr>
            <w:tr w14:paraId="578F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0E7DD46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p>
              </w:tc>
              <w:tc>
                <w:tcPr>
                  <w:tcW w:w="589" w:type="pct"/>
                  <w:vAlign w:val="center"/>
                </w:tcPr>
                <w:p w14:paraId="3785387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原料库</w:t>
                  </w:r>
                </w:p>
              </w:tc>
              <w:tc>
                <w:tcPr>
                  <w:tcW w:w="1456" w:type="pct"/>
                  <w:vAlign w:val="center"/>
                </w:tcPr>
                <w:p w14:paraId="09546B5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全封闭钢结构，110*24m,高9m,建筑面积2640m²</w:t>
                  </w:r>
                </w:p>
              </w:tc>
              <w:tc>
                <w:tcPr>
                  <w:tcW w:w="1853" w:type="pct"/>
                  <w:vAlign w:val="center"/>
                </w:tcPr>
                <w:p w14:paraId="0AECD53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pacing w:val="1"/>
                      <w:sz w:val="21"/>
                      <w:szCs w:val="21"/>
                      <w:lang w:val="en-US" w:eastAsia="zh-CN"/>
                    </w:rPr>
                    <w:t>全封闭车间，轻钢结构，占地面积3245.98m</w:t>
                  </w:r>
                  <w:r>
                    <w:rPr>
                      <w:rFonts w:hint="default" w:ascii="Times New Roman" w:hAnsi="Times New Roman" w:cs="Times New Roman" w:eastAsiaTheme="minorEastAsia"/>
                      <w:color w:val="auto"/>
                      <w:spacing w:val="1"/>
                      <w:sz w:val="21"/>
                      <w:szCs w:val="21"/>
                      <w:vertAlign w:val="superscript"/>
                      <w:lang w:val="en-US" w:eastAsia="zh-CN"/>
                    </w:rPr>
                    <w:t>2</w:t>
                  </w:r>
                  <w:r>
                    <w:rPr>
                      <w:rFonts w:hint="default" w:ascii="Times New Roman" w:hAnsi="Times New Roman" w:cs="Times New Roman" w:eastAsiaTheme="minorEastAsia"/>
                      <w:color w:val="auto"/>
                      <w:spacing w:val="1"/>
                      <w:sz w:val="21"/>
                      <w:szCs w:val="21"/>
                      <w:lang w:val="en-US" w:eastAsia="zh-CN"/>
                    </w:rPr>
                    <w:t>，主要用于生物有机肥发酵后腐熟过程</w:t>
                  </w:r>
                </w:p>
              </w:tc>
              <w:tc>
                <w:tcPr>
                  <w:tcW w:w="632" w:type="pct"/>
                  <w:vAlign w:val="center"/>
                </w:tcPr>
                <w:p w14:paraId="4392187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面积变动</w:t>
                  </w:r>
                </w:p>
              </w:tc>
            </w:tr>
            <w:tr w14:paraId="4F91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3F1E53E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p>
              </w:tc>
              <w:tc>
                <w:tcPr>
                  <w:tcW w:w="589" w:type="pct"/>
                  <w:vAlign w:val="center"/>
                </w:tcPr>
                <w:p w14:paraId="515C141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生产及包装车间</w:t>
                  </w:r>
                </w:p>
              </w:tc>
              <w:tc>
                <w:tcPr>
                  <w:tcW w:w="1456" w:type="pct"/>
                  <w:vAlign w:val="center"/>
                </w:tcPr>
                <w:p w14:paraId="0E75850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全封闭钢结构，90*24m,高9m,建筑面积2160m²内设陈化区，有机肥深加工及包装区、成品区</w:t>
                  </w:r>
                </w:p>
              </w:tc>
              <w:tc>
                <w:tcPr>
                  <w:tcW w:w="1853" w:type="pct"/>
                  <w:vAlign w:val="center"/>
                </w:tcPr>
                <w:p w14:paraId="2448B39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全封闭车间，轻钢结构，占地面积2000m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，内设上料机、破碎机、 筛分机、包装机、生物质热风炉、喷淋塔等设备，主要用于颗粒生物有机肥加工和包装。</w:t>
                  </w:r>
                </w:p>
              </w:tc>
              <w:tc>
                <w:tcPr>
                  <w:tcW w:w="632" w:type="pct"/>
                  <w:vAlign w:val="center"/>
                </w:tcPr>
                <w:p w14:paraId="62D83E66">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面积变化，没有陈华区，生产工艺增加造粒、烘干工序</w:t>
                  </w:r>
                </w:p>
              </w:tc>
            </w:tr>
            <w:tr w14:paraId="4B82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78D1651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p>
              </w:tc>
              <w:tc>
                <w:tcPr>
                  <w:tcW w:w="589" w:type="pct"/>
                  <w:vAlign w:val="center"/>
                </w:tcPr>
                <w:p w14:paraId="00A7226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成品库</w:t>
                  </w:r>
                </w:p>
              </w:tc>
              <w:tc>
                <w:tcPr>
                  <w:tcW w:w="1456" w:type="pct"/>
                  <w:vAlign w:val="center"/>
                </w:tcPr>
                <w:p w14:paraId="089273A8">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全封闭钢结构，80*24m,高9m,建筑面积1920m²</w:t>
                  </w:r>
                </w:p>
              </w:tc>
              <w:tc>
                <w:tcPr>
                  <w:tcW w:w="1853" w:type="pct"/>
                  <w:vAlign w:val="center"/>
                </w:tcPr>
                <w:p w14:paraId="30228A8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轻钢结构，占地面积2025m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，用于堆放成品生物有机肥。</w:t>
                  </w:r>
                </w:p>
              </w:tc>
              <w:tc>
                <w:tcPr>
                  <w:tcW w:w="632" w:type="pct"/>
                  <w:vAlign w:val="center"/>
                </w:tcPr>
                <w:p w14:paraId="2C58711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面积增加</w:t>
                  </w:r>
                </w:p>
              </w:tc>
            </w:tr>
            <w:tr w14:paraId="238F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468" w:type="pct"/>
                  <w:vMerge w:val="continue"/>
                  <w:vAlign w:val="center"/>
                </w:tcPr>
                <w:p w14:paraId="4A53C0E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p>
              </w:tc>
              <w:tc>
                <w:tcPr>
                  <w:tcW w:w="589" w:type="pct"/>
                  <w:vAlign w:val="center"/>
                </w:tcPr>
                <w:p w14:paraId="0BC21B5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沼气生产线</w:t>
                  </w:r>
                </w:p>
              </w:tc>
              <w:tc>
                <w:tcPr>
                  <w:tcW w:w="1456" w:type="pct"/>
                  <w:vAlign w:val="center"/>
                </w:tcPr>
                <w:p w14:paraId="3ACFD3F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原环评无改生产线</w:t>
                  </w:r>
                </w:p>
              </w:tc>
              <w:tc>
                <w:tcPr>
                  <w:tcW w:w="1853" w:type="pct"/>
                  <w:vAlign w:val="center"/>
                </w:tcPr>
                <w:p w14:paraId="4DE98B3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新建沼气生产线一条，年产沼气73万m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，并建设沼气发电和沼气锅炉等设施。</w:t>
                  </w:r>
                </w:p>
              </w:tc>
              <w:tc>
                <w:tcPr>
                  <w:tcW w:w="632" w:type="pct"/>
                  <w:vAlign w:val="center"/>
                </w:tcPr>
                <w:p w14:paraId="0799236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新增生产线及产品</w:t>
                  </w:r>
                </w:p>
              </w:tc>
            </w:tr>
          </w:tbl>
          <w:p w14:paraId="5FE4CB9D">
            <w:pPr>
              <w:spacing w:line="360" w:lineRule="auto"/>
              <w:ind w:firstLine="480"/>
              <w:rPr>
                <w:rStyle w:val="107"/>
                <w:rFonts w:hint="default" w:ascii="Times New Roman" w:hAnsi="Times New Roman" w:cs="Times New Roman"/>
                <w:color w:val="auto"/>
                <w:lang w:val="en-US" w:eastAsia="zh-CN"/>
              </w:rPr>
            </w:pPr>
            <w:r>
              <w:rPr>
                <w:rFonts w:hint="default" w:ascii="Times New Roman" w:hAnsi="Times New Roman" w:eastAsia="宋体" w:cs="Times New Roman"/>
                <w:color w:val="auto"/>
                <w:sz w:val="24"/>
                <w:lang w:val="en-US" w:eastAsia="zh-CN"/>
              </w:rPr>
              <w:t>依据《中华人民共和国环境影响评价法》和《建设项目环境保护管理条例》有关规定，若建设项目性质、规模、工艺、地点等发生重大变化，必须重新办理环保手续。按照《污染影响类建设项目重大变动清单（试行）》环办环评函[2020]688号文件进行重大变动分析，经分析项目变动属于重大变动清单新增产品品种及生产工艺，总平面布置变动，需要按照《建设项目环境保护管理条例》（2017年7月16日）第十二条重新报批环境影响报告。</w:t>
            </w:r>
          </w:p>
          <w:p w14:paraId="0ACF5E66">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cs="Times New Roman"/>
                <w:b/>
                <w:color w:val="auto"/>
                <w:sz w:val="24"/>
                <w:lang w:val="en-US" w:eastAsia="zh-CN"/>
              </w:rPr>
              <w:t>2</w:t>
            </w:r>
            <w:r>
              <w:rPr>
                <w:rFonts w:hint="default" w:ascii="Times New Roman" w:hAnsi="Times New Roman" w:eastAsia="宋体" w:cs="Times New Roman"/>
                <w:b/>
                <w:color w:val="auto"/>
                <w:sz w:val="24"/>
                <w:lang w:val="en-US" w:eastAsia="zh-CN"/>
              </w:rPr>
              <w:t>.</w:t>
            </w:r>
            <w:r>
              <w:rPr>
                <w:rFonts w:hint="default" w:ascii="Times New Roman" w:hAnsi="Times New Roman" w:eastAsia="宋体" w:cs="Times New Roman"/>
                <w:b/>
                <w:color w:val="auto"/>
                <w:sz w:val="24"/>
              </w:rPr>
              <w:t>项目基本情况</w:t>
            </w:r>
          </w:p>
          <w:p w14:paraId="17F638D2">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项目名称：宁县源之生社会化服务组织畜禽粪污资源化处置中心建设项目</w:t>
            </w:r>
          </w:p>
          <w:p w14:paraId="751A19C9">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建设性质：新建；</w:t>
            </w:r>
          </w:p>
          <w:p w14:paraId="0B9AF7CE">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建设单位：宁县源之生农业科技有限公司</w:t>
            </w:r>
          </w:p>
          <w:p w14:paraId="1A5A0E37">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建设地点：甘肃省庆阳市宁县焦村镇洪洞张村，东经：107度45分43.3404秒，北纬：35度30分27.4248秒。</w:t>
            </w:r>
          </w:p>
          <w:p w14:paraId="05BFC94C">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项目投资：项目总投资2815万元。</w:t>
            </w:r>
          </w:p>
          <w:p w14:paraId="36731DED">
            <w:pPr>
              <w:spacing w:line="360" w:lineRule="auto"/>
              <w:ind w:firstLine="480"/>
              <w:rPr>
                <w:rFonts w:hint="default" w:ascii="Times New Roman" w:hAnsi="Times New Roman" w:eastAsia="宋体" w:cs="Times New Roman"/>
                <w:b/>
                <w:bCs/>
                <w:i w:val="0"/>
                <w:iCs w:val="0"/>
                <w:color w:val="auto"/>
                <w:sz w:val="24"/>
                <w:lang w:val="en-US" w:eastAsia="zh-CN"/>
              </w:rPr>
            </w:pPr>
            <w:r>
              <w:rPr>
                <w:rFonts w:hint="default" w:ascii="Times New Roman" w:hAnsi="Times New Roman" w:cs="Times New Roman"/>
                <w:b/>
                <w:bCs/>
                <w:i w:val="0"/>
                <w:iCs w:val="0"/>
                <w:color w:val="auto"/>
                <w:sz w:val="24"/>
                <w:lang w:val="en-US" w:eastAsia="zh-CN"/>
              </w:rPr>
              <w:t>3.建设内容</w:t>
            </w:r>
          </w:p>
          <w:p w14:paraId="2E390F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eastAsiaTheme="minorEastAsia"/>
                <w:color w:val="auto"/>
                <w:sz w:val="24"/>
                <w:lang w:val="en-US" w:eastAsia="zh-CN"/>
              </w:rPr>
              <w:t>项目主要收集周边的畜禽粪污项目建设两条生产线，一条为年产沼气73万m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vertAlign w:val="baseline"/>
                <w:lang w:val="en-US" w:eastAsia="zh-CN"/>
              </w:rPr>
              <w:t>生产线（以设计最大量计），一条为年产10万吨有机肥颗粒生产线。</w:t>
            </w:r>
            <w:r>
              <w:rPr>
                <w:rFonts w:hint="default" w:ascii="Times New Roman" w:hAnsi="Times New Roman" w:cs="Times New Roman" w:eastAsiaTheme="minorEastAsia"/>
                <w:color w:val="auto"/>
                <w:sz w:val="24"/>
                <w:lang w:val="en-US" w:eastAsia="zh-CN"/>
              </w:rPr>
              <w:t>项目建设内容主要为原料棚、发酵棚、肥料棚、沼气发酵罐及配套用房等土建工程建设。新建原料棚面积共3245.98m</w:t>
            </w:r>
            <w:r>
              <w:rPr>
                <w:rFonts w:hint="default" w:ascii="Times New Roman" w:hAnsi="Times New Roman" w:cs="Times New Roman" w:eastAsiaTheme="minorEastAsia"/>
                <w:color w:val="auto"/>
                <w:sz w:val="24"/>
                <w:vertAlign w:val="superscript"/>
                <w:lang w:val="en-US" w:eastAsia="zh-CN"/>
              </w:rPr>
              <w:t>2</w:t>
            </w:r>
            <w:r>
              <w:rPr>
                <w:rFonts w:hint="default" w:ascii="Times New Roman" w:hAnsi="Times New Roman" w:cs="Times New Roman" w:eastAsiaTheme="minorEastAsia"/>
                <w:color w:val="auto"/>
                <w:sz w:val="24"/>
                <w:vertAlign w:val="baseline"/>
                <w:lang w:val="en-US" w:eastAsia="zh-CN"/>
              </w:rPr>
              <w:t>，</w:t>
            </w:r>
            <w:r>
              <w:rPr>
                <w:rFonts w:hint="default" w:ascii="Times New Roman" w:hAnsi="Times New Roman" w:cs="Times New Roman" w:eastAsiaTheme="minorEastAsia"/>
                <w:color w:val="auto"/>
                <w:sz w:val="24"/>
                <w:lang w:val="en-US" w:eastAsia="zh-CN"/>
              </w:rPr>
              <w:t>发酵棚面积2600m²，生产棚面积2000m</w:t>
            </w:r>
            <w:r>
              <w:rPr>
                <w:rFonts w:hint="default" w:ascii="Times New Roman" w:hAnsi="Times New Roman" w:cs="Times New Roman" w:eastAsiaTheme="minorEastAsia"/>
                <w:color w:val="auto"/>
                <w:sz w:val="24"/>
                <w:vertAlign w:val="superscript"/>
                <w:lang w:val="en-US" w:eastAsia="zh-CN"/>
              </w:rPr>
              <w:t>2</w:t>
            </w:r>
            <w:r>
              <w:rPr>
                <w:rFonts w:hint="default" w:ascii="Times New Roman" w:hAnsi="Times New Roman" w:cs="Times New Roman" w:eastAsiaTheme="minorEastAsia"/>
                <w:color w:val="auto"/>
                <w:sz w:val="24"/>
                <w:lang w:val="en-US" w:eastAsia="zh-CN"/>
              </w:rPr>
              <w:t>；成品棚面积2025m²；新建检测室1座，建筑面积287.36m²；新建格栅渠3.6m³；集污池350m³；调节池250m³；保温房70m；CSTR厌氧发酵贮气一体罐基础2座，共2000m³；新建控制室20m²,发电间30m²,净化间20m²,锅炉房30m²。</w:t>
            </w:r>
          </w:p>
          <w:p w14:paraId="40A207FA">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主要建设内容见表2-2。</w:t>
            </w:r>
          </w:p>
          <w:p w14:paraId="3DD7CB9F">
            <w:pPr>
              <w:pStyle w:val="16"/>
              <w:jc w:val="center"/>
              <w:rPr>
                <w:rStyle w:val="107"/>
                <w:rFonts w:hint="default" w:ascii="Times New Roman" w:hAnsi="Times New Roman" w:cs="Times New Roman"/>
                <w:color w:val="auto"/>
                <w:lang w:val="en-US" w:eastAsia="zh-CN"/>
              </w:rPr>
            </w:pPr>
            <w:r>
              <w:rPr>
                <w:rStyle w:val="107"/>
                <w:rFonts w:hint="default" w:ascii="Times New Roman" w:hAnsi="Times New Roman" w:cs="Times New Roman"/>
                <w:color w:val="auto"/>
                <w:lang w:val="en-US" w:eastAsia="zh-CN"/>
              </w:rPr>
              <w:t>表2-2  项目主要建设内容一览表</w:t>
            </w:r>
          </w:p>
          <w:tbl>
            <w:tblPr>
              <w:tblStyle w:val="166"/>
              <w:tblW w:w="83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32"/>
              <w:gridCol w:w="538"/>
              <w:gridCol w:w="777"/>
              <w:gridCol w:w="5907"/>
              <w:gridCol w:w="620"/>
            </w:tblGrid>
            <w:tr w14:paraId="08929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Align w:val="center"/>
                </w:tcPr>
                <w:p w14:paraId="0F9A39C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类别</w:t>
                  </w:r>
                </w:p>
              </w:tc>
              <w:tc>
                <w:tcPr>
                  <w:tcW w:w="1315" w:type="dxa"/>
                  <w:gridSpan w:val="2"/>
                  <w:vAlign w:val="center"/>
                </w:tcPr>
                <w:p w14:paraId="471D104F">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名称</w:t>
                  </w:r>
                </w:p>
              </w:tc>
              <w:tc>
                <w:tcPr>
                  <w:tcW w:w="5907" w:type="dxa"/>
                  <w:vAlign w:val="center"/>
                </w:tcPr>
                <w:p w14:paraId="5577C32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工程内容</w:t>
                  </w:r>
                </w:p>
              </w:tc>
              <w:tc>
                <w:tcPr>
                  <w:tcW w:w="620" w:type="dxa"/>
                  <w:vAlign w:val="center"/>
                </w:tcPr>
                <w:p w14:paraId="75F5E3E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备注</w:t>
                  </w:r>
                </w:p>
              </w:tc>
            </w:tr>
            <w:tr w14:paraId="5B09B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restart"/>
                  <w:tcBorders>
                    <w:bottom w:val="nil"/>
                  </w:tcBorders>
                  <w:vAlign w:val="center"/>
                </w:tcPr>
                <w:p w14:paraId="6D770616">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5"/>
                      <w:sz w:val="21"/>
                      <w:szCs w:val="21"/>
                    </w:rPr>
                  </w:pPr>
                  <w:r>
                    <w:rPr>
                      <w:rFonts w:hint="default" w:ascii="Times New Roman" w:hAnsi="Times New Roman" w:cs="Times New Roman" w:eastAsiaTheme="minorEastAsia"/>
                      <w:color w:val="auto"/>
                      <w:spacing w:val="-5"/>
                      <w:sz w:val="21"/>
                      <w:szCs w:val="21"/>
                    </w:rPr>
                    <w:t>主体</w:t>
                  </w:r>
                </w:p>
                <w:p w14:paraId="71BEA29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工程</w:t>
                  </w:r>
                </w:p>
              </w:tc>
              <w:tc>
                <w:tcPr>
                  <w:tcW w:w="538" w:type="dxa"/>
                  <w:vMerge w:val="restart"/>
                  <w:vAlign w:val="center"/>
                </w:tcPr>
                <w:p w14:paraId="4B8B750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沼气生产线</w:t>
                  </w:r>
                </w:p>
              </w:tc>
              <w:tc>
                <w:tcPr>
                  <w:tcW w:w="777" w:type="dxa"/>
                  <w:vAlign w:val="center"/>
                </w:tcPr>
                <w:p w14:paraId="0077216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收运系统</w:t>
                  </w:r>
                </w:p>
              </w:tc>
              <w:tc>
                <w:tcPr>
                  <w:tcW w:w="5907" w:type="dxa"/>
                  <w:vAlign w:val="center"/>
                </w:tcPr>
                <w:p w14:paraId="1BD3876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配置</w:t>
                  </w:r>
                  <w:r>
                    <w:rPr>
                      <w:rFonts w:hint="default" w:ascii="Times New Roman" w:hAnsi="Times New Roman" w:cs="Times New Roman" w:eastAsiaTheme="minorEastAsia"/>
                      <w:color w:val="auto"/>
                      <w:sz w:val="21"/>
                      <w:szCs w:val="21"/>
                      <w:lang w:val="en-US" w:eastAsia="zh-CN"/>
                    </w:rPr>
                    <w:t>8m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rPr>
                    <w:t>原料运输货车</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辆，</w:t>
                  </w:r>
                  <w:r>
                    <w:rPr>
                      <w:rFonts w:hint="default" w:ascii="Times New Roman" w:hAnsi="Times New Roman" w:cs="Times New Roman" w:eastAsiaTheme="minorEastAsia"/>
                      <w:color w:val="auto"/>
                      <w:sz w:val="21"/>
                      <w:szCs w:val="21"/>
                      <w:lang w:val="en-US" w:eastAsia="zh-CN"/>
                    </w:rPr>
                    <w:t>8m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rPr>
                    <w:t>沼液罐</w:t>
                  </w:r>
                  <w:r>
                    <w:rPr>
                      <w:rFonts w:hint="default" w:ascii="Times New Roman" w:hAnsi="Times New Roman" w:cs="Times New Roman" w:eastAsiaTheme="minorEastAsia"/>
                      <w:color w:val="auto"/>
                      <w:spacing w:val="-1"/>
                      <w:sz w:val="21"/>
                      <w:szCs w:val="21"/>
                    </w:rPr>
                    <w:t>车</w:t>
                  </w:r>
                  <w:r>
                    <w:rPr>
                      <w:rFonts w:hint="default" w:ascii="Times New Roman" w:hAnsi="Times New Roman" w:cs="Times New Roman" w:eastAsiaTheme="minorEastAsia"/>
                      <w:color w:val="auto"/>
                      <w:spacing w:val="-1"/>
                      <w:sz w:val="21"/>
                      <w:szCs w:val="21"/>
                      <w:lang w:val="en-US" w:eastAsia="zh-CN"/>
                    </w:rPr>
                    <w:t>2</w:t>
                  </w:r>
                  <w:r>
                    <w:rPr>
                      <w:rFonts w:hint="default" w:ascii="Times New Roman" w:hAnsi="Times New Roman" w:cs="Times New Roman" w:eastAsiaTheme="minorEastAsia"/>
                      <w:color w:val="auto"/>
                      <w:spacing w:val="-1"/>
                      <w:sz w:val="21"/>
                      <w:szCs w:val="21"/>
                    </w:rPr>
                    <w:t>辆，</w:t>
                  </w:r>
                  <w:r>
                    <w:rPr>
                      <w:rFonts w:hint="default" w:ascii="Times New Roman" w:hAnsi="Times New Roman" w:cs="Times New Roman" w:eastAsiaTheme="minorEastAsia"/>
                      <w:color w:val="auto"/>
                      <w:spacing w:val="-1"/>
                      <w:sz w:val="21"/>
                      <w:szCs w:val="21"/>
                      <w:lang w:val="en-US" w:eastAsia="zh-CN"/>
                    </w:rPr>
                    <w:t>1.5m</w:t>
                  </w:r>
                  <w:r>
                    <w:rPr>
                      <w:rFonts w:hint="default" w:ascii="Times New Roman" w:hAnsi="Times New Roman" w:cs="Times New Roman" w:eastAsiaTheme="minorEastAsia"/>
                      <w:color w:val="auto"/>
                      <w:spacing w:val="-1"/>
                      <w:sz w:val="21"/>
                      <w:szCs w:val="21"/>
                      <w:vertAlign w:val="superscript"/>
                      <w:lang w:val="en-US" w:eastAsia="zh-CN"/>
                    </w:rPr>
                    <w:t>3</w:t>
                  </w:r>
                  <w:r>
                    <w:rPr>
                      <w:rFonts w:hint="default" w:ascii="Times New Roman" w:hAnsi="Times New Roman" w:cs="Times New Roman" w:eastAsiaTheme="minorEastAsia"/>
                      <w:color w:val="auto"/>
                      <w:spacing w:val="-1"/>
                      <w:sz w:val="21"/>
                      <w:szCs w:val="21"/>
                      <w:vertAlign w:val="baseline"/>
                      <w:lang w:val="en-US" w:eastAsia="zh-CN"/>
                    </w:rPr>
                    <w:t>吸污车2辆，</w:t>
                  </w:r>
                  <w:r>
                    <w:rPr>
                      <w:rFonts w:hint="default" w:ascii="Times New Roman" w:hAnsi="Times New Roman" w:cs="Times New Roman" w:eastAsiaTheme="minorEastAsia"/>
                      <w:color w:val="auto"/>
                      <w:spacing w:val="-1"/>
                      <w:sz w:val="21"/>
                      <w:szCs w:val="21"/>
                    </w:rPr>
                    <w:t>30t装载机1辆，用于原料、产品运输等。</w:t>
                  </w:r>
                </w:p>
              </w:tc>
              <w:tc>
                <w:tcPr>
                  <w:tcW w:w="620" w:type="dxa"/>
                  <w:vAlign w:val="center"/>
                </w:tcPr>
                <w:p w14:paraId="01D794A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739CC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6C34C91A">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continue"/>
                  <w:vAlign w:val="center"/>
                </w:tcPr>
                <w:p w14:paraId="5F0286A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lang w:val="en-US" w:eastAsia="zh-CN"/>
                    </w:rPr>
                  </w:pPr>
                </w:p>
              </w:tc>
              <w:tc>
                <w:tcPr>
                  <w:tcW w:w="777" w:type="dxa"/>
                  <w:vAlign w:val="center"/>
                </w:tcPr>
                <w:p w14:paraId="69952DB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原料预处理系</w:t>
                  </w:r>
                  <w:r>
                    <w:rPr>
                      <w:rFonts w:hint="default" w:ascii="Times New Roman" w:hAnsi="Times New Roman" w:cs="Times New Roman" w:eastAsiaTheme="minorEastAsia"/>
                      <w:color w:val="auto"/>
                      <w:sz w:val="21"/>
                      <w:szCs w:val="21"/>
                    </w:rPr>
                    <w:t>统</w:t>
                  </w:r>
                </w:p>
              </w:tc>
              <w:tc>
                <w:tcPr>
                  <w:tcW w:w="5907" w:type="dxa"/>
                  <w:vAlign w:val="center"/>
                </w:tcPr>
                <w:p w14:paraId="63617A8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4"/>
                      <w:sz w:val="21"/>
                      <w:szCs w:val="21"/>
                    </w:rPr>
                  </w:pPr>
                  <w:r>
                    <w:rPr>
                      <w:rFonts w:hint="default" w:ascii="Times New Roman" w:hAnsi="Times New Roman" w:cs="Times New Roman" w:eastAsiaTheme="minorEastAsia"/>
                      <w:color w:val="auto"/>
                      <w:spacing w:val="-4"/>
                      <w:sz w:val="21"/>
                      <w:szCs w:val="21"/>
                    </w:rPr>
                    <w:t>进料池：采用钢混地下结构，有效深度5.5m，单体容积155m³。</w:t>
                  </w:r>
                </w:p>
                <w:p w14:paraId="5F66F6F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rPr>
                    <w:t>预处理池：采用钢混地下结构，有效深度5.5m，单体容积155m³。</w:t>
                  </w:r>
                </w:p>
              </w:tc>
              <w:tc>
                <w:tcPr>
                  <w:tcW w:w="620" w:type="dxa"/>
                  <w:vAlign w:val="center"/>
                </w:tcPr>
                <w:p w14:paraId="33D6078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7064E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4E80177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continue"/>
                  <w:vAlign w:val="center"/>
                </w:tcPr>
                <w:p w14:paraId="2F8C688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777" w:type="dxa"/>
                  <w:vAlign w:val="center"/>
                </w:tcPr>
                <w:p w14:paraId="627956C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厌氧发酵系统</w:t>
                  </w:r>
                </w:p>
              </w:tc>
              <w:tc>
                <w:tcPr>
                  <w:tcW w:w="5907" w:type="dxa"/>
                  <w:vAlign w:val="center"/>
                </w:tcPr>
                <w:p w14:paraId="10C07ED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lang w:val="en-US" w:eastAsia="zh-CN"/>
                    </w:rPr>
                    <w:t>配置</w:t>
                  </w:r>
                  <w:r>
                    <w:rPr>
                      <w:rFonts w:hint="default" w:ascii="Times New Roman" w:hAnsi="Times New Roman" w:cs="Times New Roman" w:eastAsiaTheme="minorEastAsia"/>
                      <w:color w:val="auto"/>
                      <w:spacing w:val="1"/>
                      <w:sz w:val="21"/>
                      <w:szCs w:val="21"/>
                    </w:rPr>
                    <w:t>2座CSTR厌氧发酵</w:t>
                  </w:r>
                  <w:r>
                    <w:rPr>
                      <w:rFonts w:hint="default" w:ascii="Times New Roman" w:hAnsi="Times New Roman" w:cs="Times New Roman" w:eastAsiaTheme="minorEastAsia"/>
                      <w:color w:val="auto"/>
                      <w:spacing w:val="1"/>
                      <w:sz w:val="21"/>
                      <w:szCs w:val="21"/>
                      <w:lang w:val="en-US" w:eastAsia="zh-CN"/>
                    </w:rPr>
                    <w:t>贮气一体</w:t>
                  </w:r>
                  <w:r>
                    <w:rPr>
                      <w:rFonts w:hint="default" w:ascii="Times New Roman" w:hAnsi="Times New Roman" w:cs="Times New Roman" w:eastAsiaTheme="minorEastAsia"/>
                      <w:color w:val="auto"/>
                      <w:spacing w:val="1"/>
                      <w:sz w:val="21"/>
                      <w:szCs w:val="21"/>
                    </w:rPr>
                    <w:t>罐总有效容积：2000m³</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单个尺寸：Φ13×7.8m，有效容积1000m³</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TS浓度：6-8%</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停留时间：20-25d</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容积产气率：1m³/m³·d</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设计温度：35±1.0℃</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每座厌氧反应器配备4台侧搅拌器和2套水力搅拌系统。</w:t>
                  </w:r>
                </w:p>
              </w:tc>
              <w:tc>
                <w:tcPr>
                  <w:tcW w:w="620" w:type="dxa"/>
                  <w:vAlign w:val="center"/>
                </w:tcPr>
                <w:p w14:paraId="7DEFA1B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57145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719C7ED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continue"/>
                  <w:vAlign w:val="center"/>
                </w:tcPr>
                <w:p w14:paraId="4AC7D4B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777" w:type="dxa"/>
                  <w:vAlign w:val="center"/>
                </w:tcPr>
                <w:p w14:paraId="7FDA53F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出料系统</w:t>
                  </w:r>
                </w:p>
              </w:tc>
              <w:tc>
                <w:tcPr>
                  <w:tcW w:w="5907" w:type="dxa"/>
                  <w:vAlign w:val="center"/>
                </w:tcPr>
                <w:p w14:paraId="4253EF3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18"/>
                      <w:sz w:val="21"/>
                      <w:szCs w:val="21"/>
                      <w:lang w:val="en-US" w:eastAsia="zh-CN"/>
                    </w:rPr>
                  </w:pPr>
                  <w:r>
                    <w:rPr>
                      <w:rFonts w:hint="default" w:ascii="Times New Roman" w:hAnsi="Times New Roman" w:cs="Times New Roman" w:eastAsiaTheme="minorEastAsia"/>
                      <w:color w:val="auto"/>
                      <w:spacing w:val="1"/>
                      <w:sz w:val="21"/>
                      <w:szCs w:val="21"/>
                      <w:lang w:val="en-US" w:eastAsia="zh-CN"/>
                    </w:rPr>
                    <w:t>发酵罐出料采用顶部溢流出料方式溢流至沼液池：采用钢混地下结构，有效深度5.0m，单体容积3500m³。</w:t>
                  </w:r>
                </w:p>
              </w:tc>
              <w:tc>
                <w:tcPr>
                  <w:tcW w:w="620" w:type="dxa"/>
                  <w:vAlign w:val="center"/>
                </w:tcPr>
                <w:p w14:paraId="62D18C1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新建</w:t>
                  </w:r>
                </w:p>
              </w:tc>
            </w:tr>
            <w:tr w14:paraId="66F63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0CA64A0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continue"/>
                  <w:vAlign w:val="center"/>
                </w:tcPr>
                <w:p w14:paraId="1DA9F6C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777" w:type="dxa"/>
                  <w:vAlign w:val="center"/>
                </w:tcPr>
                <w:p w14:paraId="37D2826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沼气净化系统</w:t>
                  </w:r>
                </w:p>
              </w:tc>
              <w:tc>
                <w:tcPr>
                  <w:tcW w:w="5907" w:type="dxa"/>
                  <w:vAlign w:val="center"/>
                </w:tcPr>
                <w:p w14:paraId="4948F69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1"/>
                      <w:sz w:val="21"/>
                      <w:szCs w:val="21"/>
                      <w:lang w:val="en-US" w:eastAsia="zh-CN"/>
                    </w:rPr>
                  </w:pPr>
                  <w:r>
                    <w:rPr>
                      <w:rFonts w:hint="default" w:ascii="Times New Roman" w:hAnsi="Times New Roman" w:cs="Times New Roman" w:eastAsiaTheme="minorEastAsia"/>
                      <w:color w:val="auto"/>
                      <w:spacing w:val="1"/>
                      <w:sz w:val="21"/>
                      <w:szCs w:val="21"/>
                      <w:lang w:val="en-US" w:eastAsia="zh-CN"/>
                    </w:rPr>
                    <w:t>设置干法脱硫塔脱硫（脱硫剂：氧化铁）塔2座，一用一备；设置一座脱水罐，脱水技术为脱水采用重力气水分离器脱水。</w:t>
                  </w:r>
                </w:p>
              </w:tc>
              <w:tc>
                <w:tcPr>
                  <w:tcW w:w="620" w:type="dxa"/>
                  <w:vAlign w:val="center"/>
                </w:tcPr>
                <w:p w14:paraId="15B8B58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新建</w:t>
                  </w:r>
                </w:p>
              </w:tc>
            </w:tr>
            <w:tr w14:paraId="74990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24D8A1B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continue"/>
                  <w:vAlign w:val="center"/>
                </w:tcPr>
                <w:p w14:paraId="275EFA5F">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777" w:type="dxa"/>
                  <w:vAlign w:val="center"/>
                </w:tcPr>
                <w:p w14:paraId="118BB8E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沼气发电机组</w:t>
                  </w:r>
                </w:p>
              </w:tc>
              <w:tc>
                <w:tcPr>
                  <w:tcW w:w="5907" w:type="dxa"/>
                  <w:vAlign w:val="center"/>
                </w:tcPr>
                <w:p w14:paraId="3501B9C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lang w:val="en-US" w:eastAsia="zh-CN"/>
                    </w:rPr>
                    <w:t>配置</w:t>
                  </w:r>
                  <w:r>
                    <w:rPr>
                      <w:rFonts w:hint="default" w:ascii="Times New Roman" w:hAnsi="Times New Roman" w:cs="Times New Roman" w:eastAsiaTheme="minorEastAsia"/>
                      <w:color w:val="auto"/>
                      <w:spacing w:val="1"/>
                      <w:sz w:val="21"/>
                      <w:szCs w:val="21"/>
                    </w:rPr>
                    <w:t>1台80kW沼气热电联产沼气发电机组，发电机输出电压400V，额定转速1500r/min，工作频率50Hz，功率因数0.8，三相四线制，调压方式采用自动调压，交流电380V启动。</w:t>
                  </w:r>
                </w:p>
              </w:tc>
              <w:tc>
                <w:tcPr>
                  <w:tcW w:w="620" w:type="dxa"/>
                  <w:vAlign w:val="center"/>
                </w:tcPr>
                <w:p w14:paraId="3D1E4BC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25F69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229D3C8C">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continue"/>
                  <w:vAlign w:val="center"/>
                </w:tcPr>
                <w:p w14:paraId="240E350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777" w:type="dxa"/>
                  <w:vAlign w:val="center"/>
                </w:tcPr>
                <w:p w14:paraId="3036374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综合用房</w:t>
                  </w:r>
                </w:p>
              </w:tc>
              <w:tc>
                <w:tcPr>
                  <w:tcW w:w="5907" w:type="dxa"/>
                  <w:vAlign w:val="center"/>
                </w:tcPr>
                <w:p w14:paraId="495E8016">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1"/>
                      <w:sz w:val="21"/>
                      <w:szCs w:val="21"/>
                      <w:vertAlign w:val="baseline"/>
                      <w:lang w:val="en-US" w:eastAsia="zh-CN"/>
                    </w:rPr>
                  </w:pPr>
                  <w:r>
                    <w:rPr>
                      <w:rFonts w:hint="default" w:ascii="Times New Roman" w:hAnsi="Times New Roman" w:cs="Times New Roman" w:eastAsiaTheme="minorEastAsia"/>
                      <w:color w:val="auto"/>
                      <w:spacing w:val="1"/>
                      <w:sz w:val="21"/>
                      <w:szCs w:val="21"/>
                      <w:lang w:val="en-US" w:eastAsia="zh-CN"/>
                    </w:rPr>
                    <w:t>新建一层砖混结构管理用房，建筑面积120.5m</w:t>
                  </w:r>
                  <w:r>
                    <w:rPr>
                      <w:rFonts w:hint="default" w:ascii="Times New Roman" w:hAnsi="Times New Roman" w:cs="Times New Roman" w:eastAsiaTheme="minorEastAsia"/>
                      <w:color w:val="auto"/>
                      <w:spacing w:val="1"/>
                      <w:sz w:val="21"/>
                      <w:szCs w:val="21"/>
                      <w:vertAlign w:val="superscript"/>
                      <w:lang w:val="en-US" w:eastAsia="zh-CN"/>
                    </w:rPr>
                    <w:t>2</w:t>
                  </w:r>
                  <w:r>
                    <w:rPr>
                      <w:rFonts w:hint="default" w:ascii="Times New Roman" w:hAnsi="Times New Roman" w:cs="Times New Roman" w:eastAsiaTheme="minorEastAsia"/>
                      <w:color w:val="auto"/>
                      <w:spacing w:val="1"/>
                      <w:sz w:val="21"/>
                      <w:szCs w:val="21"/>
                      <w:vertAlign w:val="baseline"/>
                      <w:lang w:val="en-US" w:eastAsia="zh-CN"/>
                    </w:rPr>
                    <w:t>，主要布置控制室，仪器室。</w:t>
                  </w:r>
                </w:p>
              </w:tc>
              <w:tc>
                <w:tcPr>
                  <w:tcW w:w="620" w:type="dxa"/>
                  <w:vAlign w:val="center"/>
                </w:tcPr>
                <w:p w14:paraId="0CFAF41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rPr>
                  </w:pPr>
                </w:p>
              </w:tc>
            </w:tr>
            <w:tr w14:paraId="1A0BE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2B91400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restart"/>
                  <w:vAlign w:val="center"/>
                </w:tcPr>
                <w:p w14:paraId="6A85E30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有机肥生产线</w:t>
                  </w:r>
                </w:p>
              </w:tc>
              <w:tc>
                <w:tcPr>
                  <w:tcW w:w="777" w:type="dxa"/>
                  <w:vAlign w:val="center"/>
                </w:tcPr>
                <w:p w14:paraId="5DFE321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原料棚</w:t>
                  </w:r>
                </w:p>
              </w:tc>
              <w:tc>
                <w:tcPr>
                  <w:tcW w:w="5907" w:type="dxa"/>
                  <w:vAlign w:val="center"/>
                </w:tcPr>
                <w:p w14:paraId="46DB496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1"/>
                      <w:sz w:val="21"/>
                      <w:szCs w:val="21"/>
                      <w:vertAlign w:val="baseline"/>
                      <w:lang w:val="en-US" w:eastAsia="zh-CN"/>
                    </w:rPr>
                  </w:pPr>
                  <w:r>
                    <w:rPr>
                      <w:rFonts w:hint="default" w:ascii="Times New Roman" w:hAnsi="Times New Roman" w:cs="Times New Roman" w:eastAsiaTheme="minorEastAsia"/>
                      <w:color w:val="auto"/>
                      <w:spacing w:val="1"/>
                      <w:sz w:val="21"/>
                      <w:szCs w:val="21"/>
                      <w:lang w:val="en-US" w:eastAsia="zh-CN"/>
                    </w:rPr>
                    <w:t>全封闭车间，轻钢结构，占地面积3245.98m</w:t>
                  </w:r>
                  <w:r>
                    <w:rPr>
                      <w:rFonts w:hint="default" w:ascii="Times New Roman" w:hAnsi="Times New Roman" w:cs="Times New Roman" w:eastAsiaTheme="minorEastAsia"/>
                      <w:color w:val="auto"/>
                      <w:spacing w:val="1"/>
                      <w:sz w:val="21"/>
                      <w:szCs w:val="21"/>
                      <w:vertAlign w:val="superscript"/>
                      <w:lang w:val="en-US" w:eastAsia="zh-CN"/>
                    </w:rPr>
                    <w:t>2</w:t>
                  </w:r>
                  <w:r>
                    <w:rPr>
                      <w:rFonts w:hint="default" w:ascii="Times New Roman" w:hAnsi="Times New Roman" w:cs="Times New Roman" w:eastAsiaTheme="minorEastAsia"/>
                      <w:color w:val="auto"/>
                      <w:spacing w:val="1"/>
                      <w:sz w:val="21"/>
                      <w:szCs w:val="21"/>
                      <w:lang w:val="en-US" w:eastAsia="zh-CN"/>
                    </w:rPr>
                    <w:t>，主要用于生物有机肥发酵后腐熟过程</w:t>
                  </w:r>
                </w:p>
              </w:tc>
              <w:tc>
                <w:tcPr>
                  <w:tcW w:w="620" w:type="dxa"/>
                  <w:vAlign w:val="center"/>
                </w:tcPr>
                <w:p w14:paraId="165C45A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新建</w:t>
                  </w:r>
                </w:p>
              </w:tc>
            </w:tr>
            <w:tr w14:paraId="55EC8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21C8213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continue"/>
                  <w:vAlign w:val="center"/>
                </w:tcPr>
                <w:p w14:paraId="2EA727C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777" w:type="dxa"/>
                  <w:vAlign w:val="center"/>
                </w:tcPr>
                <w:p w14:paraId="4E5AE30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发酵棚</w:t>
                  </w:r>
                </w:p>
              </w:tc>
              <w:tc>
                <w:tcPr>
                  <w:tcW w:w="5907" w:type="dxa"/>
                  <w:vAlign w:val="center"/>
                </w:tcPr>
                <w:p w14:paraId="600EBE7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全封闭车间，轻钢结构，占地面积2600m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，分为畜禽粪便贮存区（200m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）、混料搅拌设备区及秸秆破碎区（200m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 发酵槽（200m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1</w:t>
                  </w:r>
                  <w:r>
                    <w:rPr>
                      <w:rFonts w:hint="default" w:ascii="Times New Roman" w:hAnsi="Times New Roman" w:cs="Times New Roman" w:eastAsiaTheme="minorEastAsia"/>
                      <w:color w:val="auto"/>
                      <w:sz w:val="21"/>
                      <w:szCs w:val="21"/>
                      <w:vertAlign w:val="baseline"/>
                      <w:lang w:val="en-US" w:eastAsia="zh-CN"/>
                    </w:rPr>
                    <w:t>个</w:t>
                  </w:r>
                  <w:r>
                    <w:rPr>
                      <w:rFonts w:hint="eastAsia" w:ascii="Times New Roman" w:hAnsi="Times New Roman" w:cs="Times New Roman" w:eastAsiaTheme="minorEastAsia"/>
                      <w:color w:val="auto"/>
                      <w:sz w:val="21"/>
                      <w:szCs w:val="21"/>
                      <w:vertAlign w:val="baseline"/>
                      <w:lang w:val="en-US" w:eastAsia="zh-CN"/>
                    </w:rPr>
                    <w:t>，陈化槽（200m</w:t>
                  </w:r>
                  <w:r>
                    <w:rPr>
                      <w:rFonts w:hint="eastAsia"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vertAlign w:val="baseline"/>
                      <w:lang w:val="en-US" w:eastAsia="zh-CN"/>
                    </w:rPr>
                    <w:t>）1个</w:t>
                  </w:r>
                  <w:r>
                    <w:rPr>
                      <w:rFonts w:hint="default" w:ascii="Times New Roman" w:hAnsi="Times New Roman" w:cs="Times New Roman" w:eastAsiaTheme="minorEastAsia"/>
                      <w:color w:val="auto"/>
                      <w:sz w:val="21"/>
                      <w:szCs w:val="21"/>
                      <w:vertAlign w:val="baseline"/>
                      <w:lang w:val="en-US" w:eastAsia="zh-CN"/>
                    </w:rPr>
                    <w:t>。内设轮盘式抛布料机、皮带输送机、秸秆破碎机等设备，主要用于畜禽粪便暂存、秸秆破碎、混料搅拌、发酵垛发酵。车间外布置一套生物除臭装置（过滤法）。</w:t>
                  </w:r>
                </w:p>
              </w:tc>
              <w:tc>
                <w:tcPr>
                  <w:tcW w:w="620" w:type="dxa"/>
                  <w:vAlign w:val="center"/>
                </w:tcPr>
                <w:p w14:paraId="1260045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新建</w:t>
                  </w:r>
                </w:p>
              </w:tc>
            </w:tr>
            <w:tr w14:paraId="0DE0F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0DE8669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538" w:type="dxa"/>
                  <w:vMerge w:val="continue"/>
                  <w:vAlign w:val="center"/>
                </w:tcPr>
                <w:p w14:paraId="60F0923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777" w:type="dxa"/>
                  <w:vAlign w:val="center"/>
                </w:tcPr>
                <w:p w14:paraId="7445B0E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5"/>
                      <w:sz w:val="21"/>
                      <w:szCs w:val="21"/>
                      <w:lang w:val="en-US" w:eastAsia="zh-CN"/>
                    </w:rPr>
                  </w:pPr>
                  <w:r>
                    <w:rPr>
                      <w:rFonts w:hint="default" w:ascii="Times New Roman" w:hAnsi="Times New Roman" w:cs="Times New Roman" w:eastAsiaTheme="minorEastAsia"/>
                      <w:color w:val="auto"/>
                      <w:spacing w:val="5"/>
                      <w:sz w:val="21"/>
                      <w:szCs w:val="21"/>
                      <w:lang w:val="en-US" w:eastAsia="zh-CN"/>
                    </w:rPr>
                    <w:t>生产棚</w:t>
                  </w:r>
                </w:p>
              </w:tc>
              <w:tc>
                <w:tcPr>
                  <w:tcW w:w="5907" w:type="dxa"/>
                  <w:vAlign w:val="center"/>
                </w:tcPr>
                <w:p w14:paraId="2FA2AC2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全封闭车间，轻钢结构，占地面积2000m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，内设上料机、破碎机、 筛分机、包装机、生物质热风炉、喷淋塔等设备，主要用于颗粒生物有机肥加工和包装。</w:t>
                  </w:r>
                </w:p>
              </w:tc>
              <w:tc>
                <w:tcPr>
                  <w:tcW w:w="620" w:type="dxa"/>
                  <w:vAlign w:val="center"/>
                </w:tcPr>
                <w:p w14:paraId="373C90F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新建</w:t>
                  </w:r>
                </w:p>
              </w:tc>
            </w:tr>
            <w:tr w14:paraId="710B6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restart"/>
                  <w:vAlign w:val="center"/>
                </w:tcPr>
                <w:p w14:paraId="0E48013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rPr>
                    <w:t>储运</w:t>
                  </w:r>
                  <w:r>
                    <w:rPr>
                      <w:rFonts w:hint="default" w:ascii="Times New Roman" w:hAnsi="Times New Roman" w:cs="Times New Roman" w:eastAsiaTheme="minorEastAsia"/>
                      <w:color w:val="auto"/>
                      <w:spacing w:val="-6"/>
                      <w:sz w:val="21"/>
                      <w:szCs w:val="21"/>
                    </w:rPr>
                    <w:t>工程</w:t>
                  </w:r>
                </w:p>
              </w:tc>
              <w:tc>
                <w:tcPr>
                  <w:tcW w:w="1315" w:type="dxa"/>
                  <w:gridSpan w:val="2"/>
                  <w:vAlign w:val="center"/>
                </w:tcPr>
                <w:p w14:paraId="0E14A94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沼液</w:t>
                  </w:r>
                  <w:r>
                    <w:rPr>
                      <w:rFonts w:hint="default" w:ascii="Times New Roman" w:hAnsi="Times New Roman" w:cs="Times New Roman" w:eastAsiaTheme="minorEastAsia"/>
                      <w:color w:val="auto"/>
                      <w:spacing w:val="-3"/>
                      <w:sz w:val="21"/>
                      <w:szCs w:val="21"/>
                    </w:rPr>
                    <w:t>贮存</w:t>
                  </w:r>
                </w:p>
              </w:tc>
              <w:tc>
                <w:tcPr>
                  <w:tcW w:w="5907" w:type="dxa"/>
                  <w:vAlign w:val="center"/>
                </w:tcPr>
                <w:p w14:paraId="6467AA7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配套建设一座3562.5m³沼液池</w:t>
                  </w:r>
                  <w:r>
                    <w:rPr>
                      <w:rFonts w:hint="eastAsia" w:ascii="Times New Roman" w:hAnsi="Times New Roman" w:cs="Times New Roman" w:eastAsiaTheme="minorEastAsia"/>
                      <w:color w:val="auto"/>
                      <w:sz w:val="21"/>
                      <w:szCs w:val="21"/>
                      <w:vertAlign w:val="baseline"/>
                      <w:lang w:val="en-US" w:eastAsia="zh-CN"/>
                    </w:rPr>
                    <w:t>，重点防渗</w:t>
                  </w:r>
                  <w:r>
                    <w:rPr>
                      <w:rFonts w:hint="default" w:ascii="Times New Roman" w:hAnsi="Times New Roman" w:cs="Times New Roman" w:eastAsiaTheme="minorEastAsia"/>
                      <w:color w:val="auto"/>
                      <w:sz w:val="21"/>
                      <w:szCs w:val="21"/>
                      <w:vertAlign w:val="baseline"/>
                      <w:lang w:val="en-US" w:eastAsia="zh-CN"/>
                    </w:rPr>
                    <w:t>，用于贮存沼液。</w:t>
                  </w:r>
                </w:p>
              </w:tc>
              <w:tc>
                <w:tcPr>
                  <w:tcW w:w="620" w:type="dxa"/>
                  <w:vAlign w:val="center"/>
                </w:tcPr>
                <w:p w14:paraId="1798DDA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24C29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25416E9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4"/>
                      <w:sz w:val="21"/>
                      <w:szCs w:val="21"/>
                    </w:rPr>
                  </w:pPr>
                </w:p>
              </w:tc>
              <w:tc>
                <w:tcPr>
                  <w:tcW w:w="1315" w:type="dxa"/>
                  <w:gridSpan w:val="2"/>
                  <w:vAlign w:val="center"/>
                </w:tcPr>
                <w:p w14:paraId="104C16F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成品棚</w:t>
                  </w:r>
                </w:p>
              </w:tc>
              <w:tc>
                <w:tcPr>
                  <w:tcW w:w="5907" w:type="dxa"/>
                  <w:vAlign w:val="center"/>
                </w:tcPr>
                <w:p w14:paraId="7D2B670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轻钢结构，占地面积2025m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，用于堆放成品生物有机肥。</w:t>
                  </w:r>
                </w:p>
              </w:tc>
              <w:tc>
                <w:tcPr>
                  <w:tcW w:w="620" w:type="dxa"/>
                  <w:vAlign w:val="center"/>
                </w:tcPr>
                <w:p w14:paraId="5A48965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新建</w:t>
                  </w:r>
                </w:p>
              </w:tc>
            </w:tr>
            <w:tr w14:paraId="6A125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restart"/>
                  <w:vAlign w:val="center"/>
                </w:tcPr>
                <w:p w14:paraId="258456E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辅助</w:t>
                  </w:r>
                  <w:r>
                    <w:rPr>
                      <w:rFonts w:hint="default" w:ascii="Times New Roman" w:hAnsi="Times New Roman" w:cs="Times New Roman" w:eastAsiaTheme="minorEastAsia"/>
                      <w:color w:val="auto"/>
                      <w:sz w:val="21"/>
                      <w:szCs w:val="21"/>
                    </w:rPr>
                    <w:t xml:space="preserve"> </w:t>
                  </w:r>
                  <w:r>
                    <w:rPr>
                      <w:rFonts w:hint="default" w:ascii="Times New Roman" w:hAnsi="Times New Roman" w:cs="Times New Roman" w:eastAsiaTheme="minorEastAsia"/>
                      <w:color w:val="auto"/>
                      <w:spacing w:val="-3"/>
                      <w:sz w:val="21"/>
                      <w:szCs w:val="21"/>
                    </w:rPr>
                    <w:t>工程</w:t>
                  </w:r>
                </w:p>
              </w:tc>
              <w:tc>
                <w:tcPr>
                  <w:tcW w:w="1315" w:type="dxa"/>
                  <w:gridSpan w:val="2"/>
                  <w:vAlign w:val="center"/>
                </w:tcPr>
                <w:p w14:paraId="45D498E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pacing w:val="7"/>
                      <w:sz w:val="21"/>
                      <w:szCs w:val="21"/>
                      <w:lang w:val="en-US" w:eastAsia="zh-CN"/>
                    </w:rPr>
                    <w:t>办公楼</w:t>
                  </w:r>
                </w:p>
              </w:tc>
              <w:tc>
                <w:tcPr>
                  <w:tcW w:w="5907" w:type="dxa"/>
                  <w:vAlign w:val="center"/>
                </w:tcPr>
                <w:p w14:paraId="09EDF61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lang w:val="en-US" w:eastAsia="zh-CN"/>
                    </w:rPr>
                    <w:t>二层</w:t>
                  </w:r>
                  <w:r>
                    <w:rPr>
                      <w:rFonts w:hint="default" w:ascii="Times New Roman" w:hAnsi="Times New Roman" w:cs="Times New Roman" w:eastAsiaTheme="minorEastAsia"/>
                      <w:color w:val="auto"/>
                      <w:spacing w:val="4"/>
                      <w:sz w:val="21"/>
                      <w:szCs w:val="21"/>
                    </w:rPr>
                    <w:t>，面积约</w:t>
                  </w:r>
                  <w:r>
                    <w:rPr>
                      <w:rFonts w:hint="default" w:ascii="Times New Roman" w:hAnsi="Times New Roman" w:cs="Times New Roman" w:eastAsiaTheme="minorEastAsia"/>
                      <w:color w:val="auto"/>
                      <w:spacing w:val="4"/>
                      <w:sz w:val="21"/>
                      <w:szCs w:val="21"/>
                      <w:lang w:val="en-US" w:eastAsia="zh-CN"/>
                    </w:rPr>
                    <w:t>460.46</w:t>
                  </w:r>
                  <w:r>
                    <w:rPr>
                      <w:rFonts w:hint="default" w:ascii="Times New Roman" w:hAnsi="Times New Roman" w:cs="Times New Roman" w:eastAsiaTheme="minorEastAsia"/>
                      <w:color w:val="auto"/>
                      <w:spacing w:val="4"/>
                      <w:sz w:val="21"/>
                      <w:szCs w:val="21"/>
                    </w:rPr>
                    <w:t>m²,砖混结构</w:t>
                  </w:r>
                  <w:r>
                    <w:rPr>
                      <w:rFonts w:hint="default" w:ascii="Times New Roman" w:hAnsi="Times New Roman" w:cs="Times New Roman" w:eastAsiaTheme="minorEastAsia"/>
                      <w:color w:val="auto"/>
                      <w:spacing w:val="4"/>
                      <w:sz w:val="21"/>
                      <w:szCs w:val="21"/>
                      <w:lang w:eastAsia="zh-CN"/>
                    </w:rPr>
                    <w:t>，</w:t>
                  </w:r>
                  <w:r>
                    <w:rPr>
                      <w:rFonts w:hint="default" w:ascii="Times New Roman" w:hAnsi="Times New Roman" w:cs="Times New Roman" w:eastAsiaTheme="minorEastAsia"/>
                      <w:color w:val="auto"/>
                      <w:spacing w:val="4"/>
                      <w:sz w:val="21"/>
                      <w:szCs w:val="21"/>
                      <w:lang w:val="en-US" w:eastAsia="zh-CN"/>
                    </w:rPr>
                    <w:t>用于人员办公和化验室</w:t>
                  </w:r>
                  <w:r>
                    <w:rPr>
                      <w:rFonts w:hint="default" w:ascii="Times New Roman" w:hAnsi="Times New Roman" w:cs="Times New Roman" w:eastAsiaTheme="minorEastAsia"/>
                      <w:color w:val="auto"/>
                      <w:spacing w:val="4"/>
                      <w:sz w:val="21"/>
                      <w:szCs w:val="21"/>
                    </w:rPr>
                    <w:t>。</w:t>
                  </w:r>
                </w:p>
              </w:tc>
              <w:tc>
                <w:tcPr>
                  <w:tcW w:w="620" w:type="dxa"/>
                  <w:vAlign w:val="center"/>
                </w:tcPr>
                <w:p w14:paraId="48E4653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6203E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1481FAF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6"/>
                      <w:sz w:val="21"/>
                      <w:szCs w:val="21"/>
                    </w:rPr>
                  </w:pPr>
                </w:p>
              </w:tc>
              <w:tc>
                <w:tcPr>
                  <w:tcW w:w="1315" w:type="dxa"/>
                  <w:gridSpan w:val="2"/>
                  <w:vAlign w:val="center"/>
                </w:tcPr>
                <w:p w14:paraId="40AFDE0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7"/>
                      <w:sz w:val="21"/>
                      <w:szCs w:val="21"/>
                      <w:lang w:val="en-US" w:eastAsia="zh-CN"/>
                    </w:rPr>
                  </w:pPr>
                  <w:r>
                    <w:rPr>
                      <w:rFonts w:hint="default" w:ascii="Times New Roman" w:hAnsi="Times New Roman" w:cs="Times New Roman" w:eastAsiaTheme="minorEastAsia"/>
                      <w:color w:val="auto"/>
                      <w:spacing w:val="7"/>
                      <w:sz w:val="21"/>
                      <w:szCs w:val="21"/>
                      <w:lang w:val="en-US" w:eastAsia="zh-CN"/>
                    </w:rPr>
                    <w:t>门房</w:t>
                  </w:r>
                </w:p>
              </w:tc>
              <w:tc>
                <w:tcPr>
                  <w:tcW w:w="5907" w:type="dxa"/>
                  <w:vAlign w:val="center"/>
                </w:tcPr>
                <w:p w14:paraId="4A8B77E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4"/>
                      <w:sz w:val="21"/>
                      <w:szCs w:val="21"/>
                      <w:vertAlign w:val="baseline"/>
                      <w:lang w:val="en-US" w:eastAsia="zh-CN"/>
                    </w:rPr>
                  </w:pPr>
                  <w:r>
                    <w:rPr>
                      <w:rFonts w:hint="default" w:ascii="Times New Roman" w:hAnsi="Times New Roman" w:cs="Times New Roman" w:eastAsiaTheme="minorEastAsia"/>
                      <w:color w:val="auto"/>
                      <w:spacing w:val="4"/>
                      <w:sz w:val="21"/>
                      <w:szCs w:val="21"/>
                      <w:lang w:val="en-US" w:eastAsia="zh-CN"/>
                    </w:rPr>
                    <w:t>一层，</w:t>
                  </w:r>
                  <w:r>
                    <w:rPr>
                      <w:rFonts w:hint="eastAsia" w:ascii="Times New Roman" w:hAnsi="Times New Roman" w:cs="Times New Roman" w:eastAsiaTheme="minorEastAsia"/>
                      <w:color w:val="auto"/>
                      <w:spacing w:val="4"/>
                      <w:sz w:val="21"/>
                      <w:szCs w:val="21"/>
                      <w:lang w:val="en-US" w:eastAsia="zh-CN"/>
                    </w:rPr>
                    <w:t>彩钢房</w:t>
                  </w:r>
                  <w:r>
                    <w:rPr>
                      <w:rFonts w:hint="default" w:ascii="Times New Roman" w:hAnsi="Times New Roman" w:cs="Times New Roman" w:eastAsiaTheme="minorEastAsia"/>
                      <w:color w:val="auto"/>
                      <w:spacing w:val="4"/>
                      <w:sz w:val="21"/>
                      <w:szCs w:val="21"/>
                      <w:lang w:val="en-US" w:eastAsia="zh-CN"/>
                    </w:rPr>
                    <w:t>，面积156m</w:t>
                  </w:r>
                  <w:r>
                    <w:rPr>
                      <w:rFonts w:hint="default" w:ascii="Times New Roman" w:hAnsi="Times New Roman" w:cs="Times New Roman" w:eastAsiaTheme="minorEastAsia"/>
                      <w:color w:val="auto"/>
                      <w:spacing w:val="4"/>
                      <w:sz w:val="21"/>
                      <w:szCs w:val="21"/>
                      <w:vertAlign w:val="superscript"/>
                      <w:lang w:val="en-US" w:eastAsia="zh-CN"/>
                    </w:rPr>
                    <w:t>2</w:t>
                  </w:r>
                  <w:r>
                    <w:rPr>
                      <w:rFonts w:hint="default" w:ascii="Times New Roman" w:hAnsi="Times New Roman" w:cs="Times New Roman" w:eastAsiaTheme="minorEastAsia"/>
                      <w:color w:val="auto"/>
                      <w:spacing w:val="4"/>
                      <w:sz w:val="21"/>
                      <w:szCs w:val="21"/>
                      <w:vertAlign w:val="baseline"/>
                      <w:lang w:val="en-US" w:eastAsia="zh-CN"/>
                    </w:rPr>
                    <w:t>.</w:t>
                  </w:r>
                </w:p>
              </w:tc>
              <w:tc>
                <w:tcPr>
                  <w:tcW w:w="620" w:type="dxa"/>
                  <w:vAlign w:val="center"/>
                </w:tcPr>
                <w:p w14:paraId="32BDA99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新建</w:t>
                  </w:r>
                </w:p>
              </w:tc>
            </w:tr>
            <w:tr w14:paraId="5565D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2CACA1C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715A934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应急火炬</w:t>
                  </w:r>
                </w:p>
              </w:tc>
              <w:tc>
                <w:tcPr>
                  <w:tcW w:w="5907" w:type="dxa"/>
                  <w:vAlign w:val="center"/>
                </w:tcPr>
                <w:p w14:paraId="207A51C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rPr>
                    <w:t>配置一套应急火炬系统，通过量为</w:t>
                  </w:r>
                  <w:r>
                    <w:rPr>
                      <w:rFonts w:hint="default" w:ascii="Times New Roman" w:hAnsi="Times New Roman" w:cs="Times New Roman" w:eastAsiaTheme="minorEastAsia"/>
                      <w:color w:val="auto"/>
                      <w:spacing w:val="4"/>
                      <w:sz w:val="21"/>
                      <w:szCs w:val="21"/>
                      <w:lang w:val="en-US" w:eastAsia="zh-CN"/>
                    </w:rPr>
                    <w:t>10</w:t>
                  </w:r>
                  <w:r>
                    <w:rPr>
                      <w:rFonts w:hint="default" w:ascii="Times New Roman" w:hAnsi="Times New Roman" w:cs="Times New Roman" w:eastAsiaTheme="minorEastAsia"/>
                      <w:color w:val="auto"/>
                      <w:spacing w:val="4"/>
                      <w:sz w:val="21"/>
                      <w:szCs w:val="21"/>
                    </w:rPr>
                    <w:t>0m³h。</w:t>
                  </w:r>
                </w:p>
              </w:tc>
              <w:tc>
                <w:tcPr>
                  <w:tcW w:w="620" w:type="dxa"/>
                  <w:vAlign w:val="center"/>
                </w:tcPr>
                <w:p w14:paraId="3BE315F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1BBF6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638B5F0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320EFB1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rPr>
                    <w:t>变配电</w:t>
                  </w:r>
                </w:p>
              </w:tc>
              <w:tc>
                <w:tcPr>
                  <w:tcW w:w="5907" w:type="dxa"/>
                  <w:vAlign w:val="center"/>
                </w:tcPr>
                <w:p w14:paraId="6006471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配套10KV变压开关设备1套。</w:t>
                  </w:r>
                </w:p>
              </w:tc>
              <w:tc>
                <w:tcPr>
                  <w:tcW w:w="620" w:type="dxa"/>
                  <w:vAlign w:val="center"/>
                </w:tcPr>
                <w:p w14:paraId="2DE5E4D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4FF8C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32" w:type="dxa"/>
                  <w:vMerge w:val="continue"/>
                  <w:vAlign w:val="center"/>
                </w:tcPr>
                <w:p w14:paraId="07BA681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60E26B7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化验室</w:t>
                  </w:r>
                </w:p>
              </w:tc>
              <w:tc>
                <w:tcPr>
                  <w:tcW w:w="5907" w:type="dxa"/>
                  <w:vAlign w:val="center"/>
                </w:tcPr>
                <w:p w14:paraId="5806D69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在</w:t>
                  </w:r>
                  <w:r>
                    <w:rPr>
                      <w:rFonts w:hint="default" w:ascii="Times New Roman" w:hAnsi="Times New Roman" w:cs="Times New Roman" w:eastAsiaTheme="minorEastAsia"/>
                      <w:color w:val="auto"/>
                      <w:sz w:val="21"/>
                      <w:szCs w:val="21"/>
                      <w:lang w:val="en-US" w:eastAsia="zh-CN"/>
                    </w:rPr>
                    <w:t>办公楼1楼设置化验室，占地200m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vertAlign w:val="baseline"/>
                      <w:lang w:val="en-US" w:eastAsia="zh-CN"/>
                    </w:rPr>
                    <w:t>，主要为生产产品及各原辅材料化验</w:t>
                  </w:r>
                </w:p>
              </w:tc>
              <w:tc>
                <w:tcPr>
                  <w:tcW w:w="620" w:type="dxa"/>
                  <w:vAlign w:val="center"/>
                </w:tcPr>
                <w:p w14:paraId="33560D3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新建</w:t>
                  </w:r>
                </w:p>
              </w:tc>
            </w:tr>
            <w:tr w14:paraId="5AA84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restart"/>
                  <w:tcBorders>
                    <w:bottom w:val="nil"/>
                  </w:tcBorders>
                  <w:vAlign w:val="center"/>
                </w:tcPr>
                <w:p w14:paraId="1A44ABD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2"/>
                      <w:sz w:val="21"/>
                      <w:szCs w:val="21"/>
                    </w:rPr>
                    <w:t>公用</w:t>
                  </w:r>
                  <w:r>
                    <w:rPr>
                      <w:rFonts w:hint="default" w:ascii="Times New Roman" w:hAnsi="Times New Roman" w:cs="Times New Roman" w:eastAsiaTheme="minorEastAsia"/>
                      <w:color w:val="auto"/>
                      <w:sz w:val="21"/>
                      <w:szCs w:val="21"/>
                    </w:rPr>
                    <w:t xml:space="preserve"> </w:t>
                  </w:r>
                  <w:r>
                    <w:rPr>
                      <w:rFonts w:hint="default" w:ascii="Times New Roman" w:hAnsi="Times New Roman" w:cs="Times New Roman" w:eastAsiaTheme="minorEastAsia"/>
                      <w:color w:val="auto"/>
                      <w:spacing w:val="-3"/>
                      <w:sz w:val="21"/>
                      <w:szCs w:val="21"/>
                    </w:rPr>
                    <w:t>工程</w:t>
                  </w:r>
                </w:p>
              </w:tc>
              <w:tc>
                <w:tcPr>
                  <w:tcW w:w="1315" w:type="dxa"/>
                  <w:gridSpan w:val="2"/>
                  <w:vAlign w:val="center"/>
                </w:tcPr>
                <w:p w14:paraId="53AC33E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供水</w:t>
                  </w:r>
                </w:p>
              </w:tc>
              <w:tc>
                <w:tcPr>
                  <w:tcW w:w="5907" w:type="dxa"/>
                  <w:vAlign w:val="center"/>
                </w:tcPr>
                <w:p w14:paraId="30FC3DB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由当地自来水管网接入。</w:t>
                  </w:r>
                </w:p>
              </w:tc>
              <w:tc>
                <w:tcPr>
                  <w:tcW w:w="620" w:type="dxa"/>
                  <w:vAlign w:val="center"/>
                </w:tcPr>
                <w:p w14:paraId="608B623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依托</w:t>
                  </w:r>
                </w:p>
              </w:tc>
            </w:tr>
            <w:tr w14:paraId="38708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3819109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732E74C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排水</w:t>
                  </w:r>
                </w:p>
              </w:tc>
              <w:tc>
                <w:tcPr>
                  <w:tcW w:w="5907" w:type="dxa"/>
                  <w:vAlign w:val="center"/>
                </w:tcPr>
                <w:p w14:paraId="44D26C6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本项目无废水外排。</w:t>
                  </w:r>
                </w:p>
              </w:tc>
              <w:tc>
                <w:tcPr>
                  <w:tcW w:w="620" w:type="dxa"/>
                  <w:vAlign w:val="center"/>
                </w:tcPr>
                <w:p w14:paraId="115925C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14:paraId="6749E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1E0B5FF0">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743BDFD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供电</w:t>
                  </w:r>
                </w:p>
              </w:tc>
              <w:tc>
                <w:tcPr>
                  <w:tcW w:w="5907" w:type="dxa"/>
                  <w:vAlign w:val="center"/>
                </w:tcPr>
                <w:p w14:paraId="4743BF8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采用一回路380V电源</w:t>
                  </w:r>
                  <w:r>
                    <w:rPr>
                      <w:rFonts w:hint="default" w:ascii="Times New Roman" w:hAnsi="Times New Roman" w:cs="Times New Roman" w:eastAsiaTheme="minorEastAsia"/>
                      <w:color w:val="auto"/>
                      <w:spacing w:val="-1"/>
                      <w:sz w:val="21"/>
                      <w:szCs w:val="21"/>
                      <w:lang w:eastAsia="zh-CN"/>
                    </w:rPr>
                    <w:t>，设置一台80kW沼气发电机组，机组产生 400V电能作为厂区自用电源</w:t>
                  </w:r>
                  <w:r>
                    <w:rPr>
                      <w:rFonts w:hint="default" w:ascii="Times New Roman" w:hAnsi="Times New Roman" w:cs="Times New Roman" w:eastAsiaTheme="minorEastAsia"/>
                      <w:color w:val="auto"/>
                      <w:spacing w:val="-1"/>
                      <w:sz w:val="21"/>
                      <w:szCs w:val="21"/>
                    </w:rPr>
                    <w:t>。</w:t>
                  </w:r>
                </w:p>
              </w:tc>
              <w:tc>
                <w:tcPr>
                  <w:tcW w:w="620" w:type="dxa"/>
                  <w:vAlign w:val="center"/>
                </w:tcPr>
                <w:p w14:paraId="6B939B7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66A1A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tcBorders>
                  <w:vAlign w:val="center"/>
                </w:tcPr>
                <w:p w14:paraId="018D7A2C">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6CB25B1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供暖</w:t>
                  </w:r>
                </w:p>
              </w:tc>
              <w:tc>
                <w:tcPr>
                  <w:tcW w:w="5907" w:type="dxa"/>
                  <w:vAlign w:val="center"/>
                </w:tcPr>
                <w:p w14:paraId="0FD8625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利用沼气锅炉和发电机余热作为冬季采暖热源，采用散热器集中 供暖系统。</w:t>
                  </w:r>
                </w:p>
              </w:tc>
              <w:tc>
                <w:tcPr>
                  <w:tcW w:w="620" w:type="dxa"/>
                  <w:vAlign w:val="center"/>
                </w:tcPr>
                <w:p w14:paraId="3218E63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0E345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532" w:type="dxa"/>
                  <w:vMerge w:val="restart"/>
                  <w:tcBorders>
                    <w:bottom w:val="nil"/>
                  </w:tcBorders>
                  <w:vAlign w:val="center"/>
                </w:tcPr>
                <w:p w14:paraId="66588FD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环保</w:t>
                  </w:r>
                </w:p>
                <w:p w14:paraId="25EE349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工程</w:t>
                  </w:r>
                </w:p>
              </w:tc>
              <w:tc>
                <w:tcPr>
                  <w:tcW w:w="1315" w:type="dxa"/>
                  <w:gridSpan w:val="2"/>
                  <w:vMerge w:val="restart"/>
                  <w:vAlign w:val="center"/>
                </w:tcPr>
                <w:p w14:paraId="0E0CE882">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废气处理</w:t>
                  </w:r>
                </w:p>
              </w:tc>
              <w:tc>
                <w:tcPr>
                  <w:tcW w:w="5907" w:type="dxa"/>
                  <w:vAlign w:val="center"/>
                </w:tcPr>
                <w:p w14:paraId="7D7E5698">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1"/>
                      <w:sz w:val="21"/>
                      <w:szCs w:val="21"/>
                    </w:rPr>
                    <w:t>发电机组沼气燃烧废气</w:t>
                  </w:r>
                  <w:r>
                    <w:rPr>
                      <w:rFonts w:hint="default" w:ascii="Times New Roman" w:hAnsi="Times New Roman" w:cs="Times New Roman" w:eastAsiaTheme="minorEastAsia"/>
                      <w:color w:val="auto"/>
                      <w:spacing w:val="-1"/>
                      <w:sz w:val="21"/>
                      <w:szCs w:val="21"/>
                      <w:lang w:val="en-US" w:eastAsia="zh-CN"/>
                    </w:rPr>
                    <w:t>加装</w:t>
                  </w:r>
                  <w:r>
                    <w:rPr>
                      <w:rFonts w:hint="default" w:ascii="Times New Roman" w:hAnsi="Times New Roman" w:cs="Times New Roman" w:eastAsiaTheme="minorEastAsia"/>
                      <w:color w:val="auto"/>
                      <w:spacing w:val="-1"/>
                      <w:sz w:val="21"/>
                      <w:szCs w:val="21"/>
                    </w:rPr>
                    <w:t>低氮燃烧器</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沼气锅炉废气</w:t>
                  </w:r>
                  <w:r>
                    <w:rPr>
                      <w:rFonts w:hint="default" w:ascii="Times New Roman" w:hAnsi="Times New Roman" w:cs="Times New Roman" w:eastAsiaTheme="minorEastAsia"/>
                      <w:color w:val="auto"/>
                      <w:spacing w:val="-1"/>
                      <w:sz w:val="21"/>
                      <w:szCs w:val="21"/>
                      <w:lang w:val="en-US" w:eastAsia="zh-CN"/>
                    </w:rPr>
                    <w:t>加装</w:t>
                  </w:r>
                  <w:r>
                    <w:rPr>
                      <w:rFonts w:hint="default" w:ascii="Times New Roman" w:hAnsi="Times New Roman" w:cs="Times New Roman" w:eastAsiaTheme="minorEastAsia"/>
                      <w:color w:val="auto"/>
                      <w:spacing w:val="-1"/>
                      <w:sz w:val="21"/>
                      <w:szCs w:val="21"/>
                    </w:rPr>
                    <w:t>低氮燃烧器后通过8m高排气筒</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lang w:val="en-US" w:eastAsia="zh-CN"/>
                    </w:rPr>
                    <w:t>DA003</w:t>
                  </w:r>
                  <w:r>
                    <w:rPr>
                      <w:rFonts w:hint="default" w:ascii="Times New Roman" w:hAnsi="Times New Roman" w:cs="Times New Roman" w:eastAsiaTheme="minorEastAsia"/>
                      <w:color w:val="auto"/>
                      <w:spacing w:val="-1"/>
                      <w:sz w:val="21"/>
                      <w:szCs w:val="21"/>
                      <w:lang w:eastAsia="zh-CN"/>
                    </w:rPr>
                    <w:t>）</w:t>
                  </w:r>
                  <w:r>
                    <w:rPr>
                      <w:rFonts w:hint="default" w:ascii="Times New Roman" w:hAnsi="Times New Roman" w:cs="Times New Roman" w:eastAsiaTheme="minorEastAsia"/>
                      <w:color w:val="auto"/>
                      <w:spacing w:val="-1"/>
                      <w:sz w:val="21"/>
                      <w:szCs w:val="21"/>
                    </w:rPr>
                    <w:t>排放；</w:t>
                  </w:r>
                </w:p>
              </w:tc>
              <w:tc>
                <w:tcPr>
                  <w:tcW w:w="620" w:type="dxa"/>
                  <w:vAlign w:val="center"/>
                </w:tcPr>
                <w:p w14:paraId="42C98F0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45DB7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453EF67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rPr>
                  </w:pPr>
                </w:p>
              </w:tc>
              <w:tc>
                <w:tcPr>
                  <w:tcW w:w="1315" w:type="dxa"/>
                  <w:gridSpan w:val="2"/>
                  <w:vMerge w:val="continue"/>
                  <w:vAlign w:val="center"/>
                </w:tcPr>
                <w:p w14:paraId="76466D1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2"/>
                      <w:sz w:val="21"/>
                      <w:szCs w:val="21"/>
                    </w:rPr>
                  </w:pPr>
                </w:p>
              </w:tc>
              <w:tc>
                <w:tcPr>
                  <w:tcW w:w="5907" w:type="dxa"/>
                  <w:vAlign w:val="center"/>
                </w:tcPr>
                <w:p w14:paraId="24FD23F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both"/>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厌氧发酵罐区，</w:t>
                  </w:r>
                  <w:r>
                    <w:rPr>
                      <w:rFonts w:hint="default" w:ascii="Times New Roman" w:hAnsi="Times New Roman" w:cs="Times New Roman" w:eastAsiaTheme="minorEastAsia"/>
                      <w:color w:val="auto"/>
                      <w:spacing w:val="-1"/>
                      <w:sz w:val="21"/>
                      <w:szCs w:val="21"/>
                      <w:lang w:val="en-US" w:eastAsia="zh-CN"/>
                    </w:rPr>
                    <w:t>沼液进料及沼液池废气收集后经UV光氧处理后经15m高排气筒（DA001）排放.</w:t>
                  </w:r>
                  <w:r>
                    <w:rPr>
                      <w:rFonts w:hint="default" w:ascii="Times New Roman" w:hAnsi="Times New Roman" w:cs="Times New Roman" w:eastAsiaTheme="minorEastAsia"/>
                      <w:color w:val="auto"/>
                      <w:spacing w:val="-1"/>
                      <w:sz w:val="21"/>
                      <w:szCs w:val="21"/>
                    </w:rPr>
                    <w:t>沼液池等无组织恶臭气体喷淋</w:t>
                  </w:r>
                  <w:r>
                    <w:rPr>
                      <w:rFonts w:hint="default" w:ascii="Times New Roman" w:hAnsi="Times New Roman" w:cs="Times New Roman" w:eastAsiaTheme="minorEastAsia"/>
                      <w:color w:val="auto"/>
                      <w:spacing w:val="2"/>
                      <w:sz w:val="21"/>
                      <w:szCs w:val="21"/>
                    </w:rPr>
                    <w:t>除臭剂，加强绿化等。</w:t>
                  </w:r>
                </w:p>
              </w:tc>
              <w:tc>
                <w:tcPr>
                  <w:tcW w:w="620" w:type="dxa"/>
                  <w:vAlign w:val="center"/>
                </w:tcPr>
                <w:p w14:paraId="14705B1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新建</w:t>
                  </w:r>
                </w:p>
              </w:tc>
            </w:tr>
            <w:tr w14:paraId="561B5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4D47477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rPr>
                  </w:pPr>
                </w:p>
              </w:tc>
              <w:tc>
                <w:tcPr>
                  <w:tcW w:w="1315" w:type="dxa"/>
                  <w:gridSpan w:val="2"/>
                  <w:vMerge w:val="continue"/>
                  <w:vAlign w:val="center"/>
                </w:tcPr>
                <w:p w14:paraId="438C10E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2"/>
                      <w:sz w:val="21"/>
                      <w:szCs w:val="21"/>
                    </w:rPr>
                  </w:pPr>
                </w:p>
              </w:tc>
              <w:tc>
                <w:tcPr>
                  <w:tcW w:w="5907" w:type="dxa"/>
                  <w:vAlign w:val="center"/>
                </w:tcPr>
                <w:p w14:paraId="1797FEC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both"/>
                    <w:textAlignment w:val="auto"/>
                    <w:rPr>
                      <w:rFonts w:hint="default" w:ascii="Times New Roman" w:hAnsi="Times New Roman" w:cs="Times New Roman" w:eastAsiaTheme="minorEastAsia"/>
                      <w:color w:val="auto"/>
                      <w:spacing w:val="2"/>
                      <w:sz w:val="21"/>
                      <w:szCs w:val="21"/>
                      <w:lang w:val="en-US" w:eastAsia="zh-CN"/>
                    </w:rPr>
                  </w:pPr>
                  <w:r>
                    <w:rPr>
                      <w:rFonts w:hint="eastAsia" w:ascii="Times New Roman" w:hAnsi="Times New Roman" w:cs="Times New Roman" w:eastAsiaTheme="minorEastAsia"/>
                      <w:color w:val="auto"/>
                      <w:spacing w:val="2"/>
                      <w:sz w:val="21"/>
                      <w:szCs w:val="21"/>
                      <w:lang w:val="en-US" w:eastAsia="zh-CN"/>
                    </w:rPr>
                    <w:t>车间外皮带输送采用廊道全封闭输送，</w:t>
                  </w:r>
                  <w:r>
                    <w:rPr>
                      <w:rFonts w:hint="default" w:ascii="Times New Roman" w:hAnsi="Times New Roman" w:cs="Times New Roman" w:eastAsiaTheme="minorEastAsia"/>
                      <w:color w:val="auto"/>
                      <w:spacing w:val="2"/>
                      <w:sz w:val="21"/>
                      <w:szCs w:val="21"/>
                      <w:lang w:val="en-US" w:eastAsia="zh-CN"/>
                    </w:rPr>
                    <w:t>加工车间破碎、筛分、造粒、包装工序产生的粉尘</w:t>
                  </w:r>
                  <w:r>
                    <w:rPr>
                      <w:rFonts w:hint="eastAsia" w:ascii="Times New Roman" w:hAnsi="Times New Roman" w:cs="Times New Roman" w:eastAsiaTheme="minorEastAsia"/>
                      <w:color w:val="auto"/>
                      <w:spacing w:val="2"/>
                      <w:sz w:val="21"/>
                      <w:szCs w:val="21"/>
                      <w:lang w:val="en-US" w:eastAsia="zh-CN"/>
                    </w:rPr>
                    <w:t>在车间内自然沉降，车间全封闭</w:t>
                  </w:r>
                  <w:r>
                    <w:rPr>
                      <w:rFonts w:hint="default" w:ascii="Times New Roman" w:hAnsi="Times New Roman" w:cs="Times New Roman" w:eastAsiaTheme="minorEastAsia"/>
                      <w:color w:val="auto"/>
                      <w:spacing w:val="2"/>
                      <w:sz w:val="21"/>
                      <w:szCs w:val="21"/>
                      <w:lang w:val="en-US" w:eastAsia="zh-CN"/>
                    </w:rPr>
                    <w:t>；</w:t>
                  </w:r>
                  <w:r>
                    <w:rPr>
                      <w:rFonts w:hint="eastAsia" w:ascii="Times New Roman" w:hAnsi="Times New Roman" w:cs="Times New Roman" w:eastAsiaTheme="minorEastAsia"/>
                      <w:color w:val="auto"/>
                      <w:spacing w:val="2"/>
                      <w:sz w:val="21"/>
                      <w:szCs w:val="21"/>
                      <w:lang w:val="en-US" w:eastAsia="zh-CN"/>
                    </w:rPr>
                    <w:t>项目西侧建设2.5m高防尘网。</w:t>
                  </w:r>
                </w:p>
              </w:tc>
              <w:tc>
                <w:tcPr>
                  <w:tcW w:w="620" w:type="dxa"/>
                  <w:vAlign w:val="center"/>
                </w:tcPr>
                <w:p w14:paraId="76F10CC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新建</w:t>
                  </w:r>
                </w:p>
              </w:tc>
            </w:tr>
            <w:tr w14:paraId="56755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2BD9357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rPr>
                  </w:pPr>
                </w:p>
              </w:tc>
              <w:tc>
                <w:tcPr>
                  <w:tcW w:w="1315" w:type="dxa"/>
                  <w:gridSpan w:val="2"/>
                  <w:vMerge w:val="continue"/>
                  <w:vAlign w:val="center"/>
                </w:tcPr>
                <w:p w14:paraId="707AE5C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2"/>
                      <w:sz w:val="21"/>
                      <w:szCs w:val="21"/>
                    </w:rPr>
                  </w:pPr>
                </w:p>
              </w:tc>
              <w:tc>
                <w:tcPr>
                  <w:tcW w:w="5907" w:type="dxa"/>
                  <w:vMerge w:val="restart"/>
                  <w:vAlign w:val="center"/>
                </w:tcPr>
                <w:p w14:paraId="54FCF40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both"/>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发酵、陈化车间产生的恶臭气体，本项目发酵过程采用连续生产工艺，来料动物粪便为密闭车辆运输，厂区不做储存，及时配比进入发酵过程，同时发酵过程采用全封闭车间，添加微生物除臭剂和微生物酵素菌等措施抑制硫化氢和氨的产生，同时为进一步控制项目发酵产生的恶臭气体，发酵车间将车间废气集中收集至1套生物除臭装置（过滤法）处理后，废气经15m高排气筒（DA002）排放。</w:t>
                  </w:r>
                </w:p>
              </w:tc>
              <w:tc>
                <w:tcPr>
                  <w:tcW w:w="620" w:type="dxa"/>
                  <w:vAlign w:val="center"/>
                </w:tcPr>
                <w:p w14:paraId="0754500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新建</w:t>
                  </w:r>
                </w:p>
              </w:tc>
            </w:tr>
            <w:tr w14:paraId="0B518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4ABA7688">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rPr>
                  </w:pPr>
                </w:p>
              </w:tc>
              <w:tc>
                <w:tcPr>
                  <w:tcW w:w="1315" w:type="dxa"/>
                  <w:gridSpan w:val="2"/>
                  <w:vMerge w:val="continue"/>
                  <w:vAlign w:val="center"/>
                </w:tcPr>
                <w:p w14:paraId="4309F367">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2"/>
                      <w:sz w:val="21"/>
                      <w:szCs w:val="21"/>
                    </w:rPr>
                  </w:pPr>
                </w:p>
              </w:tc>
              <w:tc>
                <w:tcPr>
                  <w:tcW w:w="5907" w:type="dxa"/>
                  <w:vMerge w:val="continue"/>
                  <w:vAlign w:val="center"/>
                </w:tcPr>
                <w:p w14:paraId="53CABF7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both"/>
                    <w:textAlignment w:val="auto"/>
                    <w:rPr>
                      <w:rFonts w:hint="default" w:ascii="Times New Roman" w:hAnsi="Times New Roman" w:cs="Times New Roman" w:eastAsiaTheme="minorEastAsia"/>
                      <w:color w:val="auto"/>
                      <w:spacing w:val="2"/>
                      <w:sz w:val="21"/>
                      <w:szCs w:val="21"/>
                      <w:lang w:val="en-US" w:eastAsia="zh-CN"/>
                    </w:rPr>
                  </w:pPr>
                </w:p>
              </w:tc>
              <w:tc>
                <w:tcPr>
                  <w:tcW w:w="620" w:type="dxa"/>
                  <w:vAlign w:val="center"/>
                </w:tcPr>
                <w:p w14:paraId="121B926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新建</w:t>
                  </w:r>
                </w:p>
              </w:tc>
            </w:tr>
            <w:tr w14:paraId="4C16D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vAlign w:val="center"/>
                </w:tcPr>
                <w:p w14:paraId="1671EDE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3"/>
                      <w:sz w:val="21"/>
                      <w:szCs w:val="21"/>
                    </w:rPr>
                  </w:pPr>
                </w:p>
              </w:tc>
              <w:tc>
                <w:tcPr>
                  <w:tcW w:w="1315" w:type="dxa"/>
                  <w:gridSpan w:val="2"/>
                  <w:vMerge w:val="continue"/>
                  <w:vAlign w:val="center"/>
                </w:tcPr>
                <w:p w14:paraId="05D1F44B">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2"/>
                      <w:sz w:val="21"/>
                      <w:szCs w:val="21"/>
                    </w:rPr>
                  </w:pPr>
                </w:p>
              </w:tc>
              <w:tc>
                <w:tcPr>
                  <w:tcW w:w="5907" w:type="dxa"/>
                  <w:vAlign w:val="center"/>
                </w:tcPr>
                <w:p w14:paraId="3AD0142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both"/>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烘干、冷却工序产生的烟尘采用风机+迷宫式重力除尘室+水洗涤喷淋塔+15m高排气筒（DA00</w:t>
                  </w:r>
                  <w:r>
                    <w:rPr>
                      <w:rFonts w:hint="eastAsia" w:ascii="Times New Roman" w:hAnsi="Times New Roman" w:cs="Times New Roman" w:eastAsiaTheme="minorEastAsia"/>
                      <w:color w:val="auto"/>
                      <w:spacing w:val="2"/>
                      <w:sz w:val="21"/>
                      <w:szCs w:val="21"/>
                      <w:lang w:val="en-US" w:eastAsia="zh-CN"/>
                    </w:rPr>
                    <w:t>4</w:t>
                  </w:r>
                  <w:r>
                    <w:rPr>
                      <w:rFonts w:hint="default" w:ascii="Times New Roman" w:hAnsi="Times New Roman" w:cs="Times New Roman" w:eastAsiaTheme="minorEastAsia"/>
                      <w:color w:val="auto"/>
                      <w:spacing w:val="2"/>
                      <w:sz w:val="21"/>
                      <w:szCs w:val="21"/>
                      <w:lang w:val="en-US" w:eastAsia="zh-CN"/>
                    </w:rPr>
                    <w:t>）排放。</w:t>
                  </w:r>
                </w:p>
              </w:tc>
              <w:tc>
                <w:tcPr>
                  <w:tcW w:w="620" w:type="dxa"/>
                  <w:vAlign w:val="center"/>
                </w:tcPr>
                <w:p w14:paraId="4D1EAAC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新建</w:t>
                  </w:r>
                </w:p>
              </w:tc>
            </w:tr>
            <w:tr w14:paraId="50441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7A714649">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56D7929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废水处理</w:t>
                  </w:r>
                </w:p>
              </w:tc>
              <w:tc>
                <w:tcPr>
                  <w:tcW w:w="5907" w:type="dxa"/>
                  <w:vAlign w:val="center"/>
                </w:tcPr>
                <w:p w14:paraId="6C2AA10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项目</w:t>
                  </w:r>
                  <w:r>
                    <w:rPr>
                      <w:rFonts w:hint="default" w:ascii="Times New Roman" w:hAnsi="Times New Roman" w:cs="Times New Roman" w:eastAsiaTheme="minorEastAsia"/>
                      <w:color w:val="auto"/>
                      <w:sz w:val="21"/>
                      <w:szCs w:val="21"/>
                      <w:lang w:eastAsia="zh-CN"/>
                    </w:rPr>
                    <w:t>生活污水</w:t>
                  </w:r>
                  <w:r>
                    <w:rPr>
                      <w:rFonts w:hint="eastAsia" w:ascii="Times New Roman" w:hAnsi="Times New Roman" w:cs="Times New Roman" w:eastAsiaTheme="minorEastAsia"/>
                      <w:color w:val="auto"/>
                      <w:sz w:val="21"/>
                      <w:szCs w:val="21"/>
                      <w:lang w:val="en-US" w:eastAsia="zh-CN"/>
                    </w:rPr>
                    <w:t>排入化粪池与</w:t>
                  </w:r>
                  <w:r>
                    <w:rPr>
                      <w:rFonts w:hint="default" w:ascii="Times New Roman" w:hAnsi="Times New Roman" w:cs="Times New Roman" w:eastAsiaTheme="minorEastAsia"/>
                      <w:color w:val="auto"/>
                      <w:sz w:val="21"/>
                      <w:szCs w:val="21"/>
                    </w:rPr>
                    <w:t>生产废水排入项目厌氧发酵系统处理。</w:t>
                  </w:r>
                  <w:r>
                    <w:rPr>
                      <w:rFonts w:hint="default" w:ascii="Times New Roman" w:hAnsi="Times New Roman" w:cs="Times New Roman" w:eastAsiaTheme="minorEastAsia"/>
                      <w:color w:val="auto"/>
                      <w:sz w:val="21"/>
                      <w:szCs w:val="21"/>
                      <w:lang w:val="en-US" w:eastAsia="zh-CN"/>
                    </w:rPr>
                    <w:t>化验室废液收集后暂存在危废暂存库，由有资质单位处置。</w:t>
                  </w:r>
                </w:p>
              </w:tc>
              <w:tc>
                <w:tcPr>
                  <w:tcW w:w="620" w:type="dxa"/>
                  <w:vAlign w:val="center"/>
                </w:tcPr>
                <w:p w14:paraId="0D2BEC2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30534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0A1149D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07B313B3">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地下水污染防</w:t>
                  </w:r>
                  <w:r>
                    <w:rPr>
                      <w:rFonts w:hint="default" w:ascii="Times New Roman" w:hAnsi="Times New Roman" w:cs="Times New Roman" w:eastAsiaTheme="minorEastAsia"/>
                      <w:color w:val="auto"/>
                      <w:spacing w:val="3"/>
                      <w:sz w:val="21"/>
                      <w:szCs w:val="21"/>
                    </w:rPr>
                    <w:t xml:space="preserve"> 治措施</w:t>
                  </w:r>
                </w:p>
              </w:tc>
              <w:tc>
                <w:tcPr>
                  <w:tcW w:w="5907" w:type="dxa"/>
                  <w:vAlign w:val="center"/>
                </w:tcPr>
                <w:p w14:paraId="3A236286">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rPr>
                    <w:t>分区防渗：项目</w:t>
                  </w:r>
                  <w:r>
                    <w:rPr>
                      <w:rFonts w:hint="default" w:ascii="Times New Roman" w:hAnsi="Times New Roman" w:cs="Times New Roman" w:eastAsiaTheme="minorEastAsia"/>
                      <w:color w:val="auto"/>
                      <w:spacing w:val="-4"/>
                      <w:sz w:val="21"/>
                      <w:szCs w:val="21"/>
                      <w:lang w:val="en-US" w:eastAsia="zh-CN"/>
                    </w:rPr>
                    <w:t>发酵车间、</w:t>
                  </w:r>
                  <w:r>
                    <w:rPr>
                      <w:rFonts w:hint="default" w:ascii="Times New Roman" w:hAnsi="Times New Roman" w:cs="Times New Roman" w:eastAsiaTheme="minorEastAsia"/>
                      <w:color w:val="auto"/>
                      <w:spacing w:val="-4"/>
                      <w:sz w:val="21"/>
                      <w:szCs w:val="21"/>
                      <w:lang w:eastAsia="zh-CN"/>
                    </w:rPr>
                    <w:t>危废贮存库、</w:t>
                  </w:r>
                  <w:r>
                    <w:rPr>
                      <w:rFonts w:hint="default" w:ascii="Times New Roman" w:hAnsi="Times New Roman" w:cs="Times New Roman" w:eastAsiaTheme="minorEastAsia"/>
                      <w:color w:val="auto"/>
                      <w:spacing w:val="-7"/>
                      <w:sz w:val="21"/>
                      <w:szCs w:val="21"/>
                    </w:rPr>
                    <w:t>沼液池</w:t>
                  </w:r>
                  <w:r>
                    <w:rPr>
                      <w:rFonts w:hint="default" w:ascii="Times New Roman" w:hAnsi="Times New Roman" w:cs="Times New Roman" w:eastAsiaTheme="minorEastAsia"/>
                      <w:color w:val="auto"/>
                      <w:spacing w:val="-7"/>
                      <w:sz w:val="21"/>
                      <w:szCs w:val="21"/>
                      <w:lang w:eastAsia="zh-CN"/>
                    </w:rPr>
                    <w:t>、</w:t>
                  </w:r>
                  <w:r>
                    <w:rPr>
                      <w:rFonts w:hint="default" w:ascii="Times New Roman" w:hAnsi="Times New Roman" w:cs="Times New Roman" w:eastAsiaTheme="minorEastAsia"/>
                      <w:color w:val="auto"/>
                      <w:spacing w:val="-7"/>
                      <w:sz w:val="21"/>
                      <w:szCs w:val="21"/>
                      <w:lang w:val="en-US" w:eastAsia="zh-CN"/>
                    </w:rPr>
                    <w:t>沼液预混池、</w:t>
                  </w:r>
                  <w:r>
                    <w:rPr>
                      <w:rFonts w:hint="default" w:ascii="Times New Roman" w:hAnsi="Times New Roman" w:cs="Times New Roman" w:eastAsiaTheme="minorEastAsia"/>
                      <w:color w:val="auto"/>
                      <w:spacing w:val="-4"/>
                      <w:sz w:val="21"/>
                      <w:szCs w:val="21"/>
                    </w:rPr>
                    <w:t>厌</w:t>
                  </w:r>
                  <w:r>
                    <w:rPr>
                      <w:rFonts w:hint="default" w:ascii="Times New Roman" w:hAnsi="Times New Roman" w:cs="Times New Roman" w:eastAsiaTheme="minorEastAsia"/>
                      <w:color w:val="auto"/>
                      <w:spacing w:val="-7"/>
                      <w:sz w:val="21"/>
                      <w:szCs w:val="21"/>
                    </w:rPr>
                    <w:t>氧发酵罐区</w:t>
                  </w:r>
                  <w:r>
                    <w:rPr>
                      <w:rFonts w:hint="default" w:ascii="Times New Roman" w:hAnsi="Times New Roman" w:cs="Times New Roman" w:eastAsiaTheme="minorEastAsia"/>
                      <w:color w:val="auto"/>
                      <w:spacing w:val="-4"/>
                      <w:sz w:val="21"/>
                      <w:szCs w:val="21"/>
                    </w:rPr>
                    <w:t>设置为重点防渗区</w:t>
                  </w:r>
                  <w:r>
                    <w:rPr>
                      <w:rFonts w:hint="default" w:ascii="Times New Roman" w:hAnsi="Times New Roman" w:cs="Times New Roman" w:eastAsiaTheme="minorEastAsia"/>
                      <w:color w:val="auto"/>
                      <w:spacing w:val="-7"/>
                      <w:sz w:val="21"/>
                      <w:szCs w:val="21"/>
                    </w:rPr>
                    <w:t>。沼气储</w:t>
                  </w:r>
                  <w:r>
                    <w:rPr>
                      <w:rFonts w:hint="default" w:ascii="Times New Roman" w:hAnsi="Times New Roman" w:cs="Times New Roman" w:eastAsiaTheme="minorEastAsia"/>
                      <w:color w:val="auto"/>
                      <w:spacing w:val="-8"/>
                      <w:sz w:val="21"/>
                      <w:szCs w:val="21"/>
                    </w:rPr>
                    <w:t>存区、</w:t>
                  </w:r>
                  <w:r>
                    <w:rPr>
                      <w:rFonts w:hint="default" w:ascii="Times New Roman" w:hAnsi="Times New Roman" w:cs="Times New Roman" w:eastAsiaTheme="minorEastAsia"/>
                      <w:color w:val="auto"/>
                      <w:spacing w:val="-4"/>
                      <w:sz w:val="21"/>
                      <w:szCs w:val="21"/>
                    </w:rPr>
                    <w:t>锅炉房、发电机房</w:t>
                  </w:r>
                  <w:r>
                    <w:rPr>
                      <w:rFonts w:hint="eastAsia" w:ascii="Times New Roman" w:hAnsi="Times New Roman" w:cs="Times New Roman" w:eastAsiaTheme="minorEastAsia"/>
                      <w:color w:val="auto"/>
                      <w:spacing w:val="-4"/>
                      <w:sz w:val="21"/>
                      <w:szCs w:val="21"/>
                      <w:lang w:eastAsia="zh-CN"/>
                    </w:rPr>
                    <w:t>、</w:t>
                  </w:r>
                  <w:r>
                    <w:rPr>
                      <w:rFonts w:hint="default" w:ascii="Times New Roman" w:hAnsi="Times New Roman" w:cs="Times New Roman" w:eastAsiaTheme="minorEastAsia"/>
                      <w:color w:val="auto"/>
                      <w:spacing w:val="-4"/>
                      <w:sz w:val="21"/>
                      <w:szCs w:val="21"/>
                    </w:rPr>
                    <w:t>生活区</w:t>
                  </w:r>
                  <w:r>
                    <w:rPr>
                      <w:rFonts w:hint="default" w:ascii="Times New Roman" w:hAnsi="Times New Roman" w:cs="Times New Roman" w:eastAsiaTheme="minorEastAsia"/>
                      <w:color w:val="auto"/>
                      <w:spacing w:val="-5"/>
                      <w:sz w:val="21"/>
                      <w:szCs w:val="21"/>
                    </w:rPr>
                    <w:t>等其</w:t>
                  </w:r>
                  <w:r>
                    <w:rPr>
                      <w:rFonts w:hint="default" w:ascii="Times New Roman" w:hAnsi="Times New Roman" w:cs="Times New Roman" w:eastAsiaTheme="minorEastAsia"/>
                      <w:color w:val="auto"/>
                      <w:spacing w:val="-2"/>
                      <w:sz w:val="21"/>
                      <w:szCs w:val="21"/>
                    </w:rPr>
                    <w:t>他区域设置为简单防渗区。</w:t>
                  </w:r>
                </w:p>
              </w:tc>
              <w:tc>
                <w:tcPr>
                  <w:tcW w:w="620" w:type="dxa"/>
                  <w:vAlign w:val="center"/>
                </w:tcPr>
                <w:p w14:paraId="126A6B15">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63B6D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426B6A90">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056608A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固体废物处置</w:t>
                  </w:r>
                </w:p>
              </w:tc>
              <w:tc>
                <w:tcPr>
                  <w:tcW w:w="5907" w:type="dxa"/>
                  <w:vAlign w:val="center"/>
                </w:tcPr>
                <w:p w14:paraId="4D041151">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分拣废料、废砂石、固体废渣</w:t>
                  </w:r>
                  <w:r>
                    <w:rPr>
                      <w:rFonts w:hint="eastAsia" w:ascii="Times New Roman" w:hAnsi="Times New Roman" w:cs="Times New Roman" w:eastAsiaTheme="minorEastAsia"/>
                      <w:color w:val="auto"/>
                      <w:spacing w:val="-1"/>
                      <w:sz w:val="21"/>
                      <w:szCs w:val="21"/>
                      <w:lang w:val="en-US" w:eastAsia="zh-CN"/>
                    </w:rPr>
                    <w:t>等可以综合利用的外委综合利用，生活垃圾集中收集后拉运政府指定生活垃圾暂存点处置</w:t>
                  </w:r>
                  <w:r>
                    <w:rPr>
                      <w:rFonts w:hint="default" w:ascii="Times New Roman" w:hAnsi="Times New Roman" w:cs="Times New Roman" w:eastAsiaTheme="minorEastAsia"/>
                      <w:color w:val="auto"/>
                      <w:sz w:val="21"/>
                      <w:szCs w:val="21"/>
                    </w:rPr>
                    <w:t>；废脱硫剂由厂家回收处置；发电</w:t>
                  </w:r>
                  <w:r>
                    <w:rPr>
                      <w:rFonts w:hint="default" w:ascii="Times New Roman" w:hAnsi="Times New Roman" w:cs="Times New Roman" w:eastAsiaTheme="minorEastAsia"/>
                      <w:color w:val="auto"/>
                      <w:spacing w:val="-3"/>
                      <w:sz w:val="21"/>
                      <w:szCs w:val="21"/>
                    </w:rPr>
                    <w:t>设备及机械设备维修产生的废机油、检验室废</w:t>
                  </w:r>
                  <w:r>
                    <w:rPr>
                      <w:rFonts w:hint="default" w:ascii="Times New Roman" w:hAnsi="Times New Roman" w:cs="Times New Roman" w:eastAsiaTheme="minorEastAsia"/>
                      <w:color w:val="auto"/>
                      <w:sz w:val="21"/>
                      <w:szCs w:val="21"/>
                    </w:rPr>
                    <w:t>液收集于</w:t>
                  </w:r>
                  <w:r>
                    <w:rPr>
                      <w:rFonts w:hint="eastAsia" w:ascii="Times New Roman" w:hAnsi="Times New Roman" w:cs="Times New Roman" w:eastAsiaTheme="minorEastAsia"/>
                      <w:color w:val="auto"/>
                      <w:sz w:val="21"/>
                      <w:szCs w:val="21"/>
                      <w:lang w:val="en-US" w:eastAsia="zh-CN"/>
                    </w:rPr>
                    <w:t>20m</w:t>
                  </w:r>
                  <w:r>
                    <w:rPr>
                      <w:rFonts w:hint="eastAsia"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eastAsia="zh-CN"/>
                    </w:rPr>
                    <w:t>危废贮存库</w:t>
                  </w:r>
                  <w:r>
                    <w:rPr>
                      <w:rFonts w:hint="default" w:ascii="Times New Roman" w:hAnsi="Times New Roman" w:cs="Times New Roman" w:eastAsiaTheme="minorEastAsia"/>
                      <w:color w:val="auto"/>
                      <w:sz w:val="21"/>
                      <w:szCs w:val="21"/>
                    </w:rPr>
                    <w:t>暂存，定期委托有资质单位清运处置；</w:t>
                  </w:r>
                  <w:r>
                    <w:rPr>
                      <w:rFonts w:hint="default" w:ascii="Times New Roman" w:hAnsi="Times New Roman" w:cs="Times New Roman" w:eastAsiaTheme="minorEastAsia"/>
                      <w:color w:val="auto"/>
                      <w:spacing w:val="-2"/>
                      <w:sz w:val="21"/>
                      <w:szCs w:val="21"/>
                    </w:rPr>
                    <w:t>废滤材及废树脂更换时由厂家回收。</w:t>
                  </w:r>
                </w:p>
              </w:tc>
              <w:tc>
                <w:tcPr>
                  <w:tcW w:w="620" w:type="dxa"/>
                  <w:vAlign w:val="center"/>
                </w:tcPr>
                <w:p w14:paraId="7CB1897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755E0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385B21D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1838114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设备噪声</w:t>
                  </w:r>
                </w:p>
              </w:tc>
              <w:tc>
                <w:tcPr>
                  <w:tcW w:w="5907" w:type="dxa"/>
                  <w:vAlign w:val="center"/>
                </w:tcPr>
                <w:p w14:paraId="7C897CDD">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对所选用设备噪声进行严格控制，选用低噪声设备，尽量避</w:t>
                  </w:r>
                  <w:r>
                    <w:rPr>
                      <w:rFonts w:hint="default" w:ascii="Times New Roman" w:hAnsi="Times New Roman" w:cs="Times New Roman" w:eastAsiaTheme="minorEastAsia"/>
                      <w:color w:val="auto"/>
                      <w:sz w:val="21"/>
                      <w:szCs w:val="21"/>
                    </w:rPr>
                    <w:t>免机械空转，并采取相应的隔声、消声及减振等措</w:t>
                  </w:r>
                  <w:r>
                    <w:rPr>
                      <w:rFonts w:hint="default" w:ascii="Times New Roman" w:hAnsi="Times New Roman" w:cs="Times New Roman" w:eastAsiaTheme="minorEastAsia"/>
                      <w:color w:val="auto"/>
                      <w:spacing w:val="-1"/>
                      <w:sz w:val="21"/>
                      <w:szCs w:val="21"/>
                    </w:rPr>
                    <w:t>施。</w:t>
                  </w:r>
                </w:p>
              </w:tc>
              <w:tc>
                <w:tcPr>
                  <w:tcW w:w="620" w:type="dxa"/>
                  <w:vAlign w:val="center"/>
                </w:tcPr>
                <w:p w14:paraId="1F0A06DE">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37571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vMerge w:val="continue"/>
                  <w:tcBorders>
                    <w:top w:val="nil"/>
                    <w:bottom w:val="nil"/>
                  </w:tcBorders>
                  <w:vAlign w:val="center"/>
                </w:tcPr>
                <w:p w14:paraId="695FC519">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2A1392B0">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应急事故池</w:t>
                  </w:r>
                </w:p>
              </w:tc>
              <w:tc>
                <w:tcPr>
                  <w:tcW w:w="5907" w:type="dxa"/>
                  <w:vAlign w:val="center"/>
                </w:tcPr>
                <w:p w14:paraId="390EFFEA">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pacing w:val="8"/>
                      <w:sz w:val="21"/>
                      <w:szCs w:val="21"/>
                    </w:rPr>
                    <w:t>设1</w:t>
                  </w:r>
                  <w:r>
                    <w:rPr>
                      <w:rFonts w:hint="default" w:ascii="Times New Roman" w:hAnsi="Times New Roman" w:cs="Times New Roman" w:eastAsiaTheme="minorEastAsia"/>
                      <w:color w:val="auto"/>
                      <w:spacing w:val="8"/>
                      <w:sz w:val="21"/>
                      <w:szCs w:val="21"/>
                      <w:lang w:val="en-US" w:eastAsia="zh-CN"/>
                    </w:rPr>
                    <w:t>8</w:t>
                  </w:r>
                  <w:r>
                    <w:rPr>
                      <w:rFonts w:hint="default" w:ascii="Times New Roman" w:hAnsi="Times New Roman" w:cs="Times New Roman" w:eastAsiaTheme="minorEastAsia"/>
                      <w:color w:val="auto"/>
                      <w:spacing w:val="8"/>
                      <w:sz w:val="21"/>
                      <w:szCs w:val="21"/>
                    </w:rPr>
                    <w:t>0m³应急事故池</w:t>
                  </w:r>
                  <w:r>
                    <w:rPr>
                      <w:rFonts w:hint="eastAsia" w:ascii="Times New Roman" w:hAnsi="Times New Roman" w:cs="Times New Roman" w:eastAsiaTheme="minorEastAsia"/>
                      <w:color w:val="auto"/>
                      <w:spacing w:val="8"/>
                      <w:sz w:val="21"/>
                      <w:szCs w:val="21"/>
                      <w:lang w:val="en-US" w:eastAsia="zh-CN"/>
                    </w:rPr>
                    <w:t>和</w:t>
                  </w:r>
                  <w:r>
                    <w:rPr>
                      <w:rFonts w:hint="default" w:ascii="Times New Roman" w:hAnsi="Times New Roman" w:cs="Times New Roman" w:eastAsiaTheme="minorEastAsia"/>
                      <w:color w:val="auto"/>
                      <w:spacing w:val="8"/>
                      <w:sz w:val="21"/>
                      <w:szCs w:val="21"/>
                      <w:lang w:val="en-US" w:eastAsia="zh-CN"/>
                    </w:rPr>
                    <w:t>初期雨水收集池</w:t>
                  </w:r>
                  <w:r>
                    <w:rPr>
                      <w:rFonts w:hint="default" w:ascii="Times New Roman" w:hAnsi="Times New Roman" w:cs="Times New Roman" w:eastAsiaTheme="minorEastAsia"/>
                      <w:color w:val="auto"/>
                      <w:spacing w:val="8"/>
                      <w:sz w:val="21"/>
                      <w:szCs w:val="21"/>
                    </w:rPr>
                    <w:t>1座</w:t>
                  </w:r>
                </w:p>
              </w:tc>
              <w:tc>
                <w:tcPr>
                  <w:tcW w:w="620" w:type="dxa"/>
                  <w:vAlign w:val="center"/>
                </w:tcPr>
                <w:p w14:paraId="650A8328">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新建</w:t>
                  </w:r>
                </w:p>
              </w:tc>
            </w:tr>
            <w:tr w14:paraId="1C283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2" w:type="dxa"/>
                  <w:tcBorders>
                    <w:top w:val="nil"/>
                  </w:tcBorders>
                  <w:vAlign w:val="center"/>
                </w:tcPr>
                <w:p w14:paraId="0A05C9C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rPr>
                  </w:pPr>
                </w:p>
              </w:tc>
              <w:tc>
                <w:tcPr>
                  <w:tcW w:w="1315" w:type="dxa"/>
                  <w:gridSpan w:val="2"/>
                  <w:vAlign w:val="center"/>
                </w:tcPr>
                <w:p w14:paraId="36AD489F">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环境风险</w:t>
                  </w:r>
                </w:p>
              </w:tc>
              <w:tc>
                <w:tcPr>
                  <w:tcW w:w="5907" w:type="dxa"/>
                  <w:vAlign w:val="center"/>
                </w:tcPr>
                <w:p w14:paraId="3C65047C">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pacing w:val="8"/>
                      <w:sz w:val="21"/>
                      <w:szCs w:val="21"/>
                      <w:lang w:val="en-US" w:eastAsia="zh-CN"/>
                    </w:rPr>
                  </w:pPr>
                  <w:r>
                    <w:rPr>
                      <w:rFonts w:hint="default" w:ascii="Times New Roman" w:hAnsi="Times New Roman" w:cs="Times New Roman" w:eastAsiaTheme="minorEastAsia"/>
                      <w:color w:val="auto"/>
                      <w:spacing w:val="8"/>
                      <w:sz w:val="21"/>
                      <w:szCs w:val="21"/>
                      <w:lang w:val="en-US" w:eastAsia="zh-CN"/>
                    </w:rPr>
                    <w:t>编制突发环境事件应急预案；设置雨水导排渠，将雨水排至厂外，东侧设置挡水墙，防止场内水外流。</w:t>
                  </w:r>
                </w:p>
              </w:tc>
              <w:tc>
                <w:tcPr>
                  <w:tcW w:w="620" w:type="dxa"/>
                  <w:vAlign w:val="center"/>
                </w:tcPr>
                <w:p w14:paraId="03431BB9">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eastAsia" w:ascii="Times New Roman" w:hAnsi="Times New Roman" w:cs="Times New Roman" w:eastAsiaTheme="minorEastAsia"/>
                      <w:color w:val="auto"/>
                      <w:spacing w:val="-3"/>
                      <w:sz w:val="21"/>
                      <w:szCs w:val="21"/>
                      <w:lang w:val="en-US" w:eastAsia="zh-CN"/>
                    </w:rPr>
                  </w:pPr>
                  <w:r>
                    <w:rPr>
                      <w:rFonts w:hint="eastAsia" w:ascii="Times New Roman" w:hAnsi="Times New Roman" w:cs="Times New Roman" w:eastAsiaTheme="minorEastAsia"/>
                      <w:color w:val="auto"/>
                      <w:spacing w:val="-3"/>
                      <w:sz w:val="21"/>
                      <w:szCs w:val="21"/>
                      <w:lang w:val="en-US" w:eastAsia="zh-CN"/>
                    </w:rPr>
                    <w:t>新建</w:t>
                  </w:r>
                </w:p>
              </w:tc>
            </w:tr>
          </w:tbl>
          <w:p w14:paraId="2F92A9E0">
            <w:pPr>
              <w:spacing w:line="360" w:lineRule="auto"/>
              <w:ind w:firstLine="480"/>
              <w:rPr>
                <w:rFonts w:hint="default" w:ascii="Times New Roman" w:hAnsi="Times New Roman" w:eastAsia="宋体" w:cs="Times New Roman"/>
                <w:b/>
                <w:bCs/>
                <w:snapToGrid w:val="0"/>
                <w:color w:val="auto"/>
                <w:sz w:val="30"/>
                <w:szCs w:val="30"/>
                <w:vertAlign w:val="baseline"/>
              </w:rPr>
            </w:pPr>
          </w:p>
        </w:tc>
      </w:tr>
    </w:tbl>
    <w:tbl>
      <w:tblPr>
        <w:tblStyle w:val="3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
        <w:gridCol w:w="8606"/>
      </w:tblGrid>
      <w:tr w14:paraId="1F4D5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2" w:hRule="atLeast"/>
          <w:jc w:val="center"/>
        </w:trPr>
        <w:tc>
          <w:tcPr>
            <w:tcW w:w="447" w:type="dxa"/>
            <w:tcBorders>
              <w:tl2br w:val="nil"/>
              <w:tr2bl w:val="nil"/>
            </w:tcBorders>
            <w:shd w:val="clear" w:color="auto" w:fill="auto"/>
            <w:noWrap w:val="0"/>
            <w:vAlign w:val="center"/>
          </w:tcPr>
          <w:p w14:paraId="24B2DECE">
            <w:pPr>
              <w:pStyle w:val="31"/>
              <w:adjustRightInd w:val="0"/>
              <w:snapToGrid w:val="0"/>
              <w:spacing w:before="0" w:beforeAutospacing="0" w:after="0" w:afterAutospacing="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建设内容</w:t>
            </w:r>
          </w:p>
        </w:tc>
        <w:tc>
          <w:tcPr>
            <w:tcW w:w="8613" w:type="dxa"/>
            <w:tcBorders>
              <w:tl2br w:val="nil"/>
              <w:tr2bl w:val="nil"/>
            </w:tcBorders>
            <w:shd w:val="clear" w:color="auto" w:fill="auto"/>
            <w:noWrap w:val="0"/>
            <w:vAlign w:val="top"/>
          </w:tcPr>
          <w:p w14:paraId="5F1E7183">
            <w:pPr>
              <w:adjustRightInd w:val="0"/>
              <w:snapToGrid w:val="0"/>
              <w:spacing w:before="120" w:beforeLines="50" w:line="360" w:lineRule="auto"/>
              <w:ind w:firstLine="482" w:firstLineChars="200"/>
              <w:rPr>
                <w:rFonts w:hint="default" w:ascii="Times New Roman" w:hAnsi="Times New Roman" w:eastAsia="宋体" w:cs="Times New Roman"/>
                <w:b/>
                <w:color w:val="auto"/>
                <w:sz w:val="24"/>
                <w:highlight w:val="none"/>
                <w:u w:val="none"/>
              </w:rPr>
            </w:pPr>
            <w:r>
              <w:rPr>
                <w:rFonts w:hint="default" w:ascii="Times New Roman" w:hAnsi="Times New Roman" w:cs="Times New Roman"/>
                <w:b/>
                <w:bCs/>
                <w:color w:val="auto"/>
                <w:sz w:val="24"/>
                <w:lang w:val="en-US" w:eastAsia="zh-CN"/>
              </w:rPr>
              <w:t>2.1</w:t>
            </w:r>
            <w:r>
              <w:rPr>
                <w:rFonts w:hint="default" w:ascii="Times New Roman" w:hAnsi="Times New Roman" w:eastAsia="宋体" w:cs="Times New Roman"/>
                <w:b/>
                <w:color w:val="auto"/>
                <w:sz w:val="24"/>
                <w:highlight w:val="none"/>
                <w:u w:val="none"/>
              </w:rPr>
              <w:t>主要设备</w:t>
            </w:r>
          </w:p>
          <w:p w14:paraId="67C40C49">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lang w:eastAsia="zh-CN"/>
              </w:rPr>
            </w:pPr>
            <w:r>
              <w:rPr>
                <w:rFonts w:hint="default" w:ascii="Times New Roman" w:hAnsi="Times New Roman" w:eastAsia="宋体" w:cs="Times New Roman"/>
                <w:color w:val="auto"/>
                <w:sz w:val="24"/>
                <w:highlight w:val="none"/>
                <w:u w:val="none"/>
              </w:rPr>
              <w:t>主要设备详见表</w:t>
            </w:r>
            <w:r>
              <w:rPr>
                <w:rFonts w:hint="default" w:ascii="Times New Roman" w:hAnsi="Times New Roman" w:cs="Times New Roman"/>
                <w:color w:val="auto"/>
                <w:sz w:val="24"/>
                <w:highlight w:val="none"/>
                <w:u w:val="none"/>
                <w:lang w:val="en-US" w:eastAsia="zh-CN"/>
              </w:rPr>
              <w:t>2-2</w:t>
            </w:r>
            <w:r>
              <w:rPr>
                <w:rFonts w:hint="default" w:ascii="Times New Roman" w:hAnsi="Times New Roman" w:eastAsia="宋体" w:cs="Times New Roman"/>
                <w:color w:val="auto"/>
                <w:sz w:val="24"/>
                <w:highlight w:val="none"/>
                <w:u w:val="none"/>
              </w:rPr>
              <w:t>。</w:t>
            </w:r>
          </w:p>
          <w:p w14:paraId="44DAC409">
            <w:pPr>
              <w:keepNext w:val="0"/>
              <w:keepLines w:val="0"/>
              <w:pageBreakBefore w:val="0"/>
              <w:widowControl w:val="0"/>
              <w:kinsoku/>
              <w:wordWrap/>
              <w:overflowPunct/>
              <w:topLinePunct w:val="0"/>
              <w:autoSpaceDE/>
              <w:autoSpaceDN/>
              <w:bidi w:val="0"/>
              <w:adjustRightInd/>
              <w:snapToGrid/>
              <w:spacing w:line="240" w:lineRule="atLeast"/>
              <w:ind w:firstLine="0"/>
              <w:jc w:val="center"/>
              <w:textAlignment w:val="auto"/>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表2-2  主要工艺设备表</w:t>
            </w:r>
          </w:p>
          <w:tbl>
            <w:tblPr>
              <w:tblStyle w:val="34"/>
              <w:tblW w:w="8373"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35"/>
              <w:gridCol w:w="1624"/>
              <w:gridCol w:w="1181"/>
              <w:gridCol w:w="525"/>
              <w:gridCol w:w="444"/>
              <w:gridCol w:w="3964"/>
            </w:tblGrid>
            <w:tr w14:paraId="7D875C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1" w:hRule="atLeast"/>
              </w:trPr>
              <w:tc>
                <w:tcPr>
                  <w:tcW w:w="635" w:type="dxa"/>
                  <w:tcBorders>
                    <w:tl2br w:val="nil"/>
                    <w:tr2bl w:val="nil"/>
                  </w:tcBorders>
                  <w:noWrap w:val="0"/>
                  <w:vAlign w:val="center"/>
                </w:tcPr>
                <w:p w14:paraId="36D6928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pacing w:val="-4"/>
                      <w:sz w:val="21"/>
                      <w:szCs w:val="21"/>
                    </w:rPr>
                    <w:t>序号</w:t>
                  </w:r>
                </w:p>
              </w:tc>
              <w:tc>
                <w:tcPr>
                  <w:tcW w:w="1624" w:type="dxa"/>
                  <w:tcBorders>
                    <w:tl2br w:val="nil"/>
                    <w:tr2bl w:val="nil"/>
                  </w:tcBorders>
                  <w:noWrap w:val="0"/>
                  <w:vAlign w:val="center"/>
                </w:tcPr>
                <w:p w14:paraId="4F28849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pacing w:val="-5"/>
                      <w:sz w:val="21"/>
                      <w:szCs w:val="21"/>
                    </w:rPr>
                    <w:t>名称</w:t>
                  </w:r>
                </w:p>
              </w:tc>
              <w:tc>
                <w:tcPr>
                  <w:tcW w:w="1181" w:type="dxa"/>
                  <w:tcBorders>
                    <w:tl2br w:val="nil"/>
                    <w:tr2bl w:val="nil"/>
                  </w:tcBorders>
                  <w:noWrap w:val="0"/>
                  <w:vAlign w:val="center"/>
                </w:tcPr>
                <w:p w14:paraId="32506A4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pacing w:val="-5"/>
                      <w:sz w:val="21"/>
                      <w:szCs w:val="21"/>
                    </w:rPr>
                    <w:t>规格</w:t>
                  </w:r>
                </w:p>
              </w:tc>
              <w:tc>
                <w:tcPr>
                  <w:tcW w:w="525" w:type="dxa"/>
                  <w:tcBorders>
                    <w:tl2br w:val="nil"/>
                    <w:tr2bl w:val="nil"/>
                  </w:tcBorders>
                  <w:noWrap w:val="0"/>
                  <w:vAlign w:val="center"/>
                </w:tcPr>
                <w:p w14:paraId="56CD676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pacing w:val="-5"/>
                      <w:sz w:val="21"/>
                      <w:szCs w:val="21"/>
                    </w:rPr>
                    <w:t>数量</w:t>
                  </w:r>
                </w:p>
              </w:tc>
              <w:tc>
                <w:tcPr>
                  <w:tcW w:w="444" w:type="dxa"/>
                  <w:tcBorders>
                    <w:tl2br w:val="nil"/>
                    <w:tr2bl w:val="nil"/>
                  </w:tcBorders>
                  <w:noWrap w:val="0"/>
                  <w:vAlign w:val="center"/>
                </w:tcPr>
                <w:p w14:paraId="7055C91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pacing w:val="-5"/>
                      <w:sz w:val="21"/>
                      <w:szCs w:val="21"/>
                    </w:rPr>
                    <w:t>单位</w:t>
                  </w:r>
                </w:p>
              </w:tc>
              <w:tc>
                <w:tcPr>
                  <w:tcW w:w="3964" w:type="dxa"/>
                  <w:tcBorders>
                    <w:tl2br w:val="nil"/>
                    <w:tr2bl w:val="nil"/>
                  </w:tcBorders>
                  <w:noWrap w:val="0"/>
                  <w:vAlign w:val="center"/>
                </w:tcPr>
                <w:p w14:paraId="47B846C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pacing w:val="-5"/>
                      <w:sz w:val="21"/>
                      <w:szCs w:val="21"/>
                    </w:rPr>
                    <w:t>参数</w:t>
                  </w:r>
                </w:p>
              </w:tc>
            </w:tr>
            <w:tr w14:paraId="5555270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635" w:type="dxa"/>
                  <w:tcBorders>
                    <w:tl2br w:val="nil"/>
                    <w:tr2bl w:val="nil"/>
                  </w:tcBorders>
                  <w:noWrap w:val="0"/>
                  <w:vAlign w:val="center"/>
                </w:tcPr>
                <w:p w14:paraId="6A06F6E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8"/>
                      <w:sz w:val="21"/>
                      <w:szCs w:val="21"/>
                    </w:rPr>
                    <w:t>(</w:t>
                  </w:r>
                  <w:r>
                    <w:rPr>
                      <w:rFonts w:hint="default" w:ascii="Times New Roman" w:hAnsi="Times New Roman" w:cs="Times New Roman" w:eastAsiaTheme="minorEastAsia"/>
                      <w:color w:val="auto"/>
                      <w:spacing w:val="-46"/>
                      <w:sz w:val="21"/>
                      <w:szCs w:val="21"/>
                    </w:rPr>
                    <w:t xml:space="preserve"> </w:t>
                  </w:r>
                  <w:r>
                    <w:rPr>
                      <w:rFonts w:hint="default" w:ascii="Times New Roman" w:hAnsi="Times New Roman" w:cs="Times New Roman" w:eastAsiaTheme="minorEastAsia"/>
                      <w:color w:val="auto"/>
                      <w:spacing w:val="-18"/>
                      <w:sz w:val="21"/>
                      <w:szCs w:val="21"/>
                    </w:rPr>
                    <w:t>一</w:t>
                  </w:r>
                  <w:r>
                    <w:rPr>
                      <w:rFonts w:hint="default" w:ascii="Times New Roman" w:hAnsi="Times New Roman" w:cs="Times New Roman" w:eastAsiaTheme="minorEastAsia"/>
                      <w:color w:val="auto"/>
                      <w:spacing w:val="-49"/>
                      <w:sz w:val="21"/>
                      <w:szCs w:val="21"/>
                    </w:rPr>
                    <w:t xml:space="preserve"> </w:t>
                  </w:r>
                  <w:r>
                    <w:rPr>
                      <w:rFonts w:hint="default" w:ascii="Times New Roman" w:hAnsi="Times New Roman" w:cs="Times New Roman" w:eastAsiaTheme="minorEastAsia"/>
                      <w:color w:val="auto"/>
                      <w:spacing w:val="-18"/>
                      <w:sz w:val="21"/>
                      <w:szCs w:val="21"/>
                    </w:rPr>
                    <w:t>)</w:t>
                  </w:r>
                </w:p>
              </w:tc>
              <w:tc>
                <w:tcPr>
                  <w:tcW w:w="1624" w:type="dxa"/>
                  <w:tcBorders>
                    <w:tl2br w:val="nil"/>
                    <w:tr2bl w:val="nil"/>
                  </w:tcBorders>
                  <w:noWrap w:val="0"/>
                  <w:vAlign w:val="center"/>
                </w:tcPr>
                <w:p w14:paraId="313F327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沼气工程</w:t>
                  </w:r>
                </w:p>
              </w:tc>
              <w:tc>
                <w:tcPr>
                  <w:tcW w:w="1181" w:type="dxa"/>
                  <w:tcBorders>
                    <w:tl2br w:val="nil"/>
                    <w:tr2bl w:val="nil"/>
                  </w:tcBorders>
                  <w:noWrap w:val="0"/>
                  <w:vAlign w:val="center"/>
                </w:tcPr>
                <w:p w14:paraId="58EDFD0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6B4B7162">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444" w:type="dxa"/>
                  <w:tcBorders>
                    <w:tl2br w:val="nil"/>
                    <w:tr2bl w:val="nil"/>
                  </w:tcBorders>
                  <w:noWrap w:val="0"/>
                  <w:vAlign w:val="center"/>
                </w:tcPr>
                <w:p w14:paraId="7A0398B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3964" w:type="dxa"/>
                  <w:tcBorders>
                    <w:tl2br w:val="nil"/>
                    <w:tr2bl w:val="nil"/>
                  </w:tcBorders>
                  <w:noWrap w:val="0"/>
                  <w:vAlign w:val="center"/>
                </w:tcPr>
                <w:p w14:paraId="19721BE1">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650A207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635" w:type="dxa"/>
                  <w:tcBorders>
                    <w:tl2br w:val="nil"/>
                    <w:tr2bl w:val="nil"/>
                  </w:tcBorders>
                  <w:noWrap w:val="0"/>
                  <w:vAlign w:val="center"/>
                </w:tcPr>
                <w:p w14:paraId="2F45474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1624" w:type="dxa"/>
                  <w:tcBorders>
                    <w:tl2br w:val="nil"/>
                    <w:tr2bl w:val="nil"/>
                  </w:tcBorders>
                  <w:noWrap w:val="0"/>
                  <w:vAlign w:val="center"/>
                </w:tcPr>
                <w:p w14:paraId="47FCC76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rPr>
                    <w:t>设备</w:t>
                  </w:r>
                </w:p>
              </w:tc>
              <w:tc>
                <w:tcPr>
                  <w:tcW w:w="1181" w:type="dxa"/>
                  <w:tcBorders>
                    <w:tl2br w:val="nil"/>
                    <w:tr2bl w:val="nil"/>
                  </w:tcBorders>
                  <w:noWrap w:val="0"/>
                  <w:vAlign w:val="center"/>
                </w:tcPr>
                <w:p w14:paraId="54A1DFBA">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4D5ABA5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444" w:type="dxa"/>
                  <w:tcBorders>
                    <w:tl2br w:val="nil"/>
                    <w:tr2bl w:val="nil"/>
                  </w:tcBorders>
                  <w:noWrap w:val="0"/>
                  <w:vAlign w:val="center"/>
                </w:tcPr>
                <w:p w14:paraId="0FFBE48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3964" w:type="dxa"/>
                  <w:tcBorders>
                    <w:tl2br w:val="nil"/>
                    <w:tr2bl w:val="nil"/>
                  </w:tcBorders>
                  <w:noWrap w:val="0"/>
                  <w:vAlign w:val="center"/>
                </w:tcPr>
                <w:p w14:paraId="35AED73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7F36A9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635" w:type="dxa"/>
                  <w:tcBorders>
                    <w:tl2br w:val="nil"/>
                    <w:tr2bl w:val="nil"/>
                  </w:tcBorders>
                  <w:noWrap w:val="0"/>
                  <w:vAlign w:val="center"/>
                </w:tcPr>
                <w:p w14:paraId="517D2D7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1.1</w:t>
                  </w:r>
                </w:p>
              </w:tc>
              <w:tc>
                <w:tcPr>
                  <w:tcW w:w="1624" w:type="dxa"/>
                  <w:tcBorders>
                    <w:tl2br w:val="nil"/>
                    <w:tr2bl w:val="nil"/>
                  </w:tcBorders>
                  <w:noWrap w:val="0"/>
                  <w:vAlign w:val="center"/>
                </w:tcPr>
                <w:p w14:paraId="4BA7A05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回转式格栅</w:t>
                  </w:r>
                </w:p>
              </w:tc>
              <w:tc>
                <w:tcPr>
                  <w:tcW w:w="1181" w:type="dxa"/>
                  <w:tcBorders>
                    <w:tl2br w:val="nil"/>
                    <w:tr2bl w:val="nil"/>
                  </w:tcBorders>
                  <w:noWrap w:val="0"/>
                  <w:vAlign w:val="center"/>
                </w:tcPr>
                <w:p w14:paraId="4E562DA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235B5B6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4840E44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7E4D279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格栅渠深：1.5m,渠宽：1m,排渣高度：</w:t>
                  </w:r>
                  <w:r>
                    <w:rPr>
                      <w:rFonts w:hint="default" w:ascii="Times New Roman" w:hAnsi="Times New Roman" w:cs="Times New Roman" w:eastAsiaTheme="minorEastAsia"/>
                      <w:color w:val="auto"/>
                      <w:spacing w:val="-1"/>
                      <w:sz w:val="21"/>
                      <w:szCs w:val="21"/>
                    </w:rPr>
                    <w:t>1m,孔距20mm</w:t>
                  </w:r>
                </w:p>
              </w:tc>
            </w:tr>
            <w:tr w14:paraId="51EA693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35" w:type="dxa"/>
                  <w:tcBorders>
                    <w:tl2br w:val="nil"/>
                    <w:tr2bl w:val="nil"/>
                  </w:tcBorders>
                  <w:noWrap w:val="0"/>
                  <w:vAlign w:val="center"/>
                </w:tcPr>
                <w:p w14:paraId="297C3F4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1.2</w:t>
                  </w:r>
                </w:p>
              </w:tc>
              <w:tc>
                <w:tcPr>
                  <w:tcW w:w="1624" w:type="dxa"/>
                  <w:tcBorders>
                    <w:tl2br w:val="nil"/>
                    <w:tr2bl w:val="nil"/>
                  </w:tcBorders>
                  <w:noWrap w:val="0"/>
                  <w:vAlign w:val="center"/>
                </w:tcPr>
                <w:p w14:paraId="4219D3F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进料池进料泵</w:t>
                  </w:r>
                </w:p>
              </w:tc>
              <w:tc>
                <w:tcPr>
                  <w:tcW w:w="1181" w:type="dxa"/>
                  <w:tcBorders>
                    <w:tl2br w:val="nil"/>
                    <w:tr2bl w:val="nil"/>
                  </w:tcBorders>
                  <w:noWrap w:val="0"/>
                  <w:vAlign w:val="center"/>
                </w:tcPr>
                <w:p w14:paraId="3AD57152">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25C83AC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444" w:type="dxa"/>
                  <w:tcBorders>
                    <w:tl2br w:val="nil"/>
                    <w:tr2bl w:val="nil"/>
                  </w:tcBorders>
                  <w:noWrap w:val="0"/>
                  <w:vAlign w:val="center"/>
                </w:tcPr>
                <w:p w14:paraId="73538A7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44D2B92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功率：7.5Kw流量：65m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/h扬程：25m</w:t>
                  </w:r>
                  <w:r>
                    <w:rPr>
                      <w:rFonts w:hint="default" w:ascii="Times New Roman" w:hAnsi="Times New Roman" w:cs="Times New Roman" w:eastAsiaTheme="minorEastAsia"/>
                      <w:color w:val="auto"/>
                      <w:spacing w:val="-1"/>
                      <w:sz w:val="21"/>
                      <w:szCs w:val="21"/>
                    </w:rPr>
                    <w:t>(两用一备)</w:t>
                  </w:r>
                </w:p>
              </w:tc>
            </w:tr>
            <w:tr w14:paraId="6A4A55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35" w:type="dxa"/>
                  <w:tcBorders>
                    <w:tl2br w:val="nil"/>
                    <w:tr2bl w:val="nil"/>
                  </w:tcBorders>
                  <w:noWrap w:val="0"/>
                  <w:vAlign w:val="center"/>
                </w:tcPr>
                <w:p w14:paraId="7D2E94E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1.3</w:t>
                  </w:r>
                </w:p>
              </w:tc>
              <w:tc>
                <w:tcPr>
                  <w:tcW w:w="1624" w:type="dxa"/>
                  <w:tcBorders>
                    <w:tl2br w:val="nil"/>
                    <w:tr2bl w:val="nil"/>
                  </w:tcBorders>
                  <w:noWrap w:val="0"/>
                  <w:vAlign w:val="center"/>
                </w:tcPr>
                <w:p w14:paraId="3275473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预处理池桨式搅拌机</w:t>
                  </w:r>
                </w:p>
              </w:tc>
              <w:tc>
                <w:tcPr>
                  <w:tcW w:w="1181" w:type="dxa"/>
                  <w:tcBorders>
                    <w:tl2br w:val="nil"/>
                    <w:tr2bl w:val="nil"/>
                  </w:tcBorders>
                  <w:noWrap w:val="0"/>
                  <w:vAlign w:val="center"/>
                </w:tcPr>
                <w:p w14:paraId="369C2C0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383386B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3525FF4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77DCD69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功率7.5kw</w:t>
                  </w:r>
                </w:p>
              </w:tc>
            </w:tr>
            <w:tr w14:paraId="4916C34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635" w:type="dxa"/>
                  <w:tcBorders>
                    <w:tl2br w:val="nil"/>
                    <w:tr2bl w:val="nil"/>
                  </w:tcBorders>
                  <w:noWrap w:val="0"/>
                  <w:vAlign w:val="center"/>
                </w:tcPr>
                <w:p w14:paraId="4A31730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1.4</w:t>
                  </w:r>
                </w:p>
              </w:tc>
              <w:tc>
                <w:tcPr>
                  <w:tcW w:w="1624" w:type="dxa"/>
                  <w:tcBorders>
                    <w:tl2br w:val="nil"/>
                    <w:tr2bl w:val="nil"/>
                  </w:tcBorders>
                  <w:noWrap w:val="0"/>
                  <w:vAlign w:val="center"/>
                </w:tcPr>
                <w:p w14:paraId="4CCB7B1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沼液池沼液泵</w:t>
                  </w:r>
                </w:p>
              </w:tc>
              <w:tc>
                <w:tcPr>
                  <w:tcW w:w="1181" w:type="dxa"/>
                  <w:tcBorders>
                    <w:tl2br w:val="nil"/>
                    <w:tr2bl w:val="nil"/>
                  </w:tcBorders>
                  <w:noWrap w:val="0"/>
                  <w:vAlign w:val="center"/>
                </w:tcPr>
                <w:p w14:paraId="4092E64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3791BC6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1D3C6E8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16AF38B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流量50m³/h、功率3</w:t>
                  </w:r>
                  <w:r>
                    <w:rPr>
                      <w:rFonts w:hint="default" w:ascii="Times New Roman" w:hAnsi="Times New Roman" w:cs="Times New Roman" w:eastAsiaTheme="minorEastAsia"/>
                      <w:color w:val="auto"/>
                      <w:sz w:val="21"/>
                      <w:szCs w:val="21"/>
                    </w:rPr>
                    <w:t>kw</w:t>
                  </w:r>
                </w:p>
              </w:tc>
            </w:tr>
            <w:tr w14:paraId="2BDFCE0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635" w:type="dxa"/>
                  <w:tcBorders>
                    <w:tl2br w:val="nil"/>
                    <w:tr2bl w:val="nil"/>
                  </w:tcBorders>
                  <w:noWrap w:val="0"/>
                  <w:vAlign w:val="center"/>
                </w:tcPr>
                <w:p w14:paraId="0CA0034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1.5</w:t>
                  </w:r>
                </w:p>
              </w:tc>
              <w:tc>
                <w:tcPr>
                  <w:tcW w:w="1624" w:type="dxa"/>
                  <w:tcBorders>
                    <w:tl2br w:val="nil"/>
                    <w:tr2bl w:val="nil"/>
                  </w:tcBorders>
                  <w:noWrap w:val="0"/>
                  <w:vAlign w:val="center"/>
                </w:tcPr>
                <w:p w14:paraId="0B7E4DB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沼气流量表</w:t>
                  </w:r>
                </w:p>
              </w:tc>
              <w:tc>
                <w:tcPr>
                  <w:tcW w:w="1181" w:type="dxa"/>
                  <w:tcBorders>
                    <w:tl2br w:val="nil"/>
                    <w:tr2bl w:val="nil"/>
                  </w:tcBorders>
                  <w:noWrap w:val="0"/>
                  <w:vAlign w:val="center"/>
                </w:tcPr>
                <w:p w14:paraId="6BB409A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348FD7E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092E38C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6712770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热式气体质量流量计、流量250</w:t>
                  </w:r>
                  <w:r>
                    <w:rPr>
                      <w:rFonts w:hint="default" w:ascii="Times New Roman" w:hAnsi="Times New Roman" w:cs="Times New Roman" w:eastAsiaTheme="minorEastAsia"/>
                      <w:color w:val="auto"/>
                      <w:sz w:val="21"/>
                      <w:szCs w:val="21"/>
                    </w:rPr>
                    <w:t>N</w:t>
                  </w:r>
                  <w:r>
                    <w:rPr>
                      <w:rFonts w:hint="default" w:ascii="Times New Roman" w:hAnsi="Times New Roman" w:cs="Times New Roman" w:eastAsiaTheme="minorEastAsia"/>
                      <w:color w:val="auto"/>
                      <w:spacing w:val="8"/>
                      <w:sz w:val="21"/>
                      <w:szCs w:val="21"/>
                    </w:rPr>
                    <w:t xml:space="preserve"> </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pacing w:val="8"/>
                      <w:sz w:val="21"/>
                      <w:szCs w:val="21"/>
                    </w:rPr>
                    <w:t>³/</w:t>
                  </w:r>
                  <w:r>
                    <w:rPr>
                      <w:rFonts w:hint="default" w:ascii="Times New Roman" w:hAnsi="Times New Roman" w:cs="Times New Roman" w:eastAsiaTheme="minorEastAsia"/>
                      <w:color w:val="auto"/>
                      <w:sz w:val="21"/>
                      <w:szCs w:val="21"/>
                    </w:rPr>
                    <w:t>hr</w:t>
                  </w:r>
                  <w:r>
                    <w:rPr>
                      <w:rFonts w:hint="default" w:ascii="Times New Roman" w:hAnsi="Times New Roman" w:cs="Times New Roman" w:eastAsiaTheme="minorEastAsia"/>
                      <w:color w:val="auto"/>
                      <w:spacing w:val="8"/>
                      <w:sz w:val="21"/>
                      <w:szCs w:val="21"/>
                    </w:rPr>
                    <w:t>,</w:t>
                  </w:r>
                </w:p>
              </w:tc>
            </w:tr>
            <w:tr w14:paraId="57B73C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635" w:type="dxa"/>
                  <w:tcBorders>
                    <w:tl2br w:val="nil"/>
                    <w:tr2bl w:val="nil"/>
                  </w:tcBorders>
                  <w:noWrap w:val="0"/>
                  <w:vAlign w:val="center"/>
                </w:tcPr>
                <w:p w14:paraId="5FFB2C9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1.6</w:t>
                  </w:r>
                </w:p>
              </w:tc>
              <w:tc>
                <w:tcPr>
                  <w:tcW w:w="1624" w:type="dxa"/>
                  <w:tcBorders>
                    <w:tl2br w:val="nil"/>
                    <w:tr2bl w:val="nil"/>
                  </w:tcBorders>
                  <w:noWrap w:val="0"/>
                  <w:vAlign w:val="center"/>
                </w:tcPr>
                <w:p w14:paraId="36386EC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增压风机</w:t>
                  </w:r>
                </w:p>
              </w:tc>
              <w:tc>
                <w:tcPr>
                  <w:tcW w:w="1181" w:type="dxa"/>
                  <w:tcBorders>
                    <w:tl2br w:val="nil"/>
                    <w:tr2bl w:val="nil"/>
                  </w:tcBorders>
                  <w:noWrap w:val="0"/>
                  <w:vAlign w:val="center"/>
                </w:tcPr>
                <w:p w14:paraId="44C18C8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58705FE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6B67C0D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2BA698E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功率4Kw</w:t>
                  </w:r>
                </w:p>
              </w:tc>
            </w:tr>
            <w:tr w14:paraId="0F3221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635" w:type="dxa"/>
                  <w:tcBorders>
                    <w:tl2br w:val="nil"/>
                    <w:tr2bl w:val="nil"/>
                  </w:tcBorders>
                  <w:noWrap w:val="0"/>
                  <w:vAlign w:val="center"/>
                </w:tcPr>
                <w:p w14:paraId="6B8F517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1.7</w:t>
                  </w:r>
                </w:p>
              </w:tc>
              <w:tc>
                <w:tcPr>
                  <w:tcW w:w="1624" w:type="dxa"/>
                  <w:tcBorders>
                    <w:tl2br w:val="nil"/>
                    <w:tr2bl w:val="nil"/>
                  </w:tcBorders>
                  <w:noWrap w:val="0"/>
                  <w:vAlign w:val="center"/>
                </w:tcPr>
                <w:p w14:paraId="31935A1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防爆波纹阻火器</w:t>
                  </w:r>
                </w:p>
              </w:tc>
              <w:tc>
                <w:tcPr>
                  <w:tcW w:w="1181" w:type="dxa"/>
                  <w:tcBorders>
                    <w:tl2br w:val="nil"/>
                    <w:tr2bl w:val="nil"/>
                  </w:tcBorders>
                  <w:noWrap w:val="0"/>
                  <w:vAlign w:val="center"/>
                </w:tcPr>
                <w:p w14:paraId="701BE607">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49E67C4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332D2E8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566E42E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材质：</w:t>
                  </w:r>
                  <w:r>
                    <w:rPr>
                      <w:rFonts w:hint="default" w:ascii="Times New Roman" w:hAnsi="Times New Roman" w:cs="Times New Roman" w:eastAsiaTheme="minorEastAsia"/>
                      <w:color w:val="auto"/>
                      <w:sz w:val="21"/>
                      <w:szCs w:val="21"/>
                    </w:rPr>
                    <w:t>CS</w:t>
                  </w:r>
                  <w:r>
                    <w:rPr>
                      <w:rFonts w:hint="default" w:ascii="Times New Roman" w:hAnsi="Times New Roman" w:cs="Times New Roman" w:eastAsiaTheme="minorEastAsia"/>
                      <w:color w:val="auto"/>
                      <w:spacing w:val="1"/>
                      <w:sz w:val="21"/>
                      <w:szCs w:val="21"/>
                    </w:rPr>
                    <w:t>;压力：</w:t>
                  </w:r>
                  <w:r>
                    <w:rPr>
                      <w:rFonts w:hint="default" w:ascii="Times New Roman" w:hAnsi="Times New Roman" w:cs="Times New Roman" w:eastAsiaTheme="minorEastAsia"/>
                      <w:color w:val="auto"/>
                      <w:sz w:val="21"/>
                      <w:szCs w:val="21"/>
                    </w:rPr>
                    <w:t>PN</w:t>
                  </w:r>
                  <w:r>
                    <w:rPr>
                      <w:rFonts w:hint="default" w:ascii="Times New Roman" w:hAnsi="Times New Roman" w:cs="Times New Roman" w:eastAsiaTheme="minorEastAsia"/>
                      <w:color w:val="auto"/>
                      <w:spacing w:val="1"/>
                      <w:sz w:val="21"/>
                      <w:szCs w:val="21"/>
                    </w:rPr>
                    <w:t>1.01</w:t>
                  </w:r>
                </w:p>
              </w:tc>
            </w:tr>
            <w:tr w14:paraId="3197ADF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635" w:type="dxa"/>
                  <w:tcBorders>
                    <w:tl2br w:val="nil"/>
                    <w:tr2bl w:val="nil"/>
                  </w:tcBorders>
                  <w:noWrap w:val="0"/>
                  <w:vAlign w:val="center"/>
                </w:tcPr>
                <w:p w14:paraId="03AE3FD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1.8</w:t>
                  </w:r>
                </w:p>
              </w:tc>
              <w:tc>
                <w:tcPr>
                  <w:tcW w:w="1624" w:type="dxa"/>
                  <w:tcBorders>
                    <w:tl2br w:val="nil"/>
                    <w:tr2bl w:val="nil"/>
                  </w:tcBorders>
                  <w:noWrap w:val="0"/>
                  <w:vAlign w:val="center"/>
                </w:tcPr>
                <w:p w14:paraId="4BB80B4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CSTR厌氧反应罐</w:t>
                  </w:r>
                </w:p>
              </w:tc>
              <w:tc>
                <w:tcPr>
                  <w:tcW w:w="1181" w:type="dxa"/>
                  <w:tcBorders>
                    <w:tl2br w:val="nil"/>
                    <w:tr2bl w:val="nil"/>
                  </w:tcBorders>
                  <w:noWrap w:val="0"/>
                  <w:vAlign w:val="center"/>
                </w:tcPr>
                <w:p w14:paraId="12F1BE4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78DBDAE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19DF779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47C0326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Φ13×7.8m,单体容积1000m³,含罐体保温、加热盘管、避雷针</w:t>
                  </w:r>
                </w:p>
              </w:tc>
            </w:tr>
            <w:tr w14:paraId="711D237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635" w:type="dxa"/>
                  <w:tcBorders>
                    <w:tl2br w:val="nil"/>
                    <w:tr2bl w:val="nil"/>
                  </w:tcBorders>
                  <w:noWrap w:val="0"/>
                  <w:vAlign w:val="center"/>
                </w:tcPr>
                <w:p w14:paraId="4273580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1.9</w:t>
                  </w:r>
                </w:p>
              </w:tc>
              <w:tc>
                <w:tcPr>
                  <w:tcW w:w="1624" w:type="dxa"/>
                  <w:tcBorders>
                    <w:tl2br w:val="nil"/>
                    <w:tr2bl w:val="nil"/>
                  </w:tcBorders>
                  <w:noWrap w:val="0"/>
                  <w:vAlign w:val="center"/>
                </w:tcPr>
                <w:p w14:paraId="2CFACDD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柔性气柜</w:t>
                  </w:r>
                </w:p>
              </w:tc>
              <w:tc>
                <w:tcPr>
                  <w:tcW w:w="1181" w:type="dxa"/>
                  <w:tcBorders>
                    <w:tl2br w:val="nil"/>
                    <w:tr2bl w:val="nil"/>
                  </w:tcBorders>
                  <w:noWrap w:val="0"/>
                  <w:vAlign w:val="center"/>
                </w:tcPr>
                <w:p w14:paraId="13BC677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37A3CAA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744A375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4CA2A13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容积400m³功率2.5</w:t>
                  </w:r>
                  <w:r>
                    <w:rPr>
                      <w:rFonts w:hint="default" w:ascii="Times New Roman" w:hAnsi="Times New Roman" w:cs="Times New Roman" w:eastAsiaTheme="minorEastAsia"/>
                      <w:color w:val="auto"/>
                      <w:sz w:val="21"/>
                      <w:szCs w:val="21"/>
                    </w:rPr>
                    <w:t>kw</w:t>
                  </w:r>
                </w:p>
              </w:tc>
            </w:tr>
            <w:tr w14:paraId="4B07DC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35" w:type="dxa"/>
                  <w:tcBorders>
                    <w:tl2br w:val="nil"/>
                    <w:tr2bl w:val="nil"/>
                  </w:tcBorders>
                  <w:noWrap w:val="0"/>
                  <w:vAlign w:val="center"/>
                </w:tcPr>
                <w:p w14:paraId="645C085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1.10</w:t>
                  </w:r>
                </w:p>
              </w:tc>
              <w:tc>
                <w:tcPr>
                  <w:tcW w:w="1624" w:type="dxa"/>
                  <w:tcBorders>
                    <w:tl2br w:val="nil"/>
                    <w:tr2bl w:val="nil"/>
                  </w:tcBorders>
                  <w:noWrap w:val="0"/>
                  <w:vAlign w:val="center"/>
                </w:tcPr>
                <w:p w14:paraId="0C8BCA7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沼气发电机组</w:t>
                  </w:r>
                </w:p>
              </w:tc>
              <w:tc>
                <w:tcPr>
                  <w:tcW w:w="1181" w:type="dxa"/>
                  <w:tcBorders>
                    <w:tl2br w:val="nil"/>
                    <w:tr2bl w:val="nil"/>
                  </w:tcBorders>
                  <w:noWrap w:val="0"/>
                  <w:vAlign w:val="center"/>
                </w:tcPr>
                <w:p w14:paraId="4D3ABA0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6EAB233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03C7FD7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53814BE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80kw;配套余热回收系统</w:t>
                  </w:r>
                </w:p>
              </w:tc>
            </w:tr>
            <w:tr w14:paraId="4ADF89A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35" w:type="dxa"/>
                  <w:tcBorders>
                    <w:tl2br w:val="nil"/>
                    <w:tr2bl w:val="nil"/>
                  </w:tcBorders>
                  <w:noWrap w:val="0"/>
                  <w:vAlign w:val="center"/>
                </w:tcPr>
                <w:p w14:paraId="59DA7C3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1.11</w:t>
                  </w:r>
                </w:p>
              </w:tc>
              <w:tc>
                <w:tcPr>
                  <w:tcW w:w="1624" w:type="dxa"/>
                  <w:tcBorders>
                    <w:tl2br w:val="nil"/>
                    <w:tr2bl w:val="nil"/>
                  </w:tcBorders>
                  <w:noWrap w:val="0"/>
                  <w:vAlign w:val="center"/>
                </w:tcPr>
                <w:p w14:paraId="3E783BE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沼气、天然气两用热水锅炉</w:t>
                  </w:r>
                </w:p>
              </w:tc>
              <w:tc>
                <w:tcPr>
                  <w:tcW w:w="1181" w:type="dxa"/>
                  <w:tcBorders>
                    <w:tl2br w:val="nil"/>
                    <w:tr2bl w:val="nil"/>
                  </w:tcBorders>
                  <w:noWrap w:val="0"/>
                  <w:vAlign w:val="center"/>
                </w:tcPr>
                <w:p w14:paraId="3509240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636E67E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139F49B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05EB0FD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立式沼气、天然气两用锅炉，0.7MW,包含电控</w:t>
                  </w:r>
                  <w:r>
                    <w:rPr>
                      <w:rFonts w:hint="default" w:ascii="Times New Roman" w:hAnsi="Times New Roman" w:cs="Times New Roman" w:eastAsiaTheme="minorEastAsia"/>
                      <w:color w:val="auto"/>
                      <w:spacing w:val="-1"/>
                      <w:sz w:val="21"/>
                      <w:szCs w:val="21"/>
                    </w:rPr>
                    <w:t>柜、配套膨胀水箱软化水设备、除污器、稳压装置、启闭阀等。</w:t>
                  </w:r>
                </w:p>
              </w:tc>
            </w:tr>
            <w:tr w14:paraId="3DC216A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5" w:type="dxa"/>
                  <w:tcBorders>
                    <w:tl2br w:val="nil"/>
                    <w:tr2bl w:val="nil"/>
                  </w:tcBorders>
                  <w:noWrap w:val="0"/>
                  <w:vAlign w:val="center"/>
                </w:tcPr>
                <w:p w14:paraId="17595E2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1.12</w:t>
                  </w:r>
                </w:p>
              </w:tc>
              <w:tc>
                <w:tcPr>
                  <w:tcW w:w="1624" w:type="dxa"/>
                  <w:tcBorders>
                    <w:tl2br w:val="nil"/>
                    <w:tr2bl w:val="nil"/>
                  </w:tcBorders>
                  <w:noWrap w:val="0"/>
                  <w:vAlign w:val="center"/>
                </w:tcPr>
                <w:p w14:paraId="16BA376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脱硫罐</w:t>
                  </w:r>
                </w:p>
              </w:tc>
              <w:tc>
                <w:tcPr>
                  <w:tcW w:w="1181" w:type="dxa"/>
                  <w:tcBorders>
                    <w:tl2br w:val="nil"/>
                    <w:tr2bl w:val="nil"/>
                  </w:tcBorders>
                  <w:noWrap w:val="0"/>
                  <w:vAlign w:val="center"/>
                </w:tcPr>
                <w:p w14:paraId="6171B377">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26E9905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094AF50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06B3508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WS-1500,尺寸D*H=1.5*2.</w:t>
                  </w:r>
                  <w:r>
                    <w:rPr>
                      <w:rFonts w:hint="default" w:ascii="Times New Roman" w:hAnsi="Times New Roman" w:cs="Times New Roman" w:eastAsiaTheme="minorEastAsia"/>
                      <w:color w:val="auto"/>
                      <w:spacing w:val="-1"/>
                      <w:sz w:val="21"/>
                      <w:szCs w:val="21"/>
                    </w:rPr>
                    <w:t>40m</w:t>
                  </w:r>
                </w:p>
              </w:tc>
            </w:tr>
            <w:tr w14:paraId="7A0A530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635" w:type="dxa"/>
                  <w:tcBorders>
                    <w:tl2br w:val="nil"/>
                    <w:tr2bl w:val="nil"/>
                  </w:tcBorders>
                  <w:noWrap w:val="0"/>
                  <w:vAlign w:val="center"/>
                </w:tcPr>
                <w:p w14:paraId="06A3CAC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1.13</w:t>
                  </w:r>
                </w:p>
              </w:tc>
              <w:tc>
                <w:tcPr>
                  <w:tcW w:w="1624" w:type="dxa"/>
                  <w:tcBorders>
                    <w:tl2br w:val="nil"/>
                    <w:tr2bl w:val="nil"/>
                  </w:tcBorders>
                  <w:noWrap w:val="0"/>
                  <w:vAlign w:val="center"/>
                </w:tcPr>
                <w:p w14:paraId="3D23B68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气水分离器</w:t>
                  </w:r>
                </w:p>
              </w:tc>
              <w:tc>
                <w:tcPr>
                  <w:tcW w:w="1181" w:type="dxa"/>
                  <w:tcBorders>
                    <w:tl2br w:val="nil"/>
                    <w:tr2bl w:val="nil"/>
                  </w:tcBorders>
                  <w:noWrap w:val="0"/>
                  <w:vAlign w:val="center"/>
                </w:tcPr>
                <w:p w14:paraId="39A12A5F">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291FAD3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70E8E7B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06920BA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WS-800,尺寸D*H=0.80*1.80m</w:t>
                  </w:r>
                </w:p>
              </w:tc>
            </w:tr>
            <w:tr w14:paraId="3AAFCB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22849C1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1.14</w:t>
                  </w:r>
                </w:p>
              </w:tc>
              <w:tc>
                <w:tcPr>
                  <w:tcW w:w="1624" w:type="dxa"/>
                  <w:tcBorders>
                    <w:tl2br w:val="nil"/>
                    <w:tr2bl w:val="nil"/>
                  </w:tcBorders>
                  <w:noWrap w:val="0"/>
                  <w:vAlign w:val="center"/>
                </w:tcPr>
                <w:p w14:paraId="78BB96D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正负压保护器</w:t>
                  </w:r>
                </w:p>
              </w:tc>
              <w:tc>
                <w:tcPr>
                  <w:tcW w:w="1181" w:type="dxa"/>
                  <w:tcBorders>
                    <w:tl2br w:val="nil"/>
                    <w:tr2bl w:val="nil"/>
                  </w:tcBorders>
                  <w:noWrap w:val="0"/>
                  <w:vAlign w:val="center"/>
                </w:tcPr>
                <w:p w14:paraId="7028760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52ADA84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78A4FEE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41CE86D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材质：碳钢防腐，接口DN100,正压2000Pa,负压300P</w:t>
                  </w:r>
                  <w:r>
                    <w:rPr>
                      <w:rFonts w:hint="default" w:ascii="Times New Roman" w:hAnsi="Times New Roman" w:cs="Times New Roman" w:eastAsiaTheme="minorEastAsia"/>
                      <w:color w:val="auto"/>
                      <w:spacing w:val="-1"/>
                      <w:sz w:val="21"/>
                      <w:szCs w:val="21"/>
                    </w:rPr>
                    <w:t>a。</w:t>
                  </w:r>
                </w:p>
              </w:tc>
            </w:tr>
            <w:tr w14:paraId="7D8229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35" w:type="dxa"/>
                  <w:tcBorders>
                    <w:tl2br w:val="nil"/>
                    <w:tr2bl w:val="nil"/>
                  </w:tcBorders>
                  <w:noWrap w:val="0"/>
                  <w:vAlign w:val="center"/>
                </w:tcPr>
                <w:p w14:paraId="4B11800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1.15</w:t>
                  </w:r>
                </w:p>
              </w:tc>
              <w:tc>
                <w:tcPr>
                  <w:tcW w:w="1624" w:type="dxa"/>
                  <w:tcBorders>
                    <w:tl2br w:val="nil"/>
                    <w:tr2bl w:val="nil"/>
                  </w:tcBorders>
                  <w:noWrap w:val="0"/>
                  <w:vAlign w:val="center"/>
                </w:tcPr>
                <w:p w14:paraId="28D485E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标牌/喷字</w:t>
                  </w:r>
                </w:p>
              </w:tc>
              <w:tc>
                <w:tcPr>
                  <w:tcW w:w="1181" w:type="dxa"/>
                  <w:tcBorders>
                    <w:tl2br w:val="nil"/>
                    <w:tr2bl w:val="nil"/>
                  </w:tcBorders>
                  <w:noWrap w:val="0"/>
                  <w:vAlign w:val="center"/>
                </w:tcPr>
                <w:p w14:paraId="1A37F7D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501B9C4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4D8C44D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5EDB9472">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5E4E2C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35" w:type="dxa"/>
                  <w:tcBorders>
                    <w:tl2br w:val="nil"/>
                    <w:tr2bl w:val="nil"/>
                  </w:tcBorders>
                  <w:noWrap w:val="0"/>
                  <w:vAlign w:val="center"/>
                </w:tcPr>
                <w:p w14:paraId="3BB619C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1.16</w:t>
                  </w:r>
                </w:p>
              </w:tc>
              <w:tc>
                <w:tcPr>
                  <w:tcW w:w="1624" w:type="dxa"/>
                  <w:tcBorders>
                    <w:tl2br w:val="nil"/>
                    <w:tr2bl w:val="nil"/>
                  </w:tcBorders>
                  <w:noWrap w:val="0"/>
                  <w:vAlign w:val="center"/>
                </w:tcPr>
                <w:p w14:paraId="21EC826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消防器材</w:t>
                  </w:r>
                </w:p>
              </w:tc>
              <w:tc>
                <w:tcPr>
                  <w:tcW w:w="1181" w:type="dxa"/>
                  <w:tcBorders>
                    <w:tl2br w:val="nil"/>
                    <w:tr2bl w:val="nil"/>
                  </w:tcBorders>
                  <w:noWrap w:val="0"/>
                  <w:vAlign w:val="center"/>
                </w:tcPr>
                <w:p w14:paraId="537D1B52">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0BA3F83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429F1F7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590222C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灭火器等</w:t>
                  </w:r>
                </w:p>
              </w:tc>
            </w:tr>
            <w:tr w14:paraId="76AE092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5AC1060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1.17</w:t>
                  </w:r>
                </w:p>
              </w:tc>
              <w:tc>
                <w:tcPr>
                  <w:tcW w:w="1624" w:type="dxa"/>
                  <w:tcBorders>
                    <w:tl2br w:val="nil"/>
                    <w:tr2bl w:val="nil"/>
                  </w:tcBorders>
                  <w:noWrap w:val="0"/>
                  <w:vAlign w:val="center"/>
                </w:tcPr>
                <w:p w14:paraId="0E3C58B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水力搅拌</w:t>
                  </w:r>
                </w:p>
              </w:tc>
              <w:tc>
                <w:tcPr>
                  <w:tcW w:w="1181" w:type="dxa"/>
                  <w:tcBorders>
                    <w:tl2br w:val="nil"/>
                    <w:tr2bl w:val="nil"/>
                  </w:tcBorders>
                  <w:noWrap w:val="0"/>
                  <w:vAlign w:val="center"/>
                </w:tcPr>
                <w:p w14:paraId="17B5682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28EAB36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444" w:type="dxa"/>
                  <w:tcBorders>
                    <w:tl2br w:val="nil"/>
                    <w:tr2bl w:val="nil"/>
                  </w:tcBorders>
                  <w:noWrap w:val="0"/>
                  <w:vAlign w:val="center"/>
                </w:tcPr>
                <w:p w14:paraId="4AB0C5F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3615CFC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5.5kW</w:t>
                  </w:r>
                </w:p>
              </w:tc>
            </w:tr>
            <w:tr w14:paraId="38C426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5" w:type="dxa"/>
                  <w:tcBorders>
                    <w:tl2br w:val="nil"/>
                    <w:tr2bl w:val="nil"/>
                  </w:tcBorders>
                  <w:noWrap w:val="0"/>
                  <w:vAlign w:val="center"/>
                </w:tcPr>
                <w:p w14:paraId="6E3BB69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1.18</w:t>
                  </w:r>
                </w:p>
              </w:tc>
              <w:tc>
                <w:tcPr>
                  <w:tcW w:w="1624" w:type="dxa"/>
                  <w:tcBorders>
                    <w:tl2br w:val="nil"/>
                    <w:tr2bl w:val="nil"/>
                  </w:tcBorders>
                  <w:noWrap w:val="0"/>
                  <w:vAlign w:val="center"/>
                </w:tcPr>
                <w:p w14:paraId="12A3680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火炬</w:t>
                  </w:r>
                </w:p>
              </w:tc>
              <w:tc>
                <w:tcPr>
                  <w:tcW w:w="1181" w:type="dxa"/>
                  <w:tcBorders>
                    <w:tl2br w:val="nil"/>
                    <w:tr2bl w:val="nil"/>
                  </w:tcBorders>
                  <w:noWrap w:val="0"/>
                  <w:vAlign w:val="center"/>
                </w:tcPr>
                <w:p w14:paraId="03EC19F2">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2797F62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0380F58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3D94C57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TRYS-1.5kw,100m³/h</w:t>
                  </w:r>
                </w:p>
              </w:tc>
            </w:tr>
            <w:tr w14:paraId="183C5F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29B174C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624" w:type="dxa"/>
                  <w:tcBorders>
                    <w:tl2br w:val="nil"/>
                    <w:tr2bl w:val="nil"/>
                  </w:tcBorders>
                  <w:noWrap w:val="0"/>
                  <w:vAlign w:val="center"/>
                </w:tcPr>
                <w:p w14:paraId="15FFDDC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管线及安装系统</w:t>
                  </w:r>
                </w:p>
              </w:tc>
              <w:tc>
                <w:tcPr>
                  <w:tcW w:w="1181" w:type="dxa"/>
                  <w:tcBorders>
                    <w:tl2br w:val="nil"/>
                    <w:tr2bl w:val="nil"/>
                  </w:tcBorders>
                  <w:noWrap w:val="0"/>
                  <w:vAlign w:val="center"/>
                </w:tcPr>
                <w:p w14:paraId="5D24E239">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31BB7C9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444" w:type="dxa"/>
                  <w:tcBorders>
                    <w:tl2br w:val="nil"/>
                    <w:tr2bl w:val="nil"/>
                  </w:tcBorders>
                  <w:noWrap w:val="0"/>
                  <w:vAlign w:val="center"/>
                </w:tcPr>
                <w:p w14:paraId="42D1C69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3964" w:type="dxa"/>
                  <w:tcBorders>
                    <w:tl2br w:val="nil"/>
                    <w:tr2bl w:val="nil"/>
                  </w:tcBorders>
                  <w:noWrap w:val="0"/>
                  <w:vAlign w:val="center"/>
                </w:tcPr>
                <w:p w14:paraId="1267E6D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45DA2C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5" w:type="dxa"/>
                  <w:tcBorders>
                    <w:tl2br w:val="nil"/>
                    <w:tr2bl w:val="nil"/>
                  </w:tcBorders>
                  <w:noWrap w:val="0"/>
                  <w:vAlign w:val="center"/>
                </w:tcPr>
                <w:p w14:paraId="00CC0BC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2.1</w:t>
                  </w:r>
                </w:p>
              </w:tc>
              <w:tc>
                <w:tcPr>
                  <w:tcW w:w="1624" w:type="dxa"/>
                  <w:tcBorders>
                    <w:tl2br w:val="nil"/>
                    <w:tr2bl w:val="nil"/>
                  </w:tcBorders>
                  <w:noWrap w:val="0"/>
                  <w:vAlign w:val="center"/>
                </w:tcPr>
                <w:p w14:paraId="13A6C73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建筑电气工程</w:t>
                  </w:r>
                </w:p>
              </w:tc>
              <w:tc>
                <w:tcPr>
                  <w:tcW w:w="1181" w:type="dxa"/>
                  <w:tcBorders>
                    <w:tl2br w:val="nil"/>
                    <w:tr2bl w:val="nil"/>
                  </w:tcBorders>
                  <w:noWrap w:val="0"/>
                  <w:vAlign w:val="center"/>
                </w:tcPr>
                <w:p w14:paraId="7C130C8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773D67B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3459D3A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w:t>
                  </w:r>
                </w:p>
              </w:tc>
              <w:tc>
                <w:tcPr>
                  <w:tcW w:w="3964" w:type="dxa"/>
                  <w:tcBorders>
                    <w:tl2br w:val="nil"/>
                    <w:tr2bl w:val="nil"/>
                  </w:tcBorders>
                  <w:noWrap w:val="0"/>
                  <w:vAlign w:val="center"/>
                </w:tcPr>
                <w:p w14:paraId="06D959CF">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6DD6856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35" w:type="dxa"/>
                  <w:tcBorders>
                    <w:tl2br w:val="nil"/>
                    <w:tr2bl w:val="nil"/>
                  </w:tcBorders>
                  <w:noWrap w:val="0"/>
                  <w:vAlign w:val="center"/>
                </w:tcPr>
                <w:p w14:paraId="5A65C9B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2.2</w:t>
                  </w:r>
                </w:p>
              </w:tc>
              <w:tc>
                <w:tcPr>
                  <w:tcW w:w="1624" w:type="dxa"/>
                  <w:tcBorders>
                    <w:tl2br w:val="nil"/>
                    <w:tr2bl w:val="nil"/>
                  </w:tcBorders>
                  <w:noWrap w:val="0"/>
                  <w:vAlign w:val="center"/>
                </w:tcPr>
                <w:p w14:paraId="3E55855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工艺电气工程</w:t>
                  </w:r>
                </w:p>
              </w:tc>
              <w:tc>
                <w:tcPr>
                  <w:tcW w:w="1181" w:type="dxa"/>
                  <w:tcBorders>
                    <w:tl2br w:val="nil"/>
                    <w:tr2bl w:val="nil"/>
                  </w:tcBorders>
                  <w:noWrap w:val="0"/>
                  <w:vAlign w:val="center"/>
                </w:tcPr>
                <w:p w14:paraId="6554904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491FBAE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3134C41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w:t>
                  </w:r>
                </w:p>
              </w:tc>
              <w:tc>
                <w:tcPr>
                  <w:tcW w:w="3964" w:type="dxa"/>
                  <w:tcBorders>
                    <w:tl2br w:val="nil"/>
                    <w:tr2bl w:val="nil"/>
                  </w:tcBorders>
                  <w:noWrap w:val="0"/>
                  <w:vAlign w:val="center"/>
                </w:tcPr>
                <w:p w14:paraId="2E73288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708785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35" w:type="dxa"/>
                  <w:tcBorders>
                    <w:tl2br w:val="nil"/>
                    <w:tr2bl w:val="nil"/>
                  </w:tcBorders>
                  <w:noWrap w:val="0"/>
                  <w:vAlign w:val="center"/>
                </w:tcPr>
                <w:p w14:paraId="733601C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2.3</w:t>
                  </w:r>
                </w:p>
              </w:tc>
              <w:tc>
                <w:tcPr>
                  <w:tcW w:w="1624" w:type="dxa"/>
                  <w:tcBorders>
                    <w:tl2br w:val="nil"/>
                    <w:tr2bl w:val="nil"/>
                  </w:tcBorders>
                  <w:noWrap w:val="0"/>
                  <w:vAlign w:val="center"/>
                </w:tcPr>
                <w:p w14:paraId="49630FC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自控系统</w:t>
                  </w:r>
                </w:p>
              </w:tc>
              <w:tc>
                <w:tcPr>
                  <w:tcW w:w="1181" w:type="dxa"/>
                  <w:tcBorders>
                    <w:tl2br w:val="nil"/>
                    <w:tr2bl w:val="nil"/>
                  </w:tcBorders>
                  <w:noWrap w:val="0"/>
                  <w:vAlign w:val="center"/>
                </w:tcPr>
                <w:p w14:paraId="71F8878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181BD8B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28CFDA8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w:t>
                  </w:r>
                </w:p>
              </w:tc>
              <w:tc>
                <w:tcPr>
                  <w:tcW w:w="3964" w:type="dxa"/>
                  <w:tcBorders>
                    <w:tl2br w:val="nil"/>
                    <w:tr2bl w:val="nil"/>
                  </w:tcBorders>
                  <w:noWrap w:val="0"/>
                  <w:vAlign w:val="center"/>
                </w:tcPr>
                <w:p w14:paraId="3476DE4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3609F1D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3DADA3C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2.4</w:t>
                  </w:r>
                </w:p>
              </w:tc>
              <w:tc>
                <w:tcPr>
                  <w:tcW w:w="1624" w:type="dxa"/>
                  <w:tcBorders>
                    <w:tl2br w:val="nil"/>
                    <w:tr2bl w:val="nil"/>
                  </w:tcBorders>
                  <w:noWrap w:val="0"/>
                  <w:vAlign w:val="center"/>
                </w:tcPr>
                <w:p w14:paraId="7A2D981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工艺管线阀门</w:t>
                  </w:r>
                </w:p>
              </w:tc>
              <w:tc>
                <w:tcPr>
                  <w:tcW w:w="1181" w:type="dxa"/>
                  <w:tcBorders>
                    <w:tl2br w:val="nil"/>
                    <w:tr2bl w:val="nil"/>
                  </w:tcBorders>
                  <w:noWrap w:val="0"/>
                  <w:vAlign w:val="center"/>
                </w:tcPr>
                <w:p w14:paraId="57E67581">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7667ED9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4B21566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w:t>
                  </w:r>
                </w:p>
              </w:tc>
              <w:tc>
                <w:tcPr>
                  <w:tcW w:w="3964" w:type="dxa"/>
                  <w:tcBorders>
                    <w:tl2br w:val="nil"/>
                    <w:tr2bl w:val="nil"/>
                  </w:tcBorders>
                  <w:noWrap w:val="0"/>
                  <w:vAlign w:val="center"/>
                </w:tcPr>
                <w:p w14:paraId="5B365DB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碳钢，304等</w:t>
                  </w:r>
                </w:p>
              </w:tc>
            </w:tr>
            <w:tr w14:paraId="2AD5762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35" w:type="dxa"/>
                  <w:tcBorders>
                    <w:tl2br w:val="nil"/>
                    <w:tr2bl w:val="nil"/>
                  </w:tcBorders>
                  <w:noWrap w:val="0"/>
                  <w:vAlign w:val="center"/>
                </w:tcPr>
                <w:p w14:paraId="4E099AC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4"/>
                      <w:sz w:val="21"/>
                      <w:szCs w:val="21"/>
                    </w:rPr>
                    <w:t>(二)</w:t>
                  </w:r>
                </w:p>
              </w:tc>
              <w:tc>
                <w:tcPr>
                  <w:tcW w:w="1624" w:type="dxa"/>
                  <w:tcBorders>
                    <w:tl2br w:val="nil"/>
                    <w:tr2bl w:val="nil"/>
                  </w:tcBorders>
                  <w:noWrap w:val="0"/>
                  <w:vAlign w:val="center"/>
                </w:tcPr>
                <w:p w14:paraId="6A0989F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有机肥加工</w:t>
                  </w:r>
                </w:p>
              </w:tc>
              <w:tc>
                <w:tcPr>
                  <w:tcW w:w="1181" w:type="dxa"/>
                  <w:tcBorders>
                    <w:tl2br w:val="nil"/>
                    <w:tr2bl w:val="nil"/>
                  </w:tcBorders>
                  <w:noWrap w:val="0"/>
                  <w:vAlign w:val="center"/>
                </w:tcPr>
                <w:p w14:paraId="74ADA271">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0760B24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444" w:type="dxa"/>
                  <w:tcBorders>
                    <w:tl2br w:val="nil"/>
                    <w:tr2bl w:val="nil"/>
                  </w:tcBorders>
                  <w:noWrap w:val="0"/>
                  <w:vAlign w:val="center"/>
                </w:tcPr>
                <w:p w14:paraId="1233D0D0">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3964" w:type="dxa"/>
                  <w:tcBorders>
                    <w:tl2br w:val="nil"/>
                    <w:tr2bl w:val="nil"/>
                  </w:tcBorders>
                  <w:noWrap w:val="0"/>
                  <w:vAlign w:val="center"/>
                </w:tcPr>
                <w:p w14:paraId="64D999A0">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3BA987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35" w:type="dxa"/>
                  <w:tcBorders>
                    <w:tl2br w:val="nil"/>
                    <w:tr2bl w:val="nil"/>
                  </w:tcBorders>
                  <w:noWrap w:val="0"/>
                  <w:vAlign w:val="center"/>
                </w:tcPr>
                <w:p w14:paraId="7DADF5E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1624" w:type="dxa"/>
                  <w:tcBorders>
                    <w:tl2br w:val="nil"/>
                    <w:tr2bl w:val="nil"/>
                  </w:tcBorders>
                  <w:noWrap w:val="0"/>
                  <w:vAlign w:val="center"/>
                </w:tcPr>
                <w:p w14:paraId="5437B86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粉剂生产线</w:t>
                  </w:r>
                </w:p>
              </w:tc>
              <w:tc>
                <w:tcPr>
                  <w:tcW w:w="1181" w:type="dxa"/>
                  <w:tcBorders>
                    <w:tl2br w:val="nil"/>
                    <w:tr2bl w:val="nil"/>
                  </w:tcBorders>
                  <w:noWrap w:val="0"/>
                  <w:vAlign w:val="center"/>
                </w:tcPr>
                <w:p w14:paraId="58355B6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3E0DE5F9">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444" w:type="dxa"/>
                  <w:tcBorders>
                    <w:tl2br w:val="nil"/>
                    <w:tr2bl w:val="nil"/>
                  </w:tcBorders>
                  <w:noWrap w:val="0"/>
                  <w:vAlign w:val="center"/>
                </w:tcPr>
                <w:p w14:paraId="1473061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3964" w:type="dxa"/>
                  <w:tcBorders>
                    <w:tl2br w:val="nil"/>
                    <w:tr2bl w:val="nil"/>
                  </w:tcBorders>
                  <w:noWrap w:val="0"/>
                  <w:vAlign w:val="center"/>
                </w:tcPr>
                <w:p w14:paraId="31252CD7">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5E930D9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635" w:type="dxa"/>
                  <w:tcBorders>
                    <w:tl2br w:val="nil"/>
                    <w:tr2bl w:val="nil"/>
                  </w:tcBorders>
                  <w:noWrap w:val="0"/>
                  <w:vAlign w:val="center"/>
                </w:tcPr>
                <w:p w14:paraId="058E92F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1.1</w:t>
                  </w:r>
                </w:p>
              </w:tc>
              <w:tc>
                <w:tcPr>
                  <w:tcW w:w="1624" w:type="dxa"/>
                  <w:tcBorders>
                    <w:tl2br w:val="nil"/>
                    <w:tr2bl w:val="nil"/>
                  </w:tcBorders>
                  <w:noWrap w:val="0"/>
                  <w:vAlign w:val="center"/>
                </w:tcPr>
                <w:p w14:paraId="416A381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铲车上料料仓</w:t>
                  </w:r>
                </w:p>
              </w:tc>
              <w:tc>
                <w:tcPr>
                  <w:tcW w:w="1181" w:type="dxa"/>
                  <w:tcBorders>
                    <w:tl2br w:val="nil"/>
                    <w:tr2bl w:val="nil"/>
                  </w:tcBorders>
                  <w:noWrap w:val="0"/>
                  <w:vAlign w:val="center"/>
                </w:tcPr>
                <w:p w14:paraId="2CC72B7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4方</w:t>
                  </w:r>
                </w:p>
              </w:tc>
              <w:tc>
                <w:tcPr>
                  <w:tcW w:w="525" w:type="dxa"/>
                  <w:tcBorders>
                    <w:tl2br w:val="nil"/>
                    <w:tr2bl w:val="nil"/>
                  </w:tcBorders>
                  <w:noWrap w:val="0"/>
                  <w:vAlign w:val="center"/>
                </w:tcPr>
                <w:p w14:paraId="7CA7D70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p w14:paraId="63E7EB9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6B76240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2FC145F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自动配料仓，长3000mm,宽2000mm,板厚3mm,下配输送带，带有</w:t>
                  </w:r>
                  <w:r>
                    <w:rPr>
                      <w:rFonts w:hint="default" w:ascii="Times New Roman" w:hAnsi="Times New Roman" w:cs="Times New Roman" w:eastAsiaTheme="minorEastAsia"/>
                      <w:color w:val="auto"/>
                      <w:spacing w:val="9"/>
                      <w:sz w:val="21"/>
                      <w:szCs w:val="21"/>
                    </w:rPr>
                    <w:t xml:space="preserve"> </w:t>
                  </w:r>
                  <w:r>
                    <w:rPr>
                      <w:rFonts w:hint="default" w:ascii="Times New Roman" w:hAnsi="Times New Roman" w:cs="Times New Roman" w:eastAsiaTheme="minorEastAsia"/>
                      <w:color w:val="auto"/>
                      <w:spacing w:val="-1"/>
                      <w:sz w:val="21"/>
                      <w:szCs w:val="21"/>
                    </w:rPr>
                    <w:t>搅拌下料装置，调速电机功率1.5kw</w:t>
                  </w:r>
                </w:p>
              </w:tc>
            </w:tr>
            <w:tr w14:paraId="36EE0D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6CFB822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1.2</w:t>
                  </w:r>
                </w:p>
              </w:tc>
              <w:tc>
                <w:tcPr>
                  <w:tcW w:w="1624" w:type="dxa"/>
                  <w:tcBorders>
                    <w:tl2br w:val="nil"/>
                    <w:tr2bl w:val="nil"/>
                  </w:tcBorders>
                  <w:noWrap w:val="0"/>
                  <w:vAlign w:val="center"/>
                </w:tcPr>
                <w:p w14:paraId="147A41D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6米输送机</w:t>
                  </w:r>
                </w:p>
              </w:tc>
              <w:tc>
                <w:tcPr>
                  <w:tcW w:w="1181" w:type="dxa"/>
                  <w:tcBorders>
                    <w:tl2br w:val="nil"/>
                    <w:tr2bl w:val="nil"/>
                  </w:tcBorders>
                  <w:noWrap w:val="0"/>
                  <w:vAlign w:val="center"/>
                </w:tcPr>
                <w:p w14:paraId="2A54ABB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B500</w:t>
                  </w:r>
                </w:p>
              </w:tc>
              <w:tc>
                <w:tcPr>
                  <w:tcW w:w="525" w:type="dxa"/>
                  <w:tcBorders>
                    <w:tl2br w:val="nil"/>
                    <w:tr2bl w:val="nil"/>
                  </w:tcBorders>
                  <w:noWrap w:val="0"/>
                  <w:vAlign w:val="center"/>
                </w:tcPr>
                <w:p w14:paraId="4718CD3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1E547B7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1FA9809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功率3kw,10号槽钢，皮带为5层棉线</w:t>
                  </w:r>
                </w:p>
              </w:tc>
            </w:tr>
            <w:tr w14:paraId="0302E8B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635" w:type="dxa"/>
                  <w:tcBorders>
                    <w:tl2br w:val="nil"/>
                    <w:tr2bl w:val="nil"/>
                  </w:tcBorders>
                  <w:noWrap w:val="0"/>
                  <w:vAlign w:val="center"/>
                </w:tcPr>
                <w:p w14:paraId="467E5DE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1.3</w:t>
                  </w:r>
                </w:p>
              </w:tc>
              <w:tc>
                <w:tcPr>
                  <w:tcW w:w="1624" w:type="dxa"/>
                  <w:tcBorders>
                    <w:tl2br w:val="nil"/>
                    <w:tr2bl w:val="nil"/>
                  </w:tcBorders>
                  <w:shd w:val="clear" w:color="auto" w:fill="auto"/>
                  <w:noWrap w:val="0"/>
                  <w:vAlign w:val="center"/>
                </w:tcPr>
                <w:p w14:paraId="4F58360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2"/>
                      <w:sz w:val="21"/>
                      <w:szCs w:val="21"/>
                    </w:rPr>
                    <w:t>传送带</w:t>
                  </w:r>
                </w:p>
              </w:tc>
              <w:tc>
                <w:tcPr>
                  <w:tcW w:w="1181" w:type="dxa"/>
                  <w:tcBorders>
                    <w:tl2br w:val="nil"/>
                    <w:tr2bl w:val="nil"/>
                  </w:tcBorders>
                  <w:shd w:val="clear" w:color="auto" w:fill="auto"/>
                  <w:noWrap w:val="0"/>
                  <w:vAlign w:val="center"/>
                </w:tcPr>
                <w:p w14:paraId="0E1E9C8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1"/>
                      <w:sz w:val="21"/>
                      <w:szCs w:val="21"/>
                    </w:rPr>
                    <w:t>B500</w:t>
                  </w:r>
                </w:p>
              </w:tc>
              <w:tc>
                <w:tcPr>
                  <w:tcW w:w="525" w:type="dxa"/>
                  <w:tcBorders>
                    <w:tl2br w:val="nil"/>
                    <w:tr2bl w:val="nil"/>
                  </w:tcBorders>
                  <w:shd w:val="clear" w:color="auto" w:fill="auto"/>
                  <w:noWrap w:val="0"/>
                  <w:vAlign w:val="center"/>
                </w:tcPr>
                <w:p w14:paraId="7530D08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1</w:t>
                  </w:r>
                </w:p>
              </w:tc>
              <w:tc>
                <w:tcPr>
                  <w:tcW w:w="444" w:type="dxa"/>
                  <w:tcBorders>
                    <w:tl2br w:val="nil"/>
                    <w:tr2bl w:val="nil"/>
                  </w:tcBorders>
                  <w:shd w:val="clear" w:color="auto" w:fill="auto"/>
                  <w:noWrap w:val="0"/>
                  <w:vAlign w:val="center"/>
                </w:tcPr>
                <w:p w14:paraId="4F7E943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台</w:t>
                  </w:r>
                </w:p>
              </w:tc>
              <w:tc>
                <w:tcPr>
                  <w:tcW w:w="3964" w:type="dxa"/>
                  <w:tcBorders>
                    <w:tl2br w:val="nil"/>
                    <w:tr2bl w:val="nil"/>
                  </w:tcBorders>
                  <w:shd w:val="clear" w:color="auto" w:fill="auto"/>
                  <w:noWrap w:val="0"/>
                  <w:vAlign w:val="center"/>
                </w:tcPr>
                <w:p w14:paraId="1B14695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功率3kw,10号槽钢，皮带为5层棉线</w:t>
                  </w:r>
                </w:p>
              </w:tc>
            </w:tr>
            <w:tr w14:paraId="3D7569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635" w:type="dxa"/>
                  <w:tcBorders>
                    <w:tl2br w:val="nil"/>
                    <w:tr2bl w:val="nil"/>
                  </w:tcBorders>
                  <w:noWrap w:val="0"/>
                  <w:vAlign w:val="center"/>
                </w:tcPr>
                <w:p w14:paraId="7C572DA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1.4</w:t>
                  </w:r>
                </w:p>
              </w:tc>
              <w:tc>
                <w:tcPr>
                  <w:tcW w:w="1624" w:type="dxa"/>
                  <w:tcBorders>
                    <w:tl2br w:val="nil"/>
                    <w:tr2bl w:val="nil"/>
                  </w:tcBorders>
                  <w:shd w:val="clear" w:color="auto" w:fill="auto"/>
                  <w:noWrap w:val="0"/>
                  <w:vAlign w:val="center"/>
                </w:tcPr>
                <w:p w14:paraId="4D420D6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2"/>
                      <w:sz w:val="21"/>
                      <w:szCs w:val="21"/>
                    </w:rPr>
                    <w:t>滚筒筛分机</w:t>
                  </w:r>
                </w:p>
              </w:tc>
              <w:tc>
                <w:tcPr>
                  <w:tcW w:w="1181" w:type="dxa"/>
                  <w:tcBorders>
                    <w:tl2br w:val="nil"/>
                    <w:tr2bl w:val="nil"/>
                  </w:tcBorders>
                  <w:shd w:val="clear" w:color="auto" w:fill="auto"/>
                  <w:noWrap w:val="0"/>
                  <w:vAlign w:val="center"/>
                </w:tcPr>
                <w:p w14:paraId="14A0BCC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3"/>
                      <w:sz w:val="21"/>
                      <w:szCs w:val="21"/>
                    </w:rPr>
                    <w:t>1500*4000</w:t>
                  </w:r>
                </w:p>
              </w:tc>
              <w:tc>
                <w:tcPr>
                  <w:tcW w:w="525" w:type="dxa"/>
                  <w:tcBorders>
                    <w:tl2br w:val="nil"/>
                    <w:tr2bl w:val="nil"/>
                  </w:tcBorders>
                  <w:shd w:val="clear" w:color="auto" w:fill="auto"/>
                  <w:noWrap w:val="0"/>
                  <w:vAlign w:val="center"/>
                </w:tcPr>
                <w:p w14:paraId="7961128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1</w:t>
                  </w:r>
                </w:p>
              </w:tc>
              <w:tc>
                <w:tcPr>
                  <w:tcW w:w="444" w:type="dxa"/>
                  <w:tcBorders>
                    <w:tl2br w:val="nil"/>
                    <w:tr2bl w:val="nil"/>
                  </w:tcBorders>
                  <w:shd w:val="clear" w:color="auto" w:fill="auto"/>
                  <w:noWrap w:val="0"/>
                  <w:vAlign w:val="center"/>
                </w:tcPr>
                <w:p w14:paraId="6667F0C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台</w:t>
                  </w:r>
                </w:p>
              </w:tc>
              <w:tc>
                <w:tcPr>
                  <w:tcW w:w="3964" w:type="dxa"/>
                  <w:tcBorders>
                    <w:tl2br w:val="nil"/>
                    <w:tr2bl w:val="nil"/>
                  </w:tcBorders>
                  <w:shd w:val="clear" w:color="auto" w:fill="auto"/>
                  <w:noWrap w:val="0"/>
                  <w:vAlign w:val="center"/>
                </w:tcPr>
                <w:p w14:paraId="16C0CC3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孔径8,用于杂质与成品的分离，实现商品肥料</w:t>
                  </w:r>
                  <w:r>
                    <w:rPr>
                      <w:rFonts w:hint="default" w:ascii="Times New Roman" w:hAnsi="Times New Roman" w:cs="Times New Roman" w:eastAsiaTheme="minorEastAsia"/>
                      <w:color w:val="auto"/>
                      <w:spacing w:val="-1"/>
                      <w:sz w:val="21"/>
                      <w:szCs w:val="21"/>
                    </w:rPr>
                    <w:t>的分级。功率11kw</w:t>
                  </w:r>
                </w:p>
              </w:tc>
            </w:tr>
            <w:tr w14:paraId="5CB67BE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4B2F7D3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1.5</w:t>
                  </w:r>
                </w:p>
              </w:tc>
              <w:tc>
                <w:tcPr>
                  <w:tcW w:w="1624" w:type="dxa"/>
                  <w:tcBorders>
                    <w:tl2br w:val="nil"/>
                    <w:tr2bl w:val="nil"/>
                  </w:tcBorders>
                  <w:shd w:val="clear" w:color="auto" w:fill="auto"/>
                  <w:noWrap w:val="0"/>
                  <w:vAlign w:val="center"/>
                </w:tcPr>
                <w:p w14:paraId="08B53FF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2"/>
                      <w:sz w:val="21"/>
                      <w:szCs w:val="21"/>
                    </w:rPr>
                    <w:t>筛分机下面传送带</w:t>
                  </w:r>
                </w:p>
              </w:tc>
              <w:tc>
                <w:tcPr>
                  <w:tcW w:w="1181" w:type="dxa"/>
                  <w:tcBorders>
                    <w:tl2br w:val="nil"/>
                    <w:tr2bl w:val="nil"/>
                  </w:tcBorders>
                  <w:shd w:val="clear" w:color="auto" w:fill="auto"/>
                  <w:noWrap w:val="0"/>
                  <w:vAlign w:val="center"/>
                </w:tcPr>
                <w:p w14:paraId="199457B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1"/>
                      <w:sz w:val="21"/>
                      <w:szCs w:val="21"/>
                    </w:rPr>
                    <w:t>B500</w:t>
                  </w:r>
                </w:p>
              </w:tc>
              <w:tc>
                <w:tcPr>
                  <w:tcW w:w="525" w:type="dxa"/>
                  <w:tcBorders>
                    <w:tl2br w:val="nil"/>
                    <w:tr2bl w:val="nil"/>
                  </w:tcBorders>
                  <w:shd w:val="clear" w:color="auto" w:fill="auto"/>
                  <w:noWrap w:val="0"/>
                  <w:vAlign w:val="center"/>
                </w:tcPr>
                <w:p w14:paraId="6545244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1</w:t>
                  </w:r>
                </w:p>
              </w:tc>
              <w:tc>
                <w:tcPr>
                  <w:tcW w:w="444" w:type="dxa"/>
                  <w:tcBorders>
                    <w:tl2br w:val="nil"/>
                    <w:tr2bl w:val="nil"/>
                  </w:tcBorders>
                  <w:shd w:val="clear" w:color="auto" w:fill="auto"/>
                  <w:noWrap w:val="0"/>
                  <w:vAlign w:val="center"/>
                </w:tcPr>
                <w:p w14:paraId="568119C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台</w:t>
                  </w:r>
                </w:p>
              </w:tc>
              <w:tc>
                <w:tcPr>
                  <w:tcW w:w="3964" w:type="dxa"/>
                  <w:tcBorders>
                    <w:tl2br w:val="nil"/>
                    <w:tr2bl w:val="nil"/>
                  </w:tcBorders>
                  <w:shd w:val="clear" w:color="auto" w:fill="auto"/>
                  <w:noWrap w:val="0"/>
                  <w:vAlign w:val="center"/>
                </w:tcPr>
                <w:p w14:paraId="21BAEB2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功率3kw,10号槽钢，皮带为5层棉线</w:t>
                  </w:r>
                </w:p>
              </w:tc>
            </w:tr>
            <w:tr w14:paraId="0A0A53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360C4FB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1.6</w:t>
                  </w:r>
                </w:p>
              </w:tc>
              <w:tc>
                <w:tcPr>
                  <w:tcW w:w="1624" w:type="dxa"/>
                  <w:tcBorders>
                    <w:tl2br w:val="nil"/>
                    <w:tr2bl w:val="nil"/>
                  </w:tcBorders>
                  <w:shd w:val="clear" w:color="auto" w:fill="auto"/>
                  <w:noWrap w:val="0"/>
                  <w:vAlign w:val="center"/>
                </w:tcPr>
                <w:p w14:paraId="6A521FC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2"/>
                      <w:sz w:val="21"/>
                      <w:szCs w:val="21"/>
                    </w:rPr>
                    <w:t>传送带</w:t>
                  </w:r>
                </w:p>
              </w:tc>
              <w:tc>
                <w:tcPr>
                  <w:tcW w:w="1181" w:type="dxa"/>
                  <w:tcBorders>
                    <w:tl2br w:val="nil"/>
                    <w:tr2bl w:val="nil"/>
                  </w:tcBorders>
                  <w:shd w:val="clear" w:color="auto" w:fill="auto"/>
                  <w:noWrap w:val="0"/>
                  <w:vAlign w:val="center"/>
                </w:tcPr>
                <w:p w14:paraId="7C417E5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1"/>
                      <w:sz w:val="21"/>
                      <w:szCs w:val="21"/>
                    </w:rPr>
                    <w:t>B500</w:t>
                  </w:r>
                </w:p>
              </w:tc>
              <w:tc>
                <w:tcPr>
                  <w:tcW w:w="525" w:type="dxa"/>
                  <w:tcBorders>
                    <w:tl2br w:val="nil"/>
                    <w:tr2bl w:val="nil"/>
                  </w:tcBorders>
                  <w:shd w:val="clear" w:color="auto" w:fill="auto"/>
                  <w:noWrap w:val="0"/>
                  <w:vAlign w:val="center"/>
                </w:tcPr>
                <w:p w14:paraId="4AA6D8E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1</w:t>
                  </w:r>
                </w:p>
              </w:tc>
              <w:tc>
                <w:tcPr>
                  <w:tcW w:w="444" w:type="dxa"/>
                  <w:tcBorders>
                    <w:tl2br w:val="nil"/>
                    <w:tr2bl w:val="nil"/>
                  </w:tcBorders>
                  <w:shd w:val="clear" w:color="auto" w:fill="auto"/>
                  <w:noWrap w:val="0"/>
                  <w:vAlign w:val="center"/>
                </w:tcPr>
                <w:p w14:paraId="3F587F3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台</w:t>
                  </w:r>
                </w:p>
              </w:tc>
              <w:tc>
                <w:tcPr>
                  <w:tcW w:w="3964" w:type="dxa"/>
                  <w:tcBorders>
                    <w:tl2br w:val="nil"/>
                    <w:tr2bl w:val="nil"/>
                  </w:tcBorders>
                  <w:shd w:val="clear" w:color="auto" w:fill="auto"/>
                  <w:noWrap w:val="0"/>
                  <w:vAlign w:val="center"/>
                </w:tcPr>
                <w:p w14:paraId="547ED1A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功率3kw,10号槽钢，皮带为5层棉线</w:t>
                  </w:r>
                </w:p>
              </w:tc>
            </w:tr>
            <w:tr w14:paraId="069428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35" w:type="dxa"/>
                  <w:tcBorders>
                    <w:tl2br w:val="nil"/>
                    <w:tr2bl w:val="nil"/>
                  </w:tcBorders>
                  <w:noWrap w:val="0"/>
                  <w:vAlign w:val="center"/>
                </w:tcPr>
                <w:p w14:paraId="2D4921D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1.7</w:t>
                  </w:r>
                </w:p>
              </w:tc>
              <w:tc>
                <w:tcPr>
                  <w:tcW w:w="1624" w:type="dxa"/>
                  <w:tcBorders>
                    <w:tl2br w:val="nil"/>
                    <w:tr2bl w:val="nil"/>
                  </w:tcBorders>
                  <w:shd w:val="clear" w:color="auto" w:fill="auto"/>
                  <w:noWrap w:val="0"/>
                  <w:vAlign w:val="center"/>
                </w:tcPr>
                <w:p w14:paraId="06A18D5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2"/>
                      <w:sz w:val="21"/>
                      <w:szCs w:val="21"/>
                    </w:rPr>
                    <w:t>控制柜</w:t>
                  </w:r>
                </w:p>
              </w:tc>
              <w:tc>
                <w:tcPr>
                  <w:tcW w:w="1181" w:type="dxa"/>
                  <w:tcBorders>
                    <w:tl2br w:val="nil"/>
                    <w:tr2bl w:val="nil"/>
                  </w:tcBorders>
                  <w:shd w:val="clear" w:color="auto" w:fill="auto"/>
                  <w:noWrap w:val="0"/>
                  <w:vAlign w:val="center"/>
                </w:tcPr>
                <w:p w14:paraId="4528476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3"/>
                      <w:sz w:val="21"/>
                      <w:szCs w:val="21"/>
                    </w:rPr>
                    <w:t>1000*500</w:t>
                  </w:r>
                </w:p>
              </w:tc>
              <w:tc>
                <w:tcPr>
                  <w:tcW w:w="525" w:type="dxa"/>
                  <w:tcBorders>
                    <w:tl2br w:val="nil"/>
                    <w:tr2bl w:val="nil"/>
                  </w:tcBorders>
                  <w:shd w:val="clear" w:color="auto" w:fill="auto"/>
                  <w:noWrap w:val="0"/>
                  <w:vAlign w:val="center"/>
                </w:tcPr>
                <w:p w14:paraId="32D8238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1</w:t>
                  </w:r>
                </w:p>
              </w:tc>
              <w:tc>
                <w:tcPr>
                  <w:tcW w:w="444" w:type="dxa"/>
                  <w:tcBorders>
                    <w:tl2br w:val="nil"/>
                    <w:tr2bl w:val="nil"/>
                  </w:tcBorders>
                  <w:shd w:val="clear" w:color="auto" w:fill="auto"/>
                  <w:noWrap w:val="0"/>
                  <w:vAlign w:val="center"/>
                </w:tcPr>
                <w:p w14:paraId="576404A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台</w:t>
                  </w:r>
                </w:p>
              </w:tc>
              <w:tc>
                <w:tcPr>
                  <w:tcW w:w="3964" w:type="dxa"/>
                  <w:tcBorders>
                    <w:tl2br w:val="nil"/>
                    <w:tr2bl w:val="nil"/>
                  </w:tcBorders>
                  <w:shd w:val="clear" w:color="auto" w:fill="auto"/>
                  <w:noWrap w:val="0"/>
                  <w:vAlign w:val="center"/>
                </w:tcPr>
                <w:p w14:paraId="2054183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配带调速表，三角星式低压启动，电器</w:t>
                  </w:r>
                  <w:r>
                    <w:rPr>
                      <w:rFonts w:hint="default" w:ascii="Times New Roman" w:hAnsi="Times New Roman" w:cs="Times New Roman" w:eastAsiaTheme="minorEastAsia"/>
                      <w:color w:val="auto"/>
                      <w:sz w:val="21"/>
                      <w:szCs w:val="21"/>
                      <w:lang w:eastAsia="zh-CN"/>
                    </w:rPr>
                    <w:t>元</w:t>
                  </w:r>
                  <w:r>
                    <w:rPr>
                      <w:rFonts w:hint="default" w:ascii="Times New Roman" w:hAnsi="Times New Roman" w:cs="Times New Roman" w:eastAsiaTheme="minorEastAsia"/>
                      <w:color w:val="auto"/>
                      <w:sz w:val="21"/>
                      <w:szCs w:val="21"/>
                    </w:rPr>
                    <w:t>件均为德力西电器。</w:t>
                  </w:r>
                </w:p>
              </w:tc>
            </w:tr>
            <w:tr w14:paraId="1AEA80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35" w:type="dxa"/>
                  <w:tcBorders>
                    <w:tl2br w:val="nil"/>
                    <w:tr2bl w:val="nil"/>
                  </w:tcBorders>
                  <w:noWrap w:val="0"/>
                  <w:vAlign w:val="center"/>
                </w:tcPr>
                <w:p w14:paraId="58A8E9C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1.8</w:t>
                  </w:r>
                </w:p>
              </w:tc>
              <w:tc>
                <w:tcPr>
                  <w:tcW w:w="1624" w:type="dxa"/>
                  <w:tcBorders>
                    <w:tl2br w:val="nil"/>
                    <w:tr2bl w:val="nil"/>
                  </w:tcBorders>
                  <w:shd w:val="clear" w:color="auto" w:fill="auto"/>
                  <w:noWrap w:val="0"/>
                  <w:vAlign w:val="center"/>
                </w:tcPr>
                <w:p w14:paraId="4715B3C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1"/>
                      <w:sz w:val="21"/>
                      <w:szCs w:val="21"/>
                    </w:rPr>
                    <w:t>双斗皮带包装秤</w:t>
                  </w:r>
                </w:p>
              </w:tc>
              <w:tc>
                <w:tcPr>
                  <w:tcW w:w="1181" w:type="dxa"/>
                  <w:tcBorders>
                    <w:tl2br w:val="nil"/>
                    <w:tr2bl w:val="nil"/>
                  </w:tcBorders>
                  <w:shd w:val="clear" w:color="auto" w:fill="auto"/>
                  <w:noWrap w:val="0"/>
                  <w:vAlign w:val="center"/>
                </w:tcPr>
                <w:p w14:paraId="45CE715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6"/>
                      <w:sz w:val="21"/>
                      <w:szCs w:val="21"/>
                    </w:rPr>
                    <w:t>双斗</w:t>
                  </w:r>
                </w:p>
              </w:tc>
              <w:tc>
                <w:tcPr>
                  <w:tcW w:w="525" w:type="dxa"/>
                  <w:tcBorders>
                    <w:tl2br w:val="nil"/>
                    <w:tr2bl w:val="nil"/>
                  </w:tcBorders>
                  <w:shd w:val="clear" w:color="auto" w:fill="auto"/>
                  <w:noWrap w:val="0"/>
                  <w:vAlign w:val="center"/>
                </w:tcPr>
                <w:p w14:paraId="70DD546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1</w:t>
                  </w:r>
                </w:p>
              </w:tc>
              <w:tc>
                <w:tcPr>
                  <w:tcW w:w="444" w:type="dxa"/>
                  <w:tcBorders>
                    <w:tl2br w:val="nil"/>
                    <w:tr2bl w:val="nil"/>
                  </w:tcBorders>
                  <w:shd w:val="clear" w:color="auto" w:fill="auto"/>
                  <w:noWrap w:val="0"/>
                  <w:vAlign w:val="center"/>
                </w:tcPr>
                <w:p w14:paraId="530B8E9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台</w:t>
                  </w:r>
                </w:p>
              </w:tc>
              <w:tc>
                <w:tcPr>
                  <w:tcW w:w="3964" w:type="dxa"/>
                  <w:tcBorders>
                    <w:tl2br w:val="nil"/>
                    <w:tr2bl w:val="nil"/>
                  </w:tcBorders>
                  <w:shd w:val="clear" w:color="auto" w:fill="auto"/>
                  <w:noWrap w:val="0"/>
                  <w:vAlign w:val="center"/>
                </w:tcPr>
                <w:p w14:paraId="1F412A6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配有气泵、输送机、缝纫机、电脑控制箱，包装重量2</w:t>
                  </w:r>
                  <w:r>
                    <w:rPr>
                      <w:rFonts w:hint="default" w:ascii="Times New Roman" w:hAnsi="Times New Roman" w:cs="Times New Roman" w:eastAsiaTheme="minorEastAsia"/>
                      <w:color w:val="auto"/>
                      <w:spacing w:val="-1"/>
                      <w:sz w:val="21"/>
                      <w:szCs w:val="21"/>
                    </w:rPr>
                    <w:t>5-50kg,功率</w:t>
                  </w:r>
                  <w:r>
                    <w:rPr>
                      <w:rFonts w:hint="default" w:ascii="Times New Roman" w:hAnsi="Times New Roman" w:cs="Times New Roman" w:eastAsiaTheme="minorEastAsia"/>
                      <w:color w:val="auto"/>
                      <w:spacing w:val="-4"/>
                      <w:sz w:val="21"/>
                      <w:szCs w:val="21"/>
                    </w:rPr>
                    <w:t>1.5kw</w:t>
                  </w:r>
                </w:p>
              </w:tc>
            </w:tr>
            <w:tr w14:paraId="692343A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635" w:type="dxa"/>
                  <w:tcBorders>
                    <w:tl2br w:val="nil"/>
                    <w:tr2bl w:val="nil"/>
                  </w:tcBorders>
                  <w:noWrap w:val="0"/>
                  <w:vAlign w:val="center"/>
                </w:tcPr>
                <w:p w14:paraId="3550D64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1.9</w:t>
                  </w:r>
                </w:p>
              </w:tc>
              <w:tc>
                <w:tcPr>
                  <w:tcW w:w="1624" w:type="dxa"/>
                  <w:tcBorders>
                    <w:tl2br w:val="nil"/>
                    <w:tr2bl w:val="nil"/>
                  </w:tcBorders>
                  <w:shd w:val="clear" w:color="auto" w:fill="auto"/>
                  <w:noWrap w:val="0"/>
                  <w:vAlign w:val="center"/>
                </w:tcPr>
                <w:p w14:paraId="30FE590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1"/>
                      <w:sz w:val="21"/>
                      <w:szCs w:val="21"/>
                    </w:rPr>
                    <w:t>平台双斗颗粒包装秤</w:t>
                  </w:r>
                </w:p>
              </w:tc>
              <w:tc>
                <w:tcPr>
                  <w:tcW w:w="1181" w:type="dxa"/>
                  <w:tcBorders>
                    <w:tl2br w:val="nil"/>
                    <w:tr2bl w:val="nil"/>
                  </w:tcBorders>
                  <w:shd w:val="clear" w:color="auto" w:fill="auto"/>
                  <w:noWrap w:val="0"/>
                  <w:vAlign w:val="center"/>
                </w:tcPr>
                <w:p w14:paraId="7BB42AD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pacing w:val="6"/>
                      <w:sz w:val="21"/>
                      <w:szCs w:val="21"/>
                    </w:rPr>
                    <w:t>双斗</w:t>
                  </w:r>
                </w:p>
              </w:tc>
              <w:tc>
                <w:tcPr>
                  <w:tcW w:w="525" w:type="dxa"/>
                  <w:tcBorders>
                    <w:tl2br w:val="nil"/>
                    <w:tr2bl w:val="nil"/>
                  </w:tcBorders>
                  <w:shd w:val="clear" w:color="auto" w:fill="auto"/>
                  <w:noWrap w:val="0"/>
                  <w:vAlign w:val="center"/>
                </w:tcPr>
                <w:p w14:paraId="52E2327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1</w:t>
                  </w:r>
                </w:p>
              </w:tc>
              <w:tc>
                <w:tcPr>
                  <w:tcW w:w="444" w:type="dxa"/>
                  <w:tcBorders>
                    <w:tl2br w:val="nil"/>
                    <w:tr2bl w:val="nil"/>
                  </w:tcBorders>
                  <w:shd w:val="clear" w:color="auto" w:fill="auto"/>
                  <w:noWrap w:val="0"/>
                  <w:vAlign w:val="center"/>
                </w:tcPr>
                <w:p w14:paraId="5BB6670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台</w:t>
                  </w:r>
                </w:p>
              </w:tc>
              <w:tc>
                <w:tcPr>
                  <w:tcW w:w="3964" w:type="dxa"/>
                  <w:tcBorders>
                    <w:tl2br w:val="nil"/>
                    <w:tr2bl w:val="nil"/>
                  </w:tcBorders>
                  <w:shd w:val="clear" w:color="auto" w:fill="auto"/>
                  <w:noWrap w:val="0"/>
                  <w:vAlign w:val="center"/>
                </w:tcPr>
                <w:p w14:paraId="3C90F37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sz w:val="21"/>
                      <w:szCs w:val="21"/>
                    </w:rPr>
                    <w:t>配压缩机及3米皮带输送机，GK35-2C缝包机，包装袋50~90cm可调，</w:t>
                  </w:r>
                  <w:r>
                    <w:rPr>
                      <w:rFonts w:hint="default" w:ascii="Times New Roman" w:hAnsi="Times New Roman" w:cs="Times New Roman" w:eastAsiaTheme="minorEastAsia"/>
                      <w:color w:val="auto"/>
                      <w:spacing w:val="-1"/>
                      <w:sz w:val="21"/>
                      <w:szCs w:val="21"/>
                    </w:rPr>
                    <w:t>产量6~12吨/小时。功率1.5kw</w:t>
                  </w:r>
                </w:p>
              </w:tc>
            </w:tr>
            <w:tr w14:paraId="4DDB126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7D9254D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624" w:type="dxa"/>
                  <w:tcBorders>
                    <w:tl2br w:val="nil"/>
                    <w:tr2bl w:val="nil"/>
                  </w:tcBorders>
                  <w:noWrap w:val="0"/>
                  <w:vAlign w:val="center"/>
                </w:tcPr>
                <w:p w14:paraId="3A6086B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颗粒生产线</w:t>
                  </w:r>
                </w:p>
              </w:tc>
              <w:tc>
                <w:tcPr>
                  <w:tcW w:w="1181" w:type="dxa"/>
                  <w:tcBorders>
                    <w:tl2br w:val="nil"/>
                    <w:tr2bl w:val="nil"/>
                  </w:tcBorders>
                  <w:noWrap w:val="0"/>
                  <w:vAlign w:val="center"/>
                </w:tcPr>
                <w:p w14:paraId="08ECF46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0A75683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444" w:type="dxa"/>
                  <w:tcBorders>
                    <w:tl2br w:val="nil"/>
                    <w:tr2bl w:val="nil"/>
                  </w:tcBorders>
                  <w:noWrap w:val="0"/>
                  <w:vAlign w:val="center"/>
                </w:tcPr>
                <w:p w14:paraId="2D32D5FB">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3964" w:type="dxa"/>
                  <w:tcBorders>
                    <w:tl2br w:val="nil"/>
                    <w:tr2bl w:val="nil"/>
                  </w:tcBorders>
                  <w:noWrap w:val="0"/>
                  <w:vAlign w:val="center"/>
                </w:tcPr>
                <w:p w14:paraId="7096250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2F948B9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635" w:type="dxa"/>
                  <w:tcBorders>
                    <w:tl2br w:val="nil"/>
                    <w:tr2bl w:val="nil"/>
                  </w:tcBorders>
                  <w:noWrap w:val="0"/>
                  <w:vAlign w:val="center"/>
                </w:tcPr>
                <w:p w14:paraId="311A604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2.1</w:t>
                  </w:r>
                </w:p>
              </w:tc>
              <w:tc>
                <w:tcPr>
                  <w:tcW w:w="1624" w:type="dxa"/>
                  <w:tcBorders>
                    <w:tl2br w:val="nil"/>
                    <w:tr2bl w:val="nil"/>
                  </w:tcBorders>
                  <w:noWrap w:val="0"/>
                  <w:vAlign w:val="center"/>
                </w:tcPr>
                <w:p w14:paraId="365DE56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轮式翻抛机</w:t>
                  </w:r>
                </w:p>
              </w:tc>
              <w:tc>
                <w:tcPr>
                  <w:tcW w:w="1181" w:type="dxa"/>
                  <w:tcBorders>
                    <w:tl2br w:val="nil"/>
                    <w:tr2bl w:val="nil"/>
                  </w:tcBorders>
                  <w:noWrap w:val="0"/>
                  <w:vAlign w:val="center"/>
                </w:tcPr>
                <w:p w14:paraId="513A1C9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LH2020</w:t>
                  </w:r>
                </w:p>
              </w:tc>
              <w:tc>
                <w:tcPr>
                  <w:tcW w:w="525" w:type="dxa"/>
                  <w:tcBorders>
                    <w:tl2br w:val="nil"/>
                    <w:tr2bl w:val="nil"/>
                  </w:tcBorders>
                  <w:noWrap w:val="0"/>
                  <w:vAlign w:val="center"/>
                </w:tcPr>
                <w:p w14:paraId="75B8C4E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07D9C12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05D4368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横梁采用加固500x300H钢制作，车轮组采用铸钢车轮组，大车和小</w:t>
                  </w:r>
                  <w:r>
                    <w:rPr>
                      <w:rFonts w:hint="default" w:ascii="Times New Roman" w:hAnsi="Times New Roman" w:cs="Times New Roman" w:eastAsiaTheme="minorEastAsia"/>
                      <w:color w:val="auto"/>
                      <w:spacing w:val="1"/>
                      <w:sz w:val="21"/>
                      <w:szCs w:val="21"/>
                    </w:rPr>
                    <w:t>车运行速度变频调速，翻抛轮采用液压升降。翻抛轮功率22</w:t>
                  </w:r>
                  <w:r>
                    <w:rPr>
                      <w:rFonts w:hint="default" w:ascii="Times New Roman" w:hAnsi="Times New Roman" w:cs="Times New Roman" w:eastAsiaTheme="minorEastAsia"/>
                      <w:color w:val="auto"/>
                      <w:sz w:val="21"/>
                      <w:szCs w:val="21"/>
                    </w:rPr>
                    <w:t>Kw</w:t>
                  </w:r>
                  <w:r>
                    <w:rPr>
                      <w:rFonts w:hint="default" w:ascii="Times New Roman" w:hAnsi="Times New Roman" w:cs="Times New Roman" w:eastAsiaTheme="minorEastAsia"/>
                      <w:color w:val="auto"/>
                      <w:spacing w:val="1"/>
                      <w:sz w:val="21"/>
                      <w:szCs w:val="21"/>
                    </w:rPr>
                    <w:t>,行走</w:t>
                  </w:r>
                </w:p>
                <w:p w14:paraId="2554563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电机功率4x1.5Kw,液压系统功率4kw。</w:t>
                  </w:r>
                </w:p>
              </w:tc>
            </w:tr>
            <w:tr w14:paraId="7B588CD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48" w:hRule="atLeast"/>
              </w:trPr>
              <w:tc>
                <w:tcPr>
                  <w:tcW w:w="635" w:type="dxa"/>
                  <w:tcBorders>
                    <w:tl2br w:val="nil"/>
                    <w:tr2bl w:val="nil"/>
                  </w:tcBorders>
                  <w:noWrap w:val="0"/>
                  <w:vAlign w:val="center"/>
                </w:tcPr>
                <w:p w14:paraId="70098A4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2.2</w:t>
                  </w:r>
                </w:p>
              </w:tc>
              <w:tc>
                <w:tcPr>
                  <w:tcW w:w="1624" w:type="dxa"/>
                  <w:tcBorders>
                    <w:tl2br w:val="nil"/>
                    <w:tr2bl w:val="nil"/>
                  </w:tcBorders>
                  <w:noWrap w:val="0"/>
                  <w:vAlign w:val="center"/>
                </w:tcPr>
                <w:p w14:paraId="1A9EE82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上料器</w:t>
                  </w:r>
                </w:p>
              </w:tc>
              <w:tc>
                <w:tcPr>
                  <w:tcW w:w="1181" w:type="dxa"/>
                  <w:tcBorders>
                    <w:tl2br w:val="nil"/>
                    <w:tr2bl w:val="nil"/>
                  </w:tcBorders>
                  <w:noWrap w:val="0"/>
                  <w:vAlign w:val="center"/>
                </w:tcPr>
                <w:p w14:paraId="01A4643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4方</w:t>
                  </w:r>
                </w:p>
              </w:tc>
              <w:tc>
                <w:tcPr>
                  <w:tcW w:w="525" w:type="dxa"/>
                  <w:tcBorders>
                    <w:tl2br w:val="nil"/>
                    <w:tr2bl w:val="nil"/>
                  </w:tcBorders>
                  <w:noWrap w:val="0"/>
                  <w:vAlign w:val="center"/>
                </w:tcPr>
                <w:p w14:paraId="0AD4E26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4D4A936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3C8D769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集储料运料为一体。机架采用槽钢焊接而成，箱体采用83钢板焊接。皮带为五层帆布夹层橡胶带。带变频调节器，可自动控制出料快慢。</w:t>
                  </w:r>
                  <w:r>
                    <w:rPr>
                      <w:rFonts w:hint="default" w:ascii="Times New Roman" w:hAnsi="Times New Roman" w:cs="Times New Roman" w:eastAsiaTheme="minorEastAsia"/>
                      <w:color w:val="auto"/>
                      <w:spacing w:val="15"/>
                      <w:sz w:val="21"/>
                      <w:szCs w:val="21"/>
                    </w:rPr>
                    <w:t>功率4</w:t>
                  </w:r>
                  <w:r>
                    <w:rPr>
                      <w:rFonts w:hint="default" w:ascii="Times New Roman" w:hAnsi="Times New Roman" w:cs="Times New Roman" w:eastAsiaTheme="minorEastAsia"/>
                      <w:color w:val="auto"/>
                      <w:sz w:val="21"/>
                      <w:szCs w:val="21"/>
                    </w:rPr>
                    <w:t>kw</w:t>
                  </w:r>
                  <w:r>
                    <w:rPr>
                      <w:rFonts w:hint="default" w:ascii="Times New Roman" w:hAnsi="Times New Roman" w:cs="Times New Roman" w:eastAsiaTheme="minorEastAsia"/>
                      <w:color w:val="auto"/>
                      <w:spacing w:val="15"/>
                      <w:sz w:val="21"/>
                      <w:szCs w:val="21"/>
                    </w:rPr>
                    <w:t>.</w:t>
                  </w:r>
                </w:p>
              </w:tc>
            </w:tr>
            <w:tr w14:paraId="4874EE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635" w:type="dxa"/>
                  <w:tcBorders>
                    <w:tl2br w:val="nil"/>
                    <w:tr2bl w:val="nil"/>
                  </w:tcBorders>
                  <w:noWrap w:val="0"/>
                  <w:vAlign w:val="center"/>
                </w:tcPr>
                <w:p w14:paraId="39F9B1C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2.3</w:t>
                  </w:r>
                </w:p>
              </w:tc>
              <w:tc>
                <w:tcPr>
                  <w:tcW w:w="1624" w:type="dxa"/>
                  <w:tcBorders>
                    <w:tl2br w:val="nil"/>
                    <w:tr2bl w:val="nil"/>
                  </w:tcBorders>
                  <w:noWrap w:val="0"/>
                  <w:vAlign w:val="center"/>
                </w:tcPr>
                <w:p w14:paraId="3BCE145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皮带输送机B500x8米</w:t>
                  </w:r>
                </w:p>
              </w:tc>
              <w:tc>
                <w:tcPr>
                  <w:tcW w:w="1181" w:type="dxa"/>
                  <w:tcBorders>
                    <w:tl2br w:val="nil"/>
                    <w:tr2bl w:val="nil"/>
                  </w:tcBorders>
                  <w:noWrap w:val="0"/>
                  <w:vAlign w:val="center"/>
                </w:tcPr>
                <w:p w14:paraId="24B7DA4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B500</w:t>
                  </w:r>
                </w:p>
              </w:tc>
              <w:tc>
                <w:tcPr>
                  <w:tcW w:w="525" w:type="dxa"/>
                  <w:tcBorders>
                    <w:tl2br w:val="nil"/>
                    <w:tr2bl w:val="nil"/>
                  </w:tcBorders>
                  <w:noWrap w:val="0"/>
                  <w:vAlign w:val="center"/>
                </w:tcPr>
                <w:p w14:paraId="0290D4F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6E91D32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089C948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机架采用10#槽钢焊接，皮带为五层帆布夹层橡胶带，B=650,L=8m;</w:t>
                  </w:r>
                  <w:r>
                    <w:rPr>
                      <w:rFonts w:hint="default" w:ascii="Times New Roman" w:hAnsi="Times New Roman" w:cs="Times New Roman" w:eastAsiaTheme="minorEastAsia"/>
                      <w:color w:val="auto"/>
                      <w:sz w:val="21"/>
                      <w:szCs w:val="21"/>
                    </w:rPr>
                    <w:t>传动采用电动滚筒。功率3kw。</w:t>
                  </w:r>
                </w:p>
              </w:tc>
            </w:tr>
            <w:tr w14:paraId="45361EF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635" w:type="dxa"/>
                  <w:tcBorders>
                    <w:tl2br w:val="nil"/>
                    <w:tr2bl w:val="nil"/>
                  </w:tcBorders>
                  <w:noWrap w:val="0"/>
                  <w:vAlign w:val="center"/>
                </w:tcPr>
                <w:p w14:paraId="1752F93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2.4</w:t>
                  </w:r>
                </w:p>
              </w:tc>
              <w:tc>
                <w:tcPr>
                  <w:tcW w:w="1624" w:type="dxa"/>
                  <w:tcBorders>
                    <w:tl2br w:val="nil"/>
                    <w:tr2bl w:val="nil"/>
                  </w:tcBorders>
                  <w:noWrap w:val="0"/>
                  <w:vAlign w:val="center"/>
                </w:tcPr>
                <w:p w14:paraId="2FB45DB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盘式造粒机</w:t>
                  </w:r>
                </w:p>
              </w:tc>
              <w:tc>
                <w:tcPr>
                  <w:tcW w:w="1181" w:type="dxa"/>
                  <w:tcBorders>
                    <w:tl2br w:val="nil"/>
                    <w:tr2bl w:val="nil"/>
                  </w:tcBorders>
                  <w:noWrap w:val="0"/>
                  <w:vAlign w:val="center"/>
                </w:tcPr>
                <w:p w14:paraId="6695534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3000</w:t>
                  </w:r>
                </w:p>
              </w:tc>
              <w:tc>
                <w:tcPr>
                  <w:tcW w:w="525" w:type="dxa"/>
                  <w:tcBorders>
                    <w:tl2br w:val="nil"/>
                    <w:tr2bl w:val="nil"/>
                  </w:tcBorders>
                  <w:noWrap w:val="0"/>
                  <w:vAlign w:val="center"/>
                </w:tcPr>
                <w:p w14:paraId="098323B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2D8806F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64B0A24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机架采用槽钢焊接和钢板，坚固耐用。造粒盘直</w:t>
                  </w:r>
                  <w:r>
                    <w:rPr>
                      <w:rFonts w:hint="default" w:ascii="Times New Roman" w:hAnsi="Times New Roman" w:cs="Times New Roman" w:eastAsiaTheme="minorEastAsia"/>
                      <w:color w:val="auto"/>
                      <w:spacing w:val="-1"/>
                      <w:sz w:val="21"/>
                      <w:szCs w:val="21"/>
                    </w:rPr>
                    <w:t>径Φ3米。内衬不锈</w:t>
                  </w:r>
                  <w:r>
                    <w:rPr>
                      <w:rFonts w:hint="default" w:ascii="Times New Roman" w:hAnsi="Times New Roman" w:cs="Times New Roman" w:eastAsiaTheme="minorEastAsia"/>
                      <w:color w:val="auto"/>
                      <w:sz w:val="21"/>
                      <w:szCs w:val="21"/>
                    </w:rPr>
                    <w:t xml:space="preserve"> 钢板，</w:t>
                  </w:r>
                  <w:r>
                    <w:rPr>
                      <w:rFonts w:hint="default" w:ascii="Times New Roman" w:hAnsi="Times New Roman" w:cs="Times New Roman" w:eastAsiaTheme="minorEastAsia"/>
                      <w:color w:val="auto"/>
                      <w:sz w:val="21"/>
                      <w:szCs w:val="21"/>
                      <w:lang w:eastAsia="zh-CN"/>
                    </w:rPr>
                    <w:t>耐磨</w:t>
                  </w:r>
                  <w:r>
                    <w:rPr>
                      <w:rFonts w:hint="default" w:ascii="Times New Roman" w:hAnsi="Times New Roman" w:cs="Times New Roman" w:eastAsiaTheme="minorEastAsia"/>
                      <w:color w:val="auto"/>
                      <w:sz w:val="21"/>
                      <w:szCs w:val="21"/>
                    </w:rPr>
                    <w:t>耐腐蚀。电机功率7.5KW,减速机JZQ400,减速比48.57。</w:t>
                  </w:r>
                </w:p>
              </w:tc>
            </w:tr>
            <w:tr w14:paraId="19254EB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35" w:type="dxa"/>
                  <w:tcBorders>
                    <w:tl2br w:val="nil"/>
                    <w:tr2bl w:val="nil"/>
                  </w:tcBorders>
                  <w:noWrap w:val="0"/>
                  <w:vAlign w:val="center"/>
                </w:tcPr>
                <w:p w14:paraId="2A88B10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2.5</w:t>
                  </w:r>
                </w:p>
              </w:tc>
              <w:tc>
                <w:tcPr>
                  <w:tcW w:w="1624" w:type="dxa"/>
                  <w:tcBorders>
                    <w:tl2br w:val="nil"/>
                    <w:tr2bl w:val="nil"/>
                  </w:tcBorders>
                  <w:noWrap w:val="0"/>
                  <w:vAlign w:val="center"/>
                </w:tcPr>
                <w:p w14:paraId="4EE1330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皮带输送机D650x10米</w:t>
                  </w:r>
                </w:p>
              </w:tc>
              <w:tc>
                <w:tcPr>
                  <w:tcW w:w="1181" w:type="dxa"/>
                  <w:tcBorders>
                    <w:tl2br w:val="nil"/>
                    <w:tr2bl w:val="nil"/>
                  </w:tcBorders>
                  <w:noWrap w:val="0"/>
                  <w:vAlign w:val="center"/>
                </w:tcPr>
                <w:p w14:paraId="242A673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B650</w:t>
                  </w:r>
                </w:p>
              </w:tc>
              <w:tc>
                <w:tcPr>
                  <w:tcW w:w="525" w:type="dxa"/>
                  <w:tcBorders>
                    <w:tl2br w:val="nil"/>
                    <w:tr2bl w:val="nil"/>
                  </w:tcBorders>
                  <w:noWrap w:val="0"/>
                  <w:vAlign w:val="center"/>
                </w:tcPr>
                <w:p w14:paraId="4C513A4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4F821F0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1678EB3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功率3kw,10号槽钢，皮带为5层棉线</w:t>
                  </w:r>
                </w:p>
              </w:tc>
            </w:tr>
            <w:tr w14:paraId="4C13FDE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4A97932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2.6</w:t>
                  </w:r>
                </w:p>
              </w:tc>
              <w:tc>
                <w:tcPr>
                  <w:tcW w:w="1624" w:type="dxa"/>
                  <w:tcBorders>
                    <w:tl2br w:val="nil"/>
                    <w:tr2bl w:val="nil"/>
                  </w:tcBorders>
                  <w:noWrap w:val="0"/>
                  <w:vAlign w:val="center"/>
                </w:tcPr>
                <w:p w14:paraId="26CD31E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皮带输送机D650x13米</w:t>
                  </w:r>
                </w:p>
              </w:tc>
              <w:tc>
                <w:tcPr>
                  <w:tcW w:w="1181" w:type="dxa"/>
                  <w:tcBorders>
                    <w:tl2br w:val="nil"/>
                    <w:tr2bl w:val="nil"/>
                  </w:tcBorders>
                  <w:noWrap w:val="0"/>
                  <w:vAlign w:val="center"/>
                </w:tcPr>
                <w:p w14:paraId="771F7D8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B650</w:t>
                  </w:r>
                </w:p>
              </w:tc>
              <w:tc>
                <w:tcPr>
                  <w:tcW w:w="525" w:type="dxa"/>
                  <w:tcBorders>
                    <w:tl2br w:val="nil"/>
                    <w:tr2bl w:val="nil"/>
                  </w:tcBorders>
                  <w:noWrap w:val="0"/>
                  <w:vAlign w:val="center"/>
                </w:tcPr>
                <w:p w14:paraId="6AF5C32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55A87CC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71B76EF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功率3kw,10号槽钢，皮带为5层棉线</w:t>
                  </w:r>
                </w:p>
              </w:tc>
            </w:tr>
            <w:tr w14:paraId="6A9D6A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48" w:hRule="atLeast"/>
              </w:trPr>
              <w:tc>
                <w:tcPr>
                  <w:tcW w:w="635" w:type="dxa"/>
                  <w:tcBorders>
                    <w:tl2br w:val="nil"/>
                    <w:tr2bl w:val="nil"/>
                  </w:tcBorders>
                  <w:noWrap w:val="0"/>
                  <w:vAlign w:val="center"/>
                </w:tcPr>
                <w:p w14:paraId="248C1A8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2.7</w:t>
                  </w:r>
                </w:p>
              </w:tc>
              <w:tc>
                <w:tcPr>
                  <w:tcW w:w="1624" w:type="dxa"/>
                  <w:tcBorders>
                    <w:tl2br w:val="nil"/>
                    <w:tr2bl w:val="nil"/>
                  </w:tcBorders>
                  <w:noWrap w:val="0"/>
                  <w:vAlign w:val="center"/>
                </w:tcPr>
                <w:p w14:paraId="0C0C68C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干燥机</w:t>
                  </w:r>
                </w:p>
              </w:tc>
              <w:tc>
                <w:tcPr>
                  <w:tcW w:w="1181" w:type="dxa"/>
                  <w:tcBorders>
                    <w:tl2br w:val="nil"/>
                    <w:tr2bl w:val="nil"/>
                  </w:tcBorders>
                  <w:noWrap w:val="0"/>
                  <w:vAlign w:val="center"/>
                </w:tcPr>
                <w:p w14:paraId="700D0D4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Φ1500x15000</w:t>
                  </w:r>
                </w:p>
              </w:tc>
              <w:tc>
                <w:tcPr>
                  <w:tcW w:w="525" w:type="dxa"/>
                  <w:tcBorders>
                    <w:tl2br w:val="nil"/>
                    <w:tr2bl w:val="nil"/>
                  </w:tcBorders>
                  <w:noWrap w:val="0"/>
                  <w:vAlign w:val="center"/>
                </w:tcPr>
                <w:p w14:paraId="180A37A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5458283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7EADB61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筒体采用δ10,Q235板，抄板86,Q235板，光圈、齿圈采用优质铸钢铸造加工。转速5.7转/分，齿轮模数12,电机功率15k</w:t>
                  </w:r>
                  <w:r>
                    <w:rPr>
                      <w:rFonts w:hint="default" w:ascii="Times New Roman" w:hAnsi="Times New Roman" w:cs="Times New Roman" w:eastAsiaTheme="minorEastAsia"/>
                      <w:color w:val="auto"/>
                      <w:spacing w:val="-1"/>
                      <w:sz w:val="21"/>
                      <w:szCs w:val="21"/>
                    </w:rPr>
                    <w:t>w,配ZQ400</w:t>
                  </w:r>
                  <w:r>
                    <w:rPr>
                      <w:rFonts w:hint="default" w:ascii="Times New Roman" w:hAnsi="Times New Roman" w:cs="Times New Roman" w:eastAsiaTheme="minorEastAsia"/>
                      <w:color w:val="auto"/>
                      <w:sz w:val="21"/>
                      <w:szCs w:val="21"/>
                    </w:rPr>
                    <w:t>减速机。</w:t>
                  </w:r>
                </w:p>
              </w:tc>
            </w:tr>
            <w:tr w14:paraId="0464586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5" w:type="dxa"/>
                  <w:tcBorders>
                    <w:tl2br w:val="nil"/>
                    <w:tr2bl w:val="nil"/>
                  </w:tcBorders>
                  <w:noWrap w:val="0"/>
                  <w:vAlign w:val="center"/>
                </w:tcPr>
                <w:p w14:paraId="4A5ED13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2.8</w:t>
                  </w:r>
                </w:p>
              </w:tc>
              <w:tc>
                <w:tcPr>
                  <w:tcW w:w="1624" w:type="dxa"/>
                  <w:tcBorders>
                    <w:tl2br w:val="nil"/>
                    <w:tr2bl w:val="nil"/>
                  </w:tcBorders>
                  <w:noWrap w:val="0"/>
                  <w:vAlign w:val="center"/>
                </w:tcPr>
                <w:p w14:paraId="5A9F824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皮带输送机D650x9米</w:t>
                  </w:r>
                </w:p>
              </w:tc>
              <w:tc>
                <w:tcPr>
                  <w:tcW w:w="1181" w:type="dxa"/>
                  <w:tcBorders>
                    <w:tl2br w:val="nil"/>
                    <w:tr2bl w:val="nil"/>
                  </w:tcBorders>
                  <w:noWrap w:val="0"/>
                  <w:vAlign w:val="center"/>
                </w:tcPr>
                <w:p w14:paraId="7EEA5C9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B650</w:t>
                  </w:r>
                </w:p>
              </w:tc>
              <w:tc>
                <w:tcPr>
                  <w:tcW w:w="525" w:type="dxa"/>
                  <w:tcBorders>
                    <w:tl2br w:val="nil"/>
                    <w:tr2bl w:val="nil"/>
                  </w:tcBorders>
                  <w:noWrap w:val="0"/>
                  <w:vAlign w:val="center"/>
                </w:tcPr>
                <w:p w14:paraId="6693523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2322719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6A44860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功率3kw,10号槽钢，皮带为5层棉线</w:t>
                  </w:r>
                </w:p>
              </w:tc>
            </w:tr>
            <w:tr w14:paraId="435172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635" w:type="dxa"/>
                  <w:tcBorders>
                    <w:tl2br w:val="nil"/>
                    <w:tr2bl w:val="nil"/>
                  </w:tcBorders>
                  <w:noWrap w:val="0"/>
                  <w:vAlign w:val="center"/>
                </w:tcPr>
                <w:p w14:paraId="5D6763E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2.9</w:t>
                  </w:r>
                </w:p>
              </w:tc>
              <w:tc>
                <w:tcPr>
                  <w:tcW w:w="1624" w:type="dxa"/>
                  <w:tcBorders>
                    <w:tl2br w:val="nil"/>
                    <w:tr2bl w:val="nil"/>
                  </w:tcBorders>
                  <w:noWrap w:val="0"/>
                  <w:vAlign w:val="center"/>
                </w:tcPr>
                <w:p w14:paraId="3599D84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冷却机</w:t>
                  </w:r>
                </w:p>
              </w:tc>
              <w:tc>
                <w:tcPr>
                  <w:tcW w:w="1181" w:type="dxa"/>
                  <w:tcBorders>
                    <w:tl2br w:val="nil"/>
                    <w:tr2bl w:val="nil"/>
                  </w:tcBorders>
                  <w:noWrap w:val="0"/>
                  <w:vAlign w:val="center"/>
                </w:tcPr>
                <w:p w14:paraId="7732EAD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1200x12000</w:t>
                  </w:r>
                </w:p>
              </w:tc>
              <w:tc>
                <w:tcPr>
                  <w:tcW w:w="525" w:type="dxa"/>
                  <w:tcBorders>
                    <w:tl2br w:val="nil"/>
                    <w:tr2bl w:val="nil"/>
                  </w:tcBorders>
                  <w:noWrap w:val="0"/>
                  <w:vAlign w:val="center"/>
                </w:tcPr>
                <w:p w14:paraId="7E603E1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5BF56E9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666D9B5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筒体采用δ10,Q235板，抄板δ6,Q235板，光圈、齿圈采用优质</w:t>
                  </w:r>
                  <w:r>
                    <w:rPr>
                      <w:rFonts w:hint="default" w:ascii="Times New Roman" w:hAnsi="Times New Roman" w:cs="Times New Roman" w:eastAsiaTheme="minorEastAsia"/>
                      <w:color w:val="auto"/>
                      <w:sz w:val="21"/>
                      <w:szCs w:val="21"/>
                      <w:lang w:eastAsia="zh-CN"/>
                    </w:rPr>
                    <w:t>铸钢</w:t>
                  </w:r>
                  <w:r>
                    <w:rPr>
                      <w:rFonts w:hint="default" w:ascii="Times New Roman" w:hAnsi="Times New Roman" w:cs="Times New Roman" w:eastAsiaTheme="minorEastAsia"/>
                      <w:color w:val="auto"/>
                      <w:sz w:val="21"/>
                      <w:szCs w:val="21"/>
                    </w:rPr>
                    <w:t>铸造加工。转速6转/分，齿轮模数12,电机功率7.5</w:t>
                  </w:r>
                  <w:r>
                    <w:rPr>
                      <w:rFonts w:hint="default" w:ascii="Times New Roman" w:hAnsi="Times New Roman" w:cs="Times New Roman" w:eastAsiaTheme="minorEastAsia"/>
                      <w:color w:val="auto"/>
                      <w:spacing w:val="-1"/>
                      <w:sz w:val="21"/>
                      <w:szCs w:val="21"/>
                    </w:rPr>
                    <w:t>kw,配</w:t>
                  </w:r>
                  <w:r>
                    <w:rPr>
                      <w:rFonts w:hint="default" w:ascii="Times New Roman" w:hAnsi="Times New Roman" w:cs="Times New Roman" w:eastAsiaTheme="minorEastAsia"/>
                      <w:color w:val="auto"/>
                      <w:sz w:val="21"/>
                      <w:szCs w:val="21"/>
                    </w:rPr>
                    <w:t>ZQ400减速机。</w:t>
                  </w:r>
                </w:p>
              </w:tc>
            </w:tr>
            <w:tr w14:paraId="5C3F996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48" w:hRule="atLeast"/>
              </w:trPr>
              <w:tc>
                <w:tcPr>
                  <w:tcW w:w="635" w:type="dxa"/>
                  <w:tcBorders>
                    <w:tl2br w:val="nil"/>
                    <w:tr2bl w:val="nil"/>
                  </w:tcBorders>
                  <w:noWrap w:val="0"/>
                  <w:vAlign w:val="center"/>
                </w:tcPr>
                <w:p w14:paraId="3B6698C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2.10</w:t>
                  </w:r>
                </w:p>
              </w:tc>
              <w:tc>
                <w:tcPr>
                  <w:tcW w:w="1624" w:type="dxa"/>
                  <w:tcBorders>
                    <w:tl2br w:val="nil"/>
                    <w:tr2bl w:val="nil"/>
                  </w:tcBorders>
                  <w:noWrap w:val="0"/>
                  <w:vAlign w:val="center"/>
                </w:tcPr>
                <w:p w14:paraId="3362B9D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pacing w:val="-2"/>
                      <w:sz w:val="21"/>
                      <w:szCs w:val="21"/>
                      <w:lang w:val="en-US" w:eastAsia="zh-CN"/>
                    </w:rPr>
                    <w:t>生物质热风炉</w:t>
                  </w:r>
                </w:p>
              </w:tc>
              <w:tc>
                <w:tcPr>
                  <w:tcW w:w="1181" w:type="dxa"/>
                  <w:tcBorders>
                    <w:tl2br w:val="nil"/>
                    <w:tr2bl w:val="nil"/>
                  </w:tcBorders>
                  <w:noWrap w:val="0"/>
                  <w:vAlign w:val="center"/>
                </w:tcPr>
                <w:p w14:paraId="6458CD0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38CA5E9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41C7DFB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7A240DD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采用钢板焊接结构，粉碎效果好，燃烧效率高，</w:t>
                  </w:r>
                  <w:r>
                    <w:rPr>
                      <w:rFonts w:hint="default" w:ascii="Times New Roman" w:hAnsi="Times New Roman" w:cs="Times New Roman" w:eastAsiaTheme="minorEastAsia"/>
                      <w:color w:val="auto"/>
                      <w:spacing w:val="-1"/>
                      <w:sz w:val="21"/>
                      <w:szCs w:val="21"/>
                    </w:rPr>
                    <w:t>炉膛采用耐火砖砌衬，空气强制冷却，使用寿命长。燃烧充分，污染排放较少。</w:t>
                  </w:r>
                </w:p>
              </w:tc>
            </w:tr>
            <w:tr w14:paraId="21D0E52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35" w:type="dxa"/>
                  <w:tcBorders>
                    <w:tl2br w:val="nil"/>
                    <w:tr2bl w:val="nil"/>
                  </w:tcBorders>
                  <w:noWrap w:val="0"/>
                  <w:vAlign w:val="center"/>
                </w:tcPr>
                <w:p w14:paraId="01DC090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2.11</w:t>
                  </w:r>
                </w:p>
              </w:tc>
              <w:tc>
                <w:tcPr>
                  <w:tcW w:w="1624" w:type="dxa"/>
                  <w:tcBorders>
                    <w:tl2br w:val="nil"/>
                    <w:tr2bl w:val="nil"/>
                  </w:tcBorders>
                  <w:noWrap w:val="0"/>
                  <w:vAlign w:val="center"/>
                </w:tcPr>
                <w:p w14:paraId="6E4DD40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烘干机冷却机除尘系统</w:t>
                  </w:r>
                </w:p>
              </w:tc>
              <w:tc>
                <w:tcPr>
                  <w:tcW w:w="1181" w:type="dxa"/>
                  <w:tcBorders>
                    <w:tl2br w:val="nil"/>
                    <w:tr2bl w:val="nil"/>
                  </w:tcBorders>
                  <w:noWrap w:val="0"/>
                  <w:vAlign w:val="center"/>
                </w:tcPr>
                <w:p w14:paraId="2321FAA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1200*3000</w:t>
                  </w:r>
                </w:p>
              </w:tc>
              <w:tc>
                <w:tcPr>
                  <w:tcW w:w="525" w:type="dxa"/>
                  <w:tcBorders>
                    <w:tl2br w:val="nil"/>
                    <w:tr2bl w:val="nil"/>
                  </w:tcBorders>
                  <w:noWrap w:val="0"/>
                  <w:vAlign w:val="center"/>
                </w:tcPr>
                <w:p w14:paraId="28B5A87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1</w:t>
                  </w:r>
                </w:p>
              </w:tc>
              <w:tc>
                <w:tcPr>
                  <w:tcW w:w="444" w:type="dxa"/>
                  <w:tcBorders>
                    <w:tl2br w:val="nil"/>
                    <w:tr2bl w:val="nil"/>
                  </w:tcBorders>
                  <w:noWrap w:val="0"/>
                  <w:vAlign w:val="center"/>
                </w:tcPr>
                <w:p w14:paraId="05D9623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174DE79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风机采用多翼风机，风管直径600。</w:t>
                  </w:r>
                </w:p>
              </w:tc>
            </w:tr>
            <w:tr w14:paraId="3F8D834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635" w:type="dxa"/>
                  <w:tcBorders>
                    <w:tl2br w:val="nil"/>
                    <w:tr2bl w:val="nil"/>
                  </w:tcBorders>
                  <w:noWrap w:val="0"/>
                  <w:vAlign w:val="center"/>
                </w:tcPr>
                <w:p w14:paraId="164ED21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2.12</w:t>
                  </w:r>
                </w:p>
              </w:tc>
              <w:tc>
                <w:tcPr>
                  <w:tcW w:w="1624" w:type="dxa"/>
                  <w:tcBorders>
                    <w:tl2br w:val="nil"/>
                    <w:tr2bl w:val="nil"/>
                  </w:tcBorders>
                  <w:noWrap w:val="0"/>
                  <w:vAlign w:val="center"/>
                </w:tcPr>
                <w:p w14:paraId="27D67EB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喷淋塔</w:t>
                  </w:r>
                </w:p>
              </w:tc>
              <w:tc>
                <w:tcPr>
                  <w:tcW w:w="1181" w:type="dxa"/>
                  <w:tcBorders>
                    <w:tl2br w:val="nil"/>
                    <w:tr2bl w:val="nil"/>
                  </w:tcBorders>
                  <w:noWrap w:val="0"/>
                  <w:vAlign w:val="center"/>
                </w:tcPr>
                <w:p w14:paraId="6266E26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2000*4500</w:t>
                  </w:r>
                </w:p>
              </w:tc>
              <w:tc>
                <w:tcPr>
                  <w:tcW w:w="525" w:type="dxa"/>
                  <w:tcBorders>
                    <w:tl2br w:val="nil"/>
                    <w:tr2bl w:val="nil"/>
                  </w:tcBorders>
                  <w:noWrap w:val="0"/>
                  <w:vAlign w:val="center"/>
                </w:tcPr>
                <w:p w14:paraId="5FD7AB8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1</w:t>
                  </w:r>
                </w:p>
              </w:tc>
              <w:tc>
                <w:tcPr>
                  <w:tcW w:w="444" w:type="dxa"/>
                  <w:tcBorders>
                    <w:tl2br w:val="nil"/>
                    <w:tr2bl w:val="nil"/>
                  </w:tcBorders>
                  <w:noWrap w:val="0"/>
                  <w:vAlign w:val="center"/>
                </w:tcPr>
                <w:p w14:paraId="1D13A1D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4A87B07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筒体采用δ6钢板卷制，内装碳化硅涡旋喷头，喷头不堵塞，除尘效果好，使用可靠。功率1.5KW</w:t>
                  </w:r>
                </w:p>
              </w:tc>
            </w:tr>
            <w:tr w14:paraId="1FEDD4E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5" w:type="dxa"/>
                  <w:tcBorders>
                    <w:tl2br w:val="nil"/>
                    <w:tr2bl w:val="nil"/>
                  </w:tcBorders>
                  <w:noWrap w:val="0"/>
                  <w:vAlign w:val="center"/>
                </w:tcPr>
                <w:p w14:paraId="1096309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2.13</w:t>
                  </w:r>
                </w:p>
              </w:tc>
              <w:tc>
                <w:tcPr>
                  <w:tcW w:w="1624" w:type="dxa"/>
                  <w:tcBorders>
                    <w:tl2br w:val="nil"/>
                    <w:tr2bl w:val="nil"/>
                  </w:tcBorders>
                  <w:noWrap w:val="0"/>
                  <w:vAlign w:val="center"/>
                </w:tcPr>
                <w:p w14:paraId="52826A4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皮带输送机D650x16米</w:t>
                  </w:r>
                </w:p>
              </w:tc>
              <w:tc>
                <w:tcPr>
                  <w:tcW w:w="1181" w:type="dxa"/>
                  <w:tcBorders>
                    <w:tl2br w:val="nil"/>
                    <w:tr2bl w:val="nil"/>
                  </w:tcBorders>
                  <w:noWrap w:val="0"/>
                  <w:vAlign w:val="center"/>
                </w:tcPr>
                <w:p w14:paraId="36509F7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B650</w:t>
                  </w:r>
                </w:p>
              </w:tc>
              <w:tc>
                <w:tcPr>
                  <w:tcW w:w="525" w:type="dxa"/>
                  <w:tcBorders>
                    <w:tl2br w:val="nil"/>
                    <w:tr2bl w:val="nil"/>
                  </w:tcBorders>
                  <w:noWrap w:val="0"/>
                  <w:vAlign w:val="center"/>
                </w:tcPr>
                <w:p w14:paraId="333B9BA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547987D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0D61309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功率3kw,10号槽钢，皮带为5层棉线</w:t>
                  </w:r>
                </w:p>
              </w:tc>
            </w:tr>
            <w:tr w14:paraId="592651A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635" w:type="dxa"/>
                  <w:tcBorders>
                    <w:tl2br w:val="nil"/>
                    <w:tr2bl w:val="nil"/>
                  </w:tcBorders>
                  <w:noWrap w:val="0"/>
                  <w:vAlign w:val="center"/>
                </w:tcPr>
                <w:p w14:paraId="509E042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2.14</w:t>
                  </w:r>
                </w:p>
              </w:tc>
              <w:tc>
                <w:tcPr>
                  <w:tcW w:w="1624" w:type="dxa"/>
                  <w:tcBorders>
                    <w:tl2br w:val="nil"/>
                    <w:tr2bl w:val="nil"/>
                  </w:tcBorders>
                  <w:noWrap w:val="0"/>
                  <w:vAlign w:val="center"/>
                </w:tcPr>
                <w:p w14:paraId="7FDD33D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筛分机</w:t>
                  </w:r>
                </w:p>
              </w:tc>
              <w:tc>
                <w:tcPr>
                  <w:tcW w:w="1181" w:type="dxa"/>
                  <w:tcBorders>
                    <w:tl2br w:val="nil"/>
                    <w:tr2bl w:val="nil"/>
                  </w:tcBorders>
                  <w:noWrap w:val="0"/>
                  <w:vAlign w:val="center"/>
                </w:tcPr>
                <w:p w14:paraId="79F9D62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1800*4000</w:t>
                  </w:r>
                </w:p>
              </w:tc>
              <w:tc>
                <w:tcPr>
                  <w:tcW w:w="525" w:type="dxa"/>
                  <w:tcBorders>
                    <w:tl2br w:val="nil"/>
                    <w:tr2bl w:val="nil"/>
                  </w:tcBorders>
                  <w:noWrap w:val="0"/>
                  <w:vAlign w:val="center"/>
                </w:tcPr>
                <w:p w14:paraId="3575BE9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5B7362F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4DBDCD8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筛网2.0×2.0,</w:t>
                  </w:r>
                  <w:r>
                    <w:rPr>
                      <w:rFonts w:hint="default" w:ascii="Times New Roman" w:hAnsi="Times New Roman" w:cs="Times New Roman" w:eastAsiaTheme="minorEastAsia"/>
                      <w:color w:val="auto"/>
                      <w:sz w:val="21"/>
                      <w:szCs w:val="21"/>
                      <w:lang w:eastAsia="zh-CN"/>
                    </w:rPr>
                    <w:t>丝径</w:t>
                  </w:r>
                  <w:r>
                    <w:rPr>
                      <w:rFonts w:hint="default" w:ascii="Times New Roman" w:hAnsi="Times New Roman" w:cs="Times New Roman" w:eastAsiaTheme="minorEastAsia"/>
                      <w:color w:val="auto"/>
                      <w:sz w:val="21"/>
                      <w:szCs w:val="21"/>
                    </w:rPr>
                    <w:t>01.0及4.75×4.75,</w:t>
                  </w:r>
                  <w:r>
                    <w:rPr>
                      <w:rFonts w:hint="default" w:ascii="Times New Roman" w:hAnsi="Times New Roman" w:cs="Times New Roman" w:eastAsiaTheme="minorEastAsia"/>
                      <w:color w:val="auto"/>
                      <w:sz w:val="21"/>
                      <w:szCs w:val="21"/>
                      <w:lang w:eastAsia="zh-CN"/>
                    </w:rPr>
                    <w:t>丝径</w:t>
                  </w:r>
                  <w:r>
                    <w:rPr>
                      <w:rFonts w:hint="default" w:ascii="Times New Roman" w:hAnsi="Times New Roman" w:cs="Times New Roman" w:eastAsiaTheme="minorEastAsia"/>
                      <w:color w:val="auto"/>
                      <w:sz w:val="21"/>
                      <w:szCs w:val="21"/>
                    </w:rPr>
                    <w:t>01.0</w:t>
                  </w:r>
                  <w:r>
                    <w:rPr>
                      <w:rFonts w:hint="default" w:ascii="Times New Roman" w:hAnsi="Times New Roman" w:cs="Times New Roman" w:eastAsiaTheme="minorEastAsia"/>
                      <w:color w:val="auto"/>
                      <w:spacing w:val="-1"/>
                      <w:sz w:val="21"/>
                      <w:szCs w:val="21"/>
                    </w:rPr>
                    <w:t>两种，机架采用方钢焊接，采用无轴传动。此结构的应用使得生产线更紧凑，节约设备，节省场地。功率7.5KW</w:t>
                  </w:r>
                </w:p>
              </w:tc>
            </w:tr>
            <w:tr w14:paraId="25CA67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0D9A983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2.15</w:t>
                  </w:r>
                </w:p>
              </w:tc>
              <w:tc>
                <w:tcPr>
                  <w:tcW w:w="1624" w:type="dxa"/>
                  <w:tcBorders>
                    <w:tl2br w:val="nil"/>
                    <w:tr2bl w:val="nil"/>
                  </w:tcBorders>
                  <w:noWrap w:val="0"/>
                  <w:vAlign w:val="center"/>
                </w:tcPr>
                <w:p w14:paraId="1A2A611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皮带输送机D650x14米</w:t>
                  </w:r>
                </w:p>
              </w:tc>
              <w:tc>
                <w:tcPr>
                  <w:tcW w:w="1181" w:type="dxa"/>
                  <w:tcBorders>
                    <w:tl2br w:val="nil"/>
                    <w:tr2bl w:val="nil"/>
                  </w:tcBorders>
                  <w:noWrap w:val="0"/>
                  <w:vAlign w:val="center"/>
                </w:tcPr>
                <w:p w14:paraId="1DB27A3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B650</w:t>
                  </w:r>
                </w:p>
              </w:tc>
              <w:tc>
                <w:tcPr>
                  <w:tcW w:w="525" w:type="dxa"/>
                  <w:tcBorders>
                    <w:tl2br w:val="nil"/>
                    <w:tr2bl w:val="nil"/>
                  </w:tcBorders>
                  <w:noWrap w:val="0"/>
                  <w:vAlign w:val="center"/>
                </w:tcPr>
                <w:p w14:paraId="706D493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4367861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5F46088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功率3kw,10号槽钢，皮带为5层棉线</w:t>
                  </w:r>
                </w:p>
              </w:tc>
            </w:tr>
            <w:tr w14:paraId="6D5AFFD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635" w:type="dxa"/>
                  <w:tcBorders>
                    <w:tl2br w:val="nil"/>
                    <w:tr2bl w:val="nil"/>
                  </w:tcBorders>
                  <w:noWrap w:val="0"/>
                  <w:vAlign w:val="center"/>
                </w:tcPr>
                <w:p w14:paraId="63557B0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2.16</w:t>
                  </w:r>
                </w:p>
              </w:tc>
              <w:tc>
                <w:tcPr>
                  <w:tcW w:w="1624" w:type="dxa"/>
                  <w:tcBorders>
                    <w:tl2br w:val="nil"/>
                    <w:tr2bl w:val="nil"/>
                  </w:tcBorders>
                  <w:noWrap w:val="0"/>
                  <w:vAlign w:val="center"/>
                </w:tcPr>
                <w:p w14:paraId="2B6C4EA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颗粒自动包装机</w:t>
                  </w:r>
                </w:p>
              </w:tc>
              <w:tc>
                <w:tcPr>
                  <w:tcW w:w="1181" w:type="dxa"/>
                  <w:tcBorders>
                    <w:tl2br w:val="nil"/>
                    <w:tr2bl w:val="nil"/>
                  </w:tcBorders>
                  <w:noWrap w:val="0"/>
                  <w:vAlign w:val="center"/>
                </w:tcPr>
                <w:p w14:paraId="4301C1C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双斗</w:t>
                  </w:r>
                </w:p>
              </w:tc>
              <w:tc>
                <w:tcPr>
                  <w:tcW w:w="525" w:type="dxa"/>
                  <w:tcBorders>
                    <w:tl2br w:val="nil"/>
                    <w:tr2bl w:val="nil"/>
                  </w:tcBorders>
                  <w:noWrap w:val="0"/>
                  <w:vAlign w:val="center"/>
                </w:tcPr>
                <w:p w14:paraId="69B0C35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28F5074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02C8EB6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配压缩机及3米皮带输送机，GK35-2C缝包机，包装袋50~90cm可调，</w:t>
                  </w:r>
                  <w:r>
                    <w:rPr>
                      <w:rFonts w:hint="default" w:ascii="Times New Roman" w:hAnsi="Times New Roman" w:cs="Times New Roman" w:eastAsiaTheme="minorEastAsia"/>
                      <w:color w:val="auto"/>
                      <w:spacing w:val="-1"/>
                      <w:sz w:val="21"/>
                      <w:szCs w:val="21"/>
                    </w:rPr>
                    <w:t>产量6~12吨/小时。功率3KW</w:t>
                  </w:r>
                </w:p>
              </w:tc>
            </w:tr>
            <w:tr w14:paraId="162512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5" w:type="dxa"/>
                  <w:tcBorders>
                    <w:tl2br w:val="nil"/>
                    <w:tr2bl w:val="nil"/>
                  </w:tcBorders>
                  <w:noWrap w:val="0"/>
                  <w:vAlign w:val="center"/>
                </w:tcPr>
                <w:p w14:paraId="626EFB1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2.17</w:t>
                  </w:r>
                </w:p>
              </w:tc>
              <w:tc>
                <w:tcPr>
                  <w:tcW w:w="1624" w:type="dxa"/>
                  <w:tcBorders>
                    <w:tl2br w:val="nil"/>
                    <w:tr2bl w:val="nil"/>
                  </w:tcBorders>
                  <w:noWrap w:val="0"/>
                  <w:vAlign w:val="center"/>
                </w:tcPr>
                <w:p w14:paraId="6F6C1D5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皮带输送机D650x6米</w:t>
                  </w:r>
                </w:p>
              </w:tc>
              <w:tc>
                <w:tcPr>
                  <w:tcW w:w="1181" w:type="dxa"/>
                  <w:tcBorders>
                    <w:tl2br w:val="nil"/>
                    <w:tr2bl w:val="nil"/>
                  </w:tcBorders>
                  <w:noWrap w:val="0"/>
                  <w:vAlign w:val="center"/>
                </w:tcPr>
                <w:p w14:paraId="03D3523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B650</w:t>
                  </w:r>
                </w:p>
              </w:tc>
              <w:tc>
                <w:tcPr>
                  <w:tcW w:w="525" w:type="dxa"/>
                  <w:tcBorders>
                    <w:tl2br w:val="nil"/>
                    <w:tr2bl w:val="nil"/>
                  </w:tcBorders>
                  <w:noWrap w:val="0"/>
                  <w:vAlign w:val="center"/>
                </w:tcPr>
                <w:p w14:paraId="1CEC92B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2578875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52A3533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功率3kw,10号槽钢，皮带为5层棉线</w:t>
                  </w:r>
                </w:p>
              </w:tc>
            </w:tr>
            <w:tr w14:paraId="131B784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635" w:type="dxa"/>
                  <w:tcBorders>
                    <w:tl2br w:val="nil"/>
                    <w:tr2bl w:val="nil"/>
                  </w:tcBorders>
                  <w:noWrap w:val="0"/>
                  <w:vAlign w:val="center"/>
                </w:tcPr>
                <w:p w14:paraId="7F21582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2.18</w:t>
                  </w:r>
                </w:p>
              </w:tc>
              <w:tc>
                <w:tcPr>
                  <w:tcW w:w="1624" w:type="dxa"/>
                  <w:tcBorders>
                    <w:tl2br w:val="nil"/>
                    <w:tr2bl w:val="nil"/>
                  </w:tcBorders>
                  <w:noWrap w:val="0"/>
                  <w:vAlign w:val="center"/>
                </w:tcPr>
                <w:p w14:paraId="0901BF0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立式粉碎机650</w:t>
                  </w:r>
                </w:p>
              </w:tc>
              <w:tc>
                <w:tcPr>
                  <w:tcW w:w="1181" w:type="dxa"/>
                  <w:tcBorders>
                    <w:tl2br w:val="nil"/>
                    <w:tr2bl w:val="nil"/>
                  </w:tcBorders>
                  <w:noWrap w:val="0"/>
                  <w:vAlign w:val="center"/>
                </w:tcPr>
                <w:p w14:paraId="38F6D64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800</w:t>
                  </w:r>
                </w:p>
              </w:tc>
              <w:tc>
                <w:tcPr>
                  <w:tcW w:w="525" w:type="dxa"/>
                  <w:tcBorders>
                    <w:tl2br w:val="nil"/>
                    <w:tr2bl w:val="nil"/>
                  </w:tcBorders>
                  <w:noWrap w:val="0"/>
                  <w:vAlign w:val="center"/>
                </w:tcPr>
                <w:p w14:paraId="4CDFB78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10B7B91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5432F82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壳体采用10mm钢板焊接，粉碎采用环形链条，链条端部带合金刀头。</w:t>
                  </w:r>
                  <w:r>
                    <w:rPr>
                      <w:rFonts w:hint="default" w:ascii="Times New Roman" w:hAnsi="Times New Roman" w:cs="Times New Roman" w:eastAsiaTheme="minorEastAsia"/>
                      <w:color w:val="auto"/>
                      <w:sz w:val="21"/>
                      <w:szCs w:val="21"/>
                    </w:rPr>
                    <w:t>电机功率18.5kw,转速1470转/分钟。</w:t>
                  </w:r>
                </w:p>
              </w:tc>
            </w:tr>
            <w:tr w14:paraId="6982D80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1A0B07A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2.19</w:t>
                  </w:r>
                </w:p>
              </w:tc>
              <w:tc>
                <w:tcPr>
                  <w:tcW w:w="1624" w:type="dxa"/>
                  <w:tcBorders>
                    <w:tl2br w:val="nil"/>
                    <w:tr2bl w:val="nil"/>
                  </w:tcBorders>
                  <w:noWrap w:val="0"/>
                  <w:vAlign w:val="center"/>
                </w:tcPr>
                <w:p w14:paraId="0187360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电控系统</w:t>
                  </w:r>
                </w:p>
              </w:tc>
              <w:tc>
                <w:tcPr>
                  <w:tcW w:w="1181" w:type="dxa"/>
                  <w:tcBorders>
                    <w:tl2br w:val="nil"/>
                    <w:tr2bl w:val="nil"/>
                  </w:tcBorders>
                  <w:noWrap w:val="0"/>
                  <w:vAlign w:val="center"/>
                </w:tcPr>
                <w:p w14:paraId="62E5596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4088CF0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1B57DD9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3964" w:type="dxa"/>
                  <w:tcBorders>
                    <w:tl2br w:val="nil"/>
                    <w:tr2bl w:val="nil"/>
                  </w:tcBorders>
                  <w:noWrap w:val="0"/>
                  <w:vAlign w:val="center"/>
                </w:tcPr>
                <w:p w14:paraId="3BEC727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柜体采用标准柜体，电器元件采用品牌元器</w:t>
                  </w:r>
                  <w:r>
                    <w:rPr>
                      <w:rFonts w:hint="default" w:ascii="Times New Roman" w:hAnsi="Times New Roman" w:cs="Times New Roman" w:eastAsiaTheme="minorEastAsia"/>
                      <w:color w:val="auto"/>
                      <w:spacing w:val="-1"/>
                      <w:sz w:val="21"/>
                      <w:szCs w:val="21"/>
                    </w:rPr>
                    <w:t>件。</w:t>
                  </w:r>
                </w:p>
              </w:tc>
            </w:tr>
            <w:tr w14:paraId="5849AF9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635" w:type="dxa"/>
                  <w:tcBorders>
                    <w:tl2br w:val="nil"/>
                    <w:tr2bl w:val="nil"/>
                  </w:tcBorders>
                  <w:noWrap w:val="0"/>
                  <w:vAlign w:val="center"/>
                </w:tcPr>
                <w:p w14:paraId="24751F8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1624" w:type="dxa"/>
                  <w:tcBorders>
                    <w:tl2br w:val="nil"/>
                    <w:tr2bl w:val="nil"/>
                  </w:tcBorders>
                  <w:noWrap w:val="0"/>
                  <w:vAlign w:val="center"/>
                </w:tcPr>
                <w:p w14:paraId="70DDD27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机械手臂</w:t>
                  </w:r>
                </w:p>
              </w:tc>
              <w:tc>
                <w:tcPr>
                  <w:tcW w:w="1181" w:type="dxa"/>
                  <w:tcBorders>
                    <w:tl2br w:val="nil"/>
                    <w:tr2bl w:val="nil"/>
                  </w:tcBorders>
                  <w:noWrap w:val="0"/>
                  <w:vAlign w:val="center"/>
                </w:tcPr>
                <w:p w14:paraId="449F36F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ER-180</w:t>
                  </w:r>
                </w:p>
              </w:tc>
              <w:tc>
                <w:tcPr>
                  <w:tcW w:w="525" w:type="dxa"/>
                  <w:tcBorders>
                    <w:tl2br w:val="nil"/>
                    <w:tr2bl w:val="nil"/>
                  </w:tcBorders>
                  <w:noWrap w:val="0"/>
                  <w:vAlign w:val="center"/>
                </w:tcPr>
                <w:p w14:paraId="7A9FAF5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1177D86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7CD9FE3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机器人主体，抓手、</w:t>
                  </w:r>
                  <w:r>
                    <w:rPr>
                      <w:rFonts w:hint="default" w:ascii="Times New Roman" w:hAnsi="Times New Roman" w:cs="Times New Roman" w:eastAsiaTheme="minorEastAsia"/>
                      <w:color w:val="auto"/>
                      <w:sz w:val="21"/>
                      <w:szCs w:val="21"/>
                      <w:lang w:eastAsia="zh-CN"/>
                    </w:rPr>
                    <w:t>护栏及</w:t>
                  </w:r>
                  <w:r>
                    <w:rPr>
                      <w:rFonts w:hint="default" w:ascii="Times New Roman" w:hAnsi="Times New Roman" w:cs="Times New Roman" w:eastAsiaTheme="minorEastAsia"/>
                      <w:color w:val="auto"/>
                      <w:sz w:val="21"/>
                      <w:szCs w:val="21"/>
                    </w:rPr>
                    <w:t>底座，控制柜，压平整形，节约人</w:t>
                  </w:r>
                  <w:r>
                    <w:rPr>
                      <w:rFonts w:hint="default" w:ascii="Times New Roman" w:hAnsi="Times New Roman" w:cs="Times New Roman" w:eastAsiaTheme="minorEastAsia"/>
                      <w:color w:val="auto"/>
                      <w:spacing w:val="-1"/>
                      <w:sz w:val="21"/>
                      <w:szCs w:val="21"/>
                    </w:rPr>
                    <w:t>工，提高效率，功率15KW</w:t>
                  </w:r>
                </w:p>
              </w:tc>
            </w:tr>
            <w:tr w14:paraId="3E78209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635" w:type="dxa"/>
                  <w:tcBorders>
                    <w:tl2br w:val="nil"/>
                    <w:tr2bl w:val="nil"/>
                  </w:tcBorders>
                  <w:noWrap w:val="0"/>
                  <w:vAlign w:val="center"/>
                </w:tcPr>
                <w:p w14:paraId="0BD96AC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4"/>
                      <w:sz w:val="21"/>
                      <w:szCs w:val="21"/>
                    </w:rPr>
                    <w:t>(</w:t>
                  </w:r>
                  <w:r>
                    <w:rPr>
                      <w:rFonts w:hint="eastAsia" w:ascii="Times New Roman" w:hAnsi="Times New Roman" w:cs="Times New Roman" w:eastAsiaTheme="minorEastAsia"/>
                      <w:color w:val="auto"/>
                      <w:spacing w:val="14"/>
                      <w:sz w:val="21"/>
                      <w:szCs w:val="21"/>
                      <w:lang w:val="en-US" w:eastAsia="zh-CN"/>
                    </w:rPr>
                    <w:t>三</w:t>
                  </w:r>
                  <w:r>
                    <w:rPr>
                      <w:rFonts w:hint="default" w:ascii="Times New Roman" w:hAnsi="Times New Roman" w:cs="Times New Roman" w:eastAsiaTheme="minorEastAsia"/>
                      <w:color w:val="auto"/>
                      <w:spacing w:val="14"/>
                      <w:sz w:val="21"/>
                      <w:szCs w:val="21"/>
                    </w:rPr>
                    <w:t>)</w:t>
                  </w:r>
                </w:p>
              </w:tc>
              <w:tc>
                <w:tcPr>
                  <w:tcW w:w="1624" w:type="dxa"/>
                  <w:tcBorders>
                    <w:tl2br w:val="nil"/>
                    <w:tr2bl w:val="nil"/>
                  </w:tcBorders>
                  <w:noWrap w:val="0"/>
                  <w:vAlign w:val="center"/>
                </w:tcPr>
                <w:p w14:paraId="175D74B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车辆</w:t>
                  </w:r>
                </w:p>
              </w:tc>
              <w:tc>
                <w:tcPr>
                  <w:tcW w:w="1181" w:type="dxa"/>
                  <w:tcBorders>
                    <w:tl2br w:val="nil"/>
                    <w:tr2bl w:val="nil"/>
                  </w:tcBorders>
                  <w:noWrap w:val="0"/>
                  <w:vAlign w:val="center"/>
                </w:tcPr>
                <w:p w14:paraId="3F97EC59">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shd w:val="clear" w:color="auto" w:fill="auto"/>
                  <w:noWrap w:val="0"/>
                  <w:vAlign w:val="center"/>
                </w:tcPr>
                <w:p w14:paraId="6BB38BB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444" w:type="dxa"/>
                  <w:tcBorders>
                    <w:tl2br w:val="nil"/>
                    <w:tr2bl w:val="nil"/>
                  </w:tcBorders>
                  <w:noWrap w:val="0"/>
                  <w:vAlign w:val="center"/>
                </w:tcPr>
                <w:p w14:paraId="0644070F">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3964" w:type="dxa"/>
                  <w:tcBorders>
                    <w:tl2br w:val="nil"/>
                    <w:tr2bl w:val="nil"/>
                  </w:tcBorders>
                  <w:noWrap w:val="0"/>
                  <w:vAlign w:val="center"/>
                </w:tcPr>
                <w:p w14:paraId="49E1EED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r>
            <w:tr w14:paraId="1F2592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635" w:type="dxa"/>
                  <w:tcBorders>
                    <w:tl2br w:val="nil"/>
                    <w:tr2bl w:val="nil"/>
                  </w:tcBorders>
                  <w:noWrap w:val="0"/>
                  <w:vAlign w:val="center"/>
                </w:tcPr>
                <w:p w14:paraId="4697778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624" w:type="dxa"/>
                  <w:tcBorders>
                    <w:tl2br w:val="nil"/>
                    <w:tr2bl w:val="nil"/>
                  </w:tcBorders>
                  <w:noWrap w:val="0"/>
                  <w:vAlign w:val="center"/>
                </w:tcPr>
                <w:p w14:paraId="5C8B005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拉粪车</w:t>
                  </w:r>
                </w:p>
              </w:tc>
              <w:tc>
                <w:tcPr>
                  <w:tcW w:w="1181" w:type="dxa"/>
                  <w:tcBorders>
                    <w:tl2br w:val="nil"/>
                    <w:tr2bl w:val="nil"/>
                  </w:tcBorders>
                  <w:noWrap w:val="0"/>
                  <w:vAlign w:val="center"/>
                </w:tcPr>
                <w:p w14:paraId="497C39F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shd w:val="clear" w:color="auto" w:fill="auto"/>
                  <w:noWrap w:val="0"/>
                  <w:vAlign w:val="center"/>
                </w:tcPr>
                <w:p w14:paraId="7B86B20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4" w:type="dxa"/>
                  <w:tcBorders>
                    <w:tl2br w:val="nil"/>
                    <w:tr2bl w:val="nil"/>
                  </w:tcBorders>
                  <w:noWrap w:val="0"/>
                  <w:vAlign w:val="center"/>
                </w:tcPr>
                <w:p w14:paraId="39F485B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07E3893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8方</w:t>
                  </w:r>
                </w:p>
              </w:tc>
            </w:tr>
            <w:tr w14:paraId="68A0FD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35" w:type="dxa"/>
                  <w:tcBorders>
                    <w:tl2br w:val="nil"/>
                    <w:tr2bl w:val="nil"/>
                  </w:tcBorders>
                  <w:noWrap w:val="0"/>
                  <w:vAlign w:val="center"/>
                </w:tcPr>
                <w:p w14:paraId="268D7F3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1624" w:type="dxa"/>
                  <w:tcBorders>
                    <w:tl2br w:val="nil"/>
                    <w:tr2bl w:val="nil"/>
                  </w:tcBorders>
                  <w:noWrap w:val="0"/>
                  <w:vAlign w:val="center"/>
                </w:tcPr>
                <w:p w14:paraId="39427DC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吸污车</w:t>
                  </w:r>
                </w:p>
              </w:tc>
              <w:tc>
                <w:tcPr>
                  <w:tcW w:w="1181" w:type="dxa"/>
                  <w:tcBorders>
                    <w:tl2br w:val="nil"/>
                    <w:tr2bl w:val="nil"/>
                  </w:tcBorders>
                  <w:noWrap w:val="0"/>
                  <w:vAlign w:val="center"/>
                </w:tcPr>
                <w:p w14:paraId="7CA71BCA">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2E974F4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77439BF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59B864D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8方</w:t>
                  </w:r>
                </w:p>
              </w:tc>
            </w:tr>
            <w:tr w14:paraId="2030A12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35" w:type="dxa"/>
                  <w:tcBorders>
                    <w:tl2br w:val="nil"/>
                    <w:tr2bl w:val="nil"/>
                  </w:tcBorders>
                  <w:noWrap w:val="0"/>
                  <w:vAlign w:val="center"/>
                </w:tcPr>
                <w:p w14:paraId="195ED6A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1624" w:type="dxa"/>
                  <w:tcBorders>
                    <w:tl2br w:val="nil"/>
                    <w:tr2bl w:val="nil"/>
                  </w:tcBorders>
                  <w:noWrap w:val="0"/>
                  <w:vAlign w:val="center"/>
                </w:tcPr>
                <w:p w14:paraId="027CE1C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装载机</w:t>
                  </w:r>
                </w:p>
              </w:tc>
              <w:tc>
                <w:tcPr>
                  <w:tcW w:w="1181" w:type="dxa"/>
                  <w:tcBorders>
                    <w:tl2br w:val="nil"/>
                    <w:tr2bl w:val="nil"/>
                  </w:tcBorders>
                  <w:noWrap w:val="0"/>
                  <w:vAlign w:val="center"/>
                </w:tcPr>
                <w:p w14:paraId="75BBC020">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7305223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1</w:t>
                  </w:r>
                </w:p>
              </w:tc>
              <w:tc>
                <w:tcPr>
                  <w:tcW w:w="444" w:type="dxa"/>
                  <w:tcBorders>
                    <w:tl2br w:val="nil"/>
                    <w:tr2bl w:val="nil"/>
                  </w:tcBorders>
                  <w:noWrap w:val="0"/>
                  <w:vAlign w:val="center"/>
                </w:tcPr>
                <w:p w14:paraId="2C8168B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4339063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rPr>
                    <w:t>20型</w:t>
                  </w:r>
                </w:p>
              </w:tc>
            </w:tr>
            <w:tr w14:paraId="534D5E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635" w:type="dxa"/>
                  <w:tcBorders>
                    <w:tl2br w:val="nil"/>
                    <w:tr2bl w:val="nil"/>
                  </w:tcBorders>
                  <w:noWrap w:val="0"/>
                  <w:vAlign w:val="center"/>
                </w:tcPr>
                <w:p w14:paraId="0B9DC74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624" w:type="dxa"/>
                  <w:tcBorders>
                    <w:tl2br w:val="nil"/>
                    <w:tr2bl w:val="nil"/>
                  </w:tcBorders>
                  <w:noWrap w:val="0"/>
                  <w:vAlign w:val="center"/>
                </w:tcPr>
                <w:p w14:paraId="0C85DBF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吸污车</w:t>
                  </w:r>
                </w:p>
              </w:tc>
              <w:tc>
                <w:tcPr>
                  <w:tcW w:w="1181" w:type="dxa"/>
                  <w:tcBorders>
                    <w:tl2br w:val="nil"/>
                    <w:tr2bl w:val="nil"/>
                  </w:tcBorders>
                  <w:noWrap w:val="0"/>
                  <w:vAlign w:val="center"/>
                </w:tcPr>
                <w:p w14:paraId="341C537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7A67E52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44" w:type="dxa"/>
                  <w:tcBorders>
                    <w:tl2br w:val="nil"/>
                    <w:tr2bl w:val="nil"/>
                  </w:tcBorders>
                  <w:noWrap w:val="0"/>
                  <w:vAlign w:val="center"/>
                </w:tcPr>
                <w:p w14:paraId="4C59B29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台</w:t>
                  </w:r>
                </w:p>
              </w:tc>
              <w:tc>
                <w:tcPr>
                  <w:tcW w:w="3964" w:type="dxa"/>
                  <w:tcBorders>
                    <w:tl2br w:val="nil"/>
                    <w:tr2bl w:val="nil"/>
                  </w:tcBorders>
                  <w:noWrap w:val="0"/>
                  <w:vAlign w:val="center"/>
                </w:tcPr>
                <w:p w14:paraId="0EC4BE8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1.5方</w:t>
                  </w:r>
                </w:p>
              </w:tc>
            </w:tr>
            <w:tr w14:paraId="608C644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635" w:type="dxa"/>
                  <w:tcBorders>
                    <w:tl2br w:val="nil"/>
                    <w:tr2bl w:val="nil"/>
                  </w:tcBorders>
                  <w:noWrap w:val="0"/>
                  <w:vAlign w:val="center"/>
                </w:tcPr>
                <w:p w14:paraId="2BEEC5F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四</w:t>
                  </w:r>
                  <w:r>
                    <w:rPr>
                      <w:rFonts w:hint="default" w:ascii="Times New Roman" w:hAnsi="Times New Roman" w:cs="Times New Roman" w:eastAsiaTheme="minorEastAsia"/>
                      <w:color w:val="auto"/>
                      <w:sz w:val="21"/>
                      <w:szCs w:val="21"/>
                      <w:lang w:val="en-US" w:eastAsia="zh-CN"/>
                    </w:rPr>
                    <w:t>）</w:t>
                  </w:r>
                </w:p>
              </w:tc>
              <w:tc>
                <w:tcPr>
                  <w:tcW w:w="1624" w:type="dxa"/>
                  <w:tcBorders>
                    <w:tl2br w:val="nil"/>
                    <w:tr2bl w:val="nil"/>
                  </w:tcBorders>
                  <w:noWrap w:val="0"/>
                  <w:vAlign w:val="center"/>
                </w:tcPr>
                <w:p w14:paraId="10D4F84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环保设施</w:t>
                  </w:r>
                </w:p>
              </w:tc>
              <w:tc>
                <w:tcPr>
                  <w:tcW w:w="1181" w:type="dxa"/>
                  <w:tcBorders>
                    <w:tl2br w:val="nil"/>
                    <w:tr2bl w:val="nil"/>
                  </w:tcBorders>
                  <w:noWrap w:val="0"/>
                  <w:vAlign w:val="center"/>
                </w:tcPr>
                <w:p w14:paraId="728192F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1435E99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444" w:type="dxa"/>
                  <w:tcBorders>
                    <w:tl2br w:val="nil"/>
                    <w:tr2bl w:val="nil"/>
                  </w:tcBorders>
                  <w:noWrap w:val="0"/>
                  <w:vAlign w:val="center"/>
                </w:tcPr>
                <w:p w14:paraId="3CDD5BB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3964" w:type="dxa"/>
                  <w:tcBorders>
                    <w:tl2br w:val="nil"/>
                    <w:tr2bl w:val="nil"/>
                  </w:tcBorders>
                  <w:noWrap w:val="0"/>
                  <w:vAlign w:val="center"/>
                </w:tcPr>
                <w:p w14:paraId="38F81BF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p>
              </w:tc>
            </w:tr>
            <w:tr w14:paraId="2A1F77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635" w:type="dxa"/>
                  <w:tcBorders>
                    <w:tl2br w:val="nil"/>
                    <w:tr2bl w:val="nil"/>
                  </w:tcBorders>
                  <w:noWrap w:val="0"/>
                  <w:vAlign w:val="center"/>
                </w:tcPr>
                <w:p w14:paraId="5EB2868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624" w:type="dxa"/>
                  <w:tcBorders>
                    <w:tl2br w:val="nil"/>
                    <w:tr2bl w:val="nil"/>
                  </w:tcBorders>
                  <w:noWrap w:val="0"/>
                  <w:vAlign w:val="center"/>
                </w:tcPr>
                <w:p w14:paraId="108283A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UV光氧催化</w:t>
                  </w:r>
                </w:p>
              </w:tc>
              <w:tc>
                <w:tcPr>
                  <w:tcW w:w="1181" w:type="dxa"/>
                  <w:tcBorders>
                    <w:tl2br w:val="nil"/>
                    <w:tr2bl w:val="nil"/>
                  </w:tcBorders>
                  <w:noWrap w:val="0"/>
                  <w:vAlign w:val="center"/>
                </w:tcPr>
                <w:p w14:paraId="0341FEF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3DBF2A6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444" w:type="dxa"/>
                  <w:tcBorders>
                    <w:tl2br w:val="nil"/>
                    <w:tr2bl w:val="nil"/>
                  </w:tcBorders>
                  <w:noWrap w:val="0"/>
                  <w:vAlign w:val="center"/>
                </w:tcPr>
                <w:p w14:paraId="31E203A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套</w:t>
                  </w:r>
                </w:p>
              </w:tc>
              <w:tc>
                <w:tcPr>
                  <w:tcW w:w="3964" w:type="dxa"/>
                  <w:tcBorders>
                    <w:tl2br w:val="nil"/>
                    <w:tr2bl w:val="nil"/>
                  </w:tcBorders>
                  <w:noWrap w:val="0"/>
                  <w:vAlign w:val="center"/>
                </w:tcPr>
                <w:p w14:paraId="1F150E2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p>
              </w:tc>
            </w:tr>
            <w:tr w14:paraId="78A22A2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635" w:type="dxa"/>
                  <w:tcBorders>
                    <w:tl2br w:val="nil"/>
                    <w:tr2bl w:val="nil"/>
                  </w:tcBorders>
                  <w:noWrap w:val="0"/>
                  <w:vAlign w:val="center"/>
                </w:tcPr>
                <w:p w14:paraId="2B74B57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1624" w:type="dxa"/>
                  <w:tcBorders>
                    <w:tl2br w:val="nil"/>
                    <w:tr2bl w:val="nil"/>
                  </w:tcBorders>
                  <w:noWrap w:val="0"/>
                  <w:vAlign w:val="center"/>
                </w:tcPr>
                <w:p w14:paraId="5F134FA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生物除臭</w:t>
                  </w:r>
                </w:p>
              </w:tc>
              <w:tc>
                <w:tcPr>
                  <w:tcW w:w="1181" w:type="dxa"/>
                  <w:tcBorders>
                    <w:tl2br w:val="nil"/>
                    <w:tr2bl w:val="nil"/>
                  </w:tcBorders>
                  <w:noWrap w:val="0"/>
                  <w:vAlign w:val="center"/>
                </w:tcPr>
                <w:p w14:paraId="0D97BB92">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67CE59E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444" w:type="dxa"/>
                  <w:tcBorders>
                    <w:tl2br w:val="nil"/>
                    <w:tr2bl w:val="nil"/>
                  </w:tcBorders>
                  <w:noWrap w:val="0"/>
                  <w:vAlign w:val="center"/>
                </w:tcPr>
                <w:p w14:paraId="57740C3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套</w:t>
                  </w:r>
                </w:p>
              </w:tc>
              <w:tc>
                <w:tcPr>
                  <w:tcW w:w="3964" w:type="dxa"/>
                  <w:tcBorders>
                    <w:tl2br w:val="nil"/>
                    <w:tr2bl w:val="nil"/>
                  </w:tcBorders>
                  <w:noWrap w:val="0"/>
                  <w:vAlign w:val="center"/>
                </w:tcPr>
                <w:p w14:paraId="7B2DD04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p>
              </w:tc>
            </w:tr>
            <w:tr w14:paraId="1CDB56F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635" w:type="dxa"/>
                  <w:tcBorders>
                    <w:tl2br w:val="nil"/>
                    <w:tr2bl w:val="nil"/>
                  </w:tcBorders>
                  <w:noWrap w:val="0"/>
                  <w:vAlign w:val="center"/>
                </w:tcPr>
                <w:p w14:paraId="1326FF5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1624" w:type="dxa"/>
                  <w:tcBorders>
                    <w:tl2br w:val="nil"/>
                    <w:tr2bl w:val="nil"/>
                  </w:tcBorders>
                  <w:noWrap w:val="0"/>
                  <w:vAlign w:val="center"/>
                </w:tcPr>
                <w:p w14:paraId="5355843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低氮燃烧器</w:t>
                  </w:r>
                </w:p>
              </w:tc>
              <w:tc>
                <w:tcPr>
                  <w:tcW w:w="1181" w:type="dxa"/>
                  <w:tcBorders>
                    <w:tl2br w:val="nil"/>
                    <w:tr2bl w:val="nil"/>
                  </w:tcBorders>
                  <w:noWrap w:val="0"/>
                  <w:vAlign w:val="center"/>
                </w:tcPr>
                <w:p w14:paraId="6D29A7AF">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rPr>
                  </w:pPr>
                </w:p>
              </w:tc>
              <w:tc>
                <w:tcPr>
                  <w:tcW w:w="525" w:type="dxa"/>
                  <w:tcBorders>
                    <w:tl2br w:val="nil"/>
                    <w:tr2bl w:val="nil"/>
                  </w:tcBorders>
                  <w:noWrap w:val="0"/>
                  <w:vAlign w:val="center"/>
                </w:tcPr>
                <w:p w14:paraId="1850731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444" w:type="dxa"/>
                  <w:tcBorders>
                    <w:tl2br w:val="nil"/>
                    <w:tr2bl w:val="nil"/>
                  </w:tcBorders>
                  <w:noWrap w:val="0"/>
                  <w:vAlign w:val="center"/>
                </w:tcPr>
                <w:p w14:paraId="04E6775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套</w:t>
                  </w:r>
                </w:p>
              </w:tc>
              <w:tc>
                <w:tcPr>
                  <w:tcW w:w="3964" w:type="dxa"/>
                  <w:tcBorders>
                    <w:tl2br w:val="nil"/>
                    <w:tr2bl w:val="nil"/>
                  </w:tcBorders>
                  <w:noWrap w:val="0"/>
                  <w:vAlign w:val="center"/>
                </w:tcPr>
                <w:p w14:paraId="6D89DD8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p>
              </w:tc>
            </w:tr>
          </w:tbl>
          <w:p w14:paraId="3C2FE3BF">
            <w:pPr>
              <w:adjustRightInd w:val="0"/>
              <w:snapToGrid w:val="0"/>
              <w:spacing w:before="120" w:beforeLines="50" w:line="360" w:lineRule="auto"/>
              <w:ind w:firstLine="482" w:firstLineChars="200"/>
              <w:rPr>
                <w:rFonts w:hint="default" w:ascii="Times New Roman" w:hAnsi="Times New Roman" w:eastAsia="宋体" w:cs="Times New Roman"/>
                <w:b/>
                <w:color w:val="auto"/>
                <w:sz w:val="24"/>
                <w:highlight w:val="none"/>
                <w:u w:val="none"/>
                <w:lang w:val="en-US" w:eastAsia="zh-CN"/>
              </w:rPr>
            </w:pPr>
            <w:r>
              <w:rPr>
                <w:rFonts w:hint="default" w:ascii="Times New Roman" w:hAnsi="Times New Roman" w:cs="Times New Roman"/>
                <w:b/>
                <w:color w:val="auto"/>
                <w:sz w:val="24"/>
                <w:highlight w:val="none"/>
                <w:u w:val="none"/>
                <w:lang w:val="en-US" w:eastAsia="zh-CN"/>
              </w:rPr>
              <w:t>2.2</w:t>
            </w:r>
            <w:r>
              <w:rPr>
                <w:rFonts w:hint="default" w:ascii="Times New Roman" w:hAnsi="Times New Roman" w:eastAsia="宋体" w:cs="Times New Roman"/>
                <w:b/>
                <w:color w:val="auto"/>
                <w:sz w:val="24"/>
                <w:highlight w:val="none"/>
                <w:u w:val="none"/>
              </w:rPr>
              <w:t>原辅材料</w:t>
            </w:r>
            <w:r>
              <w:rPr>
                <w:rFonts w:hint="default" w:ascii="Times New Roman" w:hAnsi="Times New Roman" w:cs="Times New Roman"/>
                <w:b/>
                <w:color w:val="auto"/>
                <w:sz w:val="24"/>
                <w:highlight w:val="none"/>
                <w:u w:val="none"/>
                <w:lang w:val="en-US" w:eastAsia="zh-CN"/>
              </w:rPr>
              <w:t>及</w:t>
            </w:r>
            <w:r>
              <w:rPr>
                <w:rFonts w:hint="default" w:ascii="Times New Roman" w:hAnsi="Times New Roman" w:eastAsia="宋体" w:cs="Times New Roman"/>
                <w:b/>
                <w:color w:val="auto"/>
                <w:sz w:val="24"/>
                <w:highlight w:val="none"/>
                <w:u w:val="none"/>
              </w:rPr>
              <w:t>燃料动力消耗</w:t>
            </w:r>
          </w:p>
          <w:p w14:paraId="5B8C66C3">
            <w:pPr>
              <w:adjustRightInd w:val="0"/>
              <w:snapToGrid w:val="0"/>
              <w:spacing w:line="360" w:lineRule="auto"/>
              <w:ind w:firstLine="480" w:firstLineChars="20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lang w:val="en-US" w:eastAsia="zh-CN"/>
              </w:rPr>
              <w:t>根据设计资料，项目设计日处理粪污420t/d。本项目厂区内不贮存原料，液体粪肥进入厂区直接通过进料池进入厌氧罐；干粪肥及时配比进入发酵过程；收购的秸秆在综合管理车间内暂存，主要作用为调节厌氧发酵罐C/N比。本环评要求运营单位严格筛查入场有机废弃物，严禁收集有毒有害及涉重金属有机废弃物。本项目主要原辅材料及能源消耗情况见下表2-4。</w:t>
            </w:r>
          </w:p>
          <w:p w14:paraId="6244DA99">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lang w:val="en-US" w:eastAsia="zh-CN"/>
              </w:rPr>
              <w:t>项目原辅材料</w:t>
            </w:r>
            <w:r>
              <w:rPr>
                <w:rFonts w:hint="default" w:ascii="Times New Roman" w:hAnsi="Times New Roman" w:eastAsia="宋体" w:cs="Times New Roman"/>
                <w:color w:val="auto"/>
                <w:sz w:val="24"/>
                <w:highlight w:val="none"/>
                <w:u w:val="none"/>
              </w:rPr>
              <w:t>见下表</w:t>
            </w:r>
            <w:r>
              <w:rPr>
                <w:rFonts w:hint="default" w:ascii="Times New Roman" w:hAnsi="Times New Roman" w:cs="Times New Roman"/>
                <w:color w:val="auto"/>
                <w:sz w:val="24"/>
                <w:highlight w:val="none"/>
                <w:u w:val="none"/>
                <w:lang w:val="en-US" w:eastAsia="zh-CN"/>
              </w:rPr>
              <w:t>2-4</w:t>
            </w:r>
            <w:r>
              <w:rPr>
                <w:rFonts w:hint="default" w:ascii="Times New Roman" w:hAnsi="Times New Roman" w:eastAsia="宋体" w:cs="Times New Roman"/>
                <w:color w:val="auto"/>
                <w:sz w:val="24"/>
                <w:highlight w:val="none"/>
                <w:u w:val="none"/>
              </w:rPr>
              <w:t>。</w:t>
            </w:r>
          </w:p>
          <w:p w14:paraId="2656CDF0">
            <w:pPr>
              <w:keepNext w:val="0"/>
              <w:keepLines w:val="0"/>
              <w:pageBreakBefore w:val="0"/>
              <w:widowControl w:val="0"/>
              <w:kinsoku/>
              <w:wordWrap/>
              <w:overflowPunct/>
              <w:topLinePunct w:val="0"/>
              <w:autoSpaceDE/>
              <w:autoSpaceDN/>
              <w:bidi w:val="0"/>
              <w:adjustRightInd/>
              <w:snapToGrid/>
              <w:spacing w:line="240" w:lineRule="atLeast"/>
              <w:ind w:firstLine="0"/>
              <w:jc w:val="center"/>
              <w:textAlignment w:val="auto"/>
              <w:rPr>
                <w:rFonts w:hint="default" w:ascii="Times New Roman" w:hAnsi="Times New Roman" w:eastAsia="黑体" w:cs="Times New Roman"/>
                <w:b w:val="0"/>
                <w:bCs w:val="0"/>
                <w:color w:val="auto"/>
                <w:sz w:val="21"/>
                <w:szCs w:val="21"/>
                <w:lang w:val="en-US" w:eastAsia="zh-CN"/>
              </w:rPr>
            </w:pPr>
            <w:bookmarkStart w:id="0" w:name="_Toc40844645"/>
            <w:bookmarkStart w:id="1" w:name="_Toc77836448"/>
            <w:r>
              <w:rPr>
                <w:rFonts w:hint="default" w:ascii="Times New Roman" w:hAnsi="Times New Roman" w:eastAsia="黑体" w:cs="Times New Roman"/>
                <w:b w:val="0"/>
                <w:bCs w:val="0"/>
                <w:color w:val="auto"/>
                <w:sz w:val="21"/>
                <w:szCs w:val="21"/>
                <w:lang w:val="en-US" w:eastAsia="zh-CN"/>
              </w:rPr>
              <w:t>表2-4  主要原、辅材料</w:t>
            </w:r>
            <w:bookmarkEnd w:id="0"/>
            <w:bookmarkEnd w:id="1"/>
            <w:r>
              <w:rPr>
                <w:rFonts w:hint="default" w:ascii="Times New Roman" w:hAnsi="Times New Roman" w:eastAsia="黑体" w:cs="Times New Roman"/>
                <w:b w:val="0"/>
                <w:bCs w:val="0"/>
                <w:color w:val="auto"/>
                <w:sz w:val="21"/>
                <w:szCs w:val="21"/>
                <w:lang w:val="en-US" w:eastAsia="zh-CN"/>
              </w:rPr>
              <w:t>年消耗量</w:t>
            </w:r>
          </w:p>
          <w:tbl>
            <w:tblPr>
              <w:tblStyle w:val="34"/>
              <w:tblW w:w="83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1"/>
              <w:gridCol w:w="2211"/>
              <w:gridCol w:w="684"/>
              <w:gridCol w:w="974"/>
              <w:gridCol w:w="4076"/>
            </w:tblGrid>
            <w:tr w14:paraId="49628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vMerge w:val="restart"/>
                  <w:tcBorders>
                    <w:top w:val="single" w:color="000000" w:sz="4" w:space="0"/>
                    <w:left w:val="nil"/>
                    <w:bottom w:val="nil"/>
                    <w:right w:val="single" w:color="000000" w:sz="4" w:space="0"/>
                    <w:tl2br w:val="nil"/>
                    <w:tr2bl w:val="nil"/>
                  </w:tcBorders>
                  <w:noWrap w:val="0"/>
                  <w:vAlign w:val="center"/>
                </w:tcPr>
                <w:p w14:paraId="0E67EF8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r>
                    <w:rPr>
                      <w:rFonts w:hint="default" w:ascii="Times New Roman" w:hAnsi="Times New Roman" w:cs="Times New Roman" w:eastAsiaTheme="minorEastAsia"/>
                      <w:b/>
                      <w:bCs/>
                      <w:color w:val="auto"/>
                      <w:spacing w:val="2"/>
                      <w:sz w:val="21"/>
                      <w:szCs w:val="21"/>
                    </w:rPr>
                    <w:t>序号</w:t>
                  </w:r>
                </w:p>
              </w:tc>
              <w:tc>
                <w:tcPr>
                  <w:tcW w:w="2211" w:type="dxa"/>
                  <w:vMerge w:val="restart"/>
                  <w:tcBorders>
                    <w:top w:val="single" w:color="000000" w:sz="4" w:space="0"/>
                    <w:left w:val="single" w:color="000000" w:sz="4" w:space="0"/>
                    <w:bottom w:val="nil"/>
                    <w:right w:val="single" w:color="000000" w:sz="4" w:space="0"/>
                    <w:tl2br w:val="nil"/>
                    <w:tr2bl w:val="nil"/>
                  </w:tcBorders>
                  <w:noWrap w:val="0"/>
                  <w:vAlign w:val="center"/>
                </w:tcPr>
                <w:p w14:paraId="21897D9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r>
                    <w:rPr>
                      <w:rFonts w:hint="default" w:ascii="Times New Roman" w:hAnsi="Times New Roman" w:cs="Times New Roman" w:eastAsiaTheme="minorEastAsia"/>
                      <w:b/>
                      <w:bCs/>
                      <w:color w:val="auto"/>
                      <w:spacing w:val="2"/>
                      <w:sz w:val="21"/>
                      <w:szCs w:val="21"/>
                    </w:rPr>
                    <w:t>名称</w:t>
                  </w:r>
                </w:p>
              </w:tc>
              <w:tc>
                <w:tcPr>
                  <w:tcW w:w="165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51F56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r>
                    <w:rPr>
                      <w:rFonts w:hint="default" w:ascii="Times New Roman" w:hAnsi="Times New Roman" w:cs="Times New Roman" w:eastAsiaTheme="minorEastAsia"/>
                      <w:b/>
                      <w:bCs/>
                      <w:color w:val="auto"/>
                      <w:spacing w:val="2"/>
                      <w:sz w:val="21"/>
                      <w:szCs w:val="21"/>
                    </w:rPr>
                    <w:t>年消耗量</w:t>
                  </w:r>
                </w:p>
              </w:tc>
              <w:tc>
                <w:tcPr>
                  <w:tcW w:w="4076" w:type="dxa"/>
                  <w:vMerge w:val="restart"/>
                  <w:tcBorders>
                    <w:top w:val="single" w:color="000000" w:sz="4" w:space="0"/>
                    <w:left w:val="single" w:color="000000" w:sz="4" w:space="0"/>
                    <w:bottom w:val="nil"/>
                    <w:right w:val="nil"/>
                    <w:tl2br w:val="nil"/>
                    <w:tr2bl w:val="nil"/>
                  </w:tcBorders>
                  <w:noWrap w:val="0"/>
                  <w:vAlign w:val="center"/>
                </w:tcPr>
                <w:p w14:paraId="3C9F9C1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r>
                    <w:rPr>
                      <w:rFonts w:hint="default" w:ascii="Times New Roman" w:hAnsi="Times New Roman" w:cs="Times New Roman" w:eastAsiaTheme="minorEastAsia"/>
                      <w:b/>
                      <w:bCs/>
                      <w:color w:val="auto"/>
                      <w:spacing w:val="2"/>
                      <w:sz w:val="21"/>
                      <w:szCs w:val="21"/>
                    </w:rPr>
                    <w:t>来源</w:t>
                  </w:r>
                </w:p>
              </w:tc>
            </w:tr>
            <w:tr w14:paraId="0725D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vMerge w:val="continue"/>
                  <w:tcBorders>
                    <w:top w:val="nil"/>
                    <w:left w:val="nil"/>
                    <w:bottom w:val="single" w:color="000000" w:sz="4" w:space="0"/>
                    <w:right w:val="single" w:color="000000" w:sz="4" w:space="0"/>
                    <w:tl2br w:val="nil"/>
                    <w:tr2bl w:val="nil"/>
                  </w:tcBorders>
                  <w:noWrap w:val="0"/>
                  <w:vAlign w:val="center"/>
                </w:tcPr>
                <w:p w14:paraId="5672927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p>
              </w:tc>
              <w:tc>
                <w:tcPr>
                  <w:tcW w:w="2211"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E6F085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4B4B9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r>
                    <w:rPr>
                      <w:rFonts w:hint="default" w:ascii="Times New Roman" w:hAnsi="Times New Roman" w:cs="Times New Roman" w:eastAsiaTheme="minorEastAsia"/>
                      <w:b/>
                      <w:bCs/>
                      <w:color w:val="auto"/>
                      <w:spacing w:val="2"/>
                      <w:sz w:val="21"/>
                      <w:szCs w:val="21"/>
                    </w:rPr>
                    <w:t>单位</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D9D6C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r>
                    <w:rPr>
                      <w:rFonts w:hint="default" w:ascii="Times New Roman" w:hAnsi="Times New Roman" w:cs="Times New Roman" w:eastAsiaTheme="minorEastAsia"/>
                      <w:b/>
                      <w:bCs/>
                      <w:color w:val="auto"/>
                      <w:spacing w:val="2"/>
                      <w:sz w:val="21"/>
                      <w:szCs w:val="21"/>
                    </w:rPr>
                    <w:t>数量</w:t>
                  </w:r>
                </w:p>
              </w:tc>
              <w:tc>
                <w:tcPr>
                  <w:tcW w:w="4076" w:type="dxa"/>
                  <w:vMerge w:val="continue"/>
                  <w:tcBorders>
                    <w:top w:val="nil"/>
                    <w:left w:val="single" w:color="000000" w:sz="4" w:space="0"/>
                    <w:bottom w:val="single" w:color="000000" w:sz="4" w:space="0"/>
                    <w:right w:val="nil"/>
                    <w:tl2br w:val="nil"/>
                    <w:tr2bl w:val="nil"/>
                  </w:tcBorders>
                  <w:noWrap w:val="0"/>
                  <w:vAlign w:val="center"/>
                </w:tcPr>
                <w:p w14:paraId="30265C6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rPr>
                  </w:pPr>
                </w:p>
              </w:tc>
            </w:tr>
            <w:tr w14:paraId="3B74B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4A226D1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1</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4A1C0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畜禽粪便(含水率50%~65%)</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CB0C6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1F901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80000</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39AD119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自</w:t>
                  </w:r>
                  <w:r>
                    <w:rPr>
                      <w:rFonts w:hint="default" w:ascii="Times New Roman" w:hAnsi="Times New Roman" w:cs="Times New Roman" w:eastAsiaTheme="minorEastAsia"/>
                      <w:color w:val="auto"/>
                      <w:spacing w:val="2"/>
                      <w:sz w:val="21"/>
                      <w:szCs w:val="21"/>
                      <w:lang w:val="en-US" w:eastAsia="zh-CN"/>
                    </w:rPr>
                    <w:t>宁</w:t>
                  </w:r>
                  <w:r>
                    <w:rPr>
                      <w:rFonts w:hint="default" w:ascii="Times New Roman" w:hAnsi="Times New Roman" w:cs="Times New Roman" w:eastAsiaTheme="minorEastAsia"/>
                      <w:color w:val="auto"/>
                      <w:spacing w:val="2"/>
                      <w:sz w:val="21"/>
                      <w:szCs w:val="21"/>
                    </w:rPr>
                    <w:t>县</w:t>
                  </w:r>
                  <w:r>
                    <w:rPr>
                      <w:rFonts w:hint="default" w:ascii="Times New Roman" w:hAnsi="Times New Roman" w:cs="Times New Roman" w:eastAsiaTheme="minorEastAsia"/>
                      <w:color w:val="auto"/>
                      <w:spacing w:val="2"/>
                      <w:sz w:val="21"/>
                      <w:szCs w:val="21"/>
                      <w:lang w:val="en-US" w:eastAsia="zh-CN"/>
                    </w:rPr>
                    <w:t>焦村镇及附近5个乡镇</w:t>
                  </w:r>
                  <w:r>
                    <w:rPr>
                      <w:rFonts w:hint="default" w:ascii="Times New Roman" w:hAnsi="Times New Roman" w:cs="Times New Roman" w:eastAsiaTheme="minorEastAsia"/>
                      <w:color w:val="auto"/>
                      <w:spacing w:val="2"/>
                      <w:sz w:val="21"/>
                      <w:szCs w:val="21"/>
                    </w:rPr>
                    <w:t>划定的粪污收集点收集，采用密闭运输车辆运输进厂，厂区不做储存，及时配比进入发酵过程</w:t>
                  </w:r>
                </w:p>
              </w:tc>
            </w:tr>
            <w:tr w14:paraId="307E9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6FDBEF2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EFFE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沼渣</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C0B4E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C363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2372.5</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05834B3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沼气生产线产生</w:t>
                  </w:r>
                </w:p>
              </w:tc>
            </w:tr>
            <w:tr w14:paraId="5B939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3BED9B0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3</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1802D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秸秆</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E6E59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457D7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lang w:val="en-US" w:eastAsia="zh-CN"/>
                    </w:rPr>
                    <w:t>24000</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47E22BC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外购，暂存于厂区，在发酵车间</w:t>
                  </w:r>
                  <w:r>
                    <w:rPr>
                      <w:rFonts w:hint="eastAsia" w:ascii="Times New Roman" w:hAnsi="Times New Roman" w:cs="Times New Roman" w:eastAsiaTheme="minorEastAsia"/>
                      <w:color w:val="auto"/>
                      <w:spacing w:val="2"/>
                      <w:sz w:val="21"/>
                      <w:szCs w:val="21"/>
                      <w:lang w:eastAsia="zh-CN"/>
                    </w:rPr>
                    <w:t>，</w:t>
                  </w:r>
                  <w:r>
                    <w:rPr>
                      <w:rFonts w:hint="default" w:ascii="Times New Roman" w:hAnsi="Times New Roman" w:cs="Times New Roman" w:eastAsiaTheme="minorEastAsia"/>
                      <w:color w:val="auto"/>
                      <w:spacing w:val="2"/>
                      <w:sz w:val="21"/>
                      <w:szCs w:val="21"/>
                    </w:rPr>
                    <w:t>及时配比进入发酵过程</w:t>
                  </w:r>
                </w:p>
              </w:tc>
            </w:tr>
            <w:tr w14:paraId="4087A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597786C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4</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63F2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玉米芯</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A2069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B602D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1000</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790D71C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外购，汽车运输进厂，储存于</w:t>
                  </w:r>
                  <w:r>
                    <w:rPr>
                      <w:rFonts w:hint="default" w:ascii="Times New Roman" w:hAnsi="Times New Roman" w:cs="Times New Roman" w:eastAsiaTheme="minorEastAsia"/>
                      <w:color w:val="auto"/>
                      <w:spacing w:val="2"/>
                      <w:sz w:val="21"/>
                      <w:szCs w:val="21"/>
                      <w:lang w:val="en-US" w:eastAsia="zh-CN"/>
                    </w:rPr>
                    <w:t>原料</w:t>
                  </w:r>
                  <w:r>
                    <w:rPr>
                      <w:rFonts w:hint="default" w:ascii="Times New Roman" w:hAnsi="Times New Roman" w:cs="Times New Roman" w:eastAsiaTheme="minorEastAsia"/>
                      <w:color w:val="auto"/>
                      <w:spacing w:val="2"/>
                      <w:sz w:val="21"/>
                      <w:szCs w:val="21"/>
                    </w:rPr>
                    <w:t>库房</w:t>
                  </w:r>
                </w:p>
              </w:tc>
            </w:tr>
            <w:tr w14:paraId="6BF63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5AC83C0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5</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0C173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菌渣</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5DC78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667E4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2000</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399DD74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外购，汽车运输进厂，储存于</w:t>
                  </w:r>
                  <w:r>
                    <w:rPr>
                      <w:rFonts w:hint="default" w:ascii="Times New Roman" w:hAnsi="Times New Roman" w:cs="Times New Roman" w:eastAsiaTheme="minorEastAsia"/>
                      <w:color w:val="auto"/>
                      <w:spacing w:val="2"/>
                      <w:sz w:val="21"/>
                      <w:szCs w:val="21"/>
                      <w:lang w:val="en-US" w:eastAsia="zh-CN"/>
                    </w:rPr>
                    <w:t>原料</w:t>
                  </w:r>
                  <w:r>
                    <w:rPr>
                      <w:rFonts w:hint="default" w:ascii="Times New Roman" w:hAnsi="Times New Roman" w:cs="Times New Roman" w:eastAsiaTheme="minorEastAsia"/>
                      <w:color w:val="auto"/>
                      <w:spacing w:val="2"/>
                      <w:sz w:val="21"/>
                      <w:szCs w:val="21"/>
                    </w:rPr>
                    <w:t>库房</w:t>
                  </w:r>
                </w:p>
              </w:tc>
            </w:tr>
            <w:tr w14:paraId="744A9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2F38196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6</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DC3D4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果木枝</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C14D4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9AFB9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1000</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3935080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外购，汽车运输进厂，储存于</w:t>
                  </w:r>
                  <w:r>
                    <w:rPr>
                      <w:rFonts w:hint="default" w:ascii="Times New Roman" w:hAnsi="Times New Roman" w:cs="Times New Roman" w:eastAsiaTheme="minorEastAsia"/>
                      <w:color w:val="auto"/>
                      <w:spacing w:val="2"/>
                      <w:sz w:val="21"/>
                      <w:szCs w:val="21"/>
                      <w:lang w:val="en-US" w:eastAsia="zh-CN"/>
                    </w:rPr>
                    <w:t>原料</w:t>
                  </w:r>
                  <w:r>
                    <w:rPr>
                      <w:rFonts w:hint="default" w:ascii="Times New Roman" w:hAnsi="Times New Roman" w:cs="Times New Roman" w:eastAsiaTheme="minorEastAsia"/>
                      <w:color w:val="auto"/>
                      <w:spacing w:val="2"/>
                      <w:sz w:val="21"/>
                      <w:szCs w:val="21"/>
                    </w:rPr>
                    <w:t>库房</w:t>
                  </w:r>
                </w:p>
              </w:tc>
            </w:tr>
            <w:tr w14:paraId="3DA8F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13549C6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7</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EDD51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生物质颗粒</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1BC17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E327C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lang w:val="en-US" w:eastAsia="zh-CN"/>
                    </w:rPr>
                    <w:t>4000</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3042EA9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外购，汽车运输进厂，储存于</w:t>
                  </w:r>
                  <w:r>
                    <w:rPr>
                      <w:rFonts w:hint="default" w:ascii="Times New Roman" w:hAnsi="Times New Roman" w:cs="Times New Roman" w:eastAsiaTheme="minorEastAsia"/>
                      <w:color w:val="auto"/>
                      <w:spacing w:val="2"/>
                      <w:sz w:val="21"/>
                      <w:szCs w:val="21"/>
                      <w:lang w:val="en-US" w:eastAsia="zh-CN"/>
                    </w:rPr>
                    <w:t>原料</w:t>
                  </w:r>
                  <w:r>
                    <w:rPr>
                      <w:rFonts w:hint="default" w:ascii="Times New Roman" w:hAnsi="Times New Roman" w:cs="Times New Roman" w:eastAsiaTheme="minorEastAsia"/>
                      <w:color w:val="auto"/>
                      <w:spacing w:val="2"/>
                      <w:sz w:val="21"/>
                      <w:szCs w:val="21"/>
                    </w:rPr>
                    <w:t>库房</w:t>
                  </w:r>
                </w:p>
              </w:tc>
            </w:tr>
            <w:tr w14:paraId="2D12C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60EAA4A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8</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C5DC8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微生物酵素菌</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7542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C4798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lang w:val="en-US" w:eastAsia="zh-CN"/>
                    </w:rPr>
                    <w:t>26.67</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7555F01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为复合生物菌，外购</w:t>
                  </w:r>
                </w:p>
              </w:tc>
            </w:tr>
            <w:tr w14:paraId="247F1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383D103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9</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015CC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微生物除臭剂</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12C1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96952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lang w:val="en-US" w:eastAsia="zh-CN"/>
                    </w:rPr>
                    <w:t>150</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29C451F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外购，汽车运输进厂，储存于成品库房</w:t>
                  </w:r>
                </w:p>
              </w:tc>
            </w:tr>
            <w:tr w14:paraId="2D5BE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1F94617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10</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38BF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编织袋</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6B8F3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个/a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A96E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80000</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4B22080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right="0" w:rightChars="0" w:firstLine="0" w:firstLineChars="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外购，汽车运输进厂，储存于成品库房</w:t>
                  </w:r>
                </w:p>
              </w:tc>
            </w:tr>
            <w:tr w14:paraId="6E380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36D23DF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11</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56C4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水</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D8FB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m</w:t>
                  </w:r>
                  <w:r>
                    <w:rPr>
                      <w:rFonts w:hint="default" w:ascii="Times New Roman" w:hAnsi="Times New Roman" w:cs="Times New Roman" w:eastAsiaTheme="minorEastAsia"/>
                      <w:color w:val="auto"/>
                      <w:spacing w:val="2"/>
                      <w:sz w:val="21"/>
                      <w:szCs w:val="21"/>
                      <w:vertAlign w:val="superscript"/>
                    </w:rPr>
                    <w:t>₃</w:t>
                  </w:r>
                  <w:r>
                    <w:rPr>
                      <w:rFonts w:hint="default" w:ascii="Times New Roman" w:hAnsi="Times New Roman" w:cs="Times New Roman" w:eastAsiaTheme="minorEastAsia"/>
                      <w:color w:val="auto"/>
                      <w:spacing w:val="2"/>
                      <w:sz w:val="21"/>
                      <w:szCs w:val="21"/>
                    </w:rPr>
                    <w:t>/a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83818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6726.95</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7DDE344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lang w:val="en-US" w:eastAsia="zh-CN"/>
                    </w:rPr>
                    <w:t>宁</w:t>
                  </w:r>
                  <w:r>
                    <w:rPr>
                      <w:rFonts w:hint="default" w:ascii="Times New Roman" w:hAnsi="Times New Roman" w:cs="Times New Roman" w:eastAsiaTheme="minorEastAsia"/>
                      <w:color w:val="auto"/>
                      <w:spacing w:val="2"/>
                      <w:sz w:val="21"/>
                      <w:szCs w:val="21"/>
                    </w:rPr>
                    <w:t>县</w:t>
                  </w:r>
                  <w:r>
                    <w:rPr>
                      <w:rFonts w:hint="default" w:ascii="Times New Roman" w:hAnsi="Times New Roman" w:cs="Times New Roman" w:eastAsiaTheme="minorEastAsia"/>
                      <w:color w:val="auto"/>
                      <w:spacing w:val="2"/>
                      <w:sz w:val="21"/>
                      <w:szCs w:val="21"/>
                      <w:lang w:val="en-US" w:eastAsia="zh-CN"/>
                    </w:rPr>
                    <w:t>焦村镇</w:t>
                  </w:r>
                  <w:r>
                    <w:rPr>
                      <w:rFonts w:hint="default" w:ascii="Times New Roman" w:hAnsi="Times New Roman" w:cs="Times New Roman" w:eastAsiaTheme="minorEastAsia"/>
                      <w:color w:val="auto"/>
                      <w:spacing w:val="2"/>
                      <w:sz w:val="21"/>
                      <w:szCs w:val="21"/>
                    </w:rPr>
                    <w:t>供水管网</w:t>
                  </w:r>
                </w:p>
              </w:tc>
            </w:tr>
            <w:tr w14:paraId="3592A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1" w:type="dxa"/>
                  <w:tcBorders>
                    <w:top w:val="single" w:color="000000" w:sz="4" w:space="0"/>
                    <w:left w:val="nil"/>
                    <w:bottom w:val="single" w:color="000000" w:sz="4" w:space="0"/>
                    <w:right w:val="single" w:color="000000" w:sz="4" w:space="0"/>
                    <w:tl2br w:val="nil"/>
                    <w:tr2bl w:val="nil"/>
                  </w:tcBorders>
                  <w:noWrap w:val="0"/>
                  <w:vAlign w:val="center"/>
                </w:tcPr>
                <w:p w14:paraId="3952F9B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val="0"/>
                      <w:bCs w:val="0"/>
                      <w:color w:val="auto"/>
                      <w:spacing w:val="2"/>
                      <w:sz w:val="21"/>
                      <w:szCs w:val="21"/>
                      <w:lang w:val="en-US" w:eastAsia="zh-CN"/>
                    </w:rPr>
                  </w:pPr>
                  <w:r>
                    <w:rPr>
                      <w:rFonts w:hint="default" w:ascii="Times New Roman" w:hAnsi="Times New Roman" w:cs="Times New Roman" w:eastAsiaTheme="minorEastAsia"/>
                      <w:b w:val="0"/>
                      <w:bCs w:val="0"/>
                      <w:color w:val="auto"/>
                      <w:spacing w:val="2"/>
                      <w:sz w:val="21"/>
                      <w:szCs w:val="21"/>
                      <w:lang w:val="en-US" w:eastAsia="zh-CN"/>
                    </w:rPr>
                    <w:t>12</w:t>
                  </w:r>
                </w:p>
              </w:tc>
              <w:tc>
                <w:tcPr>
                  <w:tcW w:w="221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C5D5C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val="0"/>
                      <w:bCs w:val="0"/>
                      <w:color w:val="auto"/>
                      <w:spacing w:val="2"/>
                      <w:sz w:val="21"/>
                      <w:szCs w:val="21"/>
                    </w:rPr>
                  </w:pPr>
                  <w:r>
                    <w:rPr>
                      <w:rFonts w:hint="default" w:ascii="Times New Roman" w:hAnsi="Times New Roman" w:cs="Times New Roman" w:eastAsiaTheme="minorEastAsia"/>
                      <w:b w:val="0"/>
                      <w:bCs w:val="0"/>
                      <w:color w:val="auto"/>
                      <w:spacing w:val="2"/>
                      <w:sz w:val="21"/>
                      <w:szCs w:val="21"/>
                    </w:rPr>
                    <w:t>电</w:t>
                  </w:r>
                </w:p>
              </w:tc>
              <w:tc>
                <w:tcPr>
                  <w:tcW w:w="68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55D1E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val="0"/>
                      <w:bCs w:val="0"/>
                      <w:color w:val="auto"/>
                      <w:spacing w:val="2"/>
                      <w:sz w:val="21"/>
                      <w:szCs w:val="21"/>
                    </w:rPr>
                  </w:pPr>
                  <w:r>
                    <w:rPr>
                      <w:rFonts w:hint="default" w:ascii="Times New Roman" w:hAnsi="Times New Roman" w:cs="Times New Roman" w:eastAsiaTheme="minorEastAsia"/>
                      <w:b w:val="0"/>
                      <w:bCs w:val="0"/>
                      <w:color w:val="auto"/>
                      <w:spacing w:val="2"/>
                      <w:sz w:val="21"/>
                      <w:szCs w:val="21"/>
                    </w:rPr>
                    <w:t>万kwh/a</w:t>
                  </w:r>
                </w:p>
              </w:tc>
              <w:tc>
                <w:tcPr>
                  <w:tcW w:w="97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5EBD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val="0"/>
                      <w:bCs w:val="0"/>
                      <w:color w:val="auto"/>
                      <w:spacing w:val="2"/>
                      <w:sz w:val="21"/>
                      <w:szCs w:val="21"/>
                      <w:lang w:val="en-US" w:eastAsia="zh-CN"/>
                    </w:rPr>
                  </w:pPr>
                  <w:r>
                    <w:rPr>
                      <w:rFonts w:hint="default" w:ascii="Times New Roman" w:hAnsi="Times New Roman" w:cs="Times New Roman" w:eastAsiaTheme="minorEastAsia"/>
                      <w:b w:val="0"/>
                      <w:bCs w:val="0"/>
                      <w:color w:val="auto"/>
                      <w:spacing w:val="2"/>
                      <w:sz w:val="21"/>
                      <w:szCs w:val="21"/>
                      <w:lang w:val="en-US" w:eastAsia="zh-CN"/>
                    </w:rPr>
                    <w:t>74</w:t>
                  </w:r>
                </w:p>
              </w:tc>
              <w:tc>
                <w:tcPr>
                  <w:tcW w:w="4076" w:type="dxa"/>
                  <w:tcBorders>
                    <w:top w:val="single" w:color="000000" w:sz="4" w:space="0"/>
                    <w:left w:val="single" w:color="000000" w:sz="4" w:space="0"/>
                    <w:bottom w:val="single" w:color="000000" w:sz="4" w:space="0"/>
                    <w:right w:val="nil"/>
                    <w:tl2br w:val="nil"/>
                    <w:tr2bl w:val="nil"/>
                  </w:tcBorders>
                  <w:noWrap w:val="0"/>
                  <w:vAlign w:val="center"/>
                </w:tcPr>
                <w:p w14:paraId="2E86555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val="0"/>
                      <w:bCs w:val="0"/>
                      <w:color w:val="auto"/>
                      <w:spacing w:val="2"/>
                      <w:sz w:val="21"/>
                      <w:szCs w:val="21"/>
                    </w:rPr>
                  </w:pPr>
                  <w:r>
                    <w:rPr>
                      <w:rFonts w:hint="default" w:ascii="Times New Roman" w:hAnsi="Times New Roman" w:cs="Times New Roman" w:eastAsiaTheme="minorEastAsia"/>
                      <w:b w:val="0"/>
                      <w:bCs w:val="0"/>
                      <w:color w:val="auto"/>
                      <w:spacing w:val="2"/>
                      <w:sz w:val="21"/>
                      <w:szCs w:val="21"/>
                      <w:lang w:val="en-US" w:eastAsia="zh-CN"/>
                    </w:rPr>
                    <w:t>宁县焦村镇</w:t>
                  </w:r>
                  <w:r>
                    <w:rPr>
                      <w:rFonts w:hint="default" w:ascii="Times New Roman" w:hAnsi="Times New Roman" w:cs="Times New Roman" w:eastAsiaTheme="minorEastAsia"/>
                      <w:b w:val="0"/>
                      <w:bCs w:val="0"/>
                      <w:color w:val="auto"/>
                      <w:spacing w:val="2"/>
                      <w:sz w:val="21"/>
                      <w:szCs w:val="21"/>
                    </w:rPr>
                    <w:t>供电电网</w:t>
                  </w:r>
                </w:p>
              </w:tc>
            </w:tr>
          </w:tbl>
          <w:p w14:paraId="46CDA504">
            <w:pPr>
              <w:keepNext w:val="0"/>
              <w:keepLines w:val="0"/>
              <w:pageBreakBefore w:val="0"/>
              <w:widowControl w:val="0"/>
              <w:kinsoku/>
              <w:wordWrap/>
              <w:overflowPunct/>
              <w:topLinePunct w:val="0"/>
              <w:autoSpaceDE/>
              <w:autoSpaceDN/>
              <w:bidi w:val="0"/>
              <w:adjustRightInd/>
              <w:snapToGrid/>
              <w:spacing w:line="240" w:lineRule="atLeast"/>
              <w:ind w:firstLine="0"/>
              <w:jc w:val="center"/>
              <w:textAlignment w:val="auto"/>
              <w:rPr>
                <w:rFonts w:hint="default" w:ascii="Times New Roman" w:hAnsi="Times New Roman" w:eastAsia="黑体" w:cs="Times New Roman"/>
                <w:b w:val="0"/>
                <w:bCs w:val="0"/>
                <w:color w:val="auto"/>
                <w:sz w:val="21"/>
                <w:szCs w:val="21"/>
                <w:lang w:val="en-US" w:eastAsia="zh-CN"/>
              </w:rPr>
            </w:pPr>
          </w:p>
          <w:p w14:paraId="44A431B0">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w:t>
            </w:r>
            <w:r>
              <w:rPr>
                <w:rFonts w:hint="default" w:ascii="Times New Roman" w:hAnsi="Times New Roman" w:cs="Times New Roman"/>
                <w:b/>
                <w:color w:val="auto"/>
                <w:sz w:val="24"/>
                <w:lang w:val="en-US" w:eastAsia="zh-CN"/>
              </w:rPr>
              <w:t>3</w:t>
            </w:r>
            <w:r>
              <w:rPr>
                <w:rFonts w:hint="default" w:ascii="Times New Roman" w:hAnsi="Times New Roman" w:eastAsia="宋体" w:cs="Times New Roman"/>
                <w:b/>
                <w:color w:val="auto"/>
                <w:sz w:val="24"/>
                <w:lang w:val="en-US" w:eastAsia="zh-CN"/>
              </w:rPr>
              <w:t>产品方案</w:t>
            </w:r>
          </w:p>
          <w:p w14:paraId="5F66C286">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产品方案及规模见下表。</w:t>
            </w:r>
          </w:p>
          <w:p w14:paraId="5E7219FD">
            <w:pPr>
              <w:keepNext w:val="0"/>
              <w:keepLines w:val="0"/>
              <w:pageBreakBefore w:val="0"/>
              <w:widowControl w:val="0"/>
              <w:kinsoku/>
              <w:wordWrap/>
              <w:overflowPunct/>
              <w:topLinePunct w:val="0"/>
              <w:autoSpaceDE/>
              <w:autoSpaceDN/>
              <w:bidi w:val="0"/>
              <w:adjustRightInd/>
              <w:snapToGrid/>
              <w:spacing w:line="240" w:lineRule="atLeast"/>
              <w:ind w:firstLine="0"/>
              <w:jc w:val="center"/>
              <w:textAlignment w:val="auto"/>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表2-5  产品方案及规模一览表</w:t>
            </w:r>
          </w:p>
          <w:tbl>
            <w:tblPr>
              <w:tblStyle w:val="35"/>
              <w:tblW w:w="83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650"/>
              <w:gridCol w:w="2250"/>
              <w:gridCol w:w="3167"/>
            </w:tblGrid>
            <w:tr w14:paraId="3E47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0" w:type="dxa"/>
                  <w:vAlign w:val="center"/>
                </w:tcPr>
                <w:p w14:paraId="16EBD12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lang w:val="en-US" w:eastAsia="zh-CN"/>
                    </w:rPr>
                  </w:pPr>
                  <w:r>
                    <w:rPr>
                      <w:rFonts w:hint="default" w:ascii="Times New Roman" w:hAnsi="Times New Roman" w:cs="Times New Roman" w:eastAsiaTheme="minorEastAsia"/>
                      <w:b/>
                      <w:bCs/>
                      <w:color w:val="auto"/>
                      <w:spacing w:val="2"/>
                      <w:sz w:val="21"/>
                      <w:szCs w:val="21"/>
                    </w:rPr>
                    <w:t>序号</w:t>
                  </w:r>
                </w:p>
              </w:tc>
              <w:tc>
                <w:tcPr>
                  <w:tcW w:w="1650" w:type="dxa"/>
                  <w:vAlign w:val="center"/>
                </w:tcPr>
                <w:p w14:paraId="0E5A1E5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lang w:val="en-US" w:eastAsia="zh-CN"/>
                    </w:rPr>
                  </w:pPr>
                  <w:r>
                    <w:rPr>
                      <w:rFonts w:hint="default" w:ascii="Times New Roman" w:hAnsi="Times New Roman" w:cs="Times New Roman" w:eastAsiaTheme="minorEastAsia"/>
                      <w:b/>
                      <w:bCs/>
                      <w:color w:val="auto"/>
                      <w:spacing w:val="2"/>
                      <w:sz w:val="21"/>
                      <w:szCs w:val="21"/>
                    </w:rPr>
                    <w:t>产品</w:t>
                  </w:r>
                </w:p>
              </w:tc>
              <w:tc>
                <w:tcPr>
                  <w:tcW w:w="2250" w:type="dxa"/>
                  <w:vAlign w:val="center"/>
                </w:tcPr>
                <w:p w14:paraId="6601F63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lang w:val="en-US" w:eastAsia="zh-CN"/>
                    </w:rPr>
                  </w:pPr>
                  <w:r>
                    <w:rPr>
                      <w:rFonts w:hint="default" w:ascii="Times New Roman" w:hAnsi="Times New Roman" w:cs="Times New Roman" w:eastAsiaTheme="minorEastAsia"/>
                      <w:b/>
                      <w:bCs/>
                      <w:color w:val="auto"/>
                      <w:spacing w:val="2"/>
                      <w:sz w:val="21"/>
                      <w:szCs w:val="21"/>
                    </w:rPr>
                    <w:t>年生产能力</w:t>
                  </w:r>
                </w:p>
              </w:tc>
              <w:tc>
                <w:tcPr>
                  <w:tcW w:w="3167" w:type="dxa"/>
                  <w:tcBorders>
                    <w:right w:val="nil"/>
                  </w:tcBorders>
                  <w:vAlign w:val="center"/>
                </w:tcPr>
                <w:p w14:paraId="3FCC31E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b/>
                      <w:bCs/>
                      <w:color w:val="auto"/>
                      <w:spacing w:val="2"/>
                      <w:sz w:val="21"/>
                      <w:szCs w:val="21"/>
                      <w:lang w:val="en-US" w:eastAsia="zh-CN"/>
                    </w:rPr>
                  </w:pPr>
                  <w:r>
                    <w:rPr>
                      <w:rFonts w:hint="default" w:ascii="Times New Roman" w:hAnsi="Times New Roman" w:cs="Times New Roman" w:eastAsiaTheme="minorEastAsia"/>
                      <w:b/>
                      <w:bCs/>
                      <w:color w:val="auto"/>
                      <w:spacing w:val="2"/>
                      <w:sz w:val="21"/>
                      <w:szCs w:val="21"/>
                    </w:rPr>
                    <w:t>用途或去向</w:t>
                  </w:r>
                </w:p>
              </w:tc>
            </w:tr>
            <w:tr w14:paraId="18DB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0" w:type="dxa"/>
                  <w:tcBorders>
                    <w:left w:val="nil"/>
                  </w:tcBorders>
                  <w:vAlign w:val="center"/>
                </w:tcPr>
                <w:p w14:paraId="1FFB6E0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1</w:t>
                  </w:r>
                </w:p>
              </w:tc>
              <w:tc>
                <w:tcPr>
                  <w:tcW w:w="1650" w:type="dxa"/>
                  <w:vAlign w:val="center"/>
                </w:tcPr>
                <w:p w14:paraId="5E9A443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沼液</w:t>
                  </w:r>
                </w:p>
              </w:tc>
              <w:tc>
                <w:tcPr>
                  <w:tcW w:w="2250" w:type="dxa"/>
                  <w:vAlign w:val="center"/>
                </w:tcPr>
                <w:p w14:paraId="3474DA8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34091</w:t>
                  </w:r>
                  <w:r>
                    <w:rPr>
                      <w:rFonts w:hint="default" w:ascii="Times New Roman" w:hAnsi="Times New Roman" w:cs="Times New Roman" w:eastAsiaTheme="minorEastAsia"/>
                      <w:color w:val="auto"/>
                      <w:spacing w:val="2"/>
                      <w:sz w:val="21"/>
                      <w:szCs w:val="21"/>
                    </w:rPr>
                    <w:t>t/a</w:t>
                  </w:r>
                </w:p>
              </w:tc>
              <w:tc>
                <w:tcPr>
                  <w:tcW w:w="3167" w:type="dxa"/>
                  <w:tcBorders>
                    <w:right w:val="nil"/>
                  </w:tcBorders>
                  <w:vAlign w:val="center"/>
                </w:tcPr>
                <w:p w14:paraId="006F719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外售</w:t>
                  </w:r>
                </w:p>
              </w:tc>
            </w:tr>
            <w:tr w14:paraId="240A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0" w:type="dxa"/>
                  <w:tcBorders>
                    <w:left w:val="nil"/>
                  </w:tcBorders>
                  <w:vAlign w:val="center"/>
                </w:tcPr>
                <w:p w14:paraId="74950B0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2</w:t>
                  </w:r>
                </w:p>
              </w:tc>
              <w:tc>
                <w:tcPr>
                  <w:tcW w:w="1650" w:type="dxa"/>
                  <w:vAlign w:val="center"/>
                </w:tcPr>
                <w:p w14:paraId="7DD6300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有机肥颗粒</w:t>
                  </w:r>
                </w:p>
              </w:tc>
              <w:tc>
                <w:tcPr>
                  <w:tcW w:w="2250" w:type="dxa"/>
                  <w:vAlign w:val="center"/>
                </w:tcPr>
                <w:p w14:paraId="4FCDBC7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10万t/a</w:t>
                  </w:r>
                </w:p>
              </w:tc>
              <w:tc>
                <w:tcPr>
                  <w:tcW w:w="3167" w:type="dxa"/>
                  <w:tcBorders>
                    <w:right w:val="nil"/>
                  </w:tcBorders>
                  <w:vAlign w:val="center"/>
                </w:tcPr>
                <w:p w14:paraId="0A70EA6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外售</w:t>
                  </w:r>
                </w:p>
              </w:tc>
            </w:tr>
          </w:tbl>
          <w:p w14:paraId="1FF6FE3D">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生物有机肥执行中华人民共和国农业行业标准《生物有机肥》(NY884—2012)中的相关标准，具体见表2-</w:t>
            </w:r>
            <w:r>
              <w:rPr>
                <w:rFonts w:hint="default" w:ascii="Times New Roman" w:hAnsi="Times New Roman" w:cs="Times New Roman"/>
                <w:color w:val="auto"/>
                <w:sz w:val="24"/>
                <w:lang w:val="en-US" w:eastAsia="zh-CN"/>
              </w:rPr>
              <w:t>6</w:t>
            </w:r>
          </w:p>
          <w:p w14:paraId="30A52007">
            <w:pPr>
              <w:keepNext w:val="0"/>
              <w:keepLines w:val="0"/>
              <w:pageBreakBefore w:val="0"/>
              <w:widowControl w:val="0"/>
              <w:kinsoku/>
              <w:wordWrap/>
              <w:overflowPunct/>
              <w:topLinePunct w:val="0"/>
              <w:autoSpaceDE/>
              <w:autoSpaceDN/>
              <w:bidi w:val="0"/>
              <w:adjustRightInd/>
              <w:snapToGrid/>
              <w:spacing w:line="240" w:lineRule="atLeast"/>
              <w:ind w:firstLine="0"/>
              <w:jc w:val="center"/>
              <w:textAlignment w:val="auto"/>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表2-6  生物有机肥产品技术指标</w:t>
            </w:r>
          </w:p>
          <w:tbl>
            <w:tblPr>
              <w:tblStyle w:val="35"/>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6"/>
              <w:gridCol w:w="3401"/>
            </w:tblGrid>
            <w:tr w14:paraId="2E1F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6" w:type="dxa"/>
                  <w:tcBorders>
                    <w:top w:val="single" w:color="000000" w:sz="4" w:space="0"/>
                    <w:left w:val="nil"/>
                    <w:bottom w:val="single" w:color="000000" w:sz="4" w:space="0"/>
                    <w:right w:val="single" w:color="000000" w:sz="4" w:space="0"/>
                    <w:tl2br w:val="nil"/>
                    <w:tr2bl w:val="nil"/>
                  </w:tcBorders>
                  <w:noWrap w:val="0"/>
                  <w:vAlign w:val="top"/>
                </w:tcPr>
                <w:p w14:paraId="69C5F84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项目</w:t>
                  </w:r>
                </w:p>
              </w:tc>
              <w:tc>
                <w:tcPr>
                  <w:tcW w:w="3401" w:type="dxa"/>
                  <w:tcBorders>
                    <w:top w:val="single" w:color="000000" w:sz="4" w:space="0"/>
                    <w:left w:val="single" w:color="000000" w:sz="4" w:space="0"/>
                    <w:bottom w:val="single" w:color="000000" w:sz="4" w:space="0"/>
                    <w:right w:val="nil"/>
                    <w:tl2br w:val="nil"/>
                    <w:tr2bl w:val="nil"/>
                  </w:tcBorders>
                  <w:noWrap w:val="0"/>
                  <w:vAlign w:val="top"/>
                </w:tcPr>
                <w:p w14:paraId="399831D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技术指标</w:t>
                  </w:r>
                </w:p>
              </w:tc>
            </w:tr>
            <w:tr w14:paraId="764F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6" w:type="dxa"/>
                  <w:tcBorders>
                    <w:top w:val="single" w:color="000000" w:sz="4" w:space="0"/>
                    <w:left w:val="nil"/>
                    <w:bottom w:val="single" w:color="000000" w:sz="4" w:space="0"/>
                    <w:right w:val="single" w:color="000000" w:sz="4" w:space="0"/>
                    <w:tl2br w:val="nil"/>
                    <w:tr2bl w:val="nil"/>
                  </w:tcBorders>
                  <w:noWrap w:val="0"/>
                  <w:vAlign w:val="top"/>
                </w:tcPr>
                <w:p w14:paraId="1B5E4C6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有效活菌数(cgu),亿/g</w:t>
                  </w:r>
                </w:p>
              </w:tc>
              <w:tc>
                <w:tcPr>
                  <w:tcW w:w="3401" w:type="dxa"/>
                  <w:tcBorders>
                    <w:top w:val="single" w:color="000000" w:sz="4" w:space="0"/>
                    <w:left w:val="single" w:color="000000" w:sz="4" w:space="0"/>
                    <w:bottom w:val="single" w:color="000000" w:sz="4" w:space="0"/>
                    <w:right w:val="nil"/>
                    <w:tl2br w:val="nil"/>
                    <w:tr2bl w:val="nil"/>
                  </w:tcBorders>
                  <w:noWrap w:val="0"/>
                  <w:vAlign w:val="top"/>
                </w:tcPr>
                <w:p w14:paraId="0949D70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≥0.2</w:t>
                  </w:r>
                </w:p>
              </w:tc>
            </w:tr>
            <w:tr w14:paraId="708E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6" w:type="dxa"/>
                  <w:tcBorders>
                    <w:top w:val="single" w:color="000000" w:sz="4" w:space="0"/>
                    <w:left w:val="nil"/>
                    <w:bottom w:val="single" w:color="000000" w:sz="4" w:space="0"/>
                    <w:right w:val="single" w:color="000000" w:sz="4" w:space="0"/>
                    <w:tl2br w:val="nil"/>
                    <w:tr2bl w:val="nil"/>
                  </w:tcBorders>
                  <w:noWrap w:val="0"/>
                  <w:vAlign w:val="top"/>
                </w:tcPr>
                <w:p w14:paraId="5D303FB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有机质(以干基计),%</w:t>
                  </w:r>
                </w:p>
              </w:tc>
              <w:tc>
                <w:tcPr>
                  <w:tcW w:w="3401" w:type="dxa"/>
                  <w:tcBorders>
                    <w:top w:val="single" w:color="000000" w:sz="4" w:space="0"/>
                    <w:left w:val="single" w:color="000000" w:sz="4" w:space="0"/>
                    <w:bottom w:val="single" w:color="000000" w:sz="4" w:space="0"/>
                    <w:right w:val="nil"/>
                    <w:tl2br w:val="nil"/>
                    <w:tr2bl w:val="nil"/>
                  </w:tcBorders>
                  <w:noWrap w:val="0"/>
                  <w:vAlign w:val="top"/>
                </w:tcPr>
                <w:p w14:paraId="73CAFC6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≥40</w:t>
                  </w:r>
                </w:p>
              </w:tc>
            </w:tr>
            <w:tr w14:paraId="1113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6" w:type="dxa"/>
                  <w:tcBorders>
                    <w:top w:val="single" w:color="000000" w:sz="4" w:space="0"/>
                    <w:left w:val="nil"/>
                    <w:bottom w:val="single" w:color="000000" w:sz="4" w:space="0"/>
                    <w:right w:val="single" w:color="000000" w:sz="4" w:space="0"/>
                    <w:tl2br w:val="nil"/>
                    <w:tr2bl w:val="nil"/>
                  </w:tcBorders>
                  <w:noWrap w:val="0"/>
                  <w:vAlign w:val="top"/>
                </w:tcPr>
                <w:p w14:paraId="31E956C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水分，%</w:t>
                  </w:r>
                </w:p>
              </w:tc>
              <w:tc>
                <w:tcPr>
                  <w:tcW w:w="3401" w:type="dxa"/>
                  <w:tcBorders>
                    <w:top w:val="single" w:color="000000" w:sz="4" w:space="0"/>
                    <w:left w:val="single" w:color="000000" w:sz="4" w:space="0"/>
                    <w:bottom w:val="single" w:color="000000" w:sz="4" w:space="0"/>
                    <w:right w:val="nil"/>
                    <w:tl2br w:val="nil"/>
                    <w:tr2bl w:val="nil"/>
                  </w:tcBorders>
                  <w:noWrap w:val="0"/>
                  <w:vAlign w:val="top"/>
                </w:tcPr>
                <w:p w14:paraId="29F1E72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≤30</w:t>
                  </w:r>
                </w:p>
              </w:tc>
            </w:tr>
            <w:tr w14:paraId="5634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6" w:type="dxa"/>
                  <w:tcBorders>
                    <w:top w:val="single" w:color="000000" w:sz="4" w:space="0"/>
                    <w:left w:val="nil"/>
                    <w:bottom w:val="single" w:color="000000" w:sz="4" w:space="0"/>
                    <w:right w:val="single" w:color="000000" w:sz="4" w:space="0"/>
                    <w:tl2br w:val="nil"/>
                    <w:tr2bl w:val="nil"/>
                  </w:tcBorders>
                  <w:noWrap w:val="0"/>
                  <w:vAlign w:val="top"/>
                </w:tcPr>
                <w:p w14:paraId="4B90FF7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pH值</w:t>
                  </w:r>
                </w:p>
              </w:tc>
              <w:tc>
                <w:tcPr>
                  <w:tcW w:w="3401" w:type="dxa"/>
                  <w:tcBorders>
                    <w:top w:val="single" w:color="000000" w:sz="4" w:space="0"/>
                    <w:left w:val="single" w:color="000000" w:sz="4" w:space="0"/>
                    <w:bottom w:val="single" w:color="000000" w:sz="4" w:space="0"/>
                    <w:right w:val="nil"/>
                    <w:tl2br w:val="nil"/>
                    <w:tr2bl w:val="nil"/>
                  </w:tcBorders>
                  <w:noWrap w:val="0"/>
                  <w:vAlign w:val="top"/>
                </w:tcPr>
                <w:p w14:paraId="2B0B64B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5.5-8.5</w:t>
                  </w:r>
                </w:p>
              </w:tc>
            </w:tr>
            <w:tr w14:paraId="3010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6" w:type="dxa"/>
                  <w:tcBorders>
                    <w:top w:val="single" w:color="000000" w:sz="4" w:space="0"/>
                    <w:left w:val="nil"/>
                    <w:bottom w:val="single" w:color="000000" w:sz="4" w:space="0"/>
                    <w:right w:val="single" w:color="000000" w:sz="4" w:space="0"/>
                    <w:tl2br w:val="nil"/>
                    <w:tr2bl w:val="nil"/>
                  </w:tcBorders>
                  <w:noWrap w:val="0"/>
                  <w:vAlign w:val="top"/>
                </w:tcPr>
                <w:p w14:paraId="4A9A93E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粪大肠菌群数，个/g</w:t>
                  </w:r>
                </w:p>
              </w:tc>
              <w:tc>
                <w:tcPr>
                  <w:tcW w:w="3401" w:type="dxa"/>
                  <w:tcBorders>
                    <w:top w:val="single" w:color="000000" w:sz="4" w:space="0"/>
                    <w:left w:val="single" w:color="000000" w:sz="4" w:space="0"/>
                    <w:bottom w:val="single" w:color="000000" w:sz="4" w:space="0"/>
                    <w:right w:val="nil"/>
                    <w:tl2br w:val="nil"/>
                    <w:tr2bl w:val="nil"/>
                  </w:tcBorders>
                  <w:noWrap w:val="0"/>
                  <w:vAlign w:val="top"/>
                </w:tcPr>
                <w:p w14:paraId="37EA4E4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&lt;100</w:t>
                  </w:r>
                </w:p>
              </w:tc>
            </w:tr>
            <w:tr w14:paraId="1999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6" w:type="dxa"/>
                  <w:tcBorders>
                    <w:top w:val="single" w:color="000000" w:sz="4" w:space="0"/>
                    <w:left w:val="nil"/>
                    <w:bottom w:val="single" w:color="000000" w:sz="4" w:space="0"/>
                    <w:right w:val="single" w:color="000000" w:sz="4" w:space="0"/>
                    <w:tl2br w:val="nil"/>
                    <w:tr2bl w:val="nil"/>
                  </w:tcBorders>
                  <w:noWrap w:val="0"/>
                  <w:vAlign w:val="top"/>
                </w:tcPr>
                <w:p w14:paraId="0A629CA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蛔虫卵死亡率，%</w:t>
                  </w:r>
                </w:p>
              </w:tc>
              <w:tc>
                <w:tcPr>
                  <w:tcW w:w="3401" w:type="dxa"/>
                  <w:tcBorders>
                    <w:top w:val="single" w:color="000000" w:sz="4" w:space="0"/>
                    <w:left w:val="single" w:color="000000" w:sz="4" w:space="0"/>
                    <w:bottom w:val="single" w:color="000000" w:sz="4" w:space="0"/>
                    <w:right w:val="nil"/>
                    <w:tl2br w:val="nil"/>
                    <w:tr2bl w:val="nil"/>
                  </w:tcBorders>
                  <w:noWrap w:val="0"/>
                  <w:vAlign w:val="top"/>
                </w:tcPr>
                <w:p w14:paraId="0024E81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≥95</w:t>
                  </w:r>
                </w:p>
              </w:tc>
            </w:tr>
            <w:tr w14:paraId="7E8C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6" w:type="dxa"/>
                  <w:tcBorders>
                    <w:top w:val="single" w:color="000000" w:sz="4" w:space="0"/>
                    <w:left w:val="nil"/>
                    <w:bottom w:val="single" w:color="000000" w:sz="4" w:space="0"/>
                    <w:right w:val="single" w:color="000000" w:sz="4" w:space="0"/>
                    <w:tl2br w:val="nil"/>
                    <w:tr2bl w:val="nil"/>
                  </w:tcBorders>
                  <w:noWrap w:val="0"/>
                  <w:vAlign w:val="top"/>
                </w:tcPr>
                <w:p w14:paraId="5F709B3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有效期，月</w:t>
                  </w:r>
                </w:p>
              </w:tc>
              <w:tc>
                <w:tcPr>
                  <w:tcW w:w="3401" w:type="dxa"/>
                  <w:tcBorders>
                    <w:top w:val="single" w:color="000000" w:sz="4" w:space="0"/>
                    <w:left w:val="single" w:color="000000" w:sz="4" w:space="0"/>
                    <w:bottom w:val="single" w:color="000000" w:sz="4" w:space="0"/>
                    <w:right w:val="nil"/>
                    <w:tl2br w:val="nil"/>
                    <w:tr2bl w:val="nil"/>
                  </w:tcBorders>
                  <w:noWrap w:val="0"/>
                  <w:vAlign w:val="top"/>
                </w:tcPr>
                <w:p w14:paraId="10BA847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≥6</w:t>
                  </w:r>
                </w:p>
              </w:tc>
            </w:tr>
          </w:tbl>
          <w:p w14:paraId="4ED6306E">
            <w:pPr>
              <w:keepNext w:val="0"/>
              <w:keepLines w:val="0"/>
              <w:pageBreakBefore w:val="0"/>
              <w:widowControl w:val="0"/>
              <w:kinsoku/>
              <w:wordWrap/>
              <w:overflowPunct/>
              <w:topLinePunct w:val="0"/>
              <w:autoSpaceDE/>
              <w:autoSpaceDN/>
              <w:bidi w:val="0"/>
              <w:adjustRightInd/>
              <w:snapToGrid/>
              <w:spacing w:line="240" w:lineRule="atLeast"/>
              <w:ind w:firstLine="0"/>
              <w:jc w:val="center"/>
              <w:textAlignment w:val="auto"/>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表2-7  生物有机肥产品5种重金属限量技术要求 单位：mg/kg</w:t>
            </w:r>
          </w:p>
          <w:tbl>
            <w:tblPr>
              <w:tblStyle w:val="35"/>
              <w:tblW w:w="83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9"/>
              <w:gridCol w:w="4158"/>
            </w:tblGrid>
            <w:tr w14:paraId="49C1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9" w:type="dxa"/>
                  <w:tcBorders>
                    <w:top w:val="single" w:color="000000" w:sz="2" w:space="0"/>
                    <w:left w:val="single" w:color="000000" w:sz="4" w:space="0"/>
                    <w:bottom w:val="single" w:color="000000" w:sz="2" w:space="0"/>
                    <w:right w:val="single" w:color="000000" w:sz="4" w:space="0"/>
                  </w:tcBorders>
                  <w:noWrap w:val="0"/>
                  <w:vAlign w:val="top"/>
                </w:tcPr>
                <w:p w14:paraId="2AD6462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项目</w:t>
                  </w:r>
                </w:p>
              </w:tc>
              <w:tc>
                <w:tcPr>
                  <w:tcW w:w="4158" w:type="dxa"/>
                  <w:tcBorders>
                    <w:top w:val="single" w:color="000000" w:sz="2" w:space="0"/>
                    <w:left w:val="single" w:color="000000" w:sz="4" w:space="0"/>
                    <w:bottom w:val="single" w:color="000000" w:sz="2" w:space="0"/>
                    <w:right w:val="nil"/>
                  </w:tcBorders>
                  <w:noWrap w:val="0"/>
                  <w:vAlign w:val="top"/>
                </w:tcPr>
                <w:p w14:paraId="6A41562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限定指标</w:t>
                  </w:r>
                </w:p>
              </w:tc>
            </w:tr>
            <w:tr w14:paraId="1F94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9" w:type="dxa"/>
                  <w:tcBorders>
                    <w:top w:val="single" w:color="000000" w:sz="2" w:space="0"/>
                    <w:left w:val="nil"/>
                    <w:bottom w:val="single" w:color="000000" w:sz="2" w:space="0"/>
                    <w:right w:val="single" w:color="000000" w:sz="4" w:space="0"/>
                  </w:tcBorders>
                  <w:noWrap w:val="0"/>
                  <w:vAlign w:val="top"/>
                </w:tcPr>
                <w:p w14:paraId="550DB66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总砷(As)(以干基计)</w:t>
                  </w:r>
                </w:p>
              </w:tc>
              <w:tc>
                <w:tcPr>
                  <w:tcW w:w="4158" w:type="dxa"/>
                  <w:tcBorders>
                    <w:top w:val="single" w:color="000000" w:sz="2" w:space="0"/>
                    <w:left w:val="single" w:color="000000" w:sz="4" w:space="0"/>
                    <w:bottom w:val="single" w:color="000000" w:sz="2" w:space="0"/>
                    <w:right w:val="nil"/>
                  </w:tcBorders>
                  <w:noWrap w:val="0"/>
                  <w:vAlign w:val="top"/>
                </w:tcPr>
                <w:p w14:paraId="627B626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≤15</w:t>
                  </w:r>
                </w:p>
              </w:tc>
            </w:tr>
            <w:tr w14:paraId="32BF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9" w:type="dxa"/>
                  <w:tcBorders>
                    <w:top w:val="single" w:color="000000" w:sz="2" w:space="0"/>
                    <w:left w:val="nil"/>
                    <w:bottom w:val="single" w:color="000000" w:sz="2" w:space="0"/>
                    <w:right w:val="single" w:color="000000" w:sz="4" w:space="0"/>
                  </w:tcBorders>
                  <w:noWrap w:val="0"/>
                  <w:vAlign w:val="top"/>
                </w:tcPr>
                <w:p w14:paraId="4E18E4A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总镉(Cd)(以干基计)</w:t>
                  </w:r>
                </w:p>
              </w:tc>
              <w:tc>
                <w:tcPr>
                  <w:tcW w:w="4158" w:type="dxa"/>
                  <w:tcBorders>
                    <w:top w:val="single" w:color="000000" w:sz="2" w:space="0"/>
                    <w:left w:val="single" w:color="000000" w:sz="4" w:space="0"/>
                    <w:bottom w:val="single" w:color="000000" w:sz="2" w:space="0"/>
                    <w:right w:val="nil"/>
                  </w:tcBorders>
                  <w:noWrap w:val="0"/>
                  <w:vAlign w:val="top"/>
                </w:tcPr>
                <w:p w14:paraId="1B2C501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≤3</w:t>
                  </w:r>
                </w:p>
              </w:tc>
            </w:tr>
            <w:tr w14:paraId="4A01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9" w:type="dxa"/>
                  <w:tcBorders>
                    <w:top w:val="single" w:color="000000" w:sz="2" w:space="0"/>
                    <w:left w:val="nil"/>
                    <w:bottom w:val="single" w:color="000000" w:sz="2" w:space="0"/>
                    <w:right w:val="single" w:color="000000" w:sz="4" w:space="0"/>
                  </w:tcBorders>
                  <w:noWrap w:val="0"/>
                  <w:vAlign w:val="top"/>
                </w:tcPr>
                <w:p w14:paraId="390434C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总铅(Pb)(以干基计)</w:t>
                  </w:r>
                </w:p>
              </w:tc>
              <w:tc>
                <w:tcPr>
                  <w:tcW w:w="4158" w:type="dxa"/>
                  <w:tcBorders>
                    <w:top w:val="single" w:color="000000" w:sz="2" w:space="0"/>
                    <w:left w:val="single" w:color="000000" w:sz="4" w:space="0"/>
                    <w:bottom w:val="single" w:color="000000" w:sz="2" w:space="0"/>
                    <w:right w:val="nil"/>
                  </w:tcBorders>
                  <w:noWrap w:val="0"/>
                  <w:vAlign w:val="top"/>
                </w:tcPr>
                <w:p w14:paraId="4C34BB4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≤50</w:t>
                  </w:r>
                </w:p>
              </w:tc>
            </w:tr>
            <w:tr w14:paraId="3D24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9" w:type="dxa"/>
                  <w:tcBorders>
                    <w:top w:val="single" w:color="000000" w:sz="2" w:space="0"/>
                    <w:left w:val="nil"/>
                    <w:bottom w:val="single" w:color="000000" w:sz="2" w:space="0"/>
                    <w:right w:val="single" w:color="000000" w:sz="4" w:space="0"/>
                  </w:tcBorders>
                  <w:noWrap w:val="0"/>
                  <w:vAlign w:val="top"/>
                </w:tcPr>
                <w:p w14:paraId="42B1213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总铬(Cr)(以干基计)</w:t>
                  </w:r>
                </w:p>
              </w:tc>
              <w:tc>
                <w:tcPr>
                  <w:tcW w:w="4158" w:type="dxa"/>
                  <w:tcBorders>
                    <w:top w:val="single" w:color="000000" w:sz="2" w:space="0"/>
                    <w:left w:val="single" w:color="000000" w:sz="4" w:space="0"/>
                    <w:bottom w:val="single" w:color="000000" w:sz="2" w:space="0"/>
                    <w:right w:val="nil"/>
                  </w:tcBorders>
                  <w:noWrap w:val="0"/>
                  <w:vAlign w:val="top"/>
                </w:tcPr>
                <w:p w14:paraId="62C1155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≤150</w:t>
                  </w:r>
                </w:p>
              </w:tc>
            </w:tr>
            <w:tr w14:paraId="16D1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9" w:type="dxa"/>
                  <w:tcBorders>
                    <w:top w:val="single" w:color="000000" w:sz="2" w:space="0"/>
                    <w:left w:val="nil"/>
                    <w:bottom w:val="single" w:color="000000" w:sz="2" w:space="0"/>
                    <w:right w:val="single" w:color="000000" w:sz="4" w:space="0"/>
                  </w:tcBorders>
                  <w:noWrap w:val="0"/>
                  <w:vAlign w:val="top"/>
                </w:tcPr>
                <w:p w14:paraId="3CB757C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总汞(Hg)(以干基计)</w:t>
                  </w:r>
                </w:p>
              </w:tc>
              <w:tc>
                <w:tcPr>
                  <w:tcW w:w="4158" w:type="dxa"/>
                  <w:tcBorders>
                    <w:top w:val="single" w:color="000000" w:sz="2" w:space="0"/>
                    <w:left w:val="single" w:color="000000" w:sz="4" w:space="0"/>
                    <w:bottom w:val="single" w:color="000000" w:sz="2" w:space="0"/>
                    <w:right w:val="nil"/>
                  </w:tcBorders>
                  <w:noWrap w:val="0"/>
                  <w:vAlign w:val="top"/>
                </w:tcPr>
                <w:p w14:paraId="0044EA2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right="0" w:firstLine="0"/>
                    <w:jc w:val="center"/>
                    <w:textAlignment w:val="baseline"/>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≤2</w:t>
                  </w:r>
                </w:p>
              </w:tc>
            </w:tr>
          </w:tbl>
          <w:p w14:paraId="3B91EFF4">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根据项目实施方案</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运营期产生的沼液满足《农用沼液》(GB/T40750-2021)中浓缩沼液肥料标准</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可直接外售，具体限值见表2-</w:t>
            </w:r>
            <w:r>
              <w:rPr>
                <w:rFonts w:hint="default" w:ascii="Times New Roman" w:hAnsi="Times New Roman" w:cs="Times New Roman"/>
                <w:color w:val="auto"/>
                <w:sz w:val="24"/>
                <w:lang w:val="en-US" w:eastAsia="zh-CN"/>
              </w:rPr>
              <w:t>8</w:t>
            </w:r>
            <w:r>
              <w:rPr>
                <w:rFonts w:hint="default" w:ascii="Times New Roman" w:hAnsi="Times New Roman" w:eastAsia="宋体" w:cs="Times New Roman"/>
                <w:color w:val="auto"/>
                <w:sz w:val="24"/>
                <w:lang w:val="en-US" w:eastAsia="zh-CN"/>
              </w:rPr>
              <w:t>。沼渣产生量较小，满足《沼肥》</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NY/T2596-2014</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中沼渣肥标准要求，直接外售。</w:t>
            </w:r>
          </w:p>
          <w:p w14:paraId="22D38430">
            <w:pPr>
              <w:keepNext w:val="0"/>
              <w:keepLines w:val="0"/>
              <w:pageBreakBefore w:val="0"/>
              <w:widowControl w:val="0"/>
              <w:kinsoku/>
              <w:wordWrap/>
              <w:overflowPunct/>
              <w:topLinePunct w:val="0"/>
              <w:autoSpaceDE/>
              <w:autoSpaceDN/>
              <w:bidi w:val="0"/>
              <w:adjustRightInd/>
              <w:snapToGrid/>
              <w:spacing w:line="240" w:lineRule="atLeast"/>
              <w:ind w:firstLine="0"/>
              <w:jc w:val="center"/>
              <w:textAlignment w:val="auto"/>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表2-8  《农用沼液》(GB/T40750-2021)浓缩沼液肥料指标限值</w:t>
            </w:r>
          </w:p>
          <w:tbl>
            <w:tblPr>
              <w:tblStyle w:val="35"/>
              <w:tblW w:w="8390" w:type="dxa"/>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Layout w:type="autofit"/>
              <w:tblCellMar>
                <w:top w:w="0" w:type="dxa"/>
                <w:left w:w="108" w:type="dxa"/>
                <w:bottom w:w="0" w:type="dxa"/>
                <w:right w:w="108" w:type="dxa"/>
              </w:tblCellMar>
            </w:tblPr>
            <w:tblGrid>
              <w:gridCol w:w="1243"/>
              <w:gridCol w:w="4894"/>
              <w:gridCol w:w="1073"/>
              <w:gridCol w:w="1180"/>
            </w:tblGrid>
            <w:tr w14:paraId="151D31B8">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tcBorders>
                    <w:tl2br w:val="nil"/>
                    <w:tr2bl w:val="nil"/>
                  </w:tcBorders>
                  <w:noWrap w:val="0"/>
                  <w:vAlign w:val="center"/>
                </w:tcPr>
                <w:p w14:paraId="65EDCB6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2"/>
                      <w:sz w:val="18"/>
                    </w:rPr>
                    <w:t>指标类型</w:t>
                  </w:r>
                </w:p>
              </w:tc>
              <w:tc>
                <w:tcPr>
                  <w:tcW w:w="4894" w:type="dxa"/>
                  <w:tcBorders>
                    <w:tl2br w:val="nil"/>
                    <w:tr2bl w:val="nil"/>
                  </w:tcBorders>
                  <w:noWrap w:val="0"/>
                  <w:vAlign w:val="center"/>
                </w:tcPr>
                <w:p w14:paraId="1A73D57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5"/>
                      <w:sz w:val="18"/>
                    </w:rPr>
                    <w:t>项 目</w:t>
                  </w:r>
                </w:p>
              </w:tc>
              <w:tc>
                <w:tcPr>
                  <w:tcW w:w="1073" w:type="dxa"/>
                  <w:tcBorders>
                    <w:tl2br w:val="nil"/>
                    <w:tr2bl w:val="nil"/>
                  </w:tcBorders>
                  <w:noWrap w:val="0"/>
                  <w:vAlign w:val="center"/>
                </w:tcPr>
                <w:p w14:paraId="43D912B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3"/>
                      <w:sz w:val="18"/>
                    </w:rPr>
                    <w:t>单位</w:t>
                  </w:r>
                </w:p>
              </w:tc>
              <w:tc>
                <w:tcPr>
                  <w:tcW w:w="1180" w:type="dxa"/>
                  <w:tcBorders>
                    <w:tl2br w:val="nil"/>
                    <w:tr2bl w:val="nil"/>
                  </w:tcBorders>
                  <w:noWrap w:val="0"/>
                  <w:vAlign w:val="center"/>
                </w:tcPr>
                <w:p w14:paraId="43892BD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3"/>
                      <w:sz w:val="18"/>
                    </w:rPr>
                    <w:t>指标</w:t>
                  </w:r>
                </w:p>
              </w:tc>
            </w:tr>
            <w:tr w14:paraId="7C6888DE">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restart"/>
                  <w:tcBorders>
                    <w:tl2br w:val="nil"/>
                    <w:tr2bl w:val="nil"/>
                  </w:tcBorders>
                  <w:noWrap w:val="0"/>
                  <w:vAlign w:val="center"/>
                </w:tcPr>
                <w:p w14:paraId="596BF69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2"/>
                      <w:sz w:val="18"/>
                    </w:rPr>
                    <w:t>技术指标</w:t>
                  </w:r>
                </w:p>
              </w:tc>
              <w:tc>
                <w:tcPr>
                  <w:tcW w:w="4894" w:type="dxa"/>
                  <w:tcBorders>
                    <w:tl2br w:val="nil"/>
                    <w:tr2bl w:val="nil"/>
                  </w:tcBorders>
                  <w:noWrap w:val="0"/>
                  <w:vAlign w:val="center"/>
                </w:tcPr>
                <w:p w14:paraId="40721D2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2"/>
                      <w:position w:val="-1"/>
                      <w:sz w:val="18"/>
                    </w:rPr>
                    <w:t>pH</w:t>
                  </w:r>
                </w:p>
              </w:tc>
              <w:tc>
                <w:tcPr>
                  <w:tcW w:w="1073" w:type="dxa"/>
                  <w:tcBorders>
                    <w:tl2br w:val="nil"/>
                    <w:tr2bl w:val="nil"/>
                  </w:tcBorders>
                  <w:noWrap w:val="0"/>
                  <w:vAlign w:val="center"/>
                </w:tcPr>
                <w:p w14:paraId="698025F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z w:val="18"/>
                    </w:rPr>
                    <w:t>/</w:t>
                  </w:r>
                </w:p>
              </w:tc>
              <w:tc>
                <w:tcPr>
                  <w:tcW w:w="1180" w:type="dxa"/>
                  <w:tcBorders>
                    <w:tl2br w:val="nil"/>
                    <w:tr2bl w:val="nil"/>
                  </w:tcBorders>
                  <w:noWrap w:val="0"/>
                  <w:vAlign w:val="center"/>
                </w:tcPr>
                <w:p w14:paraId="045A71D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2"/>
                      <w:position w:val="-3"/>
                      <w:sz w:val="18"/>
                    </w:rPr>
                    <w:t>5.5~8.5</w:t>
                  </w:r>
                </w:p>
              </w:tc>
            </w:tr>
            <w:tr w14:paraId="7E13A568">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0BD8410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1BEAB62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12"/>
                      <w:sz w:val="18"/>
                    </w:rPr>
                    <w:t>总养分(N+P</w:t>
                  </w:r>
                  <w:r>
                    <w:rPr>
                      <w:rFonts w:hint="default" w:ascii="Times New Roman" w:hAnsi="Times New Roman" w:eastAsia="Calibri" w:cs="Times New Roman"/>
                      <w:color w:val="auto"/>
                      <w:spacing w:val="12"/>
                      <w:sz w:val="18"/>
                    </w:rPr>
                    <w:t>₂</w:t>
                  </w:r>
                  <w:r>
                    <w:rPr>
                      <w:rFonts w:hint="default" w:ascii="Times New Roman" w:hAnsi="Times New Roman" w:cs="Times New Roman"/>
                      <w:color w:val="auto"/>
                      <w:spacing w:val="12"/>
                      <w:sz w:val="18"/>
                    </w:rPr>
                    <w:t>O</w:t>
                  </w:r>
                  <w:r>
                    <w:rPr>
                      <w:rFonts w:hint="default" w:ascii="Times New Roman" w:hAnsi="Times New Roman" w:eastAsia="Calibri" w:cs="Times New Roman"/>
                      <w:color w:val="auto"/>
                      <w:spacing w:val="12"/>
                      <w:sz w:val="18"/>
                    </w:rPr>
                    <w:t>₅</w:t>
                  </w:r>
                  <w:r>
                    <w:rPr>
                      <w:rFonts w:hint="default" w:ascii="Times New Roman" w:hAnsi="Times New Roman" w:cs="Times New Roman"/>
                      <w:color w:val="auto"/>
                      <w:spacing w:val="12"/>
                      <w:sz w:val="18"/>
                    </w:rPr>
                    <w:t>+K</w:t>
                  </w:r>
                  <w:r>
                    <w:rPr>
                      <w:rFonts w:hint="default" w:ascii="Times New Roman" w:hAnsi="Times New Roman" w:eastAsia="Calibri" w:cs="Times New Roman"/>
                      <w:color w:val="auto"/>
                      <w:spacing w:val="12"/>
                      <w:sz w:val="18"/>
                    </w:rPr>
                    <w:t>₂</w:t>
                  </w:r>
                  <w:r>
                    <w:rPr>
                      <w:rFonts w:hint="default" w:ascii="Times New Roman" w:hAnsi="Times New Roman" w:cs="Times New Roman"/>
                      <w:color w:val="auto"/>
                      <w:spacing w:val="12"/>
                      <w:sz w:val="18"/>
                    </w:rPr>
                    <w:t>O)含量(以干基计)</w:t>
                  </w:r>
                </w:p>
              </w:tc>
              <w:tc>
                <w:tcPr>
                  <w:tcW w:w="1073" w:type="dxa"/>
                  <w:tcBorders>
                    <w:tl2br w:val="nil"/>
                    <w:tr2bl w:val="nil"/>
                  </w:tcBorders>
                  <w:noWrap w:val="0"/>
                  <w:vAlign w:val="center"/>
                </w:tcPr>
                <w:p w14:paraId="7F88478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3"/>
                      <w:sz w:val="18"/>
                    </w:rPr>
                    <w:t>g/L</w:t>
                  </w:r>
                </w:p>
              </w:tc>
              <w:tc>
                <w:tcPr>
                  <w:tcW w:w="1180" w:type="dxa"/>
                  <w:tcBorders>
                    <w:tl2br w:val="nil"/>
                    <w:tr2bl w:val="nil"/>
                  </w:tcBorders>
                  <w:noWrap w:val="0"/>
                  <w:vAlign w:val="center"/>
                </w:tcPr>
                <w:p w14:paraId="022CA01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9"/>
                      <w:sz w:val="18"/>
                    </w:rPr>
                    <w:t>≥8</w:t>
                  </w:r>
                </w:p>
              </w:tc>
            </w:tr>
            <w:tr w14:paraId="14E1755E">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22D9DFB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5268131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4"/>
                      <w:sz w:val="18"/>
                    </w:rPr>
                    <w:t>有机质(以干基计)</w:t>
                  </w:r>
                </w:p>
              </w:tc>
              <w:tc>
                <w:tcPr>
                  <w:tcW w:w="1073" w:type="dxa"/>
                  <w:tcBorders>
                    <w:tl2br w:val="nil"/>
                    <w:tr2bl w:val="nil"/>
                  </w:tcBorders>
                  <w:noWrap w:val="0"/>
                  <w:vAlign w:val="center"/>
                </w:tcPr>
                <w:p w14:paraId="69B39FE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3"/>
                      <w:sz w:val="18"/>
                    </w:rPr>
                    <w:t>g/L</w:t>
                  </w:r>
                </w:p>
              </w:tc>
              <w:tc>
                <w:tcPr>
                  <w:tcW w:w="1180" w:type="dxa"/>
                  <w:tcBorders>
                    <w:tl2br w:val="nil"/>
                    <w:tr2bl w:val="nil"/>
                  </w:tcBorders>
                  <w:noWrap w:val="0"/>
                  <w:vAlign w:val="center"/>
                </w:tcPr>
                <w:p w14:paraId="2816121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7"/>
                      <w:sz w:val="18"/>
                    </w:rPr>
                    <w:t>≥18</w:t>
                  </w:r>
                </w:p>
              </w:tc>
            </w:tr>
            <w:tr w14:paraId="2B0FF847">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096DFCD7">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48CF16B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2"/>
                      <w:sz w:val="18"/>
                    </w:rPr>
                    <w:t>水不溶物</w:t>
                  </w:r>
                </w:p>
              </w:tc>
              <w:tc>
                <w:tcPr>
                  <w:tcW w:w="1073" w:type="dxa"/>
                  <w:tcBorders>
                    <w:tl2br w:val="nil"/>
                    <w:tr2bl w:val="nil"/>
                  </w:tcBorders>
                  <w:noWrap w:val="0"/>
                  <w:vAlign w:val="center"/>
                </w:tcPr>
                <w:p w14:paraId="53794C5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3"/>
                      <w:sz w:val="18"/>
                    </w:rPr>
                    <w:t>g/L</w:t>
                  </w:r>
                </w:p>
              </w:tc>
              <w:tc>
                <w:tcPr>
                  <w:tcW w:w="1180" w:type="dxa"/>
                  <w:tcBorders>
                    <w:tl2br w:val="nil"/>
                    <w:tr2bl w:val="nil"/>
                  </w:tcBorders>
                  <w:noWrap w:val="0"/>
                  <w:vAlign w:val="center"/>
                </w:tcPr>
                <w:p w14:paraId="773B210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5"/>
                      <w:sz w:val="18"/>
                    </w:rPr>
                    <w:t>≤50</w:t>
                  </w:r>
                </w:p>
              </w:tc>
            </w:tr>
            <w:tr w14:paraId="5ECB230E">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7A4E4119">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7107E79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2"/>
                      <w:sz w:val="18"/>
                    </w:rPr>
                    <w:t>腐植酸</w:t>
                  </w:r>
                </w:p>
              </w:tc>
              <w:tc>
                <w:tcPr>
                  <w:tcW w:w="1073" w:type="dxa"/>
                  <w:tcBorders>
                    <w:tl2br w:val="nil"/>
                    <w:tr2bl w:val="nil"/>
                  </w:tcBorders>
                  <w:noWrap w:val="0"/>
                  <w:vAlign w:val="center"/>
                </w:tcPr>
                <w:p w14:paraId="55DB786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3"/>
                      <w:sz w:val="18"/>
                    </w:rPr>
                    <w:t>g/L</w:t>
                  </w:r>
                </w:p>
              </w:tc>
              <w:tc>
                <w:tcPr>
                  <w:tcW w:w="1180" w:type="dxa"/>
                  <w:tcBorders>
                    <w:tl2br w:val="nil"/>
                    <w:tr2bl w:val="nil"/>
                  </w:tcBorders>
                  <w:noWrap w:val="0"/>
                  <w:vAlign w:val="center"/>
                </w:tcPr>
                <w:p w14:paraId="6FA9495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9"/>
                      <w:sz w:val="18"/>
                    </w:rPr>
                    <w:t>≥3</w:t>
                  </w:r>
                </w:p>
              </w:tc>
            </w:tr>
            <w:tr w14:paraId="13B715DD">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restart"/>
                  <w:tcBorders>
                    <w:tl2br w:val="nil"/>
                    <w:tr2bl w:val="nil"/>
                  </w:tcBorders>
                  <w:noWrap w:val="0"/>
                  <w:vAlign w:val="center"/>
                </w:tcPr>
                <w:p w14:paraId="7C7B291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1"/>
                      <w:sz w:val="18"/>
                    </w:rPr>
                    <w:t>限量指标</w:t>
                  </w:r>
                </w:p>
              </w:tc>
              <w:tc>
                <w:tcPr>
                  <w:tcW w:w="4894" w:type="dxa"/>
                  <w:tcBorders>
                    <w:tl2br w:val="nil"/>
                    <w:tr2bl w:val="nil"/>
                  </w:tcBorders>
                  <w:noWrap w:val="0"/>
                  <w:vAlign w:val="center"/>
                </w:tcPr>
                <w:p w14:paraId="3AE2F4D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2"/>
                      <w:sz w:val="18"/>
                    </w:rPr>
                    <w:t>粪大肠杆菌</w:t>
                  </w:r>
                </w:p>
              </w:tc>
              <w:tc>
                <w:tcPr>
                  <w:tcW w:w="1073" w:type="dxa"/>
                  <w:tcBorders>
                    <w:tl2br w:val="nil"/>
                    <w:tr2bl w:val="nil"/>
                  </w:tcBorders>
                  <w:noWrap w:val="0"/>
                  <w:vAlign w:val="center"/>
                </w:tcPr>
                <w:p w14:paraId="106EF98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z w:val="18"/>
                    </w:rPr>
                    <w:t>/</w:t>
                  </w:r>
                </w:p>
              </w:tc>
              <w:tc>
                <w:tcPr>
                  <w:tcW w:w="1180" w:type="dxa"/>
                  <w:tcBorders>
                    <w:tl2br w:val="nil"/>
                    <w:tr2bl w:val="nil"/>
                  </w:tcBorders>
                  <w:noWrap w:val="0"/>
                  <w:vAlign w:val="center"/>
                </w:tcPr>
                <w:p w14:paraId="51AD164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5"/>
                      <w:sz w:val="18"/>
                    </w:rPr>
                    <w:t>≥104</w:t>
                  </w:r>
                </w:p>
              </w:tc>
            </w:tr>
            <w:tr w14:paraId="1B384585">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5FC2D84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2225149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1"/>
                      <w:sz w:val="18"/>
                    </w:rPr>
                    <w:t>蛔虫卵死亡率</w:t>
                  </w:r>
                </w:p>
              </w:tc>
              <w:tc>
                <w:tcPr>
                  <w:tcW w:w="1073" w:type="dxa"/>
                  <w:tcBorders>
                    <w:tl2br w:val="nil"/>
                    <w:tr2bl w:val="nil"/>
                  </w:tcBorders>
                  <w:noWrap w:val="0"/>
                  <w:vAlign w:val="center"/>
                </w:tcPr>
                <w:p w14:paraId="115E7A5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z w:val="18"/>
                    </w:rPr>
                    <w:t>%</w:t>
                  </w:r>
                </w:p>
              </w:tc>
              <w:tc>
                <w:tcPr>
                  <w:tcW w:w="1180" w:type="dxa"/>
                  <w:tcBorders>
                    <w:tl2br w:val="nil"/>
                    <w:tr2bl w:val="nil"/>
                  </w:tcBorders>
                  <w:noWrap w:val="0"/>
                  <w:vAlign w:val="center"/>
                </w:tcPr>
                <w:p w14:paraId="14B1C8F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7"/>
                      <w:sz w:val="18"/>
                    </w:rPr>
                    <w:t>≥95</w:t>
                  </w:r>
                </w:p>
              </w:tc>
            </w:tr>
            <w:tr w14:paraId="6155D306">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2EC7497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6A6AD6E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6"/>
                      <w:sz w:val="18"/>
                    </w:rPr>
                    <w:t>总砷(以</w:t>
                  </w:r>
                  <w:r>
                    <w:rPr>
                      <w:rFonts w:hint="default" w:ascii="Times New Roman" w:hAnsi="Times New Roman" w:cs="Times New Roman"/>
                      <w:color w:val="auto"/>
                      <w:sz w:val="18"/>
                    </w:rPr>
                    <w:t>As</w:t>
                  </w:r>
                  <w:r>
                    <w:rPr>
                      <w:rFonts w:hint="default" w:ascii="Times New Roman" w:hAnsi="Times New Roman" w:cs="Times New Roman"/>
                      <w:color w:val="auto"/>
                      <w:spacing w:val="6"/>
                      <w:sz w:val="18"/>
                    </w:rPr>
                    <w:t>计)</w:t>
                  </w:r>
                </w:p>
              </w:tc>
              <w:tc>
                <w:tcPr>
                  <w:tcW w:w="1073" w:type="dxa"/>
                  <w:tcBorders>
                    <w:tl2br w:val="nil"/>
                    <w:tr2bl w:val="nil"/>
                  </w:tcBorders>
                  <w:noWrap w:val="0"/>
                  <w:vAlign w:val="center"/>
                </w:tcPr>
                <w:p w14:paraId="7044F60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1"/>
                      <w:sz w:val="18"/>
                    </w:rPr>
                    <w:t>mg/kg</w:t>
                  </w:r>
                </w:p>
              </w:tc>
              <w:tc>
                <w:tcPr>
                  <w:tcW w:w="1180" w:type="dxa"/>
                  <w:tcBorders>
                    <w:tl2br w:val="nil"/>
                    <w:tr2bl w:val="nil"/>
                  </w:tcBorders>
                  <w:noWrap w:val="0"/>
                  <w:vAlign w:val="center"/>
                </w:tcPr>
                <w:p w14:paraId="4B203CD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5"/>
                      <w:sz w:val="18"/>
                    </w:rPr>
                    <w:t>≤10</w:t>
                  </w:r>
                </w:p>
              </w:tc>
            </w:tr>
            <w:tr w14:paraId="5E3AFC03">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20361D2A">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67DD19B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6"/>
                      <w:sz w:val="18"/>
                    </w:rPr>
                    <w:t>总镉(以</w:t>
                  </w:r>
                  <w:r>
                    <w:rPr>
                      <w:rFonts w:hint="default" w:ascii="Times New Roman" w:hAnsi="Times New Roman" w:cs="Times New Roman"/>
                      <w:color w:val="auto"/>
                      <w:sz w:val="18"/>
                    </w:rPr>
                    <w:t>Cd</w:t>
                  </w:r>
                  <w:r>
                    <w:rPr>
                      <w:rFonts w:hint="default" w:ascii="Times New Roman" w:hAnsi="Times New Roman" w:cs="Times New Roman"/>
                      <w:color w:val="auto"/>
                      <w:spacing w:val="6"/>
                      <w:sz w:val="18"/>
                    </w:rPr>
                    <w:t>计)</w:t>
                  </w:r>
                </w:p>
              </w:tc>
              <w:tc>
                <w:tcPr>
                  <w:tcW w:w="1073" w:type="dxa"/>
                  <w:tcBorders>
                    <w:tl2br w:val="nil"/>
                    <w:tr2bl w:val="nil"/>
                  </w:tcBorders>
                  <w:noWrap w:val="0"/>
                  <w:vAlign w:val="center"/>
                </w:tcPr>
                <w:p w14:paraId="74DF2B0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1"/>
                      <w:sz w:val="18"/>
                    </w:rPr>
                    <w:t>mg/kg</w:t>
                  </w:r>
                </w:p>
              </w:tc>
              <w:tc>
                <w:tcPr>
                  <w:tcW w:w="1180" w:type="dxa"/>
                  <w:tcBorders>
                    <w:tl2br w:val="nil"/>
                    <w:tr2bl w:val="nil"/>
                  </w:tcBorders>
                  <w:noWrap w:val="0"/>
                  <w:vAlign w:val="center"/>
                </w:tcPr>
                <w:p w14:paraId="2F433CC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7"/>
                      <w:sz w:val="18"/>
                    </w:rPr>
                    <w:t>≤3</w:t>
                  </w:r>
                </w:p>
              </w:tc>
            </w:tr>
            <w:tr w14:paraId="4410BFD9">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6F9F9B4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73787AB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6"/>
                      <w:sz w:val="18"/>
                    </w:rPr>
                    <w:t>总铅(以</w:t>
                  </w:r>
                  <w:r>
                    <w:rPr>
                      <w:rFonts w:hint="default" w:ascii="Times New Roman" w:hAnsi="Times New Roman" w:cs="Times New Roman"/>
                      <w:color w:val="auto"/>
                      <w:sz w:val="18"/>
                    </w:rPr>
                    <w:t>Pb</w:t>
                  </w:r>
                  <w:r>
                    <w:rPr>
                      <w:rFonts w:hint="default" w:ascii="Times New Roman" w:hAnsi="Times New Roman" w:cs="Times New Roman"/>
                      <w:color w:val="auto"/>
                      <w:spacing w:val="6"/>
                      <w:sz w:val="18"/>
                    </w:rPr>
                    <w:t>计)</w:t>
                  </w:r>
                </w:p>
              </w:tc>
              <w:tc>
                <w:tcPr>
                  <w:tcW w:w="1073" w:type="dxa"/>
                  <w:tcBorders>
                    <w:tl2br w:val="nil"/>
                    <w:tr2bl w:val="nil"/>
                  </w:tcBorders>
                  <w:noWrap w:val="0"/>
                  <w:vAlign w:val="center"/>
                </w:tcPr>
                <w:p w14:paraId="0F0F5B6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1"/>
                      <w:sz w:val="18"/>
                    </w:rPr>
                    <w:t>mg/kg</w:t>
                  </w:r>
                </w:p>
              </w:tc>
              <w:tc>
                <w:tcPr>
                  <w:tcW w:w="1180" w:type="dxa"/>
                  <w:tcBorders>
                    <w:tl2br w:val="nil"/>
                    <w:tr2bl w:val="nil"/>
                  </w:tcBorders>
                  <w:noWrap w:val="0"/>
                  <w:vAlign w:val="center"/>
                </w:tcPr>
                <w:p w14:paraId="3857BEA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5"/>
                      <w:sz w:val="18"/>
                    </w:rPr>
                    <w:t>≤50</w:t>
                  </w:r>
                </w:p>
              </w:tc>
            </w:tr>
            <w:tr w14:paraId="3DC7C4D9">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7CE13F10">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6C530BD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6"/>
                      <w:sz w:val="18"/>
                    </w:rPr>
                    <w:t>总铬(以</w:t>
                  </w:r>
                  <w:r>
                    <w:rPr>
                      <w:rFonts w:hint="default" w:ascii="Times New Roman" w:hAnsi="Times New Roman" w:cs="Times New Roman"/>
                      <w:color w:val="auto"/>
                      <w:sz w:val="18"/>
                    </w:rPr>
                    <w:t>Cr</w:t>
                  </w:r>
                  <w:r>
                    <w:rPr>
                      <w:rFonts w:hint="default" w:ascii="Times New Roman" w:hAnsi="Times New Roman" w:cs="Times New Roman"/>
                      <w:color w:val="auto"/>
                      <w:spacing w:val="6"/>
                      <w:sz w:val="18"/>
                    </w:rPr>
                    <w:t>计)</w:t>
                  </w:r>
                </w:p>
              </w:tc>
              <w:tc>
                <w:tcPr>
                  <w:tcW w:w="1073" w:type="dxa"/>
                  <w:tcBorders>
                    <w:tl2br w:val="nil"/>
                    <w:tr2bl w:val="nil"/>
                  </w:tcBorders>
                  <w:noWrap w:val="0"/>
                  <w:vAlign w:val="center"/>
                </w:tcPr>
                <w:p w14:paraId="4FCF512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1"/>
                      <w:sz w:val="18"/>
                    </w:rPr>
                    <w:t>mg/kg</w:t>
                  </w:r>
                </w:p>
              </w:tc>
              <w:tc>
                <w:tcPr>
                  <w:tcW w:w="1180" w:type="dxa"/>
                  <w:tcBorders>
                    <w:tl2br w:val="nil"/>
                    <w:tr2bl w:val="nil"/>
                  </w:tcBorders>
                  <w:noWrap w:val="0"/>
                  <w:vAlign w:val="center"/>
                </w:tcPr>
                <w:p w14:paraId="2113D46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5"/>
                      <w:sz w:val="18"/>
                    </w:rPr>
                    <w:t>≤50</w:t>
                  </w:r>
                </w:p>
              </w:tc>
            </w:tr>
            <w:tr w14:paraId="4745386C">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108" w:type="dxa"/>
                  <w:bottom w:w="0" w:type="dxa"/>
                  <w:right w:w="108" w:type="dxa"/>
                </w:tblCellMar>
              </w:tblPrEx>
              <w:tc>
                <w:tcPr>
                  <w:tcW w:w="1243" w:type="dxa"/>
                  <w:vMerge w:val="continue"/>
                  <w:tcBorders>
                    <w:tl2br w:val="nil"/>
                    <w:tr2bl w:val="nil"/>
                  </w:tcBorders>
                  <w:noWrap w:val="0"/>
                  <w:vAlign w:val="center"/>
                </w:tcPr>
                <w:p w14:paraId="499E999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p>
              </w:tc>
              <w:tc>
                <w:tcPr>
                  <w:tcW w:w="4894" w:type="dxa"/>
                  <w:tcBorders>
                    <w:tl2br w:val="nil"/>
                    <w:tr2bl w:val="nil"/>
                  </w:tcBorders>
                  <w:noWrap w:val="0"/>
                  <w:vAlign w:val="center"/>
                </w:tcPr>
                <w:p w14:paraId="464CFC7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6"/>
                      <w:sz w:val="18"/>
                    </w:rPr>
                    <w:t>总汞(以</w:t>
                  </w:r>
                  <w:r>
                    <w:rPr>
                      <w:rFonts w:hint="default" w:ascii="Times New Roman" w:hAnsi="Times New Roman" w:cs="Times New Roman"/>
                      <w:color w:val="auto"/>
                      <w:sz w:val="18"/>
                    </w:rPr>
                    <w:t>Hg</w:t>
                  </w:r>
                  <w:r>
                    <w:rPr>
                      <w:rFonts w:hint="default" w:ascii="Times New Roman" w:hAnsi="Times New Roman" w:cs="Times New Roman"/>
                      <w:color w:val="auto"/>
                      <w:spacing w:val="6"/>
                      <w:sz w:val="18"/>
                    </w:rPr>
                    <w:t>计)</w:t>
                  </w:r>
                </w:p>
              </w:tc>
              <w:tc>
                <w:tcPr>
                  <w:tcW w:w="1073" w:type="dxa"/>
                  <w:tcBorders>
                    <w:tl2br w:val="nil"/>
                    <w:tr2bl w:val="nil"/>
                  </w:tcBorders>
                  <w:noWrap w:val="0"/>
                  <w:vAlign w:val="center"/>
                </w:tcPr>
                <w:p w14:paraId="25DDDA1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1"/>
                      <w:sz w:val="18"/>
                    </w:rPr>
                    <w:t>mg/kg</w:t>
                  </w:r>
                </w:p>
              </w:tc>
              <w:tc>
                <w:tcPr>
                  <w:tcW w:w="1180" w:type="dxa"/>
                  <w:tcBorders>
                    <w:tl2br w:val="nil"/>
                    <w:tr2bl w:val="nil"/>
                  </w:tcBorders>
                  <w:noWrap w:val="0"/>
                  <w:vAlign w:val="center"/>
                </w:tcPr>
                <w:p w14:paraId="1D6BBD4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7"/>
                      <w:position w:val="-2"/>
                      <w:sz w:val="18"/>
                    </w:rPr>
                    <w:t>≤5</w:t>
                  </w:r>
                </w:p>
              </w:tc>
            </w:tr>
          </w:tbl>
          <w:p w14:paraId="3C365888">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w:t>
            </w:r>
            <w:r>
              <w:rPr>
                <w:rFonts w:hint="default" w:ascii="Times New Roman" w:hAnsi="Times New Roman" w:cs="Times New Roman"/>
                <w:b/>
                <w:color w:val="auto"/>
                <w:sz w:val="24"/>
                <w:lang w:val="en-US" w:eastAsia="zh-CN"/>
              </w:rPr>
              <w:t>4</w:t>
            </w:r>
            <w:r>
              <w:rPr>
                <w:rFonts w:hint="default" w:ascii="Times New Roman" w:hAnsi="Times New Roman" w:eastAsia="宋体" w:cs="Times New Roman"/>
                <w:b/>
                <w:color w:val="auto"/>
                <w:sz w:val="24"/>
                <w:lang w:val="en-US" w:eastAsia="zh-CN"/>
              </w:rPr>
              <w:t>总平面布置</w:t>
            </w:r>
          </w:p>
          <w:p w14:paraId="18DD7F71">
            <w:pPr>
              <w:adjustRightInd w:val="0"/>
              <w:snapToGrid w:val="0"/>
              <w:spacing w:line="360" w:lineRule="auto"/>
              <w:ind w:firstLine="480" w:firstLineChars="2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eastAsiaTheme="minorEastAsia"/>
                <w:color w:val="auto"/>
                <w:sz w:val="24"/>
                <w:szCs w:val="32"/>
                <w:lang w:val="en-US" w:eastAsia="zh-CN"/>
              </w:rPr>
              <w:t>项目根据生产工艺流程及厂区用地情况进行总平面布置，厂区可划分为以下5个功能区，项目平面布置见附图1：</w:t>
            </w:r>
          </w:p>
          <w:p w14:paraId="49483AE5">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eastAsiaTheme="minorEastAsia"/>
                <w:color w:val="auto"/>
                <w:sz w:val="24"/>
                <w:szCs w:val="32"/>
                <w:lang w:val="en-US" w:eastAsia="zh-CN"/>
              </w:rPr>
              <w:t>本工程主要包括厌氧发酵区、进出料区、辅助生产区、有机肥生产区。建筑物布置依据生产工艺及地形特点：场区建筑物自北向南分别为肥料棚车间、发酵棚车间、原料棚车间，各车间均为东西向布置；沼气工程位于场区东北角，主要建设发酵罐区、预处理间、沼液池、辅助生产用房等；大门位于场区最南部</w:t>
            </w:r>
            <w:r>
              <w:rPr>
                <w:rFonts w:hint="default" w:ascii="Times New Roman" w:hAnsi="Times New Roman" w:cs="Times New Roman"/>
                <w:color w:val="auto"/>
              </w:rPr>
              <w:drawing>
                <wp:inline distT="0" distB="0" distL="114300" distR="114300">
                  <wp:extent cx="5382260" cy="4558665"/>
                  <wp:effectExtent l="0" t="0" r="8890" b="1333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7"/>
                          <a:stretch>
                            <a:fillRect/>
                          </a:stretch>
                        </pic:blipFill>
                        <pic:spPr>
                          <a:xfrm>
                            <a:off x="0" y="0"/>
                            <a:ext cx="5382260" cy="4558665"/>
                          </a:xfrm>
                          <a:prstGeom prst="rect">
                            <a:avLst/>
                          </a:prstGeom>
                          <a:noFill/>
                          <a:ln>
                            <a:noFill/>
                          </a:ln>
                        </pic:spPr>
                      </pic:pic>
                    </a:graphicData>
                  </a:graphic>
                </wp:inline>
              </w:drawing>
            </w:r>
          </w:p>
          <w:p w14:paraId="2EBBDFAC">
            <w:pPr>
              <w:adjustRightInd w:val="0"/>
              <w:snapToGrid w:val="0"/>
              <w:spacing w:line="360" w:lineRule="auto"/>
              <w:ind w:firstLine="420" w:firstLineChars="200"/>
              <w:jc w:val="center"/>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附图1  项目总平面布置图</w:t>
            </w:r>
          </w:p>
          <w:p w14:paraId="416F0C6E">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w:t>
            </w:r>
            <w:r>
              <w:rPr>
                <w:rFonts w:hint="default" w:ascii="Times New Roman" w:hAnsi="Times New Roman" w:cs="Times New Roman"/>
                <w:b/>
                <w:color w:val="auto"/>
                <w:sz w:val="24"/>
                <w:lang w:val="en-US" w:eastAsia="zh-CN"/>
              </w:rPr>
              <w:t>5</w:t>
            </w:r>
            <w:r>
              <w:rPr>
                <w:rFonts w:hint="default" w:ascii="Times New Roman" w:hAnsi="Times New Roman" w:eastAsia="宋体" w:cs="Times New Roman"/>
                <w:b/>
                <w:color w:val="auto"/>
                <w:sz w:val="24"/>
                <w:lang w:val="en-US" w:eastAsia="zh-CN"/>
              </w:rPr>
              <w:t>工程总投资</w:t>
            </w:r>
          </w:p>
          <w:p w14:paraId="18709886">
            <w:pPr>
              <w:adjustRightInd w:val="0"/>
              <w:snapToGrid w:val="0"/>
              <w:spacing w:line="360" w:lineRule="auto"/>
              <w:ind w:firstLine="480" w:firstLineChars="2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eastAsiaTheme="minorEastAsia"/>
                <w:color w:val="auto"/>
                <w:sz w:val="24"/>
                <w:szCs w:val="32"/>
                <w:lang w:val="en-US" w:eastAsia="zh-CN"/>
              </w:rPr>
              <w:t>本项目总投资2815万元，全部由企业自筹解决。</w:t>
            </w:r>
          </w:p>
          <w:p w14:paraId="47839D45">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w:t>
            </w:r>
            <w:r>
              <w:rPr>
                <w:rFonts w:hint="default" w:ascii="Times New Roman" w:hAnsi="Times New Roman" w:cs="Times New Roman"/>
                <w:b/>
                <w:color w:val="auto"/>
                <w:sz w:val="24"/>
                <w:lang w:val="en-US" w:eastAsia="zh-CN"/>
              </w:rPr>
              <w:t>6</w:t>
            </w:r>
            <w:r>
              <w:rPr>
                <w:rFonts w:hint="default" w:ascii="Times New Roman" w:hAnsi="Times New Roman" w:eastAsia="宋体" w:cs="Times New Roman"/>
                <w:b/>
                <w:color w:val="auto"/>
                <w:sz w:val="24"/>
                <w:lang w:val="en-US" w:eastAsia="zh-CN"/>
              </w:rPr>
              <w:t>劳动定员及工作制度</w:t>
            </w:r>
          </w:p>
          <w:p w14:paraId="7FD825B2">
            <w:pPr>
              <w:adjustRightInd w:val="0"/>
              <w:snapToGrid w:val="0"/>
              <w:spacing w:line="360" w:lineRule="auto"/>
              <w:ind w:firstLine="480" w:firstLineChars="2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eastAsiaTheme="minorEastAsia"/>
                <w:color w:val="auto"/>
                <w:sz w:val="24"/>
                <w:szCs w:val="32"/>
                <w:lang w:val="en-US" w:eastAsia="zh-CN"/>
              </w:rPr>
              <w:t>工作制度：项目年运行天数365d，每年采暖时间为150天，非采暖时间为215天；</w:t>
            </w:r>
          </w:p>
          <w:p w14:paraId="00C29471">
            <w:pPr>
              <w:adjustRightInd w:val="0"/>
              <w:snapToGrid w:val="0"/>
              <w:spacing w:line="360" w:lineRule="auto"/>
              <w:ind w:firstLine="480" w:firstLineChars="2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eastAsiaTheme="minorEastAsia"/>
                <w:color w:val="auto"/>
                <w:sz w:val="24"/>
                <w:szCs w:val="32"/>
                <w:lang w:val="en-US" w:eastAsia="zh-CN"/>
              </w:rPr>
              <w:t>劳动定员：项目劳动定员10人，其中运行管护1人，配备操作人员9人。实行3班轮换制，每班组3人，班组实行8小时工作制。</w:t>
            </w:r>
          </w:p>
          <w:p w14:paraId="69C8F1C3">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cs="Times New Roman"/>
                <w:b/>
                <w:color w:val="auto"/>
                <w:sz w:val="24"/>
                <w:lang w:val="en-US" w:eastAsia="zh-CN"/>
              </w:rPr>
              <w:t>3</w:t>
            </w:r>
            <w:r>
              <w:rPr>
                <w:rFonts w:hint="default" w:ascii="Times New Roman" w:hAnsi="Times New Roman" w:eastAsia="宋体" w:cs="Times New Roman"/>
                <w:b/>
                <w:color w:val="auto"/>
                <w:sz w:val="24"/>
              </w:rPr>
              <w:t>公用工程</w:t>
            </w:r>
          </w:p>
          <w:p w14:paraId="11BF2A80">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3.1</w:t>
            </w:r>
            <w:r>
              <w:rPr>
                <w:rFonts w:hint="default" w:ascii="Times New Roman" w:hAnsi="Times New Roman" w:eastAsia="宋体" w:cs="Times New Roman"/>
                <w:b/>
                <w:bCs/>
                <w:color w:val="auto"/>
                <w:sz w:val="24"/>
                <w:lang w:val="en-US" w:eastAsia="zh-CN"/>
              </w:rPr>
              <w:t>给水</w:t>
            </w:r>
          </w:p>
          <w:p w14:paraId="05822415">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项目用水取自村镇供水管网，位于南侧办公楼附近，水质可满足现行国家标准《生活饮用水卫生标 准》（GB5749-2006）中对生活饮用水水质的要求。市政水可供水量40m³/h,市政水出水管径为DN100，水压0.30MPa。</w:t>
            </w:r>
          </w:p>
          <w:p w14:paraId="5D3E5754">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（1）生活用水</w:t>
            </w:r>
          </w:p>
          <w:p w14:paraId="7EF04AC3">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本项目劳动定员10人，全年工作天数为365天，生活用水量结合当地实际情况按60L/人</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d计算，用水量为0.6t/d</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219t/a</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38160C3F">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（2）生产用水</w:t>
            </w:r>
          </w:p>
          <w:p w14:paraId="4A13FDA2">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①生物除臭用水</w:t>
            </w:r>
          </w:p>
          <w:p w14:paraId="05206548">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本项目生物除臭用量约为1.5m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/d，损耗量为10%，补充水量为0.15m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/d（54.75t/a）；</w:t>
            </w:r>
          </w:p>
          <w:p w14:paraId="09BD3136">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②软化水制备用水</w:t>
            </w:r>
          </w:p>
          <w:p w14:paraId="6160137A">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本项目沼气锅炉和发电机组补充水为软化水，每天补充软化水量为0.5m³/d，软化水产生量约为新鲜水的70%，则需新鲜水0.72m³/d（262.8m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/a），采用离子交换树脂作为锅炉软水主体设备，自来水进入阳离子交换树脂，去除钙、镁等离子，阳离子交换树脂定期采用饱和盐水再生。沼气锅炉为小型供暖设备，用水不外排。</w:t>
            </w:r>
          </w:p>
          <w:p w14:paraId="20F4C9B2">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③发电机内燃机冷却用水</w:t>
            </w:r>
          </w:p>
          <w:p w14:paraId="65C128E6">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本项目发电机组内燃机冷却用水量为45m³，循环使用，每天需补充水0.45m³/d（164.25m³/a）。</w:t>
            </w:r>
          </w:p>
          <w:p w14:paraId="25825F9E">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④绿化用水</w:t>
            </w:r>
          </w:p>
          <w:p w14:paraId="421B43C8">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厂区内绿化用水可按1L/m²·d计算，每天绿化次数为1次，厂区绿化面积约2500m²，水量为2.5m³。道路浇洒按2L/m²·d计算，每天浇洒次数为1次，厂区道路面积约3227m²，水量为6.4m³。</w:t>
            </w:r>
          </w:p>
          <w:p w14:paraId="7D725329">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⑤物料含水</w:t>
            </w:r>
          </w:p>
          <w:p w14:paraId="4C300DB9">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生物有机肥发酵过程因畜禽粪便原料含水率较高，故无需加入新鲜水。畜禽粪便原料含水率按55%计，则原料带入发酵工序的水量为44000m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/a，发酵终止时含水率宜小于30%，终止时含水率按30%计，发酵过程中蒸发损耗11000m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/a，其余13200m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/a由产品带走。</w:t>
            </w:r>
          </w:p>
          <w:p w14:paraId="61468B4A">
            <w:pPr>
              <w:adjustRightInd w:val="0"/>
              <w:snapToGrid w:val="0"/>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3.2排水</w:t>
            </w:r>
          </w:p>
          <w:p w14:paraId="6BB2BD46">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项目沼气发电机组冷却用水循环使用，定期补充，不外排；绿化用水由植物根系及土壤吸收，无废水产生。</w:t>
            </w:r>
          </w:p>
          <w:p w14:paraId="0F8FA5A2">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①生活污水</w:t>
            </w:r>
          </w:p>
          <w:p w14:paraId="008BADF3">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项目职工生活污水产污系数按0.8，则生活污水产生量为0.48t/d（175.2t/a），生活污水经一座3m³化粪池处理后排入项目厌氧发酵系统，无外排。</w:t>
            </w:r>
          </w:p>
          <w:p w14:paraId="68ABF119">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②生物除臭废水</w:t>
            </w:r>
          </w:p>
          <w:p w14:paraId="754383FC">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本项目生物除臭废水按照用水量的0.8计算，则排放量为1.2m³/d，损耗量为0.15m³/d。</w:t>
            </w:r>
          </w:p>
          <w:p w14:paraId="2BD521C0">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③软化水排水系统</w:t>
            </w:r>
          </w:p>
          <w:p w14:paraId="1125E5F1">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软水制备环节废水产生量按30%计算，排水量为0.216m³/d；</w:t>
            </w:r>
          </w:p>
          <w:p w14:paraId="5C42D1F2">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项目产生废水经收集后全部进入项目厌氧发酵系统，无外排。初期雨水经初期雨水收集池收集后，排入项目厌氧发酵系统，无外排。</w:t>
            </w:r>
          </w:p>
          <w:p w14:paraId="645C5AC3">
            <w:pPr>
              <w:adjustRightInd w:val="0"/>
              <w:snapToGrid w:val="0"/>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3.3水平衡分析</w:t>
            </w:r>
          </w:p>
          <w:p w14:paraId="7B9973CA">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项目厂区供排水平衡见表2-9和图2-1所示。</w:t>
            </w:r>
          </w:p>
          <w:p w14:paraId="21C9394B">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color w:val="auto"/>
                <w:sz w:val="24"/>
                <w:lang w:val="en-US" w:eastAsia="zh-CN"/>
              </w:rPr>
            </w:pPr>
            <w:r>
              <w:rPr>
                <w:rFonts w:hint="default" w:ascii="Times New Roman" w:hAnsi="Times New Roman" w:eastAsia="黑体" w:cs="Times New Roman"/>
                <w:b w:val="0"/>
                <w:bCs w:val="0"/>
                <w:color w:val="auto"/>
                <w:sz w:val="21"/>
                <w:szCs w:val="21"/>
                <w:lang w:val="en-US" w:eastAsia="zh-CN"/>
              </w:rPr>
              <w:t>表2-9  项目用排水平衡一览表    m³/d</w:t>
            </w:r>
          </w:p>
          <w:tbl>
            <w:tblPr>
              <w:tblStyle w:val="3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918"/>
              <w:gridCol w:w="910"/>
              <w:gridCol w:w="1138"/>
              <w:gridCol w:w="987"/>
              <w:gridCol w:w="958"/>
              <w:gridCol w:w="958"/>
              <w:gridCol w:w="913"/>
            </w:tblGrid>
            <w:tr w14:paraId="78AB1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tcBorders>
                    <w:tl2br w:val="nil"/>
                    <w:tr2bl w:val="nil"/>
                  </w:tcBorders>
                  <w:vAlign w:val="center"/>
                </w:tcPr>
                <w:p w14:paraId="2CA24A7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rPr>
                    <w:t>用水项目</w:t>
                  </w:r>
                </w:p>
              </w:tc>
              <w:tc>
                <w:tcPr>
                  <w:tcW w:w="547" w:type="pct"/>
                  <w:tcBorders>
                    <w:tl2br w:val="nil"/>
                    <w:tr2bl w:val="nil"/>
                  </w:tcBorders>
                  <w:vAlign w:val="center"/>
                </w:tcPr>
                <w:p w14:paraId="62761A2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rPr>
                    <w:t>新鲜水量</w:t>
                  </w:r>
                </w:p>
              </w:tc>
              <w:tc>
                <w:tcPr>
                  <w:tcW w:w="542" w:type="pct"/>
                  <w:tcBorders>
                    <w:tl2br w:val="nil"/>
                    <w:tr2bl w:val="nil"/>
                  </w:tcBorders>
                  <w:vAlign w:val="center"/>
                </w:tcPr>
                <w:p w14:paraId="1056754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原料带入</w:t>
                  </w:r>
                </w:p>
              </w:tc>
              <w:tc>
                <w:tcPr>
                  <w:tcW w:w="678" w:type="pct"/>
                  <w:tcBorders>
                    <w:tl2br w:val="nil"/>
                    <w:tr2bl w:val="nil"/>
                  </w:tcBorders>
                  <w:vAlign w:val="center"/>
                </w:tcPr>
                <w:p w14:paraId="48221FE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rPr>
                    <w:t>损耗量</w:t>
                  </w:r>
                </w:p>
              </w:tc>
              <w:tc>
                <w:tcPr>
                  <w:tcW w:w="588" w:type="pct"/>
                  <w:tcBorders>
                    <w:tl2br w:val="nil"/>
                    <w:tr2bl w:val="nil"/>
                  </w:tcBorders>
                  <w:vAlign w:val="center"/>
                </w:tcPr>
                <w:p w14:paraId="323CD75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rPr>
                    <w:t>循环水量</w:t>
                  </w:r>
                </w:p>
              </w:tc>
              <w:tc>
                <w:tcPr>
                  <w:tcW w:w="571" w:type="pct"/>
                  <w:tcBorders>
                    <w:tl2br w:val="nil"/>
                    <w:tr2bl w:val="nil"/>
                  </w:tcBorders>
                  <w:vAlign w:val="center"/>
                </w:tcPr>
                <w:p w14:paraId="1449CED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产品带走</w:t>
                  </w:r>
                </w:p>
              </w:tc>
              <w:tc>
                <w:tcPr>
                  <w:tcW w:w="571" w:type="pct"/>
                  <w:tcBorders>
                    <w:tl2br w:val="nil"/>
                    <w:tr2bl w:val="nil"/>
                  </w:tcBorders>
                  <w:vAlign w:val="center"/>
                </w:tcPr>
                <w:p w14:paraId="6B6239F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rPr>
                    <w:t>废水排放</w:t>
                  </w:r>
                </w:p>
              </w:tc>
              <w:tc>
                <w:tcPr>
                  <w:tcW w:w="544" w:type="pct"/>
                  <w:tcBorders>
                    <w:tl2br w:val="nil"/>
                    <w:tr2bl w:val="nil"/>
                  </w:tcBorders>
                  <w:vAlign w:val="center"/>
                </w:tcPr>
                <w:p w14:paraId="6339F7A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rPr>
                    <w:t>废水去向</w:t>
                  </w:r>
                </w:p>
              </w:tc>
            </w:tr>
            <w:tr w14:paraId="5DF4B4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tcBorders>
                    <w:tl2br w:val="nil"/>
                    <w:tr2bl w:val="nil"/>
                  </w:tcBorders>
                  <w:vAlign w:val="center"/>
                </w:tcPr>
                <w:p w14:paraId="3CCE63C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有机肥发酵</w:t>
                  </w:r>
                </w:p>
              </w:tc>
              <w:tc>
                <w:tcPr>
                  <w:tcW w:w="547" w:type="pct"/>
                  <w:tcBorders>
                    <w:tl2br w:val="nil"/>
                    <w:tr2bl w:val="nil"/>
                  </w:tcBorders>
                  <w:vAlign w:val="center"/>
                </w:tcPr>
                <w:p w14:paraId="02869D3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w:t>
                  </w:r>
                </w:p>
              </w:tc>
              <w:tc>
                <w:tcPr>
                  <w:tcW w:w="542" w:type="pct"/>
                  <w:tcBorders>
                    <w:tl2br w:val="nil"/>
                    <w:tr2bl w:val="nil"/>
                  </w:tcBorders>
                  <w:vAlign w:val="center"/>
                </w:tcPr>
                <w:p w14:paraId="3CFEE17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120.55</w:t>
                  </w:r>
                </w:p>
              </w:tc>
              <w:tc>
                <w:tcPr>
                  <w:tcW w:w="678" w:type="pct"/>
                  <w:tcBorders>
                    <w:tl2br w:val="nil"/>
                    <w:tr2bl w:val="nil"/>
                  </w:tcBorders>
                  <w:vAlign w:val="center"/>
                </w:tcPr>
                <w:p w14:paraId="1E42D7C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30.14</w:t>
                  </w:r>
                </w:p>
              </w:tc>
              <w:tc>
                <w:tcPr>
                  <w:tcW w:w="588" w:type="pct"/>
                  <w:tcBorders>
                    <w:tl2br w:val="nil"/>
                    <w:tr2bl w:val="nil"/>
                  </w:tcBorders>
                  <w:vAlign w:val="center"/>
                </w:tcPr>
                <w:p w14:paraId="1F6A203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w:t>
                  </w:r>
                </w:p>
              </w:tc>
              <w:tc>
                <w:tcPr>
                  <w:tcW w:w="571" w:type="pct"/>
                  <w:tcBorders>
                    <w:tl2br w:val="nil"/>
                    <w:tr2bl w:val="nil"/>
                  </w:tcBorders>
                  <w:vAlign w:val="center"/>
                </w:tcPr>
                <w:p w14:paraId="55BFFEF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36.16</w:t>
                  </w:r>
                </w:p>
              </w:tc>
              <w:tc>
                <w:tcPr>
                  <w:tcW w:w="571" w:type="pct"/>
                  <w:tcBorders>
                    <w:tl2br w:val="nil"/>
                    <w:tr2bl w:val="nil"/>
                  </w:tcBorders>
                  <w:vAlign w:val="center"/>
                </w:tcPr>
                <w:p w14:paraId="4BE5951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w:t>
                  </w:r>
                </w:p>
              </w:tc>
              <w:tc>
                <w:tcPr>
                  <w:tcW w:w="544" w:type="pct"/>
                  <w:tcBorders>
                    <w:tl2br w:val="nil"/>
                    <w:tr2bl w:val="nil"/>
                  </w:tcBorders>
                  <w:vAlign w:val="center"/>
                </w:tcPr>
                <w:p w14:paraId="456FA78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w:t>
                  </w:r>
                </w:p>
              </w:tc>
            </w:tr>
            <w:tr w14:paraId="43EE56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tcBorders>
                    <w:tl2br w:val="nil"/>
                    <w:tr2bl w:val="nil"/>
                  </w:tcBorders>
                  <w:vAlign w:val="center"/>
                </w:tcPr>
                <w:p w14:paraId="3AF5D25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生活用水</w:t>
                  </w:r>
                </w:p>
              </w:tc>
              <w:tc>
                <w:tcPr>
                  <w:tcW w:w="547" w:type="pct"/>
                  <w:tcBorders>
                    <w:tl2br w:val="nil"/>
                    <w:tr2bl w:val="nil"/>
                  </w:tcBorders>
                  <w:vAlign w:val="center"/>
                </w:tcPr>
                <w:p w14:paraId="26DBF90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0.6</w:t>
                  </w:r>
                </w:p>
              </w:tc>
              <w:tc>
                <w:tcPr>
                  <w:tcW w:w="542" w:type="pct"/>
                  <w:tcBorders>
                    <w:tl2br w:val="nil"/>
                    <w:tr2bl w:val="nil"/>
                  </w:tcBorders>
                  <w:vAlign w:val="center"/>
                </w:tcPr>
                <w:p w14:paraId="1514F5E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w:t>
                  </w:r>
                </w:p>
              </w:tc>
              <w:tc>
                <w:tcPr>
                  <w:tcW w:w="678" w:type="pct"/>
                  <w:tcBorders>
                    <w:tl2br w:val="nil"/>
                    <w:tr2bl w:val="nil"/>
                  </w:tcBorders>
                  <w:vAlign w:val="center"/>
                </w:tcPr>
                <w:p w14:paraId="1B6237A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0.12</w:t>
                  </w:r>
                </w:p>
              </w:tc>
              <w:tc>
                <w:tcPr>
                  <w:tcW w:w="588" w:type="pct"/>
                  <w:tcBorders>
                    <w:tl2br w:val="nil"/>
                    <w:tr2bl w:val="nil"/>
                  </w:tcBorders>
                  <w:vAlign w:val="center"/>
                </w:tcPr>
                <w:p w14:paraId="5422498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0</w:t>
                  </w:r>
                </w:p>
              </w:tc>
              <w:tc>
                <w:tcPr>
                  <w:tcW w:w="571" w:type="pct"/>
                  <w:tcBorders>
                    <w:tl2br w:val="nil"/>
                    <w:tr2bl w:val="nil"/>
                  </w:tcBorders>
                  <w:vAlign w:val="center"/>
                </w:tcPr>
                <w:p w14:paraId="6511170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rPr>
                  </w:pPr>
                </w:p>
              </w:tc>
              <w:tc>
                <w:tcPr>
                  <w:tcW w:w="571" w:type="pct"/>
                  <w:tcBorders>
                    <w:tl2br w:val="nil"/>
                    <w:tr2bl w:val="nil"/>
                  </w:tcBorders>
                  <w:vAlign w:val="center"/>
                </w:tcPr>
                <w:p w14:paraId="0D1EF4B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0.48</w:t>
                  </w:r>
                </w:p>
              </w:tc>
              <w:tc>
                <w:tcPr>
                  <w:tcW w:w="544" w:type="pct"/>
                  <w:vMerge w:val="restart"/>
                  <w:tcBorders>
                    <w:tl2br w:val="nil"/>
                    <w:tr2bl w:val="nil"/>
                  </w:tcBorders>
                  <w:vAlign w:val="center"/>
                </w:tcPr>
                <w:p w14:paraId="1E9268D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排入项目厌氧发酵系统处，</w:t>
                  </w:r>
                  <w:r>
                    <w:rPr>
                      <w:rFonts w:hint="default" w:ascii="Times New Roman" w:hAnsi="Times New Roman" w:cs="Times New Roman"/>
                      <w:color w:val="auto"/>
                      <w:spacing w:val="6"/>
                      <w:sz w:val="18"/>
                      <w:lang w:val="en-US" w:eastAsia="zh-CN"/>
                    </w:rPr>
                    <w:t>软化水制备废水进入除尘</w:t>
                  </w:r>
                  <w:r>
                    <w:rPr>
                      <w:rFonts w:hint="default" w:ascii="Times New Roman" w:hAnsi="Times New Roman" w:cs="Times New Roman"/>
                      <w:color w:val="auto"/>
                      <w:spacing w:val="6"/>
                      <w:sz w:val="18"/>
                    </w:rPr>
                    <w:t>无外排</w:t>
                  </w:r>
                </w:p>
              </w:tc>
            </w:tr>
            <w:tr w14:paraId="56A880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pct"/>
                  <w:tcBorders>
                    <w:tl2br w:val="nil"/>
                    <w:tr2bl w:val="nil"/>
                  </w:tcBorders>
                  <w:vAlign w:val="center"/>
                </w:tcPr>
                <w:p w14:paraId="63814AE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生物除臭</w:t>
                  </w:r>
                </w:p>
              </w:tc>
              <w:tc>
                <w:tcPr>
                  <w:tcW w:w="547" w:type="pct"/>
                  <w:tcBorders>
                    <w:tl2br w:val="nil"/>
                    <w:tr2bl w:val="nil"/>
                  </w:tcBorders>
                  <w:vAlign w:val="center"/>
                </w:tcPr>
                <w:p w14:paraId="0703711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0.15</w:t>
                  </w:r>
                </w:p>
              </w:tc>
              <w:tc>
                <w:tcPr>
                  <w:tcW w:w="542" w:type="pct"/>
                  <w:tcBorders>
                    <w:tl2br w:val="nil"/>
                    <w:tr2bl w:val="nil"/>
                  </w:tcBorders>
                  <w:vAlign w:val="center"/>
                </w:tcPr>
                <w:p w14:paraId="7C2A072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w:t>
                  </w:r>
                </w:p>
              </w:tc>
              <w:tc>
                <w:tcPr>
                  <w:tcW w:w="678" w:type="pct"/>
                  <w:tcBorders>
                    <w:tl2br w:val="nil"/>
                    <w:tr2bl w:val="nil"/>
                  </w:tcBorders>
                  <w:vAlign w:val="center"/>
                </w:tcPr>
                <w:p w14:paraId="502A71C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0.15</w:t>
                  </w:r>
                </w:p>
              </w:tc>
              <w:tc>
                <w:tcPr>
                  <w:tcW w:w="588" w:type="pct"/>
                  <w:tcBorders>
                    <w:tl2br w:val="nil"/>
                    <w:tr2bl w:val="nil"/>
                  </w:tcBorders>
                  <w:vAlign w:val="center"/>
                </w:tcPr>
                <w:p w14:paraId="713A8EB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1.5</w:t>
                  </w:r>
                </w:p>
              </w:tc>
              <w:tc>
                <w:tcPr>
                  <w:tcW w:w="571" w:type="pct"/>
                  <w:tcBorders>
                    <w:tl2br w:val="nil"/>
                    <w:tr2bl w:val="nil"/>
                  </w:tcBorders>
                  <w:vAlign w:val="center"/>
                </w:tcPr>
                <w:p w14:paraId="401FA83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w:t>
                  </w:r>
                </w:p>
              </w:tc>
              <w:tc>
                <w:tcPr>
                  <w:tcW w:w="571" w:type="pct"/>
                  <w:tcBorders>
                    <w:tl2br w:val="nil"/>
                    <w:tr2bl w:val="nil"/>
                  </w:tcBorders>
                  <w:vAlign w:val="center"/>
                </w:tcPr>
                <w:p w14:paraId="43A47CE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1.2</w:t>
                  </w:r>
                </w:p>
              </w:tc>
              <w:tc>
                <w:tcPr>
                  <w:tcW w:w="544" w:type="pct"/>
                  <w:vMerge w:val="continue"/>
                  <w:tcBorders>
                    <w:tl2br w:val="nil"/>
                    <w:tr2bl w:val="nil"/>
                  </w:tcBorders>
                  <w:vAlign w:val="center"/>
                </w:tcPr>
                <w:p w14:paraId="6A72EA3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r>
            <w:tr w14:paraId="3C447D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tcBorders>
                    <w:tl2br w:val="nil"/>
                    <w:tr2bl w:val="nil"/>
                  </w:tcBorders>
                  <w:vAlign w:val="center"/>
                </w:tcPr>
                <w:p w14:paraId="5BB6529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软化水制备用水</w:t>
                  </w:r>
                </w:p>
              </w:tc>
              <w:tc>
                <w:tcPr>
                  <w:tcW w:w="547" w:type="pct"/>
                  <w:tcBorders>
                    <w:tl2br w:val="nil"/>
                    <w:tr2bl w:val="nil"/>
                  </w:tcBorders>
                  <w:vAlign w:val="center"/>
                </w:tcPr>
                <w:p w14:paraId="4493CDE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0.72</w:t>
                  </w:r>
                </w:p>
              </w:tc>
              <w:tc>
                <w:tcPr>
                  <w:tcW w:w="542" w:type="pct"/>
                  <w:tcBorders>
                    <w:tl2br w:val="nil"/>
                    <w:tr2bl w:val="nil"/>
                  </w:tcBorders>
                  <w:vAlign w:val="center"/>
                </w:tcPr>
                <w:p w14:paraId="5F45C37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w:t>
                  </w:r>
                </w:p>
              </w:tc>
              <w:tc>
                <w:tcPr>
                  <w:tcW w:w="678" w:type="pct"/>
                  <w:tcBorders>
                    <w:tl2br w:val="nil"/>
                    <w:tr2bl w:val="nil"/>
                  </w:tcBorders>
                  <w:vAlign w:val="center"/>
                </w:tcPr>
                <w:p w14:paraId="398CFCB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0.5</w:t>
                  </w:r>
                  <w:r>
                    <w:rPr>
                      <w:rFonts w:hint="default" w:ascii="Times New Roman" w:hAnsi="Times New Roman" w:cs="Times New Roman"/>
                      <w:color w:val="auto"/>
                      <w:spacing w:val="6"/>
                      <w:sz w:val="18"/>
                    </w:rPr>
                    <w:t>(软水)</w:t>
                  </w:r>
                </w:p>
              </w:tc>
              <w:tc>
                <w:tcPr>
                  <w:tcW w:w="588" w:type="pct"/>
                  <w:tcBorders>
                    <w:tl2br w:val="nil"/>
                    <w:tr2bl w:val="nil"/>
                  </w:tcBorders>
                  <w:vAlign w:val="center"/>
                </w:tcPr>
                <w:p w14:paraId="4426BD4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0</w:t>
                  </w:r>
                </w:p>
              </w:tc>
              <w:tc>
                <w:tcPr>
                  <w:tcW w:w="571" w:type="pct"/>
                  <w:tcBorders>
                    <w:tl2br w:val="nil"/>
                    <w:tr2bl w:val="nil"/>
                  </w:tcBorders>
                  <w:vAlign w:val="center"/>
                </w:tcPr>
                <w:p w14:paraId="3A7F784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w:t>
                  </w:r>
                </w:p>
              </w:tc>
              <w:tc>
                <w:tcPr>
                  <w:tcW w:w="571" w:type="pct"/>
                  <w:tcBorders>
                    <w:tl2br w:val="nil"/>
                    <w:tr2bl w:val="nil"/>
                  </w:tcBorders>
                  <w:vAlign w:val="center"/>
                </w:tcPr>
                <w:p w14:paraId="4243A02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0.22</w:t>
                  </w:r>
                </w:p>
              </w:tc>
              <w:tc>
                <w:tcPr>
                  <w:tcW w:w="544" w:type="pct"/>
                  <w:vMerge w:val="continue"/>
                  <w:tcBorders>
                    <w:tl2br w:val="nil"/>
                    <w:tr2bl w:val="nil"/>
                  </w:tcBorders>
                  <w:vAlign w:val="center"/>
                </w:tcPr>
                <w:p w14:paraId="526176B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r>
            <w:tr w14:paraId="46F289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tcBorders>
                    <w:tl2br w:val="nil"/>
                    <w:tr2bl w:val="nil"/>
                  </w:tcBorders>
                  <w:vAlign w:val="center"/>
                </w:tcPr>
                <w:p w14:paraId="50FA193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发电机组冷却用水</w:t>
                  </w:r>
                </w:p>
              </w:tc>
              <w:tc>
                <w:tcPr>
                  <w:tcW w:w="547" w:type="pct"/>
                  <w:tcBorders>
                    <w:tl2br w:val="nil"/>
                    <w:tr2bl w:val="nil"/>
                  </w:tcBorders>
                  <w:vAlign w:val="center"/>
                </w:tcPr>
                <w:p w14:paraId="2178132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0.45</w:t>
                  </w:r>
                </w:p>
              </w:tc>
              <w:tc>
                <w:tcPr>
                  <w:tcW w:w="542" w:type="pct"/>
                  <w:tcBorders>
                    <w:tl2br w:val="nil"/>
                    <w:tr2bl w:val="nil"/>
                  </w:tcBorders>
                  <w:vAlign w:val="center"/>
                </w:tcPr>
                <w:p w14:paraId="4656C53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w:t>
                  </w:r>
                </w:p>
              </w:tc>
              <w:tc>
                <w:tcPr>
                  <w:tcW w:w="678" w:type="pct"/>
                  <w:tcBorders>
                    <w:tl2br w:val="nil"/>
                    <w:tr2bl w:val="nil"/>
                  </w:tcBorders>
                  <w:vAlign w:val="center"/>
                </w:tcPr>
                <w:p w14:paraId="0C31F98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0.45</w:t>
                  </w:r>
                </w:p>
              </w:tc>
              <w:tc>
                <w:tcPr>
                  <w:tcW w:w="588" w:type="pct"/>
                  <w:tcBorders>
                    <w:tl2br w:val="nil"/>
                    <w:tr2bl w:val="nil"/>
                  </w:tcBorders>
                  <w:vAlign w:val="center"/>
                </w:tcPr>
                <w:p w14:paraId="17D9C24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44.55</w:t>
                  </w:r>
                </w:p>
              </w:tc>
              <w:tc>
                <w:tcPr>
                  <w:tcW w:w="571" w:type="pct"/>
                  <w:tcBorders>
                    <w:tl2br w:val="nil"/>
                    <w:tr2bl w:val="nil"/>
                  </w:tcBorders>
                  <w:vAlign w:val="center"/>
                </w:tcPr>
                <w:p w14:paraId="7D77E10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w:t>
                  </w:r>
                </w:p>
              </w:tc>
              <w:tc>
                <w:tcPr>
                  <w:tcW w:w="571" w:type="pct"/>
                  <w:tcBorders>
                    <w:tl2br w:val="nil"/>
                    <w:tr2bl w:val="nil"/>
                  </w:tcBorders>
                  <w:vAlign w:val="center"/>
                </w:tcPr>
                <w:p w14:paraId="0D2ED29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0</w:t>
                  </w:r>
                </w:p>
              </w:tc>
              <w:tc>
                <w:tcPr>
                  <w:tcW w:w="544" w:type="pct"/>
                  <w:vMerge w:val="continue"/>
                  <w:tcBorders>
                    <w:tl2br w:val="nil"/>
                    <w:tr2bl w:val="nil"/>
                  </w:tcBorders>
                  <w:vAlign w:val="center"/>
                </w:tcPr>
                <w:p w14:paraId="04F7623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r>
            <w:tr w14:paraId="4E3BBA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tcBorders>
                    <w:tl2br w:val="nil"/>
                    <w:tr2bl w:val="nil"/>
                  </w:tcBorders>
                  <w:vAlign w:val="center"/>
                </w:tcPr>
                <w:p w14:paraId="2195702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绿化用水</w:t>
                  </w:r>
                </w:p>
              </w:tc>
              <w:tc>
                <w:tcPr>
                  <w:tcW w:w="547" w:type="pct"/>
                  <w:tcBorders>
                    <w:tl2br w:val="nil"/>
                    <w:tr2bl w:val="nil"/>
                  </w:tcBorders>
                  <w:vAlign w:val="center"/>
                </w:tcPr>
                <w:p w14:paraId="0E9F461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8.9</w:t>
                  </w:r>
                </w:p>
              </w:tc>
              <w:tc>
                <w:tcPr>
                  <w:tcW w:w="542" w:type="pct"/>
                  <w:tcBorders>
                    <w:tl2br w:val="nil"/>
                    <w:tr2bl w:val="nil"/>
                  </w:tcBorders>
                  <w:vAlign w:val="center"/>
                </w:tcPr>
                <w:p w14:paraId="6B47B69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p>
              </w:tc>
              <w:tc>
                <w:tcPr>
                  <w:tcW w:w="678" w:type="pct"/>
                  <w:tcBorders>
                    <w:tl2br w:val="nil"/>
                    <w:tr2bl w:val="nil"/>
                  </w:tcBorders>
                  <w:vAlign w:val="center"/>
                </w:tcPr>
                <w:p w14:paraId="237FB93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cs="Times New Roman"/>
                      <w:color w:val="auto"/>
                      <w:spacing w:val="6"/>
                      <w:sz w:val="18"/>
                      <w:lang w:val="en-US" w:eastAsia="zh-CN"/>
                    </w:rPr>
                    <w:t>8.9</w:t>
                  </w:r>
                </w:p>
              </w:tc>
              <w:tc>
                <w:tcPr>
                  <w:tcW w:w="588" w:type="pct"/>
                  <w:tcBorders>
                    <w:tl2br w:val="nil"/>
                    <w:tr2bl w:val="nil"/>
                  </w:tcBorders>
                  <w:vAlign w:val="center"/>
                </w:tcPr>
                <w:p w14:paraId="7E2025C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0</w:t>
                  </w:r>
                </w:p>
              </w:tc>
              <w:tc>
                <w:tcPr>
                  <w:tcW w:w="571" w:type="pct"/>
                  <w:tcBorders>
                    <w:tl2br w:val="nil"/>
                    <w:tr2bl w:val="nil"/>
                  </w:tcBorders>
                  <w:vAlign w:val="center"/>
                </w:tcPr>
                <w:p w14:paraId="7414781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rPr>
                  </w:pPr>
                </w:p>
              </w:tc>
              <w:tc>
                <w:tcPr>
                  <w:tcW w:w="571" w:type="pct"/>
                  <w:tcBorders>
                    <w:tl2br w:val="nil"/>
                    <w:tr2bl w:val="nil"/>
                  </w:tcBorders>
                  <w:vAlign w:val="center"/>
                </w:tcPr>
                <w:p w14:paraId="6C65B0A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0</w:t>
                  </w:r>
                </w:p>
              </w:tc>
              <w:tc>
                <w:tcPr>
                  <w:tcW w:w="544" w:type="pct"/>
                  <w:vMerge w:val="continue"/>
                  <w:tcBorders>
                    <w:tl2br w:val="nil"/>
                    <w:tr2bl w:val="nil"/>
                  </w:tcBorders>
                  <w:vAlign w:val="center"/>
                </w:tcPr>
                <w:p w14:paraId="016DAD4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r>
            <w:tr w14:paraId="6DCF6A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6" w:type="pct"/>
                  <w:tcBorders>
                    <w:tl2br w:val="nil"/>
                    <w:tr2bl w:val="nil"/>
                  </w:tcBorders>
                  <w:vAlign w:val="center"/>
                </w:tcPr>
                <w:p w14:paraId="04E526D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rPr>
                    <w:t>合计</w:t>
                  </w:r>
                </w:p>
              </w:tc>
              <w:tc>
                <w:tcPr>
                  <w:tcW w:w="918" w:type="dxa"/>
                  <w:tcBorders>
                    <w:tl2br w:val="nil"/>
                    <w:tr2bl w:val="nil"/>
                  </w:tcBorders>
                  <w:vAlign w:val="top"/>
                </w:tcPr>
                <w:p w14:paraId="7D4A20B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10.82</w:t>
                  </w:r>
                </w:p>
              </w:tc>
              <w:tc>
                <w:tcPr>
                  <w:tcW w:w="909" w:type="dxa"/>
                  <w:tcBorders>
                    <w:tl2br w:val="nil"/>
                    <w:tr2bl w:val="nil"/>
                  </w:tcBorders>
                  <w:vAlign w:val="top"/>
                </w:tcPr>
                <w:p w14:paraId="230EAD6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120.55</w:t>
                  </w:r>
                </w:p>
              </w:tc>
              <w:tc>
                <w:tcPr>
                  <w:tcW w:w="1138" w:type="dxa"/>
                  <w:tcBorders>
                    <w:tl2br w:val="nil"/>
                    <w:tr2bl w:val="nil"/>
                  </w:tcBorders>
                  <w:vAlign w:val="top"/>
                </w:tcPr>
                <w:p w14:paraId="52C759A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39.76</w:t>
                  </w:r>
                </w:p>
              </w:tc>
              <w:tc>
                <w:tcPr>
                  <w:tcW w:w="987" w:type="dxa"/>
                  <w:tcBorders>
                    <w:tl2br w:val="nil"/>
                    <w:tr2bl w:val="nil"/>
                  </w:tcBorders>
                  <w:vAlign w:val="top"/>
                </w:tcPr>
                <w:p w14:paraId="56C1DBF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46.05</w:t>
                  </w:r>
                </w:p>
              </w:tc>
              <w:tc>
                <w:tcPr>
                  <w:tcW w:w="958" w:type="dxa"/>
                  <w:tcBorders>
                    <w:tl2br w:val="nil"/>
                    <w:tr2bl w:val="nil"/>
                  </w:tcBorders>
                  <w:vAlign w:val="top"/>
                </w:tcPr>
                <w:p w14:paraId="69CDEDC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36.16</w:t>
                  </w:r>
                </w:p>
              </w:tc>
              <w:tc>
                <w:tcPr>
                  <w:tcW w:w="958" w:type="dxa"/>
                  <w:tcBorders>
                    <w:tl2br w:val="nil"/>
                    <w:tr2bl w:val="nil"/>
                  </w:tcBorders>
                  <w:vAlign w:val="top"/>
                </w:tcPr>
                <w:p w14:paraId="7A3E981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eastAsia="宋体" w:cs="Times New Roman"/>
                      <w:color w:val="auto"/>
                      <w:spacing w:val="6"/>
                      <w:sz w:val="18"/>
                      <w:lang w:val="en-US" w:eastAsia="zh-CN"/>
                    </w:rPr>
                  </w:pPr>
                  <w:r>
                    <w:rPr>
                      <w:rFonts w:hint="default" w:ascii="Times New Roman" w:hAnsi="Times New Roman" w:eastAsia="宋体" w:cs="Times New Roman"/>
                      <w:color w:val="auto"/>
                      <w:spacing w:val="6"/>
                      <w:sz w:val="18"/>
                      <w:lang w:val="en-US" w:eastAsia="zh-CN"/>
                    </w:rPr>
                    <w:t>1.9</w:t>
                  </w:r>
                </w:p>
              </w:tc>
              <w:tc>
                <w:tcPr>
                  <w:tcW w:w="544" w:type="pct"/>
                  <w:vMerge w:val="continue"/>
                  <w:tcBorders>
                    <w:tl2br w:val="nil"/>
                    <w:tr2bl w:val="nil"/>
                  </w:tcBorders>
                  <w:vAlign w:val="center"/>
                </w:tcPr>
                <w:p w14:paraId="58BDCA2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r>
          </w:tbl>
          <w:p w14:paraId="102BBCC2">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3.4</w:t>
            </w:r>
            <w:r>
              <w:rPr>
                <w:rFonts w:hint="default" w:ascii="Times New Roman" w:hAnsi="Times New Roman" w:eastAsia="宋体" w:cs="Times New Roman"/>
                <w:b/>
                <w:bCs/>
                <w:color w:val="auto"/>
                <w:sz w:val="24"/>
                <w:lang w:val="en-US" w:eastAsia="zh-CN"/>
              </w:rPr>
              <w:t>供电</w:t>
            </w:r>
          </w:p>
          <w:p w14:paraId="23E09370">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中脱硫增压区、火炬系统、消防设备属于二级供电负荷，对电源的可靠性要求较高，采用一回路380V电源及一台120kW柴油发电机供电。本项目中除二级负荷以外的负荷属于三级负荷，由一回路380V电源供电。本项目设置一台80kW沼气发电机组，机组产生400V电能作为厂区自用电源。沼气发电机组配电柜、控制柜设备自带。</w:t>
            </w:r>
          </w:p>
          <w:p w14:paraId="6B298FAD">
            <w:pPr>
              <w:adjustRightInd w:val="0"/>
              <w:snapToGrid w:val="0"/>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3.5供暖</w:t>
            </w:r>
          </w:p>
          <w:p w14:paraId="7CE34DA3">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项目正常运营后，冬季极端寒冷天气下，采用沼气锅炉补充供给热源。生活热源采用沼气锅炉供给。</w:t>
            </w:r>
          </w:p>
          <w:p w14:paraId="158BBDF2">
            <w:pPr>
              <w:adjustRightInd w:val="0"/>
              <w:snapToGrid w:val="0"/>
              <w:spacing w:line="360" w:lineRule="auto"/>
              <w:jc w:val="center"/>
              <w:rPr>
                <w:rFonts w:hint="default" w:ascii="Times New Roman" w:hAnsi="Times New Roman" w:eastAsia="黑体" w:cs="Times New Roman"/>
                <w:b w:val="0"/>
                <w:bCs w:val="0"/>
                <w:color w:val="auto"/>
                <w:sz w:val="21"/>
                <w:szCs w:val="21"/>
              </w:rPr>
            </w:pPr>
            <w:r>
              <w:rPr>
                <w:rFonts w:hint="default" w:ascii="Times New Roman" w:hAnsi="Times New Roman" w:cs="Times New Roman"/>
                <w:color w:val="auto"/>
                <w:sz w:val="24"/>
                <w:lang w:val="en-US" w:eastAsia="zh-CN"/>
              </w:rPr>
              <w:object>
                <v:shape id="_x0000_i1025" o:spt="75" type="#_x0000_t75" style="height:319.15pt;width:418.8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r>
              <w:rPr>
                <w:rFonts w:hint="default" w:ascii="Times New Roman" w:hAnsi="Times New Roman" w:eastAsia="黑体" w:cs="Times New Roman"/>
                <w:b w:val="0"/>
                <w:bCs w:val="0"/>
                <w:color w:val="auto"/>
                <w:sz w:val="21"/>
                <w:szCs w:val="21"/>
              </w:rPr>
              <w:t>图</w:t>
            </w:r>
            <w:r>
              <w:rPr>
                <w:rFonts w:hint="default" w:ascii="Times New Roman" w:hAnsi="Times New Roman" w:eastAsia="黑体" w:cs="Times New Roman"/>
                <w:b w:val="0"/>
                <w:bCs w:val="0"/>
                <w:color w:val="auto"/>
                <w:sz w:val="21"/>
                <w:szCs w:val="21"/>
                <w:lang w:val="en-US" w:eastAsia="zh-CN"/>
              </w:rPr>
              <w:t>2-1</w:t>
            </w:r>
            <w:r>
              <w:rPr>
                <w:rFonts w:hint="default" w:ascii="Times New Roman" w:hAnsi="Times New Roman" w:eastAsia="黑体" w:cs="Times New Roman"/>
                <w:b w:val="0"/>
                <w:bCs w:val="0"/>
                <w:color w:val="auto"/>
                <w:sz w:val="21"/>
                <w:szCs w:val="21"/>
              </w:rPr>
              <w:t xml:space="preserve">  </w:t>
            </w:r>
            <w:r>
              <w:rPr>
                <w:rFonts w:hint="default" w:ascii="Times New Roman" w:hAnsi="Times New Roman" w:eastAsia="黑体" w:cs="Times New Roman"/>
                <w:b w:val="0"/>
                <w:bCs w:val="0"/>
                <w:color w:val="auto"/>
                <w:sz w:val="21"/>
                <w:szCs w:val="21"/>
                <w:lang w:val="en-US" w:eastAsia="zh-CN"/>
              </w:rPr>
              <w:t>全厂</w:t>
            </w:r>
            <w:r>
              <w:rPr>
                <w:rFonts w:hint="default" w:ascii="Times New Roman" w:hAnsi="Times New Roman" w:eastAsia="黑体" w:cs="Times New Roman"/>
                <w:b w:val="0"/>
                <w:bCs w:val="0"/>
                <w:color w:val="auto"/>
                <w:sz w:val="21"/>
                <w:szCs w:val="21"/>
              </w:rPr>
              <w:t>水平衡图   单位：m</w:t>
            </w:r>
            <w:r>
              <w:rPr>
                <w:rFonts w:hint="default" w:ascii="Times New Roman" w:hAnsi="Times New Roman" w:eastAsia="黑体" w:cs="Times New Roman"/>
                <w:b w:val="0"/>
                <w:bCs w:val="0"/>
                <w:color w:val="auto"/>
                <w:sz w:val="21"/>
                <w:szCs w:val="21"/>
                <w:vertAlign w:val="superscript"/>
              </w:rPr>
              <w:t>3</w:t>
            </w:r>
            <w:r>
              <w:rPr>
                <w:rFonts w:hint="default" w:ascii="Times New Roman" w:hAnsi="Times New Roman" w:eastAsia="黑体" w:cs="Times New Roman"/>
                <w:b w:val="0"/>
                <w:bCs w:val="0"/>
                <w:color w:val="auto"/>
                <w:sz w:val="21"/>
                <w:szCs w:val="21"/>
              </w:rPr>
              <w:t>/d</w:t>
            </w:r>
          </w:p>
          <w:p w14:paraId="1D0D38E5">
            <w:pPr>
              <w:adjustRightInd w:val="0"/>
              <w:snapToGrid w:val="0"/>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4物料平衡</w:t>
            </w:r>
          </w:p>
          <w:p w14:paraId="01CD5FCF">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本项目原料全部为收集的粪肥，项目沼液还田，沼渣全部用于有机肥生产线，沼气用于燃烧发电。本项目全厂生产过程中物料平衡见表2-10及图2-2。</w:t>
            </w:r>
          </w:p>
          <w:p w14:paraId="0F0FACE7">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表2-10  项目沼气生产线物料平衡一览表</w:t>
            </w:r>
          </w:p>
          <w:tbl>
            <w:tblPr>
              <w:tblStyle w:val="35"/>
              <w:tblW w:w="83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1454"/>
              <w:gridCol w:w="1274"/>
              <w:gridCol w:w="2111"/>
              <w:gridCol w:w="2337"/>
            </w:tblGrid>
            <w:tr w14:paraId="5260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4" w:type="dxa"/>
                  <w:gridSpan w:val="2"/>
                  <w:tcBorders>
                    <w:top w:val="single" w:color="000000" w:sz="4" w:space="0"/>
                    <w:left w:val="single" w:color="000000" w:sz="4" w:space="0"/>
                    <w:bottom w:val="single" w:color="000000" w:sz="4" w:space="0"/>
                    <w:right w:val="single" w:color="000000" w:sz="4" w:space="0"/>
                  </w:tcBorders>
                  <w:noWrap w:val="0"/>
                  <w:vAlign w:val="center"/>
                </w:tcPr>
                <w:p w14:paraId="759AE1C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投入</w:t>
                  </w:r>
                </w:p>
              </w:tc>
              <w:tc>
                <w:tcPr>
                  <w:tcW w:w="5722" w:type="dxa"/>
                  <w:gridSpan w:val="3"/>
                  <w:tcBorders>
                    <w:top w:val="single" w:color="000000" w:sz="4" w:space="0"/>
                    <w:left w:val="single" w:color="000000" w:sz="4" w:space="0"/>
                    <w:bottom w:val="single" w:color="000000" w:sz="4" w:space="0"/>
                    <w:right w:val="nil"/>
                  </w:tcBorders>
                  <w:noWrap w:val="0"/>
                  <w:vAlign w:val="center"/>
                </w:tcPr>
                <w:p w14:paraId="2AFE056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产出</w:t>
                  </w:r>
                </w:p>
              </w:tc>
            </w:tr>
            <w:tr w14:paraId="3102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top w:val="single" w:color="000000" w:sz="4" w:space="0"/>
                    <w:left w:val="nil"/>
                    <w:bottom w:val="single" w:color="000000" w:sz="4" w:space="0"/>
                    <w:right w:val="single" w:color="000000" w:sz="4" w:space="0"/>
                  </w:tcBorders>
                  <w:noWrap w:val="0"/>
                  <w:vAlign w:val="center"/>
                </w:tcPr>
                <w:p w14:paraId="15772EF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物料名称</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592789D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投入量(t/a)</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3D7F12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物料名称</w:t>
                  </w:r>
                </w:p>
              </w:tc>
              <w:tc>
                <w:tcPr>
                  <w:tcW w:w="2111" w:type="dxa"/>
                  <w:tcBorders>
                    <w:top w:val="single" w:color="000000" w:sz="4" w:space="0"/>
                    <w:left w:val="single" w:color="000000" w:sz="4" w:space="0"/>
                    <w:bottom w:val="single" w:color="000000" w:sz="4" w:space="0"/>
                    <w:right w:val="single" w:color="000000" w:sz="4" w:space="0"/>
                  </w:tcBorders>
                  <w:noWrap w:val="0"/>
                  <w:vAlign w:val="center"/>
                </w:tcPr>
                <w:p w14:paraId="781B1B0A">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产出量(t/a)</w:t>
                  </w:r>
                </w:p>
              </w:tc>
              <w:tc>
                <w:tcPr>
                  <w:tcW w:w="2337" w:type="dxa"/>
                  <w:tcBorders>
                    <w:top w:val="single" w:color="000000" w:sz="4" w:space="0"/>
                    <w:left w:val="single" w:color="000000" w:sz="4" w:space="0"/>
                    <w:bottom w:val="single" w:color="000000" w:sz="4" w:space="0"/>
                    <w:right w:val="nil"/>
                  </w:tcBorders>
                  <w:noWrap w:val="0"/>
                  <w:vAlign w:val="center"/>
                </w:tcPr>
                <w:p w14:paraId="4E56BEC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b/>
                      <w:bCs/>
                      <w:color w:val="auto"/>
                      <w:spacing w:val="6"/>
                      <w:sz w:val="18"/>
                      <w:lang w:val="en-US" w:eastAsia="zh-CN"/>
                    </w:rPr>
                  </w:pPr>
                  <w:r>
                    <w:rPr>
                      <w:rFonts w:hint="default" w:ascii="Times New Roman" w:hAnsi="Times New Roman" w:cs="Times New Roman"/>
                      <w:b/>
                      <w:bCs/>
                      <w:color w:val="auto"/>
                      <w:spacing w:val="6"/>
                      <w:sz w:val="18"/>
                      <w:lang w:val="en-US" w:eastAsia="zh-CN"/>
                    </w:rPr>
                    <w:t>备注</w:t>
                  </w:r>
                </w:p>
              </w:tc>
            </w:tr>
            <w:tr w14:paraId="199F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top w:val="single" w:color="000000" w:sz="4" w:space="0"/>
                    <w:left w:val="nil"/>
                    <w:bottom w:val="single" w:color="000000" w:sz="4" w:space="0"/>
                    <w:right w:val="single" w:color="000000" w:sz="4" w:space="0"/>
                  </w:tcBorders>
                  <w:noWrap w:val="0"/>
                  <w:vAlign w:val="center"/>
                </w:tcPr>
                <w:p w14:paraId="6A73252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粪污</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69C555F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36000</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906C63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沼液</w:t>
                  </w:r>
                </w:p>
              </w:tc>
              <w:tc>
                <w:tcPr>
                  <w:tcW w:w="2111" w:type="dxa"/>
                  <w:tcBorders>
                    <w:top w:val="single" w:color="000000" w:sz="4" w:space="0"/>
                    <w:left w:val="single" w:color="000000" w:sz="4" w:space="0"/>
                    <w:bottom w:val="single" w:color="000000" w:sz="4" w:space="0"/>
                    <w:right w:val="single" w:color="000000" w:sz="4" w:space="0"/>
                  </w:tcBorders>
                  <w:noWrap w:val="0"/>
                  <w:vAlign w:val="center"/>
                </w:tcPr>
                <w:p w14:paraId="3981E8F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34091</w:t>
                  </w:r>
                </w:p>
              </w:tc>
              <w:tc>
                <w:tcPr>
                  <w:tcW w:w="2337" w:type="dxa"/>
                  <w:tcBorders>
                    <w:top w:val="single" w:color="000000" w:sz="4" w:space="0"/>
                    <w:left w:val="single" w:color="000000" w:sz="4" w:space="0"/>
                    <w:bottom w:val="single" w:color="000000" w:sz="4" w:space="0"/>
                    <w:right w:val="nil"/>
                  </w:tcBorders>
                  <w:noWrap w:val="0"/>
                  <w:vAlign w:val="center"/>
                </w:tcPr>
                <w:p w14:paraId="57E0A175">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外售</w:t>
                  </w:r>
                </w:p>
              </w:tc>
            </w:tr>
            <w:tr w14:paraId="6E1A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top w:val="single" w:color="000000" w:sz="4" w:space="0"/>
                    <w:left w:val="nil"/>
                    <w:bottom w:val="single" w:color="000000" w:sz="4" w:space="0"/>
                    <w:right w:val="single" w:color="000000" w:sz="4" w:space="0"/>
                  </w:tcBorders>
                  <w:noWrap w:val="0"/>
                  <w:vAlign w:val="center"/>
                </w:tcPr>
                <w:p w14:paraId="228E094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厂区废水</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7D0AED68">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2521.42</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D4E187B">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沼渣</w:t>
                  </w:r>
                </w:p>
              </w:tc>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6C52DC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2372.5</w:t>
                  </w:r>
                </w:p>
              </w:tc>
              <w:tc>
                <w:tcPr>
                  <w:tcW w:w="2337" w:type="dxa"/>
                  <w:tcBorders>
                    <w:top w:val="single" w:color="000000" w:sz="4" w:space="0"/>
                    <w:left w:val="single" w:color="000000" w:sz="4" w:space="0"/>
                    <w:bottom w:val="single" w:color="000000" w:sz="4" w:space="0"/>
                    <w:right w:val="nil"/>
                  </w:tcBorders>
                  <w:noWrap w:val="0"/>
                  <w:vAlign w:val="center"/>
                </w:tcPr>
                <w:p w14:paraId="41A0943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外售</w:t>
                  </w:r>
                </w:p>
              </w:tc>
            </w:tr>
            <w:tr w14:paraId="0B4D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top w:val="single" w:color="000000" w:sz="4" w:space="0"/>
                    <w:left w:val="nil"/>
                    <w:bottom w:val="single" w:color="000000" w:sz="4" w:space="0"/>
                    <w:right w:val="single" w:color="000000" w:sz="4" w:space="0"/>
                  </w:tcBorders>
                  <w:noWrap w:val="0"/>
                  <w:vAlign w:val="center"/>
                </w:tcPr>
                <w:p w14:paraId="3AEAEA8D">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脱硫剂</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196BD5A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4.5</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4E6C4AF">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沼气</w:t>
                  </w:r>
                </w:p>
              </w:tc>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304161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518.3</w:t>
                  </w:r>
                </w:p>
              </w:tc>
              <w:tc>
                <w:tcPr>
                  <w:tcW w:w="2337" w:type="dxa"/>
                  <w:tcBorders>
                    <w:top w:val="single" w:color="000000" w:sz="4" w:space="0"/>
                    <w:left w:val="single" w:color="000000" w:sz="4" w:space="0"/>
                    <w:bottom w:val="single" w:color="000000" w:sz="4" w:space="0"/>
                    <w:right w:val="nil"/>
                  </w:tcBorders>
                  <w:noWrap w:val="0"/>
                  <w:vAlign w:val="center"/>
                </w:tcPr>
                <w:p w14:paraId="3759966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场内自用</w:t>
                  </w:r>
                </w:p>
              </w:tc>
            </w:tr>
            <w:tr w14:paraId="0FCB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top w:val="single" w:color="000000" w:sz="4" w:space="0"/>
                    <w:left w:val="nil"/>
                    <w:bottom w:val="single" w:color="000000" w:sz="4" w:space="0"/>
                    <w:right w:val="single" w:color="000000" w:sz="4" w:space="0"/>
                  </w:tcBorders>
                  <w:noWrap w:val="0"/>
                  <w:vAlign w:val="center"/>
                </w:tcPr>
                <w:p w14:paraId="0F9BE444">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6AB67C0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2CFCC4DE">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分拣废料</w:t>
                  </w:r>
                </w:p>
              </w:tc>
              <w:tc>
                <w:tcPr>
                  <w:tcW w:w="2111" w:type="dxa"/>
                  <w:tcBorders>
                    <w:top w:val="single" w:color="000000" w:sz="4" w:space="0"/>
                    <w:left w:val="single" w:color="000000" w:sz="4" w:space="0"/>
                    <w:bottom w:val="single" w:color="000000" w:sz="4" w:space="0"/>
                    <w:right w:val="single" w:color="000000" w:sz="4" w:space="0"/>
                  </w:tcBorders>
                  <w:noWrap w:val="0"/>
                  <w:vAlign w:val="center"/>
                </w:tcPr>
                <w:p w14:paraId="2CE824F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1538.32</w:t>
                  </w:r>
                </w:p>
              </w:tc>
              <w:tc>
                <w:tcPr>
                  <w:tcW w:w="2337" w:type="dxa"/>
                  <w:tcBorders>
                    <w:top w:val="single" w:color="000000" w:sz="4" w:space="0"/>
                    <w:left w:val="single" w:color="000000" w:sz="4" w:space="0"/>
                    <w:bottom w:val="single" w:color="000000" w:sz="4" w:space="0"/>
                    <w:right w:val="nil"/>
                  </w:tcBorders>
                  <w:noWrap w:val="0"/>
                  <w:vAlign w:val="center"/>
                </w:tcPr>
                <w:p w14:paraId="071410B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环卫收集</w:t>
                  </w:r>
                </w:p>
              </w:tc>
            </w:tr>
            <w:tr w14:paraId="4DF3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top w:val="single" w:color="000000" w:sz="4" w:space="0"/>
                    <w:left w:val="nil"/>
                    <w:bottom w:val="single" w:color="000000" w:sz="4" w:space="0"/>
                    <w:right w:val="single" w:color="000000" w:sz="4" w:space="0"/>
                  </w:tcBorders>
                  <w:noWrap w:val="0"/>
                  <w:vAlign w:val="center"/>
                </w:tcPr>
                <w:p w14:paraId="65A6349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38644C8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6534929C">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废脱硫剂</w:t>
                  </w:r>
                </w:p>
              </w:tc>
              <w:tc>
                <w:tcPr>
                  <w:tcW w:w="2111" w:type="dxa"/>
                  <w:tcBorders>
                    <w:top w:val="single" w:color="000000" w:sz="4" w:space="0"/>
                    <w:left w:val="single" w:color="000000" w:sz="4" w:space="0"/>
                    <w:bottom w:val="single" w:color="000000" w:sz="4" w:space="0"/>
                    <w:right w:val="single" w:color="000000" w:sz="4" w:space="0"/>
                  </w:tcBorders>
                  <w:noWrap w:val="0"/>
                  <w:vAlign w:val="center"/>
                </w:tcPr>
                <w:p w14:paraId="51722400">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5.8</w:t>
                  </w:r>
                </w:p>
              </w:tc>
              <w:tc>
                <w:tcPr>
                  <w:tcW w:w="2337" w:type="dxa"/>
                  <w:tcBorders>
                    <w:top w:val="single" w:color="000000" w:sz="4" w:space="0"/>
                    <w:left w:val="single" w:color="000000" w:sz="4" w:space="0"/>
                    <w:bottom w:val="single" w:color="000000" w:sz="4" w:space="0"/>
                    <w:right w:val="nil"/>
                  </w:tcBorders>
                  <w:noWrap w:val="0"/>
                  <w:vAlign w:val="center"/>
                </w:tcPr>
                <w:p w14:paraId="57279909">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环卫收集</w:t>
                  </w:r>
                </w:p>
              </w:tc>
            </w:tr>
            <w:tr w14:paraId="2C22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top w:val="single" w:color="000000" w:sz="4" w:space="0"/>
                    <w:left w:val="nil"/>
                    <w:bottom w:val="single" w:color="000000" w:sz="4" w:space="0"/>
                    <w:right w:val="single" w:color="000000" w:sz="4" w:space="0"/>
                  </w:tcBorders>
                  <w:noWrap w:val="0"/>
                  <w:vAlign w:val="center"/>
                </w:tcPr>
                <w:p w14:paraId="49C69E57">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合计</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2782F581">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38525.92</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CAACE13">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合计</w:t>
                  </w:r>
                </w:p>
              </w:tc>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240D776">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r>
                    <w:rPr>
                      <w:rFonts w:hint="default" w:ascii="Times New Roman" w:hAnsi="Times New Roman" w:cs="Times New Roman"/>
                      <w:color w:val="auto"/>
                      <w:spacing w:val="6"/>
                      <w:sz w:val="18"/>
                      <w:lang w:val="en-US" w:eastAsia="zh-CN"/>
                    </w:rPr>
                    <w:t>38525.92</w:t>
                  </w:r>
                </w:p>
              </w:tc>
              <w:tc>
                <w:tcPr>
                  <w:tcW w:w="2337" w:type="dxa"/>
                  <w:tcBorders>
                    <w:top w:val="single" w:color="000000" w:sz="4" w:space="0"/>
                    <w:left w:val="single" w:color="000000" w:sz="4" w:space="0"/>
                    <w:bottom w:val="single" w:color="000000" w:sz="4" w:space="0"/>
                    <w:right w:val="nil"/>
                  </w:tcBorders>
                  <w:noWrap w:val="0"/>
                  <w:vAlign w:val="center"/>
                </w:tcPr>
                <w:p w14:paraId="15212E12">
                  <w:pPr>
                    <w:pStyle w:val="195"/>
                    <w:keepNext w:val="0"/>
                    <w:keepLines w:val="0"/>
                    <w:pageBreakBefore w:val="0"/>
                    <w:widowControl/>
                    <w:kinsoku w:val="0"/>
                    <w:wordWrap/>
                    <w:overflowPunct/>
                    <w:topLinePunct w:val="0"/>
                    <w:autoSpaceDE w:val="0"/>
                    <w:autoSpaceDN w:val="0"/>
                    <w:bidi w:val="0"/>
                    <w:adjustRightInd w:val="0"/>
                    <w:snapToGrid w:val="0"/>
                    <w:spacing w:beforeLines="0" w:afterLines="0" w:line="240" w:lineRule="atLeast"/>
                    <w:ind w:left="0" w:leftChars="0"/>
                    <w:jc w:val="center"/>
                    <w:textAlignment w:val="baseline"/>
                    <w:rPr>
                      <w:rFonts w:hint="default" w:ascii="Times New Roman" w:hAnsi="Times New Roman" w:cs="Times New Roman"/>
                      <w:color w:val="auto"/>
                      <w:spacing w:val="6"/>
                      <w:sz w:val="18"/>
                      <w:lang w:val="en-US" w:eastAsia="zh-CN"/>
                    </w:rPr>
                  </w:pPr>
                </w:p>
              </w:tc>
            </w:tr>
          </w:tbl>
          <w:p w14:paraId="54D36DE5">
            <w:pPr>
              <w:adjustRightInd w:val="0"/>
              <w:snapToGrid w:val="0"/>
              <w:spacing w:line="360" w:lineRule="auto"/>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object>
                <v:shape id="_x0000_i1026" o:spt="75" type="#_x0000_t75" style="height:212.5pt;width:295.0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14:paraId="2B66D8BA">
            <w:pPr>
              <w:adjustRightInd w:val="0"/>
              <w:snapToGrid w:val="0"/>
              <w:spacing w:line="360" w:lineRule="auto"/>
              <w:ind w:firstLine="420" w:firstLineChars="200"/>
              <w:jc w:val="center"/>
              <w:rPr>
                <w:rFonts w:hint="default" w:ascii="Times New Roman" w:hAnsi="Times New Roman" w:cs="Times New Roman"/>
                <w:color w:val="auto"/>
                <w:sz w:val="24"/>
                <w:lang w:val="en-US" w:eastAsia="zh-CN"/>
              </w:rPr>
            </w:pPr>
            <w:r>
              <w:rPr>
                <w:rFonts w:hint="default" w:ascii="Times New Roman" w:hAnsi="Times New Roman" w:eastAsia="黑体" w:cs="Times New Roman"/>
                <w:b w:val="0"/>
                <w:bCs w:val="0"/>
                <w:color w:val="auto"/>
                <w:sz w:val="21"/>
                <w:szCs w:val="21"/>
                <w:lang w:val="en-US" w:eastAsia="zh-CN"/>
              </w:rPr>
              <w:t>图2-2  项目沼气生产线物料平衡图</w:t>
            </w:r>
          </w:p>
          <w:p w14:paraId="6E5853AE">
            <w:pPr>
              <w:adjustRightInd w:val="0"/>
              <w:snapToGrid w:val="0"/>
              <w:spacing w:line="360" w:lineRule="auto"/>
              <w:ind w:firstLine="480" w:firstLineChars="200"/>
              <w:jc w:val="center"/>
              <w:rPr>
                <w:rFonts w:hint="default" w:ascii="Times New Roman" w:hAnsi="Times New Roman" w:cs="Times New Roman"/>
                <w:color w:val="auto"/>
                <w:sz w:val="24"/>
                <w:lang w:val="en-US" w:eastAsia="zh-CN"/>
              </w:rPr>
            </w:pPr>
          </w:p>
          <w:p w14:paraId="0D766128">
            <w:pPr>
              <w:adjustRightInd w:val="0"/>
              <w:snapToGrid w:val="0"/>
              <w:spacing w:line="360" w:lineRule="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5粪肥收运系统</w:t>
            </w:r>
          </w:p>
          <w:p w14:paraId="216D7B59">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收运范围：项目收集范围主要为焦村镇及相邻的长庆桥、太昌、新庄和盛、新宁5个乡镇养殖场畜禽养殖粪便，范围内不涉及水源保护区。项目污水等由本项目专用车辆定期抽取。</w:t>
            </w:r>
          </w:p>
          <w:p w14:paraId="2FFC3A77">
            <w:pPr>
              <w:adjustRightInd w:val="0"/>
              <w:snapToGrid w:val="0"/>
              <w:spacing w:line="360" w:lineRule="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5.1畜禽粪污收集方案</w:t>
            </w:r>
          </w:p>
          <w:p w14:paraId="07632569">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本项目粪污由企业自配车辆直接拉运至厂区发酵系统。运输过程中必须采取防渗漏、防流失、防遗撒及其他防止污染环境的措施。</w:t>
            </w:r>
          </w:p>
          <w:p w14:paraId="0B67BE4A">
            <w:pPr>
              <w:adjustRightInd w:val="0"/>
              <w:snapToGrid w:val="0"/>
              <w:spacing w:line="360" w:lineRule="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5.2秸秆收集方案</w:t>
            </w:r>
          </w:p>
          <w:p w14:paraId="5D166DD9">
            <w:pPr>
              <w:adjustRightInd w:val="0"/>
              <w:snapToGrid w:val="0"/>
              <w:spacing w:line="360" w:lineRule="auto"/>
              <w:ind w:firstLine="480" w:firstLineChars="200"/>
              <w:rPr>
                <w:rFonts w:hint="default" w:ascii="Times New Roman" w:hAnsi="Times New Roman" w:eastAsia="宋体" w:cs="Times New Roman"/>
                <w:color w:val="auto"/>
                <w:sz w:val="24"/>
                <w:szCs w:val="28"/>
                <w:lang w:eastAsia="zh-CN"/>
              </w:rPr>
            </w:pPr>
            <w:r>
              <w:rPr>
                <w:rFonts w:hint="default" w:ascii="Times New Roman" w:hAnsi="Times New Roman" w:cs="Times New Roman"/>
                <w:color w:val="auto"/>
                <w:sz w:val="24"/>
                <w:lang w:val="en-US" w:eastAsia="zh-CN"/>
              </w:rPr>
              <w:t>建设单位在项目所在区域周边乡镇设置专门的秸秆收购点，收购已粉碎的秸秆，然后统一调度车辆运回厂内。运输过程中必须遮盖篷布采取防洒落、防遗撒及其他防止污染环境的措施。</w:t>
            </w:r>
          </w:p>
        </w:tc>
      </w:tr>
      <w:tr w14:paraId="51019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47" w:type="dxa"/>
            <w:tcBorders>
              <w:tl2br w:val="nil"/>
              <w:tr2bl w:val="nil"/>
            </w:tcBorders>
            <w:shd w:val="clear" w:color="auto" w:fill="auto"/>
            <w:noWrap w:val="0"/>
            <w:vAlign w:val="center"/>
          </w:tcPr>
          <w:p w14:paraId="24E6E782">
            <w:pPr>
              <w:pStyle w:val="31"/>
              <w:adjustRightInd w:val="0"/>
              <w:snapToGrid w:val="0"/>
              <w:spacing w:before="0" w:beforeAutospacing="0" w:after="0" w:afterAutospacing="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工艺流程和产排污环节</w:t>
            </w:r>
          </w:p>
        </w:tc>
        <w:tc>
          <w:tcPr>
            <w:tcW w:w="8613" w:type="dxa"/>
            <w:tcBorders>
              <w:tl2br w:val="nil"/>
              <w:tr2bl w:val="nil"/>
            </w:tcBorders>
            <w:shd w:val="clear" w:color="auto" w:fill="auto"/>
            <w:noWrap w:val="0"/>
            <w:vAlign w:val="top"/>
          </w:tcPr>
          <w:p w14:paraId="62C217C7">
            <w:pPr>
              <w:autoSpaceDE w:val="0"/>
              <w:autoSpaceDN w:val="0"/>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施工期工艺流程及产污环节</w:t>
            </w:r>
          </w:p>
          <w:p w14:paraId="6E3B9EFF">
            <w:pPr>
              <w:spacing w:line="360" w:lineRule="auto"/>
              <w:ind w:firstLine="480"/>
              <w:jc w:val="left"/>
              <w:rPr>
                <w:rFonts w:hint="default" w:ascii="Times New Roman" w:hAnsi="Times New Roman" w:eastAsia="宋体" w:cs="Times New Roman"/>
                <w:color w:val="auto"/>
                <w:kern w:val="2"/>
              </w:rPr>
            </w:pPr>
            <w:r>
              <w:rPr>
                <w:rFonts w:hint="default" w:ascii="Times New Roman" w:hAnsi="Times New Roman" w:eastAsia="宋体" w:cs="Times New Roman"/>
                <w:color w:val="auto"/>
                <w:sz w:val="24"/>
                <w:lang w:val="en-US" w:eastAsia="zh-CN"/>
              </w:rPr>
              <w:t>本项目</w:t>
            </w:r>
            <w:r>
              <w:rPr>
                <w:rFonts w:hint="default" w:ascii="Times New Roman" w:hAnsi="Times New Roman" w:cs="Times New Roman"/>
                <w:color w:val="auto"/>
                <w:sz w:val="24"/>
                <w:lang w:val="en-US" w:eastAsia="zh-CN"/>
              </w:rPr>
              <w:t>为重新报批环评，因原环评建设内容与实际建设内容等不符，属于《污染影响类建设项目重大变动清单（试行）》环办环评函【2020】688号中第6条新增产品品种或生产工艺（含主要生产装置、设备及配套设施）、主要原辅材料、燃料变化，本次环评前项目已取得环评批复（宁环审发【2021】2号），并已建设完成，经现场调查，项目在建设过程中无环保违法行为，施工期</w:t>
            </w:r>
            <w:r>
              <w:rPr>
                <w:rFonts w:hint="default" w:ascii="Times New Roman" w:hAnsi="Times New Roman" w:eastAsia="宋体" w:cs="Times New Roman"/>
                <w:color w:val="auto"/>
                <w:sz w:val="24"/>
                <w:lang w:val="en-US" w:eastAsia="zh-CN"/>
              </w:rPr>
              <w:t>废气、噪声、废水、施工固体废物</w:t>
            </w:r>
            <w:r>
              <w:rPr>
                <w:rFonts w:hint="default" w:ascii="Times New Roman" w:hAnsi="Times New Roman" w:cs="Times New Roman"/>
                <w:color w:val="auto"/>
                <w:sz w:val="24"/>
                <w:lang w:val="en-US" w:eastAsia="zh-CN"/>
              </w:rPr>
              <w:t>等未见遗留</w:t>
            </w:r>
            <w:r>
              <w:rPr>
                <w:rFonts w:hint="default" w:ascii="Times New Roman" w:hAnsi="Times New Roman" w:eastAsia="宋体" w:cs="Times New Roman"/>
                <w:color w:val="auto"/>
                <w:sz w:val="24"/>
                <w:lang w:val="en-US" w:eastAsia="zh-CN"/>
              </w:rPr>
              <w:t>。</w:t>
            </w:r>
          </w:p>
          <w:p w14:paraId="381D187C">
            <w:pPr>
              <w:autoSpaceDE w:val="0"/>
              <w:autoSpaceDN w:val="0"/>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运营期工艺流程及产污环节</w:t>
            </w:r>
          </w:p>
          <w:p w14:paraId="1D51CA38">
            <w:pPr>
              <w:spacing w:line="360" w:lineRule="auto"/>
              <w:ind w:firstLine="48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2.1沼气生产</w:t>
            </w:r>
            <w:r>
              <w:rPr>
                <w:rFonts w:hint="default" w:ascii="Times New Roman" w:hAnsi="Times New Roman" w:eastAsia="宋体" w:cs="Times New Roman"/>
                <w:b/>
                <w:bCs/>
                <w:color w:val="auto"/>
                <w:sz w:val="24"/>
                <w:lang w:val="en-US" w:eastAsia="zh-CN"/>
              </w:rPr>
              <w:t>工艺流程简述</w:t>
            </w:r>
          </w:p>
          <w:p w14:paraId="79672B82">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粪水混合废弃物进入废弃物处理中心后，直接进入沼气工程系统进行完全混合式厌氧发酵，产生沼气和沼渣沼液，沼气用于站内热水锅炉燃烧和沼气发电等资源综合利用，剩余沼气通过火炬燃烧后排放；沼渣沼液混合物</w:t>
            </w:r>
            <w:r>
              <w:rPr>
                <w:rFonts w:hint="default" w:ascii="Times New Roman" w:hAnsi="Times New Roman" w:cs="Times New Roman"/>
                <w:color w:val="auto"/>
                <w:sz w:val="24"/>
                <w:lang w:val="en-US" w:eastAsia="zh-CN"/>
              </w:rPr>
              <w:t>经过</w:t>
            </w:r>
            <w:r>
              <w:rPr>
                <w:rFonts w:hint="default" w:ascii="Times New Roman" w:hAnsi="Times New Roman" w:eastAsia="宋体" w:cs="Times New Roman"/>
                <w:color w:val="auto"/>
                <w:sz w:val="24"/>
                <w:lang w:val="en-US" w:eastAsia="zh-CN"/>
              </w:rPr>
              <w:t>固液分离单元产生沼液和沼渣，沼液通过沉淀后用于还田，改良周边土壤，沼渣经过发酵棚车间堆肥、加工后可作为有机肥使用。</w:t>
            </w:r>
          </w:p>
          <w:p w14:paraId="55202B6A">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主反应和副反应的反应方程式：</w:t>
            </w:r>
          </w:p>
          <w:p w14:paraId="1E470DB2">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厌氧发酵部分：由碳、氢、氧组成的有机物经厌氧发酵得到的沼气产量可按巴斯韦尔公式计算：</w:t>
            </w:r>
          </w:p>
          <w:p w14:paraId="38CF89EC">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rPr>
              <w:drawing>
                <wp:inline distT="0" distB="0" distL="114300" distR="114300">
                  <wp:extent cx="4091940" cy="335280"/>
                  <wp:effectExtent l="0" t="0" r="762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2"/>
                          <a:stretch>
                            <a:fillRect/>
                          </a:stretch>
                        </pic:blipFill>
                        <pic:spPr>
                          <a:xfrm>
                            <a:off x="0" y="0"/>
                            <a:ext cx="4091940" cy="335280"/>
                          </a:xfrm>
                          <a:prstGeom prst="rect">
                            <a:avLst/>
                          </a:prstGeom>
                          <a:noFill/>
                          <a:ln>
                            <a:noFill/>
                          </a:ln>
                        </pic:spPr>
                      </pic:pic>
                    </a:graphicData>
                  </a:graphic>
                </wp:inline>
              </w:drawing>
            </w:r>
            <w:r>
              <w:rPr>
                <w:rFonts w:hint="default" w:ascii="Times New Roman" w:hAnsi="Times New Roman" w:cs="Times New Roman"/>
                <w:color w:val="auto"/>
                <w:position w:val="-10"/>
              </w:rPr>
              <w:object>
                <v:shape id="_x0000_i1027" o:spt="75" type="#_x0000_t75" style="height:17pt;width:9pt;" o:ole="t" filled="f" o:preferrelative="t" stroked="f" coordsize="21600,21600">
                  <v:path/>
                  <v:fill on="f" focussize="0,0"/>
                  <v:stroke on="f"/>
                  <v:imagedata r:id="rId14" o:title=""/>
                  <o:lock v:ext="edit" aspectratio="t"/>
                  <w10:wrap type="none"/>
                  <w10:anchorlock/>
                </v:shape>
                <o:OLEObject Type="Embed" ProgID="Equation.KSEE3" ShapeID="_x0000_i1027" DrawAspect="Content" ObjectID="_1468075727" r:id="rId13">
                  <o:LockedField>false</o:LockedField>
                </o:OLEObject>
              </w:object>
            </w:r>
          </w:p>
          <w:p w14:paraId="4416F780">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脱硫原理：其化学反应原理是利用空气中的氧气氧化气相中的硫化氢，使硫化氢被氧化为单质硫，化学反应方程式如式：</w:t>
            </w:r>
          </w:p>
          <w:p w14:paraId="3E9FA715">
            <w:pPr>
              <w:spacing w:line="360" w:lineRule="auto"/>
              <w:ind w:firstLine="48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position w:val="-10"/>
                <w:sz w:val="24"/>
                <w:lang w:val="en-US" w:eastAsia="zh-CN"/>
              </w:rPr>
              <w:object>
                <v:shape id="_x0000_i1028" o:spt="75" type="#_x0000_t75" style="height:17pt;width:119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5">
                  <o:LockedField>false</o:LockedField>
                </o:OLEObject>
              </w:object>
            </w:r>
          </w:p>
          <w:p w14:paraId="7679512A">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沼气的利用：</w:t>
            </w:r>
          </w:p>
          <w:p w14:paraId="55E1F844">
            <w:pPr>
              <w:spacing w:line="360" w:lineRule="auto"/>
              <w:ind w:firstLine="48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position w:val="-10"/>
                <w:sz w:val="24"/>
                <w:lang w:val="en-US" w:eastAsia="zh-CN"/>
              </w:rPr>
              <w:object>
                <v:shape id="_x0000_i1029" o:spt="75" type="#_x0000_t75" style="height:17pt;width:129pt;" o:ole="t" filled="f" o:preferrelative="t" stroked="f" coordsize="21600,21600">
                  <v:path/>
                  <v:fill on="f" focussize="0,0"/>
                  <v:stroke on="f"/>
                  <v:imagedata r:id="rId18" o:title=""/>
                  <o:lock v:ext="edit" aspectratio="t"/>
                  <w10:wrap type="none"/>
                  <w10:anchorlock/>
                </v:shape>
                <o:OLEObject Type="Embed" ProgID="Equation.KSEE3" ShapeID="_x0000_i1029" DrawAspect="Content" ObjectID="_1468075729" r:id="rId17">
                  <o:LockedField>false</o:LockedField>
                </o:OLEObject>
              </w:object>
            </w:r>
          </w:p>
          <w:p w14:paraId="56631C39">
            <w:pPr>
              <w:numPr>
                <w:ilvl w:val="0"/>
                <w:numId w:val="9"/>
              </w:num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原料收集、前处理系统</w:t>
            </w:r>
          </w:p>
          <w:p w14:paraId="5A12C126">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收集畜禽粪污经前端格栅</w:t>
            </w:r>
            <w:r>
              <w:rPr>
                <w:rFonts w:hint="default" w:ascii="Times New Roman" w:hAnsi="Times New Roman" w:cs="Times New Roman"/>
                <w:color w:val="auto"/>
                <w:sz w:val="24"/>
                <w:lang w:val="en-US" w:eastAsia="zh-CN"/>
              </w:rPr>
              <w:t>将</w:t>
            </w:r>
            <w:r>
              <w:rPr>
                <w:rFonts w:hint="default" w:ascii="Times New Roman" w:hAnsi="Times New Roman" w:eastAsia="宋体" w:cs="Times New Roman"/>
                <w:color w:val="auto"/>
                <w:sz w:val="24"/>
                <w:lang w:val="en-US" w:eastAsia="zh-CN"/>
              </w:rPr>
              <w:t>杂物清除以后，粪污100m³/d（TS6-8%）在预处理池进行暂存，然后在进料池进行增温，泵入厌氧系统。</w:t>
            </w:r>
          </w:p>
          <w:p w14:paraId="4CA331D6">
            <w:pPr>
              <w:numPr>
                <w:ilvl w:val="0"/>
                <w:numId w:val="9"/>
              </w:numPr>
              <w:spacing w:line="360" w:lineRule="auto"/>
              <w:ind w:left="0" w:leftChars="0" w:firstLine="480" w:firstLineChars="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厌氧发酵系统</w:t>
            </w:r>
          </w:p>
          <w:p w14:paraId="2CF5A63D">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本工程</w:t>
            </w:r>
            <w:r>
              <w:rPr>
                <w:rFonts w:hint="default" w:ascii="Times New Roman" w:hAnsi="Times New Roman" w:eastAsia="宋体" w:cs="Times New Roman"/>
                <w:color w:val="auto"/>
                <w:sz w:val="24"/>
                <w:lang w:val="en-US" w:eastAsia="zh-CN"/>
              </w:rPr>
              <w:t>采用</w:t>
            </w:r>
            <w:r>
              <w:rPr>
                <w:rFonts w:hint="default" w:ascii="Times New Roman" w:hAnsi="Times New Roman" w:cs="Times New Roman"/>
                <w:color w:val="auto"/>
                <w:sz w:val="24"/>
                <w:lang w:val="en-US" w:eastAsia="zh-CN"/>
              </w:rPr>
              <w:t>CSTR完全混合式中温厌氧发酵技术。前处理后的物料经2台进料泵分别泵入2座发酵罐。在反应器顶部溢流，罐体设有侧搅拌系统，可以使得发酵底物与微生物充分接触，加快反应，提高产气率。发酵罐设加热盘管，原料进入发酵罐是通过进料池增温，罐内料液通过加热盘管进行保温。发酵温度保持在35±1℃左右，发酵过程中对厌氧发酵罐内的温度、压力、液位进行控制。</w:t>
            </w:r>
          </w:p>
          <w:p w14:paraId="1224DDA8">
            <w:pPr>
              <w:numPr>
                <w:ilvl w:val="0"/>
                <w:numId w:val="9"/>
              </w:numPr>
              <w:spacing w:line="360" w:lineRule="auto"/>
              <w:ind w:left="0" w:leftChars="0" w:firstLine="480" w:firstLineChars="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出料系统</w:t>
            </w:r>
          </w:p>
          <w:p w14:paraId="22AA40EC">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发酵罐出料采用顶部溢流出料方式溢流至沼液池。同时，发酵罐侧壁底部设置排泥管道，定期将罐内沉积的污泥排出。罐体物料排至沼液池进行二次发酵处理后经固液分离后进入有机肥系统生产有机肥。</w:t>
            </w:r>
          </w:p>
          <w:p w14:paraId="67F8660C">
            <w:pPr>
              <w:numPr>
                <w:ilvl w:val="0"/>
                <w:numId w:val="9"/>
              </w:numPr>
              <w:spacing w:line="360" w:lineRule="auto"/>
              <w:ind w:left="0" w:leftChars="0" w:firstLine="480" w:firstLineChars="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沼气利用及发电系统</w:t>
            </w:r>
          </w:p>
          <w:p w14:paraId="188639BC">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厌氧发酵产生的沼气分为两个用途：1）厂区锅炉自用；2）沼气发电余热利用及发电自用。发酵产出的沼气在一体化发酵罐内暂存后，进行脱水脱硫，使沼气中硫化氢降至100ppm。然后输送至沼气压缩机增压，经过滤计量后分为两路，一路输送至锅炉房，一路输送至发电机房。罐顶双膜气柜作为缓冲容积。</w:t>
            </w:r>
          </w:p>
          <w:p w14:paraId="334D8C5A">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（5）沼气储存</w:t>
            </w:r>
          </w:p>
          <w:p w14:paraId="6ED8D98D">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设计脱硫技术为干法脱硫塔脱硫（脱硫剂：氧化铁），一用一备，脱水技术为脱水采用重力气水分离器脱水，贮气技术为低压柔性双膜气柜储气。</w:t>
            </w:r>
          </w:p>
          <w:p w14:paraId="745EF1DD">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储气柜和厌氧反应器一体式安装，储气柜安装在厌氧反应器顶部。储气柜内沼气先进入水封罐（水封罐在系统中还起逆止阀防止回火的作用）除去沼气中的泡沫和污物，并使沼气有一定的湿度，降低沼气的温度后进入气水分离器。经气水分离器将沼气中的水分降至脱硫剂所需要的含水量。再进入脱硫塔经脱硫剂反应后脱除硫化氢，再经增压风机和调压器后输出给应用设备。</w:t>
            </w:r>
          </w:p>
          <w:p w14:paraId="2DEE5F4D">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（6）沼气热电联产系统</w:t>
            </w:r>
          </w:p>
          <w:p w14:paraId="5439C4C9">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①沼气发电</w:t>
            </w:r>
          </w:p>
          <w:p w14:paraId="2F65D303">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厌氧发酵系统产生的沼气除部分锅炉自用外剩余部分全部用于沼气发电。</w:t>
            </w:r>
          </w:p>
          <w:p w14:paraId="438B992B">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本项目选用1台80kW沼气热电联产沼气发电机组，发电机输出电压400V，额定转速1500r/min，工作频率50Hz，功率因数0.8，三相四线制，调压方式采用自动调压，交流电380V启动。</w:t>
            </w:r>
          </w:p>
          <w:p w14:paraId="3404CB46">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厂内1200m³沼气进入沼气发电机组发电，将沼气转化为电能，输出电能通过稳频、调压、调相后达到使用条件，输送至厂区内使用。沼气发电机机组设电流速断、限时电流速断、定时限过流、过负荷、零序电流、过电压、失压、零序电压、低周率、逆功率保护微机综合保护装置，微机综合保护装置安装在机组控制屏上。</w:t>
            </w:r>
          </w:p>
          <w:p w14:paraId="1FFB00DB">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发电机组配置30Ah直流屏为微机综合保护和开关设备操作提供电源。为减少设备维护及减人增效，蓄电池采用铅酸免维护蓄电池。充电装置选用目前技术先进的智能高频开关电源型充电装置，通过充电模块并联方式对蓄电池充电或浮充电。</w:t>
            </w:r>
          </w:p>
          <w:p w14:paraId="266288B6">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②余热回收</w:t>
            </w:r>
          </w:p>
          <w:p w14:paraId="4A4BE517">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沼气发电的同时会产生大量的热，利用机组产生的热量为沼气生产提供热源，最大限度利用余热。</w:t>
            </w:r>
          </w:p>
          <w:p w14:paraId="7E60ADBD">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余热利用方式为热水，直接供给罐内加热盘管给发酵罐增温、保温使用。</w:t>
            </w:r>
          </w:p>
          <w:p w14:paraId="34D813DF">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（7）除臭系统</w:t>
            </w:r>
          </w:p>
          <w:p w14:paraId="0A585A2B">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农业有机废弃物在收集、运输和处理过程中能够迅速被微生物降解，产生大量恶臭物质。预处理池卸料、厌氧发酵罐以及沼液池等在运行过程中都会散发出恶臭气体。臭气的主要成分为H</w:t>
            </w:r>
            <w:r>
              <w:rPr>
                <w:rFonts w:hint="default" w:ascii="Times New Roman" w:hAnsi="Times New Roman" w:cs="Times New Roman"/>
                <w:color w:val="auto"/>
                <w:sz w:val="24"/>
                <w:vertAlign w:val="subscript"/>
                <w:lang w:val="en-US" w:eastAsia="zh-CN"/>
              </w:rPr>
              <w:t>2</w:t>
            </w:r>
            <w:r>
              <w:rPr>
                <w:rFonts w:hint="default" w:ascii="Times New Roman" w:hAnsi="Times New Roman" w:cs="Times New Roman"/>
                <w:color w:val="auto"/>
                <w:sz w:val="24"/>
                <w:vertAlign w:val="baseline"/>
                <w:lang w:val="en-US" w:eastAsia="zh-CN"/>
              </w:rPr>
              <w:t>S</w:t>
            </w:r>
            <w:r>
              <w:rPr>
                <w:rFonts w:hint="default" w:ascii="Times New Roman" w:hAnsi="Times New Roman" w:cs="Times New Roman"/>
                <w:color w:val="auto"/>
                <w:sz w:val="24"/>
                <w:lang w:val="en-US" w:eastAsia="zh-CN"/>
              </w:rPr>
              <w:t>和NH</w:t>
            </w:r>
            <w:r>
              <w:rPr>
                <w:rFonts w:hint="default" w:ascii="Times New Roman" w:hAnsi="Times New Roman" w:cs="Times New Roman"/>
                <w:color w:val="auto"/>
                <w:sz w:val="24"/>
                <w:vertAlign w:val="subscript"/>
                <w:lang w:val="en-US" w:eastAsia="zh-CN"/>
              </w:rPr>
              <w:t>3，</w:t>
            </w:r>
            <w:r>
              <w:rPr>
                <w:rFonts w:hint="default" w:ascii="Times New Roman" w:hAnsi="Times New Roman" w:cs="Times New Roman"/>
                <w:color w:val="auto"/>
                <w:sz w:val="24"/>
                <w:vertAlign w:val="baseline"/>
                <w:lang w:val="en-US" w:eastAsia="zh-CN"/>
              </w:rPr>
              <w:t>这</w:t>
            </w:r>
            <w:r>
              <w:rPr>
                <w:rFonts w:hint="default" w:ascii="Times New Roman" w:hAnsi="Times New Roman" w:cs="Times New Roman"/>
                <w:color w:val="auto"/>
                <w:sz w:val="24"/>
                <w:lang w:val="en-US" w:eastAsia="zh-CN"/>
              </w:rPr>
              <w:t>些气体挥发性较大，易扩散在大气中，为防止臭气危害人的健康、污染空气，必须采用除臭技术有效防止空气污染，改善空气质量。</w:t>
            </w:r>
          </w:p>
          <w:p w14:paraId="06E6C99A">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有机废弃物采用密封式吸污车进行运输，卸料用管道卸入与处理池，沼气系统采用全密闭式生产，预处理池、进料池等为下沉式建筑，罐体全封闭，尽可能减少车间内的臭气外溢。</w:t>
            </w:r>
          </w:p>
          <w:p w14:paraId="29C99E58">
            <w:pPr>
              <w:spacing w:line="360" w:lineRule="auto"/>
              <w:ind w:firstLine="480"/>
              <w:rPr>
                <w:rFonts w:hint="default" w:ascii="Times New Roman" w:hAnsi="Times New Roman" w:cs="Times New Roman"/>
                <w:color w:val="auto"/>
                <w:sz w:val="24"/>
                <w:lang w:val="en-US" w:eastAsia="zh-CN"/>
              </w:rPr>
            </w:pPr>
          </w:p>
          <w:p w14:paraId="1C1FD552">
            <w:pPr>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object>
                <v:shape id="_x0000_i1030" o:spt="75" type="#_x0000_t75" style="height:167.5pt;width:419.75pt;" o:ole="t" filled="f" o:preferrelative="t" stroked="f" coordsize="21600,21600">
                  <v:path/>
                  <v:fill on="f" focussize="0,0"/>
                  <v:stroke on="f"/>
                  <v:imagedata r:id="rId20" o:title=""/>
                  <o:lock v:ext="edit" aspectratio="f"/>
                  <w10:wrap type="none"/>
                  <w10:anchorlock/>
                </v:shape>
                <o:OLEObject Type="Embed" ProgID="Visio.Drawing.15" ShapeID="_x0000_i1030" DrawAspect="Content" ObjectID="_1468075730" r:id="rId19">
                  <o:LockedField>false</o:LockedField>
                </o:OLEObject>
              </w:object>
            </w:r>
          </w:p>
          <w:p w14:paraId="633D3D66">
            <w:pPr>
              <w:spacing w:line="360" w:lineRule="auto"/>
              <w:ind w:firstLine="480"/>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图2-4  沼气生产工艺流程图</w:t>
            </w:r>
          </w:p>
          <w:p w14:paraId="507BC61F">
            <w:pPr>
              <w:spacing w:line="360" w:lineRule="auto"/>
              <w:ind w:firstLine="48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2.2有机肥生产线工艺流程简述</w:t>
            </w:r>
          </w:p>
          <w:p w14:paraId="64EF4AB0">
            <w:pPr>
              <w:numPr>
                <w:ilvl w:val="0"/>
                <w:numId w:val="10"/>
              </w:num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原料预处理</w:t>
            </w:r>
          </w:p>
          <w:p w14:paraId="598FB765">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畜禽粪便堆肥前，先将秸秆破碎后作为辅料与畜禽粪便混合，破碎在发酵车间秸秆堆放区完成。由全封闭运输车辆将畜禽粪便运至厂区发酵车间破碎，将原料直接卸载至发酵原料混匀区，采用铲车预混搅拌，由铲车将搅拌均匀的物料运至发酵槽入料端。此工序均在全封闭的发酵车间内完成。根据粪便含水量，加入辅料调节水分，使其含水率为60%左右。该过程产生的主要污染物为畜禽粪便预处理产生的硫化氢、氨。</w:t>
            </w:r>
          </w:p>
          <w:p w14:paraId="544989B6">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一次发酵</w:t>
            </w:r>
          </w:p>
          <w:p w14:paraId="102E18BF">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有机物料的含水率控制在60%左右。将堆肥发酵车间分割为2发酵槽，选择条垛式堆放，高度、宽度应根据堆肥季节、物料、接种微生物菌种、发酵环境及翻堆设备的不同来设定，一般高度为0.6m~2.0m，宽度为0.8m~2.0m。在发酵过程中，应每天测定堆体温度3次~4次，温度测量应从堆体表面向内10cm~30cm为准。堆肥温度应在55℃以上保持5d～7d</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达到无害化标准，最高温度不宜超过70℃～75℃</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以接种微生物菌种死亡温度为限</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。堆肥温度达到60℃以上，保持48h后开始翻堆，每3d~5d翻堆1次，但当温度超过70℃时，应立即翻堆，堆肥温度不宜超过70℃</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翻堆时务必均匀彻底，将底层物料尽量翻入堆中上部，以提供氧气、散热和使物料发酵均匀，一次发酵周期一般应大于15d。发酵终止时，发酵物料不再升温、堆体基本无臭味、颜色接近灰褐色。该生产过程产生的废气主要污染物为硫化氢、氨。</w:t>
            </w:r>
          </w:p>
          <w:p w14:paraId="66B85699">
            <w:pPr>
              <w:numPr>
                <w:ilvl w:val="0"/>
                <w:numId w:val="10"/>
              </w:numPr>
              <w:spacing w:line="360" w:lineRule="auto"/>
              <w:ind w:left="0" w:leftChars="0" w:firstLine="480" w:firstLineChars="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二次发酵</w:t>
            </w:r>
          </w:p>
          <w:p w14:paraId="284474D4">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二次发酵过程中，严禁</w:t>
            </w:r>
            <w:r>
              <w:rPr>
                <w:rFonts w:hint="default" w:ascii="Times New Roman" w:hAnsi="Times New Roman" w:cs="Times New Roman"/>
                <w:color w:val="auto"/>
                <w:sz w:val="24"/>
                <w:lang w:val="en-US" w:eastAsia="zh-CN"/>
              </w:rPr>
              <w:t>再次</w:t>
            </w:r>
            <w:r>
              <w:rPr>
                <w:rFonts w:hint="default" w:ascii="Times New Roman" w:hAnsi="Times New Roman" w:eastAsia="宋体" w:cs="Times New Roman"/>
                <w:color w:val="auto"/>
                <w:sz w:val="24"/>
                <w:lang w:val="en-US" w:eastAsia="zh-CN"/>
              </w:rPr>
              <w:t>添加新鲜堆肥原料。含水量控制在40%~50%。为减少养分损失，物料温度控制在50℃以下，可通过调节物料层高控制堆温度。pH值应控制在5.5～8.5</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如果pH值超出范围，需进行调节。</w:t>
            </w:r>
          </w:p>
          <w:p w14:paraId="60EE37D7">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二次发酵周期一般为15d～30d。发酵终止时，腐熟堆肥应符合下列要求：a)外观颜色为褐色</w:t>
            </w:r>
            <w:r>
              <w:rPr>
                <w:rFonts w:hint="default" w:ascii="Times New Roman" w:hAnsi="Times New Roman" w:cs="Times New Roman"/>
                <w:color w:val="auto"/>
                <w:sz w:val="24"/>
                <w:lang w:val="en-US" w:eastAsia="zh-CN"/>
              </w:rPr>
              <w:t>或</w:t>
            </w:r>
            <w:r>
              <w:rPr>
                <w:rFonts w:hint="default" w:ascii="Times New Roman" w:hAnsi="Times New Roman" w:eastAsia="宋体" w:cs="Times New Roman"/>
                <w:color w:val="auto"/>
                <w:sz w:val="24"/>
                <w:lang w:val="en-US" w:eastAsia="zh-CN"/>
              </w:rPr>
              <w:t>灰褐色、疏松、无臭味、无机械杂质；b)含水率宜小于30%</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c)碳氮比</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C/N</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小于20:1</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d</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耗氧速率趋于稳定。</w:t>
            </w:r>
          </w:p>
          <w:p w14:paraId="326D3CD0">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发酵车间为</w:t>
            </w:r>
            <w:r>
              <w:rPr>
                <w:rFonts w:hint="eastAsia" w:cs="Times New Roman"/>
                <w:color w:val="auto"/>
                <w:sz w:val="24"/>
                <w:lang w:val="en-US" w:eastAsia="zh-CN"/>
              </w:rPr>
              <w:t>全</w:t>
            </w:r>
            <w:r>
              <w:rPr>
                <w:rFonts w:hint="default" w:ascii="Times New Roman" w:hAnsi="Times New Roman" w:eastAsia="宋体" w:cs="Times New Roman"/>
                <w:color w:val="auto"/>
                <w:sz w:val="24"/>
                <w:lang w:val="en-US" w:eastAsia="zh-CN"/>
              </w:rPr>
              <w:t>封闭，恶臭气体经引风机引至车间外生物除臭装置</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过滤法</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处理后，经15m高排气筒排放。</w:t>
            </w:r>
          </w:p>
          <w:p w14:paraId="50EC957A">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lang w:val="en-US" w:eastAsia="zh-CN"/>
              </w:rPr>
              <w:t>粉碎、筛分</w:t>
            </w:r>
          </w:p>
          <w:p w14:paraId="440AA7AB">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将完成二次发酵后所得粗品经过皮带运输机送入粉碎机进行粉碎，然后通过输送皮带输送至滚动筛进行筛分，进入造粒机造粒，该过程中会产生粉尘及噪声。</w:t>
            </w:r>
          </w:p>
          <w:p w14:paraId="647B6799">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造粒</w:t>
            </w:r>
          </w:p>
          <w:p w14:paraId="3ACFE760">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筛分后剩下的生物有机肥由圆盘喂料机均匀的喂入抗挤压造粒中制成柱状颗粒；柱状颗粒整形机将柱状颗粒</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直径和长度相等</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抛光整形成球状颗粒，这一工序的主要污染物为粉尘。</w:t>
            </w:r>
          </w:p>
          <w:p w14:paraId="1BC54B1A">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（6）</w:t>
            </w:r>
            <w:r>
              <w:rPr>
                <w:rFonts w:hint="default" w:ascii="Times New Roman" w:hAnsi="Times New Roman" w:eastAsia="宋体" w:cs="Times New Roman"/>
                <w:color w:val="auto"/>
                <w:sz w:val="24"/>
                <w:lang w:val="en-US" w:eastAsia="zh-CN"/>
              </w:rPr>
              <w:t>烘干</w:t>
            </w:r>
          </w:p>
          <w:p w14:paraId="683EC83C">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烘干机由生物质热风炉提供热源，生物质热风炉直接加热自然风使其成为热风，热风进入烘干机与粒状肥接触，进而达到干燥粒状肥料的作用。该过程产生的污染物主要为生物质颗粒燃烧产生的粉尘、SO₂、NOx及噪声。</w:t>
            </w:r>
          </w:p>
          <w:p w14:paraId="7A9BB668">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（7）</w:t>
            </w:r>
            <w:r>
              <w:rPr>
                <w:rFonts w:hint="default" w:ascii="Times New Roman" w:hAnsi="Times New Roman" w:eastAsia="宋体" w:cs="Times New Roman"/>
                <w:color w:val="auto"/>
                <w:sz w:val="24"/>
                <w:lang w:val="en-US" w:eastAsia="zh-CN"/>
              </w:rPr>
              <w:t>冷却</w:t>
            </w:r>
          </w:p>
          <w:p w14:paraId="717CA416">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冷却机用风机引进自然风对粒状肥冷却，自然风与粒状肥接触，从而达到冷却的目的。</w:t>
            </w:r>
          </w:p>
          <w:p w14:paraId="43215883">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（8）</w:t>
            </w:r>
            <w:r>
              <w:rPr>
                <w:rFonts w:hint="default" w:ascii="Times New Roman" w:hAnsi="Times New Roman" w:eastAsia="宋体" w:cs="Times New Roman"/>
                <w:color w:val="auto"/>
                <w:sz w:val="24"/>
                <w:lang w:val="en-US" w:eastAsia="zh-CN"/>
              </w:rPr>
              <w:t>二次筛分</w:t>
            </w:r>
          </w:p>
          <w:p w14:paraId="1D047BB8">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造粒后的颗粒通过输送皮带输送至滚动筛进行二次筛分，筛分合格的产品直接计量包装，不合格的产品再次进行粉碎筛分。二次筛分产生的污染物主要为粉尘。</w:t>
            </w:r>
          </w:p>
          <w:p w14:paraId="1734F2A0">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本项目生物有机肥精加工过程中粉碎、筛分产生的粉尘，</w:t>
            </w:r>
            <w:r>
              <w:rPr>
                <w:rFonts w:hint="eastAsia" w:cs="Times New Roman"/>
                <w:color w:val="auto"/>
                <w:sz w:val="24"/>
                <w:lang w:val="en-US" w:eastAsia="zh-CN"/>
              </w:rPr>
              <w:t>在车间外的输送采用皮带输送，皮带廊道全封闭，车间内粉尘自然沉降，车间全封闭</w:t>
            </w:r>
            <w:r>
              <w:rPr>
                <w:rFonts w:hint="default" w:ascii="Times New Roman" w:hAnsi="Times New Roman" w:eastAsia="宋体" w:cs="Times New Roman"/>
                <w:color w:val="auto"/>
                <w:sz w:val="24"/>
                <w:lang w:val="en-US" w:eastAsia="zh-CN"/>
              </w:rPr>
              <w:t>。项目烘干、冷却工序均在密闭设备中进行，生物质燃料燃烧产生的粉尘通过引风机+迷宫式重力除尘室+水洗涤喷淋塔+15m高排气筒排放。</w:t>
            </w:r>
          </w:p>
          <w:p w14:paraId="21DBC88C">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项目生物有机肥生产总体工艺流程图见图2-</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w:t>
            </w:r>
          </w:p>
          <w:p w14:paraId="0036669C">
            <w:pPr>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object>
                <v:shape id="_x0000_i1031" o:spt="75" type="#_x0000_t75" style="height:490.55pt;width:419.6pt;" o:ole="t" filled="f" o:preferrelative="t" stroked="f" coordsize="21600,21600">
                  <v:path/>
                  <v:fill on="f" focussize="0,0"/>
                  <v:stroke on="f"/>
                  <v:imagedata r:id="rId22" o:title=""/>
                  <o:lock v:ext="edit" aspectratio="f"/>
                  <w10:wrap type="none"/>
                  <w10:anchorlock/>
                </v:shape>
                <o:OLEObject Type="Embed" ProgID="Visio.Drawing.15" ShapeID="_x0000_i1031" DrawAspect="Content" ObjectID="_1468075731" r:id="rId21">
                  <o:LockedField>false</o:LockedField>
                </o:OLEObject>
              </w:object>
            </w:r>
          </w:p>
          <w:p w14:paraId="07D233ED">
            <w:pPr>
              <w:spacing w:line="360" w:lineRule="auto"/>
              <w:ind w:firstLine="480"/>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图2-5  有机肥生产工艺流程图</w:t>
            </w:r>
          </w:p>
          <w:p w14:paraId="0176EDB1">
            <w:pPr>
              <w:spacing w:line="360" w:lineRule="auto"/>
              <w:ind w:firstLine="480"/>
              <w:jc w:val="center"/>
              <w:rPr>
                <w:rFonts w:hint="default" w:ascii="Times New Roman" w:hAnsi="Times New Roman" w:eastAsia="黑体" w:cs="Times New Roman"/>
                <w:b w:val="0"/>
                <w:bCs w:val="0"/>
                <w:color w:val="auto"/>
                <w:kern w:val="2"/>
                <w:sz w:val="21"/>
                <w:szCs w:val="21"/>
                <w:lang w:val="en-US" w:eastAsia="zh-CN" w:bidi="ar-SA"/>
              </w:rPr>
            </w:pPr>
          </w:p>
          <w:p w14:paraId="1E833867">
            <w:pPr>
              <w:pStyle w:val="46"/>
              <w:numPr>
                <w:ilvl w:val="1"/>
                <w:numId w:val="0"/>
              </w:numPr>
              <w:tabs>
                <w:tab w:val="clear" w:pos="360"/>
              </w:tabs>
              <w:ind w:leftChars="0"/>
              <w:rPr>
                <w:rFonts w:hint="default" w:ascii="Times New Roman" w:hAnsi="Times New Roman" w:cs="Times New Roman"/>
                <w:color w:val="auto"/>
                <w:lang w:val="en-US" w:eastAsia="zh-CN"/>
              </w:rPr>
            </w:pPr>
          </w:p>
        </w:tc>
      </w:tr>
      <w:tr w14:paraId="7E915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3" w:hRule="atLeast"/>
          <w:jc w:val="center"/>
        </w:trPr>
        <w:tc>
          <w:tcPr>
            <w:tcW w:w="447" w:type="dxa"/>
            <w:tcBorders>
              <w:tl2br w:val="nil"/>
              <w:tr2bl w:val="nil"/>
            </w:tcBorders>
            <w:shd w:val="clear" w:color="auto" w:fill="auto"/>
            <w:noWrap w:val="0"/>
            <w:vAlign w:val="center"/>
          </w:tcPr>
          <w:p w14:paraId="0214A68A">
            <w:pPr>
              <w:pStyle w:val="31"/>
              <w:adjustRightInd w:val="0"/>
              <w:snapToGrid w:val="0"/>
              <w:spacing w:before="0" w:beforeAutospacing="0" w:after="0" w:afterAutospacing="0"/>
              <w:jc w:val="center"/>
              <w:rPr>
                <w:rFonts w:hint="default" w:ascii="Times New Roman" w:hAnsi="Times New Roman" w:eastAsia="宋体" w:cs="Times New Roman"/>
                <w:b/>
                <w:bCs/>
                <w:color w:val="auto"/>
                <w:kern w:val="2"/>
                <w:szCs w:val="24"/>
              </w:rPr>
            </w:pPr>
            <w:r>
              <w:rPr>
                <w:rFonts w:hint="default" w:ascii="Times New Roman" w:hAnsi="Times New Roman" w:eastAsia="宋体" w:cs="Times New Roman"/>
                <w:b/>
                <w:bCs/>
                <w:color w:val="auto"/>
                <w:kern w:val="2"/>
                <w:szCs w:val="24"/>
              </w:rPr>
              <w:t>与项目有关的原有环境污染问题</w:t>
            </w:r>
          </w:p>
        </w:tc>
        <w:tc>
          <w:tcPr>
            <w:tcW w:w="8613" w:type="dxa"/>
            <w:tcBorders>
              <w:tl2br w:val="nil"/>
              <w:tr2bl w:val="nil"/>
            </w:tcBorders>
            <w:shd w:val="clear" w:color="auto" w:fill="auto"/>
            <w:noWrap w:val="0"/>
            <w:vAlign w:val="top"/>
          </w:tcPr>
          <w:p w14:paraId="0D1D2276">
            <w:pPr>
              <w:pStyle w:val="19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经现场调查，项目在建设过程中无环保违法行为，施工期废气、噪声、废水、施工固体废物等未见遗留。经现场调查，项目雨水导排系统未建设，环评要求在厂区建设雨水导排渠，设置初期雨水收集池，收集初期雨水，将后期雨水排入西侧道路雨水渠。在项目东侧设置挡水墙，防止场内雨水等排入沟渠。</w:t>
            </w:r>
          </w:p>
          <w:p w14:paraId="30F88246">
            <w:pPr>
              <w:pStyle w:val="193"/>
              <w:bidi w:val="0"/>
              <w:rPr>
                <w:rFonts w:hint="default" w:ascii="Times New Roman" w:hAnsi="Times New Roman" w:cs="Times New Roman"/>
                <w:color w:val="auto"/>
                <w:lang w:val="en-US" w:eastAsia="zh-CN"/>
              </w:rPr>
            </w:pPr>
          </w:p>
        </w:tc>
      </w:tr>
    </w:tbl>
    <w:p w14:paraId="213CFCCB">
      <w:pPr>
        <w:pStyle w:val="31"/>
        <w:jc w:val="both"/>
        <w:rPr>
          <w:rFonts w:hint="default" w:ascii="Times New Roman" w:hAnsi="Times New Roman" w:eastAsia="宋体" w:cs="Times New Roman"/>
          <w:snapToGrid w:val="0"/>
          <w:color w:val="auto"/>
          <w:sz w:val="24"/>
          <w:szCs w:val="24"/>
        </w:rPr>
      </w:pPr>
    </w:p>
    <w:p w14:paraId="2C4715F5">
      <w:pPr>
        <w:pStyle w:val="31"/>
        <w:jc w:val="center"/>
        <w:rPr>
          <w:rFonts w:hint="default" w:ascii="Times New Roman" w:hAnsi="Times New Roman" w:eastAsia="宋体" w:cs="Times New Roman"/>
          <w:snapToGrid w:val="0"/>
          <w:color w:val="auto"/>
          <w:sz w:val="36"/>
          <w:szCs w:val="36"/>
        </w:rPr>
        <w:sectPr>
          <w:footerReference r:id="rId4"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2FC337D">
      <w:pPr>
        <w:pStyle w:val="31"/>
        <w:jc w:val="both"/>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b/>
          <w:bCs/>
          <w:snapToGrid w:val="0"/>
          <w:color w:val="auto"/>
          <w:sz w:val="30"/>
          <w:szCs w:val="30"/>
        </w:rPr>
        <w:t>三、区域环境质量现状、环境保护目标及评价标准</w:t>
      </w:r>
    </w:p>
    <w:tbl>
      <w:tblPr>
        <w:tblStyle w:val="3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539"/>
      </w:tblGrid>
      <w:tr w14:paraId="6D253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5C5E3B6C">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区域</w:t>
            </w:r>
          </w:p>
          <w:p w14:paraId="557C6619">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环境</w:t>
            </w:r>
          </w:p>
          <w:p w14:paraId="0D2483C5">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质量</w:t>
            </w:r>
          </w:p>
          <w:p w14:paraId="0F533EAB">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kern w:val="0"/>
                <w:sz w:val="24"/>
              </w:rPr>
              <w:t>现状</w:t>
            </w:r>
          </w:p>
        </w:tc>
        <w:tc>
          <w:tcPr>
            <w:tcW w:w="8190" w:type="dxa"/>
            <w:noWrap w:val="0"/>
            <w:vAlign w:val="center"/>
          </w:tcPr>
          <w:p w14:paraId="56D3A517">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一、环境质量现状</w:t>
            </w:r>
          </w:p>
          <w:p w14:paraId="241B63F0">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1、环境空气质量现状</w:t>
            </w:r>
          </w:p>
          <w:p w14:paraId="5A8CC4C3">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环境影响评价技术导则-大气环境》（HJ2.2-2018）中6.2数据来源中显示：基本污染物环境质量现状数据，优先采用国家或地方生态环境主管部门公开发布的评价基准年环境质量公告或环境质量报告中的数据或结论。</w:t>
            </w:r>
          </w:p>
          <w:p w14:paraId="2E5E2330">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1.1基本污染物</w:t>
            </w:r>
          </w:p>
          <w:p w14:paraId="704D044F">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FF"/>
              </w:rPr>
            </w:pPr>
            <w:r>
              <w:rPr>
                <w:rFonts w:hint="default" w:ascii="Times New Roman" w:hAnsi="Times New Roman" w:eastAsia="宋体" w:cs="Times New Roman"/>
                <w:color w:val="auto"/>
                <w:kern w:val="0"/>
                <w:sz w:val="24"/>
              </w:rPr>
              <w:t>项目所在区域达标判断依据《环境影响评价技术导则—大气环境》（HJ2.2-2018）“6.4评价内容与方法”中“6.4.1.1城市环境空气质量达标情况评价指标为SO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、NO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2.5</w:t>
            </w:r>
            <w:r>
              <w:rPr>
                <w:rFonts w:hint="default" w:ascii="Times New Roman" w:hAnsi="Times New Roman" w:eastAsia="宋体" w:cs="Times New Roman"/>
                <w:color w:val="auto"/>
                <w:kern w:val="0"/>
                <w:sz w:val="24"/>
              </w:rPr>
              <w:t>、CO和O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，六项污染物全部达标即为城市环境空气质量达标”。根据庆阳市生态环境局202</w:t>
            </w:r>
            <w:r>
              <w:rPr>
                <w:rFonts w:hint="default" w:ascii="Times New Roman" w:hAnsi="Times New Roman" w:cs="Times New Roman"/>
                <w:color w:val="auto"/>
                <w:kern w:val="0"/>
                <w:sz w:val="24"/>
                <w:lang w:val="en-US" w:eastAsia="zh-CN"/>
              </w:rPr>
              <w:t>4</w:t>
            </w:r>
            <w:r>
              <w:rPr>
                <w:rFonts w:hint="default" w:ascii="Times New Roman" w:hAnsi="Times New Roman" w:eastAsia="宋体" w:cs="Times New Roman"/>
                <w:color w:val="auto"/>
                <w:kern w:val="0"/>
                <w:sz w:val="24"/>
              </w:rPr>
              <w:t>年1</w:t>
            </w:r>
            <w:r>
              <w:rPr>
                <w:rFonts w:hint="default" w:ascii="Times New Roman" w:hAnsi="Times New Roman" w:cs="Times New Roman"/>
                <w:color w:val="auto"/>
                <w:kern w:val="0"/>
                <w:sz w:val="24"/>
                <w:lang w:val="en-US" w:eastAsia="zh-CN"/>
              </w:rPr>
              <w:t>-6</w:t>
            </w:r>
            <w:r>
              <w:rPr>
                <w:rFonts w:hint="default" w:ascii="Times New Roman" w:hAnsi="Times New Roman" w:eastAsia="宋体" w:cs="Times New Roman"/>
                <w:color w:val="auto"/>
                <w:kern w:val="0"/>
                <w:sz w:val="24"/>
              </w:rPr>
              <w:t>月公布的庆阳市空气质量状况</w:t>
            </w:r>
            <w:r>
              <w:rPr>
                <w:rFonts w:hint="default" w:ascii="Times New Roman" w:hAnsi="Times New Roman" w:cs="Times New Roman"/>
                <w:color w:val="auto"/>
                <w:kern w:val="0"/>
                <w:sz w:val="24"/>
                <w:lang w:eastAsia="zh-CN"/>
              </w:rPr>
              <w:t>，</w:t>
            </w:r>
            <w:r>
              <w:rPr>
                <w:rFonts w:hint="default" w:ascii="Times New Roman" w:hAnsi="Times New Roman" w:cs="Times New Roman"/>
                <w:color w:val="auto"/>
                <w:sz w:val="24"/>
                <w:highlight w:val="none"/>
                <w:shd w:val="clear" w:color="auto" w:fill="FFFFFF"/>
                <w:lang w:val="en-US" w:eastAsia="zh-CN"/>
              </w:rPr>
              <w:t>宁县</w:t>
            </w:r>
            <w:r>
              <w:rPr>
                <w:rFonts w:hint="default" w:ascii="Times New Roman" w:hAnsi="Times New Roman" w:eastAsia="宋体" w:cs="Times New Roman"/>
                <w:color w:val="auto"/>
                <w:sz w:val="24"/>
                <w:highlight w:val="none"/>
                <w:shd w:val="clear" w:color="auto" w:fill="FFFFFF"/>
              </w:rPr>
              <w:t>20</w:t>
            </w:r>
            <w:r>
              <w:rPr>
                <w:rFonts w:hint="default" w:ascii="Times New Roman" w:hAnsi="Times New Roman" w:eastAsia="宋体" w:cs="Times New Roman"/>
                <w:color w:val="auto"/>
                <w:sz w:val="24"/>
                <w:highlight w:val="none"/>
                <w:shd w:val="clear" w:color="auto" w:fill="FFFFFF"/>
                <w:lang w:val="en-US" w:eastAsia="zh-CN"/>
              </w:rPr>
              <w:t>2</w:t>
            </w:r>
            <w:r>
              <w:rPr>
                <w:rFonts w:hint="default" w:ascii="Times New Roman" w:hAnsi="Times New Roman" w:cs="Times New Roman"/>
                <w:color w:val="auto"/>
                <w:sz w:val="24"/>
                <w:highlight w:val="none"/>
                <w:shd w:val="clear" w:color="auto" w:fill="FFFFFF"/>
                <w:lang w:val="en-US" w:eastAsia="zh-CN"/>
              </w:rPr>
              <w:t>4</w:t>
            </w:r>
            <w:r>
              <w:rPr>
                <w:rFonts w:hint="default" w:ascii="Times New Roman" w:hAnsi="Times New Roman" w:eastAsia="宋体" w:cs="Times New Roman"/>
                <w:color w:val="auto"/>
                <w:sz w:val="24"/>
                <w:highlight w:val="none"/>
                <w:shd w:val="clear" w:color="auto" w:fill="FFFFFF"/>
              </w:rPr>
              <w:t>评价基准年空气质量现状评价表见表3-1。</w:t>
            </w:r>
          </w:p>
          <w:p w14:paraId="3591E913">
            <w:pPr>
              <w:ind w:firstLine="420" w:firstLineChars="200"/>
              <w:jc w:val="center"/>
              <w:rPr>
                <w:rFonts w:hint="default" w:ascii="Times New Roman" w:hAnsi="Times New Roman" w:eastAsia="黑体" w:cs="Times New Roman"/>
                <w:b w:val="0"/>
                <w:bCs w:val="0"/>
                <w:color w:val="auto"/>
                <w:highlight w:val="none"/>
              </w:rPr>
            </w:pPr>
            <w:r>
              <w:rPr>
                <w:rFonts w:hint="default" w:ascii="Times New Roman" w:hAnsi="Times New Roman" w:eastAsia="黑体" w:cs="Times New Roman"/>
                <w:b w:val="0"/>
                <w:bCs w:val="0"/>
                <w:color w:val="auto"/>
                <w:szCs w:val="21"/>
                <w:highlight w:val="none"/>
              </w:rPr>
              <w:t xml:space="preserve">表3-1  </w:t>
            </w:r>
            <w:r>
              <w:rPr>
                <w:rFonts w:hint="default" w:ascii="Times New Roman" w:hAnsi="Times New Roman" w:eastAsia="黑体" w:cs="Times New Roman"/>
                <w:b w:val="0"/>
                <w:bCs w:val="0"/>
                <w:color w:val="auto"/>
                <w:szCs w:val="21"/>
                <w:highlight w:val="none"/>
                <w:lang w:val="en-US" w:eastAsia="zh-CN"/>
              </w:rPr>
              <w:t>宁县</w:t>
            </w:r>
            <w:r>
              <w:rPr>
                <w:rFonts w:hint="default" w:ascii="Times New Roman" w:hAnsi="Times New Roman" w:eastAsia="黑体" w:cs="Times New Roman"/>
                <w:b w:val="0"/>
                <w:bCs w:val="0"/>
                <w:color w:val="auto"/>
                <w:szCs w:val="21"/>
                <w:highlight w:val="none"/>
              </w:rPr>
              <w:t>空气质量现状值</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4"/>
              <w:gridCol w:w="773"/>
              <w:gridCol w:w="1827"/>
              <w:gridCol w:w="1276"/>
              <w:gridCol w:w="1332"/>
              <w:gridCol w:w="1023"/>
              <w:gridCol w:w="685"/>
              <w:gridCol w:w="928"/>
            </w:tblGrid>
            <w:tr w14:paraId="56B3F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74F98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区域</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AF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污染</w:t>
                  </w:r>
                  <w:r>
                    <w:rPr>
                      <w:rFonts w:hint="default" w:ascii="Times New Roman" w:hAnsi="Times New Roman" w:cs="Times New Roman" w:eastAsiaTheme="minorEastAsia"/>
                      <w:b/>
                      <w:bCs/>
                      <w:i w:val="0"/>
                      <w:iCs w:val="0"/>
                      <w:color w:val="auto"/>
                      <w:kern w:val="0"/>
                      <w:sz w:val="18"/>
                      <w:szCs w:val="18"/>
                      <w:u w:val="none"/>
                      <w:lang w:val="en-US" w:eastAsia="zh-CN" w:bidi="ar"/>
                    </w:rPr>
                    <w:br w:type="textWrapping"/>
                  </w:r>
                  <w:r>
                    <w:rPr>
                      <w:rFonts w:hint="default" w:ascii="Times New Roman" w:hAnsi="Times New Roman" w:cs="Times New Roman" w:eastAsiaTheme="minorEastAsia"/>
                      <w:b/>
                      <w:bCs/>
                      <w:i w:val="0"/>
                      <w:iCs w:val="0"/>
                      <w:color w:val="auto"/>
                      <w:kern w:val="0"/>
                      <w:sz w:val="18"/>
                      <w:szCs w:val="18"/>
                      <w:u w:val="none"/>
                      <w:lang w:val="en-US" w:eastAsia="zh-CN" w:bidi="ar"/>
                    </w:rPr>
                    <w:t>物</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DA4D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年评价指标</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7118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评价标准</w:t>
                  </w:r>
                  <w:r>
                    <w:rPr>
                      <w:rFonts w:hint="default" w:ascii="Times New Roman" w:hAnsi="Times New Roman" w:cs="Times New Roman" w:eastAsiaTheme="minorEastAsia"/>
                      <w:b/>
                      <w:bCs/>
                      <w:i w:val="0"/>
                      <w:iCs w:val="0"/>
                      <w:color w:val="auto"/>
                      <w:kern w:val="0"/>
                      <w:sz w:val="18"/>
                      <w:szCs w:val="18"/>
                      <w:u w:val="none"/>
                      <w:lang w:val="en-US" w:eastAsia="zh-CN" w:bidi="ar"/>
                    </w:rPr>
                    <w:br w:type="textWrapping"/>
                  </w:r>
                  <w:r>
                    <w:rPr>
                      <w:rFonts w:hint="default" w:ascii="Times New Roman" w:hAnsi="Times New Roman" w:cs="Times New Roman" w:eastAsiaTheme="minorEastAsia"/>
                      <w:b/>
                      <w:bCs/>
                      <w:i w:val="0"/>
                      <w:iCs w:val="0"/>
                      <w:color w:val="auto"/>
                      <w:kern w:val="0"/>
                      <w:sz w:val="18"/>
                      <w:szCs w:val="18"/>
                      <w:u w:val="none"/>
                      <w:lang w:val="en-US" w:eastAsia="zh-CN" w:bidi="ar"/>
                    </w:rPr>
                    <w:t>(μg/m³)</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1E1C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现状浓度</w:t>
                  </w:r>
                  <w:r>
                    <w:rPr>
                      <w:rFonts w:hint="default" w:ascii="Times New Roman" w:hAnsi="Times New Roman" w:cs="Times New Roman" w:eastAsiaTheme="minorEastAsia"/>
                      <w:b/>
                      <w:bCs/>
                      <w:i w:val="0"/>
                      <w:iCs w:val="0"/>
                      <w:color w:val="auto"/>
                      <w:kern w:val="0"/>
                      <w:sz w:val="18"/>
                      <w:szCs w:val="18"/>
                      <w:u w:val="none"/>
                      <w:lang w:val="en-US" w:eastAsia="zh-CN" w:bidi="ar"/>
                    </w:rPr>
                    <w:br w:type="textWrapping"/>
                  </w:r>
                  <w:r>
                    <w:rPr>
                      <w:rFonts w:hint="default" w:ascii="Times New Roman" w:hAnsi="Times New Roman" w:cs="Times New Roman" w:eastAsiaTheme="minorEastAsia"/>
                      <w:b/>
                      <w:bCs/>
                      <w:i w:val="0"/>
                      <w:iCs w:val="0"/>
                      <w:color w:val="auto"/>
                      <w:kern w:val="0"/>
                      <w:sz w:val="18"/>
                      <w:szCs w:val="18"/>
                      <w:u w:val="none"/>
                      <w:lang w:val="en-US" w:eastAsia="zh-CN" w:bidi="ar"/>
                    </w:rPr>
                    <w:t>(μg/m³)</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06BD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占标率</w:t>
                  </w:r>
                  <w:r>
                    <w:rPr>
                      <w:rFonts w:hint="default" w:ascii="Times New Roman" w:hAnsi="Times New Roman" w:cs="Times New Roman" w:eastAsiaTheme="minorEastAsia"/>
                      <w:b/>
                      <w:bCs/>
                      <w:i w:val="0"/>
                      <w:iCs w:val="0"/>
                      <w:color w:val="auto"/>
                      <w:kern w:val="0"/>
                      <w:sz w:val="18"/>
                      <w:szCs w:val="18"/>
                      <w:u w:val="none"/>
                      <w:lang w:val="en-US" w:eastAsia="zh-CN" w:bidi="ar"/>
                    </w:rPr>
                    <w:br w:type="textWrapping"/>
                  </w:r>
                  <w:r>
                    <w:rPr>
                      <w:rFonts w:hint="default" w:ascii="Times New Roman" w:hAnsi="Times New Roman" w:cs="Times New Roman" w:eastAsiaTheme="minorEastAsia"/>
                      <w:b/>
                      <w:bCs/>
                      <w:i w:val="0"/>
                      <w:iCs w:val="0"/>
                      <w:color w:val="auto"/>
                      <w:kern w:val="0"/>
                      <w:sz w:val="18"/>
                      <w:szCs w:val="18"/>
                      <w:u w:val="none"/>
                      <w:lang w:val="en-US" w:eastAsia="zh-CN" w:bidi="ar"/>
                    </w:rPr>
                    <w:t>(%)</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816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超标</w:t>
                  </w:r>
                  <w:r>
                    <w:rPr>
                      <w:rFonts w:hint="default" w:ascii="Times New Roman" w:hAnsi="Times New Roman" w:cs="Times New Roman" w:eastAsiaTheme="minorEastAsia"/>
                      <w:b/>
                      <w:bCs/>
                      <w:i w:val="0"/>
                      <w:iCs w:val="0"/>
                      <w:color w:val="auto"/>
                      <w:kern w:val="0"/>
                      <w:sz w:val="18"/>
                      <w:szCs w:val="18"/>
                      <w:u w:val="none"/>
                      <w:lang w:val="en-US" w:eastAsia="zh-CN" w:bidi="ar"/>
                    </w:rPr>
                    <w:br w:type="textWrapping"/>
                  </w:r>
                  <w:r>
                    <w:rPr>
                      <w:rFonts w:hint="default" w:ascii="Times New Roman" w:hAnsi="Times New Roman" w:cs="Times New Roman" w:eastAsiaTheme="minorEastAsia"/>
                      <w:b/>
                      <w:bCs/>
                      <w:i w:val="0"/>
                      <w:iCs w:val="0"/>
                      <w:color w:val="auto"/>
                      <w:kern w:val="0"/>
                      <w:sz w:val="18"/>
                      <w:szCs w:val="18"/>
                      <w:u w:val="none"/>
                      <w:lang w:val="en-US" w:eastAsia="zh-CN" w:bidi="ar"/>
                    </w:rPr>
                    <w:t>倍数</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7107BAF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b/>
                      <w:bCs/>
                      <w:i w:val="0"/>
                      <w:iCs w:val="0"/>
                      <w:color w:val="auto"/>
                      <w:sz w:val="18"/>
                      <w:szCs w:val="18"/>
                      <w:u w:val="none"/>
                    </w:rPr>
                  </w:pPr>
                  <w:r>
                    <w:rPr>
                      <w:rFonts w:hint="default" w:ascii="Times New Roman" w:hAnsi="Times New Roman" w:cs="Times New Roman" w:eastAsiaTheme="minorEastAsia"/>
                      <w:b/>
                      <w:bCs/>
                      <w:i w:val="0"/>
                      <w:iCs w:val="0"/>
                      <w:color w:val="auto"/>
                      <w:kern w:val="0"/>
                      <w:sz w:val="18"/>
                      <w:szCs w:val="18"/>
                      <w:u w:val="none"/>
                      <w:lang w:val="en-US" w:eastAsia="zh-CN" w:bidi="ar"/>
                    </w:rPr>
                    <w:t>达标</w:t>
                  </w:r>
                  <w:r>
                    <w:rPr>
                      <w:rFonts w:hint="default" w:ascii="Times New Roman" w:hAnsi="Times New Roman" w:cs="Times New Roman" w:eastAsiaTheme="minorEastAsia"/>
                      <w:b/>
                      <w:bCs/>
                      <w:i w:val="0"/>
                      <w:iCs w:val="0"/>
                      <w:color w:val="auto"/>
                      <w:kern w:val="0"/>
                      <w:sz w:val="18"/>
                      <w:szCs w:val="18"/>
                      <w:u w:val="none"/>
                      <w:lang w:val="en-US" w:eastAsia="zh-CN" w:bidi="ar"/>
                    </w:rPr>
                    <w:br w:type="textWrapping"/>
                  </w:r>
                  <w:r>
                    <w:rPr>
                      <w:rFonts w:hint="default" w:ascii="Times New Roman" w:hAnsi="Times New Roman" w:cs="Times New Roman" w:eastAsiaTheme="minorEastAsia"/>
                      <w:b/>
                      <w:bCs/>
                      <w:i w:val="0"/>
                      <w:iCs w:val="0"/>
                      <w:color w:val="auto"/>
                      <w:kern w:val="0"/>
                      <w:sz w:val="18"/>
                      <w:szCs w:val="18"/>
                      <w:u w:val="none"/>
                      <w:lang w:val="en-US" w:eastAsia="zh-CN" w:bidi="ar"/>
                    </w:rPr>
                    <w:t xml:space="preserve">  情况</w:t>
                  </w:r>
                </w:p>
              </w:tc>
            </w:tr>
            <w:tr w14:paraId="38917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85" w:type="pct"/>
                  <w:vMerge w:val="restart"/>
                  <w:tcBorders>
                    <w:top w:val="single" w:color="000000" w:sz="4" w:space="0"/>
                    <w:left w:val="nil"/>
                    <w:bottom w:val="single" w:color="000000" w:sz="4" w:space="0"/>
                    <w:right w:val="single" w:color="000000" w:sz="4" w:space="0"/>
                  </w:tcBorders>
                  <w:shd w:val="clear" w:color="auto" w:fill="auto"/>
                  <w:textDirection w:val="tbRlV"/>
                  <w:vAlign w:val="center"/>
                </w:tcPr>
                <w:p w14:paraId="0B805F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宁县</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21B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SO₂</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ED31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年平均质量浓度</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9C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60</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327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9</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5AB4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15.00%</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53F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0</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7CA1FC9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达标</w:t>
                  </w:r>
                </w:p>
              </w:tc>
            </w:tr>
            <w:tr w14:paraId="4A31E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85" w:type="pct"/>
                  <w:vMerge w:val="continue"/>
                  <w:tcBorders>
                    <w:top w:val="single" w:color="000000" w:sz="4" w:space="0"/>
                    <w:left w:val="nil"/>
                    <w:bottom w:val="single" w:color="000000" w:sz="4" w:space="0"/>
                    <w:right w:val="single" w:color="000000" w:sz="4" w:space="0"/>
                  </w:tcBorders>
                  <w:shd w:val="clear" w:color="auto" w:fill="auto"/>
                  <w:textDirection w:val="tbRlV"/>
                  <w:vAlign w:val="center"/>
                </w:tcPr>
                <w:p w14:paraId="0ED17D9C">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eastAsiaTheme="minorEastAsia"/>
                      <w:i w:val="0"/>
                      <w:iCs w:val="0"/>
                      <w:color w:val="auto"/>
                      <w:sz w:val="18"/>
                      <w:szCs w:val="18"/>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921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NO₂</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AEA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年平均质量浓度</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7A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40</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F155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14</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72C7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35.00%</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7AE1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0</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3B41B3F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达标</w:t>
                  </w:r>
                </w:p>
              </w:tc>
            </w:tr>
            <w:tr w14:paraId="232E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85" w:type="pct"/>
                  <w:vMerge w:val="continue"/>
                  <w:tcBorders>
                    <w:top w:val="single" w:color="000000" w:sz="4" w:space="0"/>
                    <w:left w:val="nil"/>
                    <w:bottom w:val="single" w:color="000000" w:sz="4" w:space="0"/>
                    <w:right w:val="single" w:color="000000" w:sz="4" w:space="0"/>
                  </w:tcBorders>
                  <w:shd w:val="clear" w:color="auto" w:fill="auto"/>
                  <w:textDirection w:val="tbRlV"/>
                  <w:vAlign w:val="center"/>
                </w:tcPr>
                <w:p w14:paraId="7890DDA3">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eastAsiaTheme="minorEastAsia"/>
                      <w:i w:val="0"/>
                      <w:iCs w:val="0"/>
                      <w:color w:val="auto"/>
                      <w:sz w:val="18"/>
                      <w:szCs w:val="18"/>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E4E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PMio</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7BB9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年平均质量浓度</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03BD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70</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D95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lang w:val="en-US"/>
                    </w:rPr>
                  </w:pPr>
                  <w:r>
                    <w:rPr>
                      <w:rFonts w:hint="default" w:ascii="Times New Roman" w:hAnsi="Times New Roman" w:cs="Times New Roman" w:eastAsiaTheme="minorEastAsia"/>
                      <w:i w:val="0"/>
                      <w:iCs w:val="0"/>
                      <w:color w:val="auto"/>
                      <w:kern w:val="0"/>
                      <w:sz w:val="18"/>
                      <w:szCs w:val="18"/>
                      <w:u w:val="none"/>
                      <w:lang w:val="en-US" w:eastAsia="zh-CN" w:bidi="ar"/>
                    </w:rPr>
                    <w:t>30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3D4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75.00%</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DFA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0</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23FDFEF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达标</w:t>
                  </w:r>
                </w:p>
              </w:tc>
            </w:tr>
            <w:tr w14:paraId="1C73C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85" w:type="pct"/>
                  <w:vMerge w:val="continue"/>
                  <w:tcBorders>
                    <w:top w:val="single" w:color="000000" w:sz="4" w:space="0"/>
                    <w:left w:val="nil"/>
                    <w:bottom w:val="single" w:color="000000" w:sz="4" w:space="0"/>
                    <w:right w:val="single" w:color="000000" w:sz="4" w:space="0"/>
                  </w:tcBorders>
                  <w:shd w:val="clear" w:color="auto" w:fill="auto"/>
                  <w:textDirection w:val="tbRlV"/>
                  <w:vAlign w:val="center"/>
                </w:tcPr>
                <w:p w14:paraId="4C8B2D8B">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eastAsiaTheme="minorEastAsia"/>
                      <w:i w:val="0"/>
                      <w:iCs w:val="0"/>
                      <w:color w:val="auto"/>
                      <w:sz w:val="18"/>
                      <w:szCs w:val="18"/>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736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PM₂5</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648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年平均质量浓度</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0FD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35</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549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lang w:val="en-US"/>
                    </w:rPr>
                  </w:pPr>
                  <w:r>
                    <w:rPr>
                      <w:rFonts w:hint="default" w:ascii="Times New Roman" w:hAnsi="Times New Roman" w:cs="Times New Roman" w:eastAsiaTheme="minorEastAsia"/>
                      <w:i w:val="0"/>
                      <w:iCs w:val="0"/>
                      <w:color w:val="auto"/>
                      <w:kern w:val="0"/>
                      <w:sz w:val="18"/>
                      <w:szCs w:val="18"/>
                      <w:u w:val="none"/>
                      <w:lang w:val="en-US" w:eastAsia="zh-CN" w:bidi="ar"/>
                    </w:rPr>
                    <w:t>18</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BDC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65.71%</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C95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0</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6A31769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达标</w:t>
                  </w:r>
                </w:p>
              </w:tc>
            </w:tr>
            <w:tr w14:paraId="69DC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85" w:type="pct"/>
                  <w:vMerge w:val="continue"/>
                  <w:tcBorders>
                    <w:top w:val="single" w:color="000000" w:sz="4" w:space="0"/>
                    <w:left w:val="nil"/>
                    <w:bottom w:val="single" w:color="000000" w:sz="4" w:space="0"/>
                    <w:right w:val="single" w:color="000000" w:sz="4" w:space="0"/>
                  </w:tcBorders>
                  <w:shd w:val="clear" w:color="auto" w:fill="auto"/>
                  <w:textDirection w:val="tbRlV"/>
                  <w:vAlign w:val="center"/>
                </w:tcPr>
                <w:p w14:paraId="476A7E49">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eastAsiaTheme="minorEastAsia"/>
                      <w:i w:val="0"/>
                      <w:iCs w:val="0"/>
                      <w:color w:val="auto"/>
                      <w:sz w:val="18"/>
                      <w:szCs w:val="18"/>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6E9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C0</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C4A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第95百分位数24h平均浓度</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A03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4(mg/m³)</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7B60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0.8(mg/m³)</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187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20.00%</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0941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0</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165FF5D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达标</w:t>
                  </w:r>
                </w:p>
              </w:tc>
            </w:tr>
            <w:tr w14:paraId="4918B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285" w:type="pct"/>
                  <w:vMerge w:val="continue"/>
                  <w:tcBorders>
                    <w:top w:val="single" w:color="000000" w:sz="4" w:space="0"/>
                    <w:left w:val="nil"/>
                    <w:bottom w:val="single" w:color="000000" w:sz="4" w:space="0"/>
                    <w:right w:val="single" w:color="000000" w:sz="4" w:space="0"/>
                  </w:tcBorders>
                  <w:shd w:val="clear" w:color="auto" w:fill="auto"/>
                  <w:textDirection w:val="tbRlV"/>
                  <w:vAlign w:val="center"/>
                </w:tcPr>
                <w:p w14:paraId="787C9FF8">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cs="Times New Roman" w:eastAsiaTheme="minorEastAsia"/>
                      <w:i w:val="0"/>
                      <w:iCs w:val="0"/>
                      <w:color w:val="auto"/>
                      <w:sz w:val="18"/>
                      <w:szCs w:val="18"/>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020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O₃</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FAC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第90百分位数8h平均浓度</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0637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160</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66196">
                  <w:pPr>
                    <w:keepNext w:val="0"/>
                    <w:keepLines w:val="0"/>
                    <w:pageBreakBefore w:val="0"/>
                    <w:widowControl/>
                    <w:suppressLineNumbers w:val="0"/>
                    <w:kinsoku/>
                    <w:wordWrap/>
                    <w:overflowPunct/>
                    <w:topLinePunct w:val="0"/>
                    <w:autoSpaceDE/>
                    <w:autoSpaceDN/>
                    <w:bidi w:val="0"/>
                    <w:adjustRightInd/>
                    <w:snapToGrid/>
                    <w:spacing w:line="240" w:lineRule="atLeast"/>
                    <w:ind w:firstLineChars="100"/>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122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E426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76.25%</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DFB4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0</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4C6FCF7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cs="Times New Roman" w:eastAsiaTheme="minorEastAsia"/>
                      <w:i w:val="0"/>
                      <w:iCs w:val="0"/>
                      <w:color w:val="auto"/>
                      <w:sz w:val="18"/>
                      <w:szCs w:val="18"/>
                      <w:u w:val="none"/>
                    </w:rPr>
                  </w:pPr>
                  <w:r>
                    <w:rPr>
                      <w:rFonts w:hint="default" w:ascii="Times New Roman" w:hAnsi="Times New Roman" w:cs="Times New Roman" w:eastAsiaTheme="minorEastAsia"/>
                      <w:i w:val="0"/>
                      <w:iCs w:val="0"/>
                      <w:color w:val="auto"/>
                      <w:kern w:val="0"/>
                      <w:sz w:val="18"/>
                      <w:szCs w:val="18"/>
                      <w:u w:val="none"/>
                      <w:lang w:val="en-US" w:eastAsia="zh-CN" w:bidi="ar"/>
                    </w:rPr>
                    <w:t>达标</w:t>
                  </w:r>
                </w:p>
              </w:tc>
            </w:tr>
          </w:tbl>
          <w:p w14:paraId="366B7E2C">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城市环境空气质量达标情况评价指标为：SO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highlight w:val="none"/>
              </w:rPr>
              <w:t>、CO、O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，六项污染物全部达标即为城市环境空气质量达标，根据环境保护部环境工程评估中心基于互联网的环境影响评价技术服务平台-环境空气质量模型技术支持服务系统筛选判定结果为达标区</w:t>
            </w:r>
            <w:r>
              <w:rPr>
                <w:rFonts w:hint="default" w:ascii="Times New Roman" w:hAnsi="Times New Roman" w:eastAsia="宋体" w:cs="Times New Roman"/>
                <w:color w:val="auto"/>
                <w:sz w:val="24"/>
                <w:highlight w:val="none"/>
                <w:lang w:eastAsia="zh-CN"/>
              </w:rPr>
              <w:t>。</w:t>
            </w:r>
          </w:p>
          <w:p w14:paraId="23581569">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声环境质量现状</w:t>
            </w:r>
          </w:p>
          <w:p w14:paraId="7245454B">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建设项目环境影响报告表编制技术指南（污染影响类）厂界外周边50米范围内存在声环境保护目标的建设项目，应监测保护目标声环境质量现状并评价达标情况，该项目50m范围内无声环境保护目标，则项目无需进行声环境质量现状检测。</w:t>
            </w:r>
          </w:p>
          <w:p w14:paraId="2FA0C9AD">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(1)监测点位布设</w:t>
            </w:r>
          </w:p>
          <w:p w14:paraId="0DAF8A27">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本次声环境质量现状监测在厂区四周设6个噪声监测点位，监测点位见表3-</w:t>
            </w:r>
            <w:r>
              <w:rPr>
                <w:rFonts w:hint="default" w:ascii="Times New Roman" w:hAnsi="Times New Roman" w:cs="Times New Roman"/>
                <w:color w:val="auto"/>
                <w:kern w:val="0"/>
                <w:sz w:val="24"/>
                <w:lang w:val="en-US" w:eastAsia="zh-CN"/>
              </w:rPr>
              <w:t>2。</w:t>
            </w:r>
          </w:p>
          <w:p w14:paraId="56C2407C">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表3-2  声环境质量现状监测点名称</w:t>
            </w:r>
          </w:p>
          <w:tbl>
            <w:tblPr>
              <w:tblStyle w:val="35"/>
              <w:tblW w:w="8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2889"/>
              <w:gridCol w:w="4016"/>
            </w:tblGrid>
            <w:tr w14:paraId="1CEF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shd w:val="clear" w:color="auto" w:fill="auto"/>
                  <w:vAlign w:val="top"/>
                </w:tcPr>
                <w:p w14:paraId="4D7625E9">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2"/>
                    </w:rPr>
                    <w:t>序号</w:t>
                  </w:r>
                </w:p>
              </w:tc>
              <w:tc>
                <w:tcPr>
                  <w:tcW w:w="2889" w:type="dxa"/>
                  <w:shd w:val="clear" w:color="auto" w:fill="auto"/>
                  <w:vAlign w:val="top"/>
                </w:tcPr>
                <w:p w14:paraId="785C5B7D">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2"/>
                    </w:rPr>
                    <w:t>监测点位</w:t>
                  </w:r>
                </w:p>
              </w:tc>
              <w:tc>
                <w:tcPr>
                  <w:tcW w:w="4016" w:type="dxa"/>
                  <w:shd w:val="clear" w:color="auto" w:fill="auto"/>
                  <w:vAlign w:val="top"/>
                </w:tcPr>
                <w:p w14:paraId="1E99CED5">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5"/>
                    </w:rPr>
                    <w:t>备注</w:t>
                  </w:r>
                </w:p>
              </w:tc>
            </w:tr>
            <w:tr w14:paraId="02E0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shd w:val="clear" w:color="auto" w:fill="auto"/>
                  <w:vAlign w:val="top"/>
                </w:tcPr>
                <w:p w14:paraId="0CBA1D6F">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6"/>
                    </w:rPr>
                    <w:t>1#</w:t>
                  </w:r>
                </w:p>
              </w:tc>
              <w:tc>
                <w:tcPr>
                  <w:tcW w:w="2889" w:type="dxa"/>
                  <w:shd w:val="clear" w:color="auto" w:fill="auto"/>
                  <w:vAlign w:val="top"/>
                </w:tcPr>
                <w:p w14:paraId="7F76BBA1">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2"/>
                    </w:rPr>
                    <w:t>项目区东侧</w:t>
                  </w:r>
                </w:p>
              </w:tc>
              <w:tc>
                <w:tcPr>
                  <w:tcW w:w="4016" w:type="dxa"/>
                  <w:vMerge w:val="restart"/>
                  <w:shd w:val="clear" w:color="auto" w:fill="auto"/>
                  <w:vAlign w:val="top"/>
                </w:tcPr>
                <w:p w14:paraId="3ECEB35C">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cs="Times New Roman"/>
                      <w:color w:val="auto"/>
                      <w:sz w:val="21"/>
                    </w:rPr>
                  </w:pPr>
                </w:p>
                <w:p w14:paraId="57C90B15">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2"/>
                    </w:rPr>
                    <w:t>厂界外1m</w:t>
                  </w:r>
                </w:p>
              </w:tc>
            </w:tr>
            <w:tr w14:paraId="515E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shd w:val="clear" w:color="auto" w:fill="auto"/>
                  <w:vAlign w:val="top"/>
                </w:tcPr>
                <w:p w14:paraId="5010672E">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3"/>
                    </w:rPr>
                    <w:t>2#</w:t>
                  </w:r>
                </w:p>
              </w:tc>
              <w:tc>
                <w:tcPr>
                  <w:tcW w:w="2889" w:type="dxa"/>
                  <w:shd w:val="clear" w:color="auto" w:fill="auto"/>
                  <w:vAlign w:val="top"/>
                </w:tcPr>
                <w:p w14:paraId="14ABFC1C">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2"/>
                    </w:rPr>
                    <w:t>项目区南侧</w:t>
                  </w:r>
                </w:p>
              </w:tc>
              <w:tc>
                <w:tcPr>
                  <w:tcW w:w="4016" w:type="dxa"/>
                  <w:vMerge w:val="continue"/>
                  <w:shd w:val="clear" w:color="auto" w:fill="auto"/>
                  <w:vAlign w:val="top"/>
                </w:tcPr>
                <w:p w14:paraId="4C4469B1">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1"/>
                      <w:szCs w:val="24"/>
                      <w:lang w:val="en-US" w:eastAsia="zh-CN" w:bidi="ar-SA"/>
                    </w:rPr>
                  </w:pPr>
                </w:p>
              </w:tc>
            </w:tr>
            <w:tr w14:paraId="394B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shd w:val="clear" w:color="auto" w:fill="auto"/>
                  <w:vAlign w:val="top"/>
                </w:tcPr>
                <w:p w14:paraId="00E6D1D6">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3"/>
                    </w:rPr>
                    <w:t>3#</w:t>
                  </w:r>
                </w:p>
              </w:tc>
              <w:tc>
                <w:tcPr>
                  <w:tcW w:w="2889" w:type="dxa"/>
                  <w:shd w:val="clear" w:color="auto" w:fill="auto"/>
                  <w:vAlign w:val="top"/>
                </w:tcPr>
                <w:p w14:paraId="095D9A9B">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2"/>
                    </w:rPr>
                    <w:t>项目区西侧</w:t>
                  </w:r>
                </w:p>
              </w:tc>
              <w:tc>
                <w:tcPr>
                  <w:tcW w:w="4016" w:type="dxa"/>
                  <w:vMerge w:val="continue"/>
                  <w:shd w:val="clear" w:color="auto" w:fill="auto"/>
                  <w:vAlign w:val="top"/>
                </w:tcPr>
                <w:p w14:paraId="74619459">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1"/>
                      <w:szCs w:val="24"/>
                      <w:lang w:val="en-US" w:eastAsia="zh-CN" w:bidi="ar-SA"/>
                    </w:rPr>
                  </w:pPr>
                </w:p>
              </w:tc>
            </w:tr>
            <w:tr w14:paraId="6A32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shd w:val="clear" w:color="auto" w:fill="auto"/>
                  <w:vAlign w:val="top"/>
                </w:tcPr>
                <w:p w14:paraId="774EAD51">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2"/>
                    </w:rPr>
                    <w:t>4#</w:t>
                  </w:r>
                </w:p>
              </w:tc>
              <w:tc>
                <w:tcPr>
                  <w:tcW w:w="2889" w:type="dxa"/>
                  <w:shd w:val="clear" w:color="auto" w:fill="auto"/>
                  <w:vAlign w:val="top"/>
                </w:tcPr>
                <w:p w14:paraId="6B5082AF">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2"/>
                    </w:rPr>
                    <w:t>项目区北侧</w:t>
                  </w:r>
                </w:p>
              </w:tc>
              <w:tc>
                <w:tcPr>
                  <w:tcW w:w="4016" w:type="dxa"/>
                  <w:vMerge w:val="continue"/>
                  <w:shd w:val="clear" w:color="auto" w:fill="auto"/>
                  <w:vAlign w:val="top"/>
                </w:tcPr>
                <w:p w14:paraId="2AF87768">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1"/>
                      <w:szCs w:val="24"/>
                      <w:lang w:val="en-US" w:eastAsia="zh-CN" w:bidi="ar-SA"/>
                    </w:rPr>
                  </w:pPr>
                </w:p>
              </w:tc>
            </w:tr>
            <w:tr w14:paraId="7E6B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shd w:val="clear" w:color="auto" w:fill="auto"/>
                  <w:vAlign w:val="top"/>
                </w:tcPr>
                <w:p w14:paraId="66B9752C">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3"/>
                    </w:rPr>
                    <w:t>5#</w:t>
                  </w:r>
                </w:p>
              </w:tc>
              <w:tc>
                <w:tcPr>
                  <w:tcW w:w="2889" w:type="dxa"/>
                  <w:shd w:val="clear" w:color="auto" w:fill="auto"/>
                  <w:vAlign w:val="top"/>
                </w:tcPr>
                <w:p w14:paraId="3AA559DF">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1"/>
                    </w:rPr>
                    <w:t>西北侧60m处居民</w:t>
                  </w:r>
                </w:p>
              </w:tc>
              <w:tc>
                <w:tcPr>
                  <w:tcW w:w="4016" w:type="dxa"/>
                  <w:shd w:val="clear" w:color="auto" w:fill="auto"/>
                  <w:vAlign w:val="top"/>
                </w:tcPr>
                <w:p w14:paraId="35221E2D">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rPr>
                    <w:t>/</w:t>
                  </w:r>
                </w:p>
              </w:tc>
            </w:tr>
            <w:tr w14:paraId="7BF9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shd w:val="clear" w:color="auto" w:fill="auto"/>
                  <w:vAlign w:val="top"/>
                </w:tcPr>
                <w:p w14:paraId="74B126DA">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3"/>
                    </w:rPr>
                    <w:t>6#</w:t>
                  </w:r>
                </w:p>
              </w:tc>
              <w:tc>
                <w:tcPr>
                  <w:tcW w:w="2889" w:type="dxa"/>
                  <w:shd w:val="clear" w:color="auto" w:fill="auto"/>
                  <w:vAlign w:val="top"/>
                </w:tcPr>
                <w:p w14:paraId="095087E4">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spacing w:val="1"/>
                    </w:rPr>
                    <w:t>西侧20m处居民</w:t>
                  </w:r>
                </w:p>
              </w:tc>
              <w:tc>
                <w:tcPr>
                  <w:tcW w:w="4016" w:type="dxa"/>
                  <w:shd w:val="clear" w:color="auto" w:fill="auto"/>
                  <w:vAlign w:val="top"/>
                </w:tcPr>
                <w:p w14:paraId="546AA0EE">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kern w:val="2"/>
                      <w:sz w:val="23"/>
                      <w:szCs w:val="23"/>
                      <w:lang w:val="en-US" w:eastAsia="zh-CN" w:bidi="ar-SA"/>
                    </w:rPr>
                  </w:pPr>
                  <w:r>
                    <w:rPr>
                      <w:rFonts w:hint="default" w:ascii="Times New Roman" w:hAnsi="Times New Roman" w:cs="Times New Roman"/>
                      <w:color w:val="auto"/>
                    </w:rPr>
                    <w:t>/</w:t>
                  </w:r>
                </w:p>
              </w:tc>
            </w:tr>
          </w:tbl>
          <w:p w14:paraId="5B140EF1">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(2)监测时间</w:t>
            </w:r>
          </w:p>
          <w:p w14:paraId="33407CD7">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厂界：2020年12月18日~12月19日；敏感点：2021年5月10日~5月11日</w:t>
            </w:r>
            <w:r>
              <w:rPr>
                <w:rFonts w:hint="default" w:ascii="Times New Roman" w:hAnsi="Times New Roman" w:cs="Times New Roman"/>
                <w:color w:val="auto"/>
                <w:kern w:val="0"/>
                <w:sz w:val="24"/>
                <w:lang w:val="en-US" w:eastAsia="zh-CN"/>
              </w:rPr>
              <w:t>。</w:t>
            </w:r>
          </w:p>
          <w:p w14:paraId="732564C9">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(3)监测项目</w:t>
            </w:r>
          </w:p>
          <w:p w14:paraId="340EA576">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等效连续A声级。</w:t>
            </w:r>
          </w:p>
          <w:p w14:paraId="048AFF4B">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(4)监测方法与频次</w:t>
            </w:r>
          </w:p>
          <w:p w14:paraId="4E10C1B1">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执行《声环境质量标准》(GB/T3096-2008)。本次噪声监测仪器使用AWA6228 型噪声频谱分析仪，检出限28~120dB(A),各噪声点位连续监测2天，昼、夜各监测一次。</w:t>
            </w:r>
          </w:p>
          <w:p w14:paraId="061253A3">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(5)监测结果及现状评价</w:t>
            </w:r>
          </w:p>
          <w:p w14:paraId="48A36829">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监测结果及分析与评价统计情况见表3-</w:t>
            </w:r>
            <w:r>
              <w:rPr>
                <w:rFonts w:hint="default" w:ascii="Times New Roman" w:hAnsi="Times New Roman" w:cs="Times New Roman"/>
                <w:color w:val="auto"/>
                <w:kern w:val="0"/>
                <w:sz w:val="24"/>
                <w:lang w:val="en-US" w:eastAsia="zh-CN"/>
              </w:rPr>
              <w:t>2</w:t>
            </w:r>
            <w:r>
              <w:rPr>
                <w:rFonts w:hint="default" w:ascii="Times New Roman" w:hAnsi="Times New Roman" w:eastAsia="宋体" w:cs="Times New Roman"/>
                <w:color w:val="auto"/>
                <w:kern w:val="0"/>
                <w:sz w:val="24"/>
                <w:lang w:val="en-US" w:eastAsia="zh-CN"/>
              </w:rPr>
              <w:t>。</w:t>
            </w:r>
          </w:p>
          <w:p w14:paraId="1B536375">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表3-2  环境噪声监测结果一览表单位：dB(A)</w:t>
            </w:r>
          </w:p>
          <w:tbl>
            <w:tblPr>
              <w:tblStyle w:val="35"/>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662"/>
              <w:gridCol w:w="1663"/>
              <w:gridCol w:w="1663"/>
              <w:gridCol w:w="1663"/>
            </w:tblGrid>
            <w:tr w14:paraId="3EDC86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2" w:type="dxa"/>
                  <w:tcBorders>
                    <w:tl2br w:val="nil"/>
                    <w:tr2bl w:val="nil"/>
                  </w:tcBorders>
                  <w:shd w:val="clear" w:color="auto" w:fill="auto"/>
                  <w:vAlign w:val="center"/>
                </w:tcPr>
                <w:p w14:paraId="480A57DF">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时间</w:t>
                  </w:r>
                </w:p>
                <w:p w14:paraId="1A8804A1">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点位</w:t>
                  </w:r>
                </w:p>
              </w:tc>
              <w:tc>
                <w:tcPr>
                  <w:tcW w:w="3325" w:type="dxa"/>
                  <w:gridSpan w:val="2"/>
                  <w:tcBorders>
                    <w:tl2br w:val="nil"/>
                    <w:tr2bl w:val="nil"/>
                  </w:tcBorders>
                  <w:shd w:val="clear" w:color="auto" w:fill="auto"/>
                  <w:vAlign w:val="center"/>
                </w:tcPr>
                <w:p w14:paraId="5631A60D">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2020年12月18日</w:t>
                  </w:r>
                </w:p>
              </w:tc>
              <w:tc>
                <w:tcPr>
                  <w:tcW w:w="3326" w:type="dxa"/>
                  <w:gridSpan w:val="2"/>
                  <w:tcBorders>
                    <w:tl2br w:val="nil"/>
                    <w:tr2bl w:val="nil"/>
                  </w:tcBorders>
                  <w:vAlign w:val="center"/>
                </w:tcPr>
                <w:p w14:paraId="4BB5AD1D">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2020年12月19日</w:t>
                  </w:r>
                </w:p>
              </w:tc>
            </w:tr>
            <w:tr w14:paraId="22F0B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2" w:type="dxa"/>
                  <w:tcBorders>
                    <w:tl2br w:val="nil"/>
                    <w:tr2bl w:val="nil"/>
                  </w:tcBorders>
                  <w:vAlign w:val="center"/>
                </w:tcPr>
                <w:p w14:paraId="705AC870">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p>
              </w:tc>
              <w:tc>
                <w:tcPr>
                  <w:tcW w:w="1662" w:type="dxa"/>
                  <w:tcBorders>
                    <w:tl2br w:val="nil"/>
                    <w:tr2bl w:val="nil"/>
                  </w:tcBorders>
                  <w:shd w:val="clear" w:color="auto" w:fill="auto"/>
                  <w:vAlign w:val="center"/>
                </w:tcPr>
                <w:p w14:paraId="3FB6D741">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昼间</w:t>
                  </w:r>
                </w:p>
              </w:tc>
              <w:tc>
                <w:tcPr>
                  <w:tcW w:w="1663" w:type="dxa"/>
                  <w:tcBorders>
                    <w:tl2br w:val="nil"/>
                    <w:tr2bl w:val="nil"/>
                  </w:tcBorders>
                  <w:shd w:val="clear" w:color="auto" w:fill="auto"/>
                  <w:vAlign w:val="center"/>
                </w:tcPr>
                <w:p w14:paraId="228E4B8F">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夜间</w:t>
                  </w:r>
                </w:p>
              </w:tc>
              <w:tc>
                <w:tcPr>
                  <w:tcW w:w="1663" w:type="dxa"/>
                  <w:tcBorders>
                    <w:tl2br w:val="nil"/>
                    <w:tr2bl w:val="nil"/>
                  </w:tcBorders>
                  <w:shd w:val="clear" w:color="auto" w:fill="auto"/>
                  <w:vAlign w:val="center"/>
                </w:tcPr>
                <w:p w14:paraId="1C05FC06">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昼间</w:t>
                  </w:r>
                </w:p>
              </w:tc>
              <w:tc>
                <w:tcPr>
                  <w:tcW w:w="1663" w:type="dxa"/>
                  <w:tcBorders>
                    <w:tl2br w:val="nil"/>
                    <w:tr2bl w:val="nil"/>
                  </w:tcBorders>
                  <w:shd w:val="clear" w:color="auto" w:fill="auto"/>
                  <w:vAlign w:val="center"/>
                </w:tcPr>
                <w:p w14:paraId="3A850E8B">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夜间</w:t>
                  </w:r>
                </w:p>
              </w:tc>
            </w:tr>
            <w:tr w14:paraId="24B9E8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2" w:type="dxa"/>
                  <w:tcBorders>
                    <w:tl2br w:val="nil"/>
                    <w:tr2bl w:val="nil"/>
                  </w:tcBorders>
                  <w:shd w:val="clear" w:color="auto" w:fill="auto"/>
                  <w:vAlign w:val="center"/>
                </w:tcPr>
                <w:p w14:paraId="6F049F15">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项目区东侧</w:t>
                  </w:r>
                </w:p>
              </w:tc>
              <w:tc>
                <w:tcPr>
                  <w:tcW w:w="1662" w:type="dxa"/>
                  <w:tcBorders>
                    <w:tl2br w:val="nil"/>
                    <w:tr2bl w:val="nil"/>
                  </w:tcBorders>
                  <w:shd w:val="clear" w:color="auto" w:fill="auto"/>
                  <w:vAlign w:val="center"/>
                </w:tcPr>
                <w:p w14:paraId="1D3AAB6E">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49.8</w:t>
                  </w:r>
                </w:p>
              </w:tc>
              <w:tc>
                <w:tcPr>
                  <w:tcW w:w="1663" w:type="dxa"/>
                  <w:tcBorders>
                    <w:tl2br w:val="nil"/>
                    <w:tr2bl w:val="nil"/>
                  </w:tcBorders>
                  <w:shd w:val="clear" w:color="auto" w:fill="auto"/>
                  <w:vAlign w:val="center"/>
                </w:tcPr>
                <w:p w14:paraId="4FB78EAA">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38.8</w:t>
                  </w:r>
                </w:p>
              </w:tc>
              <w:tc>
                <w:tcPr>
                  <w:tcW w:w="1663" w:type="dxa"/>
                  <w:tcBorders>
                    <w:tl2br w:val="nil"/>
                    <w:tr2bl w:val="nil"/>
                  </w:tcBorders>
                  <w:shd w:val="clear" w:color="auto" w:fill="auto"/>
                  <w:vAlign w:val="center"/>
                </w:tcPr>
                <w:p w14:paraId="46345077">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49.1</w:t>
                  </w:r>
                </w:p>
              </w:tc>
              <w:tc>
                <w:tcPr>
                  <w:tcW w:w="1663" w:type="dxa"/>
                  <w:tcBorders>
                    <w:tl2br w:val="nil"/>
                    <w:tr2bl w:val="nil"/>
                  </w:tcBorders>
                  <w:shd w:val="clear" w:color="auto" w:fill="auto"/>
                  <w:vAlign w:val="center"/>
                </w:tcPr>
                <w:p w14:paraId="012CC29A">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39.5</w:t>
                  </w:r>
                </w:p>
              </w:tc>
            </w:tr>
            <w:tr w14:paraId="6616DF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2" w:type="dxa"/>
                  <w:tcBorders>
                    <w:tl2br w:val="nil"/>
                    <w:tr2bl w:val="nil"/>
                  </w:tcBorders>
                  <w:shd w:val="clear" w:color="auto" w:fill="auto"/>
                  <w:vAlign w:val="center"/>
                </w:tcPr>
                <w:p w14:paraId="06195E95">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项目区南侧</w:t>
                  </w:r>
                </w:p>
              </w:tc>
              <w:tc>
                <w:tcPr>
                  <w:tcW w:w="1662" w:type="dxa"/>
                  <w:tcBorders>
                    <w:tl2br w:val="nil"/>
                    <w:tr2bl w:val="nil"/>
                  </w:tcBorders>
                  <w:shd w:val="clear" w:color="auto" w:fill="auto"/>
                  <w:vAlign w:val="center"/>
                </w:tcPr>
                <w:p w14:paraId="6A417062">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48.6</w:t>
                  </w:r>
                </w:p>
              </w:tc>
              <w:tc>
                <w:tcPr>
                  <w:tcW w:w="1663" w:type="dxa"/>
                  <w:tcBorders>
                    <w:tl2br w:val="nil"/>
                    <w:tr2bl w:val="nil"/>
                  </w:tcBorders>
                  <w:shd w:val="clear" w:color="auto" w:fill="auto"/>
                  <w:vAlign w:val="center"/>
                </w:tcPr>
                <w:p w14:paraId="3A4F83B7">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38.8</w:t>
                  </w:r>
                </w:p>
              </w:tc>
              <w:tc>
                <w:tcPr>
                  <w:tcW w:w="1663" w:type="dxa"/>
                  <w:tcBorders>
                    <w:tl2br w:val="nil"/>
                    <w:tr2bl w:val="nil"/>
                  </w:tcBorders>
                  <w:shd w:val="clear" w:color="auto" w:fill="auto"/>
                  <w:vAlign w:val="center"/>
                </w:tcPr>
                <w:p w14:paraId="23EC6524">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48.7</w:t>
                  </w:r>
                </w:p>
              </w:tc>
              <w:tc>
                <w:tcPr>
                  <w:tcW w:w="1663" w:type="dxa"/>
                  <w:tcBorders>
                    <w:tl2br w:val="nil"/>
                    <w:tr2bl w:val="nil"/>
                  </w:tcBorders>
                  <w:shd w:val="clear" w:color="auto" w:fill="auto"/>
                  <w:vAlign w:val="center"/>
                </w:tcPr>
                <w:p w14:paraId="7F99D1ED">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38.7</w:t>
                  </w:r>
                </w:p>
              </w:tc>
            </w:tr>
            <w:tr w14:paraId="59D5C2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2" w:type="dxa"/>
                  <w:tcBorders>
                    <w:tl2br w:val="nil"/>
                    <w:tr2bl w:val="nil"/>
                  </w:tcBorders>
                  <w:shd w:val="clear" w:color="auto" w:fill="auto"/>
                  <w:vAlign w:val="center"/>
                </w:tcPr>
                <w:p w14:paraId="4F1DEFC3">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项目区西侧</w:t>
                  </w:r>
                </w:p>
              </w:tc>
              <w:tc>
                <w:tcPr>
                  <w:tcW w:w="1662" w:type="dxa"/>
                  <w:tcBorders>
                    <w:tl2br w:val="nil"/>
                    <w:tr2bl w:val="nil"/>
                  </w:tcBorders>
                  <w:shd w:val="clear" w:color="auto" w:fill="auto"/>
                  <w:vAlign w:val="center"/>
                </w:tcPr>
                <w:p w14:paraId="73829786">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48.6</w:t>
                  </w:r>
                </w:p>
              </w:tc>
              <w:tc>
                <w:tcPr>
                  <w:tcW w:w="1663" w:type="dxa"/>
                  <w:tcBorders>
                    <w:tl2br w:val="nil"/>
                    <w:tr2bl w:val="nil"/>
                  </w:tcBorders>
                  <w:shd w:val="clear" w:color="auto" w:fill="auto"/>
                  <w:vAlign w:val="center"/>
                </w:tcPr>
                <w:p w14:paraId="5F0619E4">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39.1</w:t>
                  </w:r>
                </w:p>
              </w:tc>
              <w:tc>
                <w:tcPr>
                  <w:tcW w:w="1663" w:type="dxa"/>
                  <w:tcBorders>
                    <w:tl2br w:val="nil"/>
                    <w:tr2bl w:val="nil"/>
                  </w:tcBorders>
                  <w:shd w:val="clear" w:color="auto" w:fill="auto"/>
                  <w:vAlign w:val="center"/>
                </w:tcPr>
                <w:p w14:paraId="1FC063B4">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48.8</w:t>
                  </w:r>
                </w:p>
              </w:tc>
              <w:tc>
                <w:tcPr>
                  <w:tcW w:w="1663" w:type="dxa"/>
                  <w:tcBorders>
                    <w:tl2br w:val="nil"/>
                    <w:tr2bl w:val="nil"/>
                  </w:tcBorders>
                  <w:shd w:val="clear" w:color="auto" w:fill="auto"/>
                  <w:vAlign w:val="center"/>
                </w:tcPr>
                <w:p w14:paraId="7B324083">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39.7</w:t>
                  </w:r>
                </w:p>
              </w:tc>
            </w:tr>
            <w:tr w14:paraId="44AAA3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2" w:type="dxa"/>
                  <w:tcBorders>
                    <w:tl2br w:val="nil"/>
                    <w:tr2bl w:val="nil"/>
                  </w:tcBorders>
                  <w:shd w:val="clear" w:color="auto" w:fill="auto"/>
                  <w:vAlign w:val="center"/>
                </w:tcPr>
                <w:p w14:paraId="2FCC26A8">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项目区北侧</w:t>
                  </w:r>
                </w:p>
              </w:tc>
              <w:tc>
                <w:tcPr>
                  <w:tcW w:w="1662" w:type="dxa"/>
                  <w:tcBorders>
                    <w:tl2br w:val="nil"/>
                    <w:tr2bl w:val="nil"/>
                  </w:tcBorders>
                  <w:shd w:val="clear" w:color="auto" w:fill="auto"/>
                  <w:vAlign w:val="center"/>
                </w:tcPr>
                <w:p w14:paraId="49DB9D94">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49.6</w:t>
                  </w:r>
                </w:p>
              </w:tc>
              <w:tc>
                <w:tcPr>
                  <w:tcW w:w="1663" w:type="dxa"/>
                  <w:tcBorders>
                    <w:tl2br w:val="nil"/>
                    <w:tr2bl w:val="nil"/>
                  </w:tcBorders>
                  <w:shd w:val="clear" w:color="auto" w:fill="auto"/>
                  <w:vAlign w:val="center"/>
                </w:tcPr>
                <w:p w14:paraId="4F6B435D">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40.6</w:t>
                  </w:r>
                </w:p>
              </w:tc>
              <w:tc>
                <w:tcPr>
                  <w:tcW w:w="1663" w:type="dxa"/>
                  <w:tcBorders>
                    <w:tl2br w:val="nil"/>
                    <w:tr2bl w:val="nil"/>
                  </w:tcBorders>
                  <w:shd w:val="clear" w:color="auto" w:fill="auto"/>
                  <w:vAlign w:val="center"/>
                </w:tcPr>
                <w:p w14:paraId="631C5A5A">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50.0</w:t>
                  </w:r>
                </w:p>
              </w:tc>
              <w:tc>
                <w:tcPr>
                  <w:tcW w:w="1663" w:type="dxa"/>
                  <w:tcBorders>
                    <w:tl2br w:val="nil"/>
                    <w:tr2bl w:val="nil"/>
                  </w:tcBorders>
                  <w:shd w:val="clear" w:color="auto" w:fill="auto"/>
                  <w:vAlign w:val="center"/>
                </w:tcPr>
                <w:p w14:paraId="329D33F4">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40.3</w:t>
                  </w:r>
                </w:p>
              </w:tc>
            </w:tr>
            <w:tr w14:paraId="2C09FF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2" w:type="dxa"/>
                  <w:tcBorders>
                    <w:tl2br w:val="nil"/>
                    <w:tr2bl w:val="nil"/>
                  </w:tcBorders>
                  <w:shd w:val="clear" w:color="auto" w:fill="auto"/>
                  <w:vAlign w:val="center"/>
                </w:tcPr>
                <w:p w14:paraId="6D857D63">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西北侧60m处居民</w:t>
                  </w:r>
                </w:p>
              </w:tc>
              <w:tc>
                <w:tcPr>
                  <w:tcW w:w="1662" w:type="dxa"/>
                  <w:tcBorders>
                    <w:tl2br w:val="nil"/>
                    <w:tr2bl w:val="nil"/>
                  </w:tcBorders>
                  <w:shd w:val="clear" w:color="auto" w:fill="auto"/>
                  <w:vAlign w:val="center"/>
                </w:tcPr>
                <w:p w14:paraId="61D317E0">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53.1</w:t>
                  </w:r>
                </w:p>
              </w:tc>
              <w:tc>
                <w:tcPr>
                  <w:tcW w:w="1663" w:type="dxa"/>
                  <w:tcBorders>
                    <w:tl2br w:val="nil"/>
                    <w:tr2bl w:val="nil"/>
                  </w:tcBorders>
                  <w:shd w:val="clear" w:color="auto" w:fill="auto"/>
                  <w:vAlign w:val="center"/>
                </w:tcPr>
                <w:p w14:paraId="4C365268">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42,2</w:t>
                  </w:r>
                </w:p>
              </w:tc>
              <w:tc>
                <w:tcPr>
                  <w:tcW w:w="1663" w:type="dxa"/>
                  <w:tcBorders>
                    <w:tl2br w:val="nil"/>
                    <w:tr2bl w:val="nil"/>
                  </w:tcBorders>
                  <w:shd w:val="clear" w:color="auto" w:fill="auto"/>
                  <w:vAlign w:val="center"/>
                </w:tcPr>
                <w:p w14:paraId="246EF318">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52.8</w:t>
                  </w:r>
                </w:p>
              </w:tc>
              <w:tc>
                <w:tcPr>
                  <w:tcW w:w="1663" w:type="dxa"/>
                  <w:tcBorders>
                    <w:tl2br w:val="nil"/>
                    <w:tr2bl w:val="nil"/>
                  </w:tcBorders>
                  <w:shd w:val="clear" w:color="auto" w:fill="auto"/>
                  <w:vAlign w:val="center"/>
                </w:tcPr>
                <w:p w14:paraId="1F851822">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42.1</w:t>
                  </w:r>
                </w:p>
              </w:tc>
            </w:tr>
            <w:tr w14:paraId="23F28F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2" w:type="dxa"/>
                  <w:tcBorders>
                    <w:tl2br w:val="nil"/>
                    <w:tr2bl w:val="nil"/>
                  </w:tcBorders>
                  <w:shd w:val="clear" w:color="auto" w:fill="auto"/>
                  <w:vAlign w:val="center"/>
                </w:tcPr>
                <w:p w14:paraId="5ED8FA65">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西侧20m处居民</w:t>
                  </w:r>
                </w:p>
              </w:tc>
              <w:tc>
                <w:tcPr>
                  <w:tcW w:w="1662" w:type="dxa"/>
                  <w:tcBorders>
                    <w:tl2br w:val="nil"/>
                    <w:tr2bl w:val="nil"/>
                  </w:tcBorders>
                  <w:shd w:val="clear" w:color="auto" w:fill="auto"/>
                  <w:vAlign w:val="center"/>
                </w:tcPr>
                <w:p w14:paraId="24059986">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54.5</w:t>
                  </w:r>
                </w:p>
              </w:tc>
              <w:tc>
                <w:tcPr>
                  <w:tcW w:w="1663" w:type="dxa"/>
                  <w:tcBorders>
                    <w:tl2br w:val="nil"/>
                    <w:tr2bl w:val="nil"/>
                  </w:tcBorders>
                  <w:shd w:val="clear" w:color="auto" w:fill="auto"/>
                  <w:vAlign w:val="center"/>
                </w:tcPr>
                <w:p w14:paraId="226F1BB6">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43.2</w:t>
                  </w:r>
                </w:p>
              </w:tc>
              <w:tc>
                <w:tcPr>
                  <w:tcW w:w="1663" w:type="dxa"/>
                  <w:tcBorders>
                    <w:tl2br w:val="nil"/>
                    <w:tr2bl w:val="nil"/>
                  </w:tcBorders>
                  <w:shd w:val="clear" w:color="auto" w:fill="auto"/>
                  <w:vAlign w:val="center"/>
                </w:tcPr>
                <w:p w14:paraId="7B6191E6">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53.9</w:t>
                  </w:r>
                </w:p>
              </w:tc>
              <w:tc>
                <w:tcPr>
                  <w:tcW w:w="1663" w:type="dxa"/>
                  <w:tcBorders>
                    <w:tl2br w:val="nil"/>
                    <w:tr2bl w:val="nil"/>
                  </w:tcBorders>
                  <w:shd w:val="clear" w:color="auto" w:fill="auto"/>
                  <w:vAlign w:val="center"/>
                </w:tcPr>
                <w:p w14:paraId="0EB0B6AB">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rPr>
                    <w:t>43.9</w:t>
                  </w:r>
                </w:p>
              </w:tc>
            </w:tr>
          </w:tbl>
          <w:p w14:paraId="7D47DB93">
            <w:pPr>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由表3-3可见，被监测的6个监测点中，1#、2#、3#、4#点位监测值均符合《声环境质量标准》(GB3096-2008)2类标准。</w:t>
            </w:r>
          </w:p>
          <w:p w14:paraId="7423C070">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5.地下水和土壤环境质量现状</w:t>
            </w:r>
          </w:p>
          <w:p w14:paraId="0FCDEFE4">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(1)监测点布设</w:t>
            </w:r>
          </w:p>
          <w:p w14:paraId="60F44C7C">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共布设3个监测点位，具体监测点位见表3-</w:t>
            </w:r>
            <w:r>
              <w:rPr>
                <w:rFonts w:hint="default" w:ascii="Times New Roman" w:hAnsi="Times New Roman" w:cs="Times New Roman"/>
                <w:color w:val="auto"/>
                <w:kern w:val="0"/>
                <w:sz w:val="24"/>
                <w:lang w:val="en-US" w:eastAsia="zh-CN"/>
              </w:rPr>
              <w:t>4</w:t>
            </w:r>
            <w:r>
              <w:rPr>
                <w:rFonts w:hint="default" w:ascii="Times New Roman" w:hAnsi="Times New Roman" w:eastAsia="宋体" w:cs="Times New Roman"/>
                <w:color w:val="auto"/>
                <w:kern w:val="0"/>
                <w:sz w:val="24"/>
                <w:lang w:val="en-US" w:eastAsia="zh-CN"/>
              </w:rPr>
              <w:t>。</w:t>
            </w:r>
          </w:p>
          <w:p w14:paraId="39656EF0">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表3-4  土壤监测点位布设一览表</w:t>
            </w:r>
          </w:p>
          <w:tbl>
            <w:tblPr>
              <w:tblStyle w:val="35"/>
              <w:tblW w:w="828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2757"/>
              <w:gridCol w:w="1968"/>
              <w:gridCol w:w="2062"/>
            </w:tblGrid>
            <w:tr w14:paraId="0C1891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3" w:type="dxa"/>
                  <w:tcBorders>
                    <w:tl2br w:val="nil"/>
                    <w:tr2bl w:val="nil"/>
                  </w:tcBorders>
                  <w:shd w:val="clear" w:color="auto" w:fill="auto"/>
                  <w:vAlign w:val="top"/>
                </w:tcPr>
                <w:p w14:paraId="6F9C0C3E">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环境要素</w:t>
                  </w:r>
                </w:p>
              </w:tc>
              <w:tc>
                <w:tcPr>
                  <w:tcW w:w="2757" w:type="dxa"/>
                  <w:tcBorders>
                    <w:tl2br w:val="nil"/>
                    <w:tr2bl w:val="nil"/>
                  </w:tcBorders>
                  <w:shd w:val="clear" w:color="auto" w:fill="auto"/>
                  <w:vAlign w:val="top"/>
                </w:tcPr>
                <w:p w14:paraId="198B06E9">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监测点位及编号</w:t>
                  </w:r>
                </w:p>
              </w:tc>
              <w:tc>
                <w:tcPr>
                  <w:tcW w:w="1968" w:type="dxa"/>
                  <w:tcBorders>
                    <w:tl2br w:val="nil"/>
                    <w:tr2bl w:val="nil"/>
                  </w:tcBorders>
                  <w:shd w:val="clear" w:color="auto" w:fill="auto"/>
                  <w:vAlign w:val="top"/>
                </w:tcPr>
                <w:p w14:paraId="16A8C2FF">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取土位置</w:t>
                  </w:r>
                </w:p>
              </w:tc>
              <w:tc>
                <w:tcPr>
                  <w:tcW w:w="2062" w:type="dxa"/>
                  <w:tcBorders>
                    <w:tl2br w:val="nil"/>
                    <w:tr2bl w:val="nil"/>
                  </w:tcBorders>
                  <w:shd w:val="clear" w:color="auto" w:fill="auto"/>
                  <w:vAlign w:val="top"/>
                </w:tcPr>
                <w:p w14:paraId="4992AE94">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取土深度</w:t>
                  </w:r>
                </w:p>
              </w:tc>
            </w:tr>
            <w:tr w14:paraId="5C7736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3" w:type="dxa"/>
                  <w:vMerge w:val="restart"/>
                  <w:tcBorders>
                    <w:tl2br w:val="nil"/>
                    <w:tr2bl w:val="nil"/>
                  </w:tcBorders>
                  <w:shd w:val="clear" w:color="auto" w:fill="auto"/>
                  <w:vAlign w:val="top"/>
                </w:tcPr>
                <w:p w14:paraId="3EE5F9C3">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p>
                <w:p w14:paraId="7C1B5D70">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土  壤</w:t>
                  </w:r>
                </w:p>
              </w:tc>
              <w:tc>
                <w:tcPr>
                  <w:tcW w:w="2757" w:type="dxa"/>
                  <w:tcBorders>
                    <w:tl2br w:val="nil"/>
                    <w:tr2bl w:val="nil"/>
                  </w:tcBorders>
                  <w:shd w:val="clear" w:color="auto" w:fill="auto"/>
                  <w:vAlign w:val="top"/>
                </w:tcPr>
                <w:p w14:paraId="436D6762">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场区内北侧</w:t>
                  </w:r>
                </w:p>
              </w:tc>
              <w:tc>
                <w:tcPr>
                  <w:tcW w:w="1968" w:type="dxa"/>
                  <w:vMerge w:val="restart"/>
                  <w:tcBorders>
                    <w:tl2br w:val="nil"/>
                    <w:tr2bl w:val="nil"/>
                  </w:tcBorders>
                  <w:shd w:val="clear" w:color="auto" w:fill="auto"/>
                  <w:vAlign w:val="top"/>
                </w:tcPr>
                <w:p w14:paraId="14C46D1D">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p>
                <w:p w14:paraId="77A5C015">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表层</w:t>
                  </w:r>
                </w:p>
              </w:tc>
              <w:tc>
                <w:tcPr>
                  <w:tcW w:w="2062" w:type="dxa"/>
                  <w:tcBorders>
                    <w:tl2br w:val="nil"/>
                    <w:tr2bl w:val="nil"/>
                  </w:tcBorders>
                  <w:shd w:val="clear" w:color="auto" w:fill="auto"/>
                  <w:vAlign w:val="top"/>
                </w:tcPr>
                <w:p w14:paraId="24897CA5">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0～20cm</w:t>
                  </w:r>
                </w:p>
              </w:tc>
            </w:tr>
            <w:tr w14:paraId="391F2D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3" w:type="dxa"/>
                  <w:vMerge w:val="continue"/>
                  <w:tcBorders>
                    <w:tl2br w:val="nil"/>
                    <w:tr2bl w:val="nil"/>
                  </w:tcBorders>
                  <w:shd w:val="clear" w:color="auto" w:fill="auto"/>
                  <w:vAlign w:val="top"/>
                </w:tcPr>
                <w:p w14:paraId="57E7D0EF">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p>
              </w:tc>
              <w:tc>
                <w:tcPr>
                  <w:tcW w:w="2757" w:type="dxa"/>
                  <w:tcBorders>
                    <w:tl2br w:val="nil"/>
                    <w:tr2bl w:val="nil"/>
                  </w:tcBorders>
                  <w:shd w:val="clear" w:color="auto" w:fill="auto"/>
                  <w:vAlign w:val="top"/>
                </w:tcPr>
                <w:p w14:paraId="6BCCA2F0">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场区内中心</w:t>
                  </w:r>
                </w:p>
              </w:tc>
              <w:tc>
                <w:tcPr>
                  <w:tcW w:w="1968" w:type="dxa"/>
                  <w:vMerge w:val="continue"/>
                  <w:tcBorders>
                    <w:tl2br w:val="nil"/>
                    <w:tr2bl w:val="nil"/>
                  </w:tcBorders>
                  <w:shd w:val="clear" w:color="auto" w:fill="auto"/>
                  <w:vAlign w:val="top"/>
                </w:tcPr>
                <w:p w14:paraId="3E257038">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p>
              </w:tc>
              <w:tc>
                <w:tcPr>
                  <w:tcW w:w="2062" w:type="dxa"/>
                  <w:tcBorders>
                    <w:tl2br w:val="nil"/>
                    <w:tr2bl w:val="nil"/>
                  </w:tcBorders>
                  <w:shd w:val="clear" w:color="auto" w:fill="auto"/>
                  <w:vAlign w:val="top"/>
                </w:tcPr>
                <w:p w14:paraId="06A7714A">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0～20cm</w:t>
                  </w:r>
                </w:p>
              </w:tc>
            </w:tr>
            <w:tr w14:paraId="0CAD24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3" w:type="dxa"/>
                  <w:vMerge w:val="continue"/>
                  <w:tcBorders>
                    <w:tl2br w:val="nil"/>
                    <w:tr2bl w:val="nil"/>
                  </w:tcBorders>
                  <w:shd w:val="clear" w:color="auto" w:fill="auto"/>
                  <w:vAlign w:val="top"/>
                </w:tcPr>
                <w:p w14:paraId="1F50605D">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p>
              </w:tc>
              <w:tc>
                <w:tcPr>
                  <w:tcW w:w="2757" w:type="dxa"/>
                  <w:tcBorders>
                    <w:tl2br w:val="nil"/>
                    <w:tr2bl w:val="nil"/>
                  </w:tcBorders>
                  <w:shd w:val="clear" w:color="auto" w:fill="auto"/>
                  <w:vAlign w:val="top"/>
                </w:tcPr>
                <w:p w14:paraId="6CAC493A">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厂区内南侧</w:t>
                  </w:r>
                </w:p>
              </w:tc>
              <w:tc>
                <w:tcPr>
                  <w:tcW w:w="1968" w:type="dxa"/>
                  <w:vMerge w:val="continue"/>
                  <w:tcBorders>
                    <w:tl2br w:val="nil"/>
                    <w:tr2bl w:val="nil"/>
                  </w:tcBorders>
                  <w:shd w:val="clear" w:color="auto" w:fill="auto"/>
                  <w:vAlign w:val="top"/>
                </w:tcPr>
                <w:p w14:paraId="6EFBA1AF">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p>
              </w:tc>
              <w:tc>
                <w:tcPr>
                  <w:tcW w:w="2062" w:type="dxa"/>
                  <w:tcBorders>
                    <w:tl2br w:val="nil"/>
                    <w:tr2bl w:val="nil"/>
                  </w:tcBorders>
                  <w:shd w:val="clear" w:color="auto" w:fill="auto"/>
                  <w:vAlign w:val="top"/>
                </w:tcPr>
                <w:p w14:paraId="023F3EE1">
                  <w:pPr>
                    <w:pStyle w:val="195"/>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0～20cm</w:t>
                  </w:r>
                </w:p>
              </w:tc>
            </w:tr>
          </w:tbl>
          <w:p w14:paraId="16F71DEC">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(2)监测频率</w:t>
            </w:r>
          </w:p>
          <w:p w14:paraId="68C469F5">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采样1次，监测1次。</w:t>
            </w:r>
          </w:p>
          <w:p w14:paraId="0A677B0E">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(3)监测方法</w:t>
            </w:r>
          </w:p>
          <w:p w14:paraId="3F1208BD">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项目用地为建设用地，土壤监测方法参照《土壤环境质量建设用地土壤污染风险管控标准》(试行)(GB36600-2018)中的限值要求。</w:t>
            </w:r>
          </w:p>
          <w:p w14:paraId="39A8FE4E">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(4)监测因子：</w:t>
            </w:r>
          </w:p>
          <w:p w14:paraId="6C659517">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厂区内中心</w:t>
            </w:r>
          </w:p>
          <w:p w14:paraId="7504BFF6">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 [a]芘、苯并[b]荧蒽、苯并[k]荧蒽、菌、二苯并[a,h]蒽、茚并[1,2,3-cd]芘、萘场区内北侧、厂区内南侧砷、镉、铬(六价)、铜、铅、汞、镍</w:t>
            </w:r>
            <w:r>
              <w:rPr>
                <w:rFonts w:hint="default" w:ascii="Times New Roman" w:hAnsi="Times New Roman" w:cs="Times New Roman"/>
                <w:color w:val="auto"/>
                <w:kern w:val="0"/>
                <w:sz w:val="24"/>
                <w:lang w:val="en-US" w:eastAsia="zh-CN"/>
              </w:rPr>
              <w:t>。</w:t>
            </w:r>
          </w:p>
          <w:p w14:paraId="431C30F6">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(5)监测结果</w:t>
            </w:r>
          </w:p>
          <w:p w14:paraId="1EB11E14">
            <w:pPr>
              <w:widowControl/>
              <w:spacing w:line="360" w:lineRule="auto"/>
              <w:ind w:firstLine="480" w:firstLineChars="200"/>
              <w:jc w:val="left"/>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土壤监测</w:t>
            </w:r>
            <w:r>
              <w:rPr>
                <w:rFonts w:hint="default" w:ascii="Times New Roman" w:hAnsi="Times New Roman" w:eastAsia="宋体" w:cs="Times New Roman"/>
                <w:color w:val="auto"/>
                <w:kern w:val="0"/>
                <w:sz w:val="24"/>
                <w:lang w:val="en-US" w:eastAsia="zh-CN"/>
              </w:rPr>
              <w:t>结果见表3-</w:t>
            </w:r>
            <w:r>
              <w:rPr>
                <w:rFonts w:hint="default" w:ascii="Times New Roman" w:hAnsi="Times New Roman" w:cs="Times New Roman"/>
                <w:color w:val="auto"/>
                <w:kern w:val="0"/>
                <w:sz w:val="24"/>
                <w:lang w:val="en-US" w:eastAsia="zh-CN"/>
              </w:rPr>
              <w:t>5。</w:t>
            </w:r>
          </w:p>
          <w:p w14:paraId="40AE44F2">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表3-5  土壤监测结果</w:t>
            </w:r>
          </w:p>
          <w:tbl>
            <w:tblPr>
              <w:tblStyle w:val="35"/>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255"/>
              <w:gridCol w:w="1906"/>
              <w:gridCol w:w="1528"/>
              <w:gridCol w:w="1201"/>
              <w:gridCol w:w="1245"/>
            </w:tblGrid>
            <w:tr w14:paraId="6060E6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vMerge w:val="restart"/>
                  <w:tcBorders>
                    <w:tl2br w:val="nil"/>
                    <w:tr2bl w:val="nil"/>
                  </w:tcBorders>
                  <w:vAlign w:val="center"/>
                </w:tcPr>
                <w:p w14:paraId="0288F8A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序号</w:t>
                  </w:r>
                </w:p>
              </w:tc>
              <w:tc>
                <w:tcPr>
                  <w:tcW w:w="754" w:type="pct"/>
                  <w:vMerge w:val="restart"/>
                  <w:tcBorders>
                    <w:tl2br w:val="nil"/>
                    <w:tr2bl w:val="nil"/>
                  </w:tcBorders>
                  <w:vAlign w:val="center"/>
                </w:tcPr>
                <w:p w14:paraId="71FA74C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检测时间</w:t>
                  </w:r>
                </w:p>
              </w:tc>
              <w:tc>
                <w:tcPr>
                  <w:tcW w:w="1145" w:type="pct"/>
                  <w:vMerge w:val="restart"/>
                  <w:tcBorders>
                    <w:tl2br w:val="nil"/>
                    <w:tr2bl w:val="nil"/>
                  </w:tcBorders>
                  <w:vAlign w:val="center"/>
                </w:tcPr>
                <w:p w14:paraId="7D6ABDC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9"/>
                      <w:sz w:val="21"/>
                      <w:szCs w:val="21"/>
                    </w:rPr>
                    <w:t>检测项目</w:t>
                  </w:r>
                </w:p>
              </w:tc>
              <w:tc>
                <w:tcPr>
                  <w:tcW w:w="918" w:type="pct"/>
                  <w:vMerge w:val="restart"/>
                  <w:tcBorders>
                    <w:tl2br w:val="nil"/>
                    <w:tr2bl w:val="nil"/>
                  </w:tcBorders>
                  <w:vAlign w:val="center"/>
                </w:tcPr>
                <w:p w14:paraId="4B6ECB7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结果单位</w:t>
                  </w:r>
                </w:p>
              </w:tc>
              <w:tc>
                <w:tcPr>
                  <w:tcW w:w="1468" w:type="pct"/>
                  <w:gridSpan w:val="2"/>
                  <w:tcBorders>
                    <w:tl2br w:val="nil"/>
                    <w:tr2bl w:val="nil"/>
                  </w:tcBorders>
                  <w:vAlign w:val="center"/>
                </w:tcPr>
                <w:p w14:paraId="6D72A0B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检测结果</w:t>
                  </w:r>
                </w:p>
              </w:tc>
            </w:tr>
            <w:tr w14:paraId="5ED0E9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vMerge w:val="continue"/>
                  <w:tcBorders>
                    <w:tl2br w:val="nil"/>
                    <w:tr2bl w:val="nil"/>
                  </w:tcBorders>
                  <w:vAlign w:val="center"/>
                </w:tcPr>
                <w:p w14:paraId="116503C3">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754" w:type="pct"/>
                  <w:vMerge w:val="continue"/>
                  <w:tcBorders>
                    <w:tl2br w:val="nil"/>
                    <w:tr2bl w:val="nil"/>
                  </w:tcBorders>
                  <w:vAlign w:val="center"/>
                </w:tcPr>
                <w:p w14:paraId="408DB0AB">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vMerge w:val="continue"/>
                  <w:tcBorders>
                    <w:tl2br w:val="nil"/>
                    <w:tr2bl w:val="nil"/>
                  </w:tcBorders>
                  <w:vAlign w:val="center"/>
                </w:tcPr>
                <w:p w14:paraId="34686183">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918" w:type="pct"/>
                  <w:vMerge w:val="continue"/>
                  <w:tcBorders>
                    <w:tl2br w:val="nil"/>
                    <w:tr2bl w:val="nil"/>
                  </w:tcBorders>
                  <w:vAlign w:val="center"/>
                </w:tcPr>
                <w:p w14:paraId="67AD241A">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721" w:type="pct"/>
                  <w:tcBorders>
                    <w:tl2br w:val="nil"/>
                    <w:tr2bl w:val="nil"/>
                  </w:tcBorders>
                  <w:vAlign w:val="center"/>
                </w:tcPr>
                <w:p w14:paraId="3A9B010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5"/>
                      <w:sz w:val="21"/>
                      <w:szCs w:val="21"/>
                    </w:rPr>
                    <w:t>I#</w:t>
                  </w:r>
                </w:p>
              </w:tc>
              <w:tc>
                <w:tcPr>
                  <w:tcW w:w="747" w:type="pct"/>
                  <w:tcBorders>
                    <w:tl2br w:val="nil"/>
                    <w:tr2bl w:val="nil"/>
                  </w:tcBorders>
                  <w:vAlign w:val="center"/>
                </w:tcPr>
                <w:p w14:paraId="1D587D5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3/</w:t>
                  </w:r>
                </w:p>
              </w:tc>
            </w:tr>
            <w:tr w14:paraId="16A6A6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E99B01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I</w:t>
                  </w:r>
                </w:p>
              </w:tc>
              <w:tc>
                <w:tcPr>
                  <w:tcW w:w="754" w:type="pct"/>
                  <w:vMerge w:val="restart"/>
                  <w:tcBorders>
                    <w:tl2br w:val="nil"/>
                    <w:tr2bl w:val="nil"/>
                  </w:tcBorders>
                  <w:vAlign w:val="center"/>
                </w:tcPr>
                <w:p w14:paraId="45DFC2F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2021年2月19日</w:t>
                  </w:r>
                </w:p>
              </w:tc>
              <w:tc>
                <w:tcPr>
                  <w:tcW w:w="1145" w:type="pct"/>
                  <w:tcBorders>
                    <w:tl2br w:val="nil"/>
                    <w:tr2bl w:val="nil"/>
                  </w:tcBorders>
                  <w:vAlign w:val="center"/>
                </w:tcPr>
                <w:p w14:paraId="02751E2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铅</w:t>
                  </w:r>
                </w:p>
              </w:tc>
              <w:tc>
                <w:tcPr>
                  <w:tcW w:w="918" w:type="pct"/>
                  <w:tcBorders>
                    <w:tl2br w:val="nil"/>
                    <w:tr2bl w:val="nil"/>
                  </w:tcBorders>
                  <w:vAlign w:val="center"/>
                </w:tcPr>
                <w:p w14:paraId="50DD12C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721" w:type="pct"/>
                  <w:tcBorders>
                    <w:tl2br w:val="nil"/>
                    <w:tr2bl w:val="nil"/>
                  </w:tcBorders>
                  <w:vAlign w:val="center"/>
                </w:tcPr>
                <w:p w14:paraId="1667331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5"/>
                      <w:sz w:val="21"/>
                      <w:szCs w:val="21"/>
                    </w:rPr>
                    <w:t>14.7</w:t>
                  </w:r>
                </w:p>
              </w:tc>
              <w:tc>
                <w:tcPr>
                  <w:tcW w:w="747" w:type="pct"/>
                  <w:tcBorders>
                    <w:tl2br w:val="nil"/>
                    <w:tr2bl w:val="nil"/>
                  </w:tcBorders>
                  <w:vAlign w:val="center"/>
                </w:tcPr>
                <w:p w14:paraId="0B264E3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5"/>
                      <w:sz w:val="21"/>
                      <w:szCs w:val="21"/>
                    </w:rPr>
                    <w:t>12.2</w:t>
                  </w:r>
                </w:p>
              </w:tc>
            </w:tr>
            <w:tr w14:paraId="075BC9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396EE6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2</w:t>
                  </w:r>
                </w:p>
              </w:tc>
              <w:tc>
                <w:tcPr>
                  <w:tcW w:w="754" w:type="pct"/>
                  <w:vMerge w:val="continue"/>
                  <w:tcBorders>
                    <w:tl2br w:val="nil"/>
                    <w:tr2bl w:val="nil"/>
                  </w:tcBorders>
                  <w:vAlign w:val="center"/>
                </w:tcPr>
                <w:p w14:paraId="2D9B808C">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8A3C14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镉</w:t>
                  </w:r>
                </w:p>
              </w:tc>
              <w:tc>
                <w:tcPr>
                  <w:tcW w:w="918" w:type="pct"/>
                  <w:tcBorders>
                    <w:tl2br w:val="nil"/>
                    <w:tr2bl w:val="nil"/>
                  </w:tcBorders>
                  <w:vAlign w:val="center"/>
                </w:tcPr>
                <w:p w14:paraId="2311B8B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721" w:type="pct"/>
                  <w:tcBorders>
                    <w:tl2br w:val="nil"/>
                    <w:tr2bl w:val="nil"/>
                  </w:tcBorders>
                  <w:vAlign w:val="center"/>
                </w:tcPr>
                <w:p w14:paraId="6CC7D7C5">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c>
                <w:tcPr>
                  <w:tcW w:w="747" w:type="pct"/>
                  <w:tcBorders>
                    <w:tl2br w:val="nil"/>
                    <w:tr2bl w:val="nil"/>
                  </w:tcBorders>
                  <w:vAlign w:val="center"/>
                </w:tcPr>
                <w:p w14:paraId="3A93F47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7"/>
                      <w:sz w:val="21"/>
                      <w:szCs w:val="21"/>
                    </w:rPr>
                    <w:t>未检出</w:t>
                  </w:r>
                </w:p>
              </w:tc>
            </w:tr>
            <w:tr w14:paraId="1DBFA8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597F167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3</w:t>
                  </w:r>
                </w:p>
              </w:tc>
              <w:tc>
                <w:tcPr>
                  <w:tcW w:w="754" w:type="pct"/>
                  <w:vMerge w:val="continue"/>
                  <w:tcBorders>
                    <w:tl2br w:val="nil"/>
                    <w:tr2bl w:val="nil"/>
                  </w:tcBorders>
                  <w:vAlign w:val="center"/>
                </w:tcPr>
                <w:p w14:paraId="01DAF4BD">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48485EB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铜</w:t>
                  </w:r>
                </w:p>
              </w:tc>
              <w:tc>
                <w:tcPr>
                  <w:tcW w:w="918" w:type="pct"/>
                  <w:tcBorders>
                    <w:tl2br w:val="nil"/>
                    <w:tr2bl w:val="nil"/>
                  </w:tcBorders>
                  <w:vAlign w:val="center"/>
                </w:tcPr>
                <w:p w14:paraId="26CDB8B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721" w:type="pct"/>
                  <w:tcBorders>
                    <w:tl2br w:val="nil"/>
                    <w:tr2bl w:val="nil"/>
                  </w:tcBorders>
                  <w:vAlign w:val="center"/>
                </w:tcPr>
                <w:p w14:paraId="0E41823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12</w:t>
                  </w:r>
                </w:p>
              </w:tc>
              <w:tc>
                <w:tcPr>
                  <w:tcW w:w="747" w:type="pct"/>
                  <w:tcBorders>
                    <w:tl2br w:val="nil"/>
                    <w:tr2bl w:val="nil"/>
                  </w:tcBorders>
                  <w:vAlign w:val="center"/>
                </w:tcPr>
                <w:p w14:paraId="01B4468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r>
            <w:tr w14:paraId="6B08D5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C11BE0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4</w:t>
                  </w:r>
                </w:p>
              </w:tc>
              <w:tc>
                <w:tcPr>
                  <w:tcW w:w="754" w:type="pct"/>
                  <w:vMerge w:val="continue"/>
                  <w:tcBorders>
                    <w:tl2br w:val="nil"/>
                    <w:tr2bl w:val="nil"/>
                  </w:tcBorders>
                  <w:vAlign w:val="center"/>
                </w:tcPr>
                <w:p w14:paraId="203106D4">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2EEA64B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镍</w:t>
                  </w:r>
                </w:p>
              </w:tc>
              <w:tc>
                <w:tcPr>
                  <w:tcW w:w="918" w:type="pct"/>
                  <w:tcBorders>
                    <w:tl2br w:val="nil"/>
                    <w:tr2bl w:val="nil"/>
                  </w:tcBorders>
                  <w:vAlign w:val="center"/>
                </w:tcPr>
                <w:p w14:paraId="2C6E03E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721" w:type="pct"/>
                  <w:tcBorders>
                    <w:tl2br w:val="nil"/>
                    <w:tr2bl w:val="nil"/>
                  </w:tcBorders>
                  <w:vAlign w:val="center"/>
                </w:tcPr>
                <w:p w14:paraId="194C149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27</w:t>
                  </w:r>
                </w:p>
              </w:tc>
              <w:tc>
                <w:tcPr>
                  <w:tcW w:w="747" w:type="pct"/>
                  <w:tcBorders>
                    <w:tl2br w:val="nil"/>
                    <w:tr2bl w:val="nil"/>
                  </w:tcBorders>
                  <w:vAlign w:val="center"/>
                </w:tcPr>
                <w:p w14:paraId="6A9DC8C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6"/>
                      <w:sz w:val="21"/>
                      <w:szCs w:val="21"/>
                    </w:rPr>
                    <w:t>14</w:t>
                  </w:r>
                </w:p>
              </w:tc>
            </w:tr>
            <w:tr w14:paraId="707AD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9D83C1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5</w:t>
                  </w:r>
                </w:p>
              </w:tc>
              <w:tc>
                <w:tcPr>
                  <w:tcW w:w="754" w:type="pct"/>
                  <w:vMerge w:val="continue"/>
                  <w:tcBorders>
                    <w:tl2br w:val="nil"/>
                    <w:tr2bl w:val="nil"/>
                  </w:tcBorders>
                  <w:vAlign w:val="center"/>
                </w:tcPr>
                <w:p w14:paraId="21413EAD">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4750FB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汞</w:t>
                  </w:r>
                </w:p>
              </w:tc>
              <w:tc>
                <w:tcPr>
                  <w:tcW w:w="918" w:type="pct"/>
                  <w:tcBorders>
                    <w:tl2br w:val="nil"/>
                    <w:tr2bl w:val="nil"/>
                  </w:tcBorders>
                  <w:vAlign w:val="center"/>
                </w:tcPr>
                <w:p w14:paraId="4468EE6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721" w:type="pct"/>
                  <w:tcBorders>
                    <w:tl2br w:val="nil"/>
                    <w:tr2bl w:val="nil"/>
                  </w:tcBorders>
                  <w:vAlign w:val="center"/>
                </w:tcPr>
                <w:p w14:paraId="7B3D5B8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0.405</w:t>
                  </w:r>
                </w:p>
              </w:tc>
              <w:tc>
                <w:tcPr>
                  <w:tcW w:w="747" w:type="pct"/>
                  <w:tcBorders>
                    <w:tl2br w:val="nil"/>
                    <w:tr2bl w:val="nil"/>
                  </w:tcBorders>
                  <w:vAlign w:val="center"/>
                </w:tcPr>
                <w:p w14:paraId="2DD02DF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0.398</w:t>
                  </w:r>
                </w:p>
              </w:tc>
            </w:tr>
            <w:tr w14:paraId="5D29FC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63C8A49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6</w:t>
                  </w:r>
                </w:p>
              </w:tc>
              <w:tc>
                <w:tcPr>
                  <w:tcW w:w="754" w:type="pct"/>
                  <w:vMerge w:val="continue"/>
                  <w:tcBorders>
                    <w:tl2br w:val="nil"/>
                    <w:tr2bl w:val="nil"/>
                  </w:tcBorders>
                  <w:vAlign w:val="center"/>
                </w:tcPr>
                <w:p w14:paraId="7F1AEFD7">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39E2C59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砷</w:t>
                  </w:r>
                </w:p>
              </w:tc>
              <w:tc>
                <w:tcPr>
                  <w:tcW w:w="918" w:type="pct"/>
                  <w:tcBorders>
                    <w:tl2br w:val="nil"/>
                    <w:tr2bl w:val="nil"/>
                  </w:tcBorders>
                  <w:vAlign w:val="center"/>
                </w:tcPr>
                <w:p w14:paraId="65E4069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721" w:type="pct"/>
                  <w:tcBorders>
                    <w:tl2br w:val="nil"/>
                    <w:tr2bl w:val="nil"/>
                  </w:tcBorders>
                  <w:vAlign w:val="center"/>
                </w:tcPr>
                <w:p w14:paraId="586491E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9.58</w:t>
                  </w:r>
                </w:p>
              </w:tc>
              <w:tc>
                <w:tcPr>
                  <w:tcW w:w="747" w:type="pct"/>
                  <w:tcBorders>
                    <w:tl2br w:val="nil"/>
                    <w:tr2bl w:val="nil"/>
                  </w:tcBorders>
                  <w:vAlign w:val="center"/>
                </w:tcPr>
                <w:p w14:paraId="77FDBDD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8.01</w:t>
                  </w:r>
                </w:p>
              </w:tc>
            </w:tr>
            <w:tr w14:paraId="01E691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D836E85">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7</w:t>
                  </w:r>
                </w:p>
              </w:tc>
              <w:tc>
                <w:tcPr>
                  <w:tcW w:w="754" w:type="pct"/>
                  <w:vMerge w:val="continue"/>
                  <w:tcBorders>
                    <w:tl2br w:val="nil"/>
                    <w:tr2bl w:val="nil"/>
                  </w:tcBorders>
                  <w:vAlign w:val="center"/>
                </w:tcPr>
                <w:p w14:paraId="3B0278B1">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31E503B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六价铬</w:t>
                  </w:r>
                </w:p>
              </w:tc>
              <w:tc>
                <w:tcPr>
                  <w:tcW w:w="918" w:type="pct"/>
                  <w:tcBorders>
                    <w:tl2br w:val="nil"/>
                    <w:tr2bl w:val="nil"/>
                  </w:tcBorders>
                  <w:vAlign w:val="center"/>
                </w:tcPr>
                <w:p w14:paraId="6E0769B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721" w:type="pct"/>
                  <w:tcBorders>
                    <w:tl2br w:val="nil"/>
                    <w:tr2bl w:val="nil"/>
                  </w:tcBorders>
                  <w:vAlign w:val="center"/>
                </w:tcPr>
                <w:p w14:paraId="2670A58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c>
                <w:tcPr>
                  <w:tcW w:w="747" w:type="pct"/>
                  <w:tcBorders>
                    <w:tl2br w:val="nil"/>
                    <w:tr2bl w:val="nil"/>
                  </w:tcBorders>
                  <w:vAlign w:val="center"/>
                </w:tcPr>
                <w:p w14:paraId="6319BA4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7"/>
                      <w:sz w:val="21"/>
                      <w:szCs w:val="21"/>
                    </w:rPr>
                    <w:t>未检出</w:t>
                  </w:r>
                </w:p>
              </w:tc>
            </w:tr>
            <w:tr w14:paraId="012E6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vMerge w:val="restart"/>
                  <w:tcBorders>
                    <w:tl2br w:val="nil"/>
                    <w:tr2bl w:val="nil"/>
                  </w:tcBorders>
                  <w:vAlign w:val="center"/>
                </w:tcPr>
                <w:p w14:paraId="667C87A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序号</w:t>
                  </w:r>
                </w:p>
              </w:tc>
              <w:tc>
                <w:tcPr>
                  <w:tcW w:w="754" w:type="pct"/>
                  <w:vMerge w:val="restart"/>
                  <w:tcBorders>
                    <w:tl2br w:val="nil"/>
                    <w:tr2bl w:val="nil"/>
                  </w:tcBorders>
                  <w:vAlign w:val="center"/>
                </w:tcPr>
                <w:p w14:paraId="7CC0A2D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检测时间</w:t>
                  </w:r>
                </w:p>
              </w:tc>
              <w:tc>
                <w:tcPr>
                  <w:tcW w:w="1145" w:type="pct"/>
                  <w:vMerge w:val="restart"/>
                  <w:tcBorders>
                    <w:tl2br w:val="nil"/>
                    <w:tr2bl w:val="nil"/>
                  </w:tcBorders>
                  <w:vAlign w:val="center"/>
                </w:tcPr>
                <w:p w14:paraId="11A2F3E5">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9"/>
                      <w:sz w:val="21"/>
                      <w:szCs w:val="21"/>
                    </w:rPr>
                    <w:t>检测项目</w:t>
                  </w:r>
                </w:p>
              </w:tc>
              <w:tc>
                <w:tcPr>
                  <w:tcW w:w="918" w:type="pct"/>
                  <w:vMerge w:val="restart"/>
                  <w:tcBorders>
                    <w:tl2br w:val="nil"/>
                    <w:tr2bl w:val="nil"/>
                  </w:tcBorders>
                  <w:vAlign w:val="center"/>
                </w:tcPr>
                <w:p w14:paraId="7A98B8C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结果单位</w:t>
                  </w:r>
                </w:p>
              </w:tc>
              <w:tc>
                <w:tcPr>
                  <w:tcW w:w="1468" w:type="pct"/>
                  <w:gridSpan w:val="2"/>
                  <w:tcBorders>
                    <w:tl2br w:val="nil"/>
                    <w:tr2bl w:val="nil"/>
                  </w:tcBorders>
                  <w:vAlign w:val="center"/>
                </w:tcPr>
                <w:p w14:paraId="67EE274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检测结果</w:t>
                  </w:r>
                </w:p>
              </w:tc>
            </w:tr>
            <w:tr w14:paraId="26C27E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vMerge w:val="continue"/>
                  <w:tcBorders>
                    <w:tl2br w:val="nil"/>
                    <w:tr2bl w:val="nil"/>
                  </w:tcBorders>
                  <w:vAlign w:val="center"/>
                </w:tcPr>
                <w:p w14:paraId="5A672D6A">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754" w:type="pct"/>
                  <w:vMerge w:val="continue"/>
                  <w:tcBorders>
                    <w:tl2br w:val="nil"/>
                    <w:tr2bl w:val="nil"/>
                  </w:tcBorders>
                  <w:vAlign w:val="center"/>
                </w:tcPr>
                <w:p w14:paraId="5069F451">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vMerge w:val="continue"/>
                  <w:tcBorders>
                    <w:tl2br w:val="nil"/>
                    <w:tr2bl w:val="nil"/>
                  </w:tcBorders>
                  <w:vAlign w:val="center"/>
                </w:tcPr>
                <w:p w14:paraId="58870F49">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918" w:type="pct"/>
                  <w:vMerge w:val="continue"/>
                  <w:tcBorders>
                    <w:tl2br w:val="nil"/>
                    <w:tr2bl w:val="nil"/>
                  </w:tcBorders>
                  <w:vAlign w:val="center"/>
                </w:tcPr>
                <w:p w14:paraId="146BCC70">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468" w:type="pct"/>
                  <w:gridSpan w:val="2"/>
                  <w:tcBorders>
                    <w:tl2br w:val="nil"/>
                    <w:tr2bl w:val="nil"/>
                  </w:tcBorders>
                  <w:vAlign w:val="center"/>
                </w:tcPr>
                <w:p w14:paraId="2189400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w:t>
                  </w:r>
                </w:p>
              </w:tc>
            </w:tr>
            <w:tr w14:paraId="5F4D6A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F9E5CC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1</w:t>
                  </w:r>
                </w:p>
              </w:tc>
              <w:tc>
                <w:tcPr>
                  <w:tcW w:w="754" w:type="pct"/>
                  <w:vMerge w:val="restart"/>
                  <w:tcBorders>
                    <w:tl2br w:val="nil"/>
                    <w:tr2bl w:val="nil"/>
                  </w:tcBorders>
                  <w:vAlign w:val="center"/>
                </w:tcPr>
                <w:p w14:paraId="3B143D7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7"/>
                      <w:sz w:val="21"/>
                      <w:szCs w:val="21"/>
                    </w:rPr>
                    <w:t>2021年2月19日</w:t>
                  </w:r>
                </w:p>
              </w:tc>
              <w:tc>
                <w:tcPr>
                  <w:tcW w:w="1145" w:type="pct"/>
                  <w:tcBorders>
                    <w:tl2br w:val="nil"/>
                    <w:tr2bl w:val="nil"/>
                  </w:tcBorders>
                  <w:vAlign w:val="center"/>
                </w:tcPr>
                <w:p w14:paraId="57C72EF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四氯化碳</w:t>
                  </w:r>
                </w:p>
              </w:tc>
              <w:tc>
                <w:tcPr>
                  <w:tcW w:w="918" w:type="pct"/>
                  <w:tcBorders>
                    <w:tl2br w:val="nil"/>
                    <w:tr2bl w:val="nil"/>
                  </w:tcBorders>
                  <w:vAlign w:val="center"/>
                </w:tcPr>
                <w:p w14:paraId="02436CE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2C385B7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43B4EE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7DFCD82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2</w:t>
                  </w:r>
                </w:p>
              </w:tc>
              <w:tc>
                <w:tcPr>
                  <w:tcW w:w="754" w:type="pct"/>
                  <w:vMerge w:val="continue"/>
                  <w:tcBorders>
                    <w:tl2br w:val="nil"/>
                    <w:tr2bl w:val="nil"/>
                  </w:tcBorders>
                  <w:vAlign w:val="center"/>
                </w:tcPr>
                <w:p w14:paraId="2D4318CF">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6BA3F36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氯仿</w:t>
                  </w:r>
                </w:p>
              </w:tc>
              <w:tc>
                <w:tcPr>
                  <w:tcW w:w="918" w:type="pct"/>
                  <w:tcBorders>
                    <w:tl2br w:val="nil"/>
                    <w:tr2bl w:val="nil"/>
                  </w:tcBorders>
                  <w:vAlign w:val="center"/>
                </w:tcPr>
                <w:p w14:paraId="2EC87D4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52C7EA6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5D49E2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18D03D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3</w:t>
                  </w:r>
                </w:p>
              </w:tc>
              <w:tc>
                <w:tcPr>
                  <w:tcW w:w="754" w:type="pct"/>
                  <w:vMerge w:val="continue"/>
                  <w:tcBorders>
                    <w:tl2br w:val="nil"/>
                    <w:tr2bl w:val="nil"/>
                  </w:tcBorders>
                  <w:vAlign w:val="center"/>
                </w:tcPr>
                <w:p w14:paraId="274052B1">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49BC39C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1,1-二氯乙烷</w:t>
                  </w:r>
                </w:p>
              </w:tc>
              <w:tc>
                <w:tcPr>
                  <w:tcW w:w="918" w:type="pct"/>
                  <w:tcBorders>
                    <w:tl2br w:val="nil"/>
                    <w:tr2bl w:val="nil"/>
                  </w:tcBorders>
                  <w:vAlign w:val="center"/>
                </w:tcPr>
                <w:p w14:paraId="6E9CD8F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08A024B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3D5DC3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64611EB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4</w:t>
                  </w:r>
                </w:p>
              </w:tc>
              <w:tc>
                <w:tcPr>
                  <w:tcW w:w="754" w:type="pct"/>
                  <w:vMerge w:val="continue"/>
                  <w:tcBorders>
                    <w:tl2br w:val="nil"/>
                    <w:tr2bl w:val="nil"/>
                  </w:tcBorders>
                  <w:vAlign w:val="center"/>
                </w:tcPr>
                <w:p w14:paraId="1CC82B9B">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48D810D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1,2-二氯乙烷</w:t>
                  </w:r>
                </w:p>
              </w:tc>
              <w:tc>
                <w:tcPr>
                  <w:tcW w:w="918" w:type="pct"/>
                  <w:tcBorders>
                    <w:tl2br w:val="nil"/>
                    <w:tr2bl w:val="nil"/>
                  </w:tcBorders>
                  <w:vAlign w:val="center"/>
                </w:tcPr>
                <w:p w14:paraId="201A5F0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64E191E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6F217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2F2D07B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5</w:t>
                  </w:r>
                </w:p>
              </w:tc>
              <w:tc>
                <w:tcPr>
                  <w:tcW w:w="754" w:type="pct"/>
                  <w:vMerge w:val="continue"/>
                  <w:tcBorders>
                    <w:tl2br w:val="nil"/>
                    <w:tr2bl w:val="nil"/>
                  </w:tcBorders>
                  <w:vAlign w:val="center"/>
                </w:tcPr>
                <w:p w14:paraId="6C454D26">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324B40C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1,2-二氯乙烯</w:t>
                  </w:r>
                </w:p>
              </w:tc>
              <w:tc>
                <w:tcPr>
                  <w:tcW w:w="918" w:type="pct"/>
                  <w:tcBorders>
                    <w:tl2br w:val="nil"/>
                    <w:tr2bl w:val="nil"/>
                  </w:tcBorders>
                  <w:vAlign w:val="center"/>
                </w:tcPr>
                <w:p w14:paraId="5A001D0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7D44735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0.35</w:t>
                  </w:r>
                </w:p>
              </w:tc>
            </w:tr>
            <w:tr w14:paraId="73221B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6421872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6</w:t>
                  </w:r>
                </w:p>
              </w:tc>
              <w:tc>
                <w:tcPr>
                  <w:tcW w:w="754" w:type="pct"/>
                  <w:vMerge w:val="continue"/>
                  <w:tcBorders>
                    <w:tl2br w:val="nil"/>
                    <w:tr2bl w:val="nil"/>
                  </w:tcBorders>
                  <w:vAlign w:val="center"/>
                </w:tcPr>
                <w:p w14:paraId="3BC1FD51">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7CF0988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二氯甲烷</w:t>
                  </w:r>
                </w:p>
              </w:tc>
              <w:tc>
                <w:tcPr>
                  <w:tcW w:w="918" w:type="pct"/>
                  <w:tcBorders>
                    <w:tl2br w:val="nil"/>
                    <w:tr2bl w:val="nil"/>
                  </w:tcBorders>
                  <w:vAlign w:val="center"/>
                </w:tcPr>
                <w:p w14:paraId="583A43E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562CA0B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720895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067B98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7</w:t>
                  </w:r>
                </w:p>
              </w:tc>
              <w:tc>
                <w:tcPr>
                  <w:tcW w:w="754" w:type="pct"/>
                  <w:vMerge w:val="continue"/>
                  <w:tcBorders>
                    <w:tl2br w:val="nil"/>
                    <w:tr2bl w:val="nil"/>
                  </w:tcBorders>
                  <w:vAlign w:val="center"/>
                </w:tcPr>
                <w:p w14:paraId="3F83FD3B">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EA21CA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1,2-二氯丙烷</w:t>
                  </w:r>
                </w:p>
              </w:tc>
              <w:tc>
                <w:tcPr>
                  <w:tcW w:w="918" w:type="pct"/>
                  <w:tcBorders>
                    <w:tl2br w:val="nil"/>
                    <w:tr2bl w:val="nil"/>
                  </w:tcBorders>
                  <w:vAlign w:val="center"/>
                </w:tcPr>
                <w:p w14:paraId="1AD83685">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6D39E6A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0521C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0EDAB1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8</w:t>
                  </w:r>
                </w:p>
              </w:tc>
              <w:tc>
                <w:tcPr>
                  <w:tcW w:w="754" w:type="pct"/>
                  <w:vMerge w:val="continue"/>
                  <w:tcBorders>
                    <w:tl2br w:val="nil"/>
                    <w:tr2bl w:val="nil"/>
                  </w:tcBorders>
                  <w:vAlign w:val="center"/>
                </w:tcPr>
                <w:p w14:paraId="2158FD20">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760B53E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1,1,1,2-四氯乙烷</w:t>
                  </w:r>
                </w:p>
              </w:tc>
              <w:tc>
                <w:tcPr>
                  <w:tcW w:w="918" w:type="pct"/>
                  <w:tcBorders>
                    <w:tl2br w:val="nil"/>
                    <w:tr2bl w:val="nil"/>
                  </w:tcBorders>
                  <w:vAlign w:val="center"/>
                </w:tcPr>
                <w:p w14:paraId="3245489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113DF5B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0.19</w:t>
                  </w:r>
                </w:p>
              </w:tc>
            </w:tr>
            <w:tr w14:paraId="770F0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9F651E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9</w:t>
                  </w:r>
                </w:p>
              </w:tc>
              <w:tc>
                <w:tcPr>
                  <w:tcW w:w="754" w:type="pct"/>
                  <w:vMerge w:val="continue"/>
                  <w:tcBorders>
                    <w:tl2br w:val="nil"/>
                    <w:tr2bl w:val="nil"/>
                  </w:tcBorders>
                  <w:vAlign w:val="center"/>
                </w:tcPr>
                <w:p w14:paraId="1B576691">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58654CA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1,1,2,2-四氯乙烷</w:t>
                  </w:r>
                </w:p>
              </w:tc>
              <w:tc>
                <w:tcPr>
                  <w:tcW w:w="918" w:type="pct"/>
                  <w:tcBorders>
                    <w:tl2br w:val="nil"/>
                    <w:tr2bl w:val="nil"/>
                  </w:tcBorders>
                  <w:vAlign w:val="center"/>
                </w:tcPr>
                <w:p w14:paraId="63950D3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47A4D47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22F7AC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3124865">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10</w:t>
                  </w:r>
                </w:p>
              </w:tc>
              <w:tc>
                <w:tcPr>
                  <w:tcW w:w="754" w:type="pct"/>
                  <w:vMerge w:val="continue"/>
                  <w:tcBorders>
                    <w:tl2br w:val="nil"/>
                    <w:tr2bl w:val="nil"/>
                  </w:tcBorders>
                  <w:vAlign w:val="center"/>
                </w:tcPr>
                <w:p w14:paraId="29F0BF86">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21DE14E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四氯乙烯</w:t>
                  </w:r>
                </w:p>
              </w:tc>
              <w:tc>
                <w:tcPr>
                  <w:tcW w:w="918" w:type="pct"/>
                  <w:tcBorders>
                    <w:tl2br w:val="nil"/>
                    <w:tr2bl w:val="nil"/>
                  </w:tcBorders>
                  <w:vAlign w:val="center"/>
                </w:tcPr>
                <w:p w14:paraId="35EC7E4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7F79EFC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297610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805914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11</w:t>
                  </w:r>
                </w:p>
              </w:tc>
              <w:tc>
                <w:tcPr>
                  <w:tcW w:w="754" w:type="pct"/>
                  <w:vMerge w:val="continue"/>
                  <w:tcBorders>
                    <w:tl2br w:val="nil"/>
                    <w:tr2bl w:val="nil"/>
                  </w:tcBorders>
                  <w:vAlign w:val="center"/>
                </w:tcPr>
                <w:p w14:paraId="1169E1BC">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49A4000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1,1,1-三氯乙烷</w:t>
                  </w:r>
                </w:p>
              </w:tc>
              <w:tc>
                <w:tcPr>
                  <w:tcW w:w="918" w:type="pct"/>
                  <w:tcBorders>
                    <w:tl2br w:val="nil"/>
                    <w:tr2bl w:val="nil"/>
                  </w:tcBorders>
                  <w:vAlign w:val="center"/>
                </w:tcPr>
                <w:p w14:paraId="16B2679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389D102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451DD7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C2FDCF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12</w:t>
                  </w:r>
                </w:p>
              </w:tc>
              <w:tc>
                <w:tcPr>
                  <w:tcW w:w="754" w:type="pct"/>
                  <w:vMerge w:val="continue"/>
                  <w:tcBorders>
                    <w:tl2br w:val="nil"/>
                    <w:tr2bl w:val="nil"/>
                  </w:tcBorders>
                  <w:vAlign w:val="center"/>
                </w:tcPr>
                <w:p w14:paraId="08A2A13F">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573F84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1,1,2-三氯乙烷</w:t>
                  </w:r>
                </w:p>
              </w:tc>
              <w:tc>
                <w:tcPr>
                  <w:tcW w:w="918" w:type="pct"/>
                  <w:tcBorders>
                    <w:tl2br w:val="nil"/>
                    <w:tr2bl w:val="nil"/>
                  </w:tcBorders>
                  <w:vAlign w:val="center"/>
                </w:tcPr>
                <w:p w14:paraId="04119FE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4694B2D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7A8D3F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766FC3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13</w:t>
                  </w:r>
                </w:p>
              </w:tc>
              <w:tc>
                <w:tcPr>
                  <w:tcW w:w="754" w:type="pct"/>
                  <w:vMerge w:val="continue"/>
                  <w:tcBorders>
                    <w:tl2br w:val="nil"/>
                    <w:tr2bl w:val="nil"/>
                  </w:tcBorders>
                  <w:vAlign w:val="center"/>
                </w:tcPr>
                <w:p w14:paraId="3366C524">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00216C5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三氯乙烯</w:t>
                  </w:r>
                </w:p>
              </w:tc>
              <w:tc>
                <w:tcPr>
                  <w:tcW w:w="918" w:type="pct"/>
                  <w:tcBorders>
                    <w:tl2br w:val="nil"/>
                    <w:tr2bl w:val="nil"/>
                  </w:tcBorders>
                  <w:vAlign w:val="center"/>
                </w:tcPr>
                <w:p w14:paraId="64769B9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6E751F5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43A38B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214E6AE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14</w:t>
                  </w:r>
                </w:p>
              </w:tc>
              <w:tc>
                <w:tcPr>
                  <w:tcW w:w="754" w:type="pct"/>
                  <w:vMerge w:val="continue"/>
                  <w:tcBorders>
                    <w:tl2br w:val="nil"/>
                    <w:tr2bl w:val="nil"/>
                  </w:tcBorders>
                  <w:vAlign w:val="center"/>
                </w:tcPr>
                <w:p w14:paraId="00B32462">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26FF284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1,2,3-三氯丙烷</w:t>
                  </w:r>
                </w:p>
              </w:tc>
              <w:tc>
                <w:tcPr>
                  <w:tcW w:w="918" w:type="pct"/>
                  <w:tcBorders>
                    <w:tl2br w:val="nil"/>
                    <w:tr2bl w:val="nil"/>
                  </w:tcBorders>
                  <w:vAlign w:val="center"/>
                </w:tcPr>
                <w:p w14:paraId="06BD825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37EFF2E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0.10</w:t>
                  </w:r>
                </w:p>
              </w:tc>
            </w:tr>
            <w:tr w14:paraId="54AE34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77F98A4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15</w:t>
                  </w:r>
                </w:p>
              </w:tc>
              <w:tc>
                <w:tcPr>
                  <w:tcW w:w="754" w:type="pct"/>
                  <w:vMerge w:val="continue"/>
                  <w:tcBorders>
                    <w:tl2br w:val="nil"/>
                    <w:tr2bl w:val="nil"/>
                  </w:tcBorders>
                  <w:vAlign w:val="center"/>
                </w:tcPr>
                <w:p w14:paraId="10FB28FD">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584078B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氯乙烯</w:t>
                  </w:r>
                </w:p>
              </w:tc>
              <w:tc>
                <w:tcPr>
                  <w:tcW w:w="918" w:type="pct"/>
                  <w:tcBorders>
                    <w:tl2br w:val="nil"/>
                    <w:tr2bl w:val="nil"/>
                  </w:tcBorders>
                  <w:vAlign w:val="center"/>
                </w:tcPr>
                <w:p w14:paraId="0C93ECB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69E7B87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31EB5B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A279D5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16</w:t>
                  </w:r>
                </w:p>
              </w:tc>
              <w:tc>
                <w:tcPr>
                  <w:tcW w:w="754" w:type="pct"/>
                  <w:vMerge w:val="continue"/>
                  <w:tcBorders>
                    <w:tl2br w:val="nil"/>
                    <w:tr2bl w:val="nil"/>
                  </w:tcBorders>
                  <w:vAlign w:val="center"/>
                </w:tcPr>
                <w:p w14:paraId="1729E8DF">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290A2CE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苯</w:t>
                  </w:r>
                </w:p>
              </w:tc>
              <w:tc>
                <w:tcPr>
                  <w:tcW w:w="918" w:type="pct"/>
                  <w:tcBorders>
                    <w:tl2br w:val="nil"/>
                    <w:tr2bl w:val="nil"/>
                  </w:tcBorders>
                  <w:vAlign w:val="center"/>
                </w:tcPr>
                <w:p w14:paraId="67B7DDD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51FCA6A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360691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5A52BF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17</w:t>
                  </w:r>
                </w:p>
              </w:tc>
              <w:tc>
                <w:tcPr>
                  <w:tcW w:w="754" w:type="pct"/>
                  <w:vMerge w:val="continue"/>
                  <w:tcBorders>
                    <w:tl2br w:val="nil"/>
                    <w:tr2bl w:val="nil"/>
                  </w:tcBorders>
                  <w:vAlign w:val="center"/>
                </w:tcPr>
                <w:p w14:paraId="4E7938E8">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00E3D72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氯苯</w:t>
                  </w:r>
                </w:p>
              </w:tc>
              <w:tc>
                <w:tcPr>
                  <w:tcW w:w="918" w:type="pct"/>
                  <w:tcBorders>
                    <w:tl2br w:val="nil"/>
                    <w:tr2bl w:val="nil"/>
                  </w:tcBorders>
                  <w:vAlign w:val="center"/>
                </w:tcPr>
                <w:p w14:paraId="79A9C45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652D925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未检出</w:t>
                  </w:r>
                </w:p>
              </w:tc>
            </w:tr>
            <w:tr w14:paraId="774EF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F8A24B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18</w:t>
                  </w:r>
                </w:p>
              </w:tc>
              <w:tc>
                <w:tcPr>
                  <w:tcW w:w="754" w:type="pct"/>
                  <w:vMerge w:val="continue"/>
                  <w:tcBorders>
                    <w:tl2br w:val="nil"/>
                    <w:tr2bl w:val="nil"/>
                  </w:tcBorders>
                  <w:vAlign w:val="center"/>
                </w:tcPr>
                <w:p w14:paraId="09764DB6">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02C0913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1,2-二氯苯</w:t>
                  </w:r>
                </w:p>
              </w:tc>
              <w:tc>
                <w:tcPr>
                  <w:tcW w:w="918" w:type="pct"/>
                  <w:tcBorders>
                    <w:tl2br w:val="nil"/>
                    <w:tr2bl w:val="nil"/>
                  </w:tcBorders>
                  <w:vAlign w:val="center"/>
                </w:tcPr>
                <w:p w14:paraId="7239D8F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442DF74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0.64</w:t>
                  </w:r>
                </w:p>
              </w:tc>
            </w:tr>
            <w:tr w14:paraId="46E02C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73D82A7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19</w:t>
                  </w:r>
                </w:p>
              </w:tc>
              <w:tc>
                <w:tcPr>
                  <w:tcW w:w="754" w:type="pct"/>
                  <w:vMerge w:val="continue"/>
                  <w:tcBorders>
                    <w:tl2br w:val="nil"/>
                    <w:tr2bl w:val="nil"/>
                  </w:tcBorders>
                  <w:vAlign w:val="center"/>
                </w:tcPr>
                <w:p w14:paraId="7E90D9F4">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585CE7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1,4-二氯苯</w:t>
                  </w:r>
                </w:p>
              </w:tc>
              <w:tc>
                <w:tcPr>
                  <w:tcW w:w="918" w:type="pct"/>
                  <w:tcBorders>
                    <w:tl2br w:val="nil"/>
                    <w:tr2bl w:val="nil"/>
                  </w:tcBorders>
                  <w:vAlign w:val="center"/>
                </w:tcPr>
                <w:p w14:paraId="5BF137F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33EBF9E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8"/>
                      <w:sz w:val="21"/>
                      <w:szCs w:val="21"/>
                    </w:rPr>
                    <w:t>未检出</w:t>
                  </w:r>
                </w:p>
              </w:tc>
            </w:tr>
            <w:tr w14:paraId="2C610E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76229DA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20</w:t>
                  </w:r>
                </w:p>
              </w:tc>
              <w:tc>
                <w:tcPr>
                  <w:tcW w:w="754" w:type="pct"/>
                  <w:vMerge w:val="continue"/>
                  <w:tcBorders>
                    <w:tl2br w:val="nil"/>
                    <w:tr2bl w:val="nil"/>
                  </w:tcBorders>
                  <w:vAlign w:val="center"/>
                </w:tcPr>
                <w:p w14:paraId="33CCFF95">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85B33A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乙苯</w:t>
                  </w:r>
                </w:p>
              </w:tc>
              <w:tc>
                <w:tcPr>
                  <w:tcW w:w="918" w:type="pct"/>
                  <w:tcBorders>
                    <w:tl2br w:val="nil"/>
                    <w:tr2bl w:val="nil"/>
                  </w:tcBorders>
                  <w:vAlign w:val="center"/>
                </w:tcPr>
                <w:p w14:paraId="64A7C12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3FED5F9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未检出</w:t>
                  </w:r>
                </w:p>
              </w:tc>
            </w:tr>
            <w:tr w14:paraId="3C8CB1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2AD6DD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21</w:t>
                  </w:r>
                </w:p>
              </w:tc>
              <w:tc>
                <w:tcPr>
                  <w:tcW w:w="754" w:type="pct"/>
                  <w:vMerge w:val="continue"/>
                  <w:tcBorders>
                    <w:tl2br w:val="nil"/>
                    <w:tr2bl w:val="nil"/>
                  </w:tcBorders>
                  <w:vAlign w:val="center"/>
                </w:tcPr>
                <w:p w14:paraId="71B27348">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531727A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苯乙烯</w:t>
                  </w:r>
                </w:p>
              </w:tc>
              <w:tc>
                <w:tcPr>
                  <w:tcW w:w="918" w:type="pct"/>
                  <w:tcBorders>
                    <w:tl2br w:val="nil"/>
                    <w:tr2bl w:val="nil"/>
                  </w:tcBorders>
                  <w:vAlign w:val="center"/>
                </w:tcPr>
                <w:p w14:paraId="2F13A8D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6C3F621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未检出</w:t>
                  </w:r>
                </w:p>
              </w:tc>
            </w:tr>
            <w:tr w14:paraId="54085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7C8C622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22</w:t>
                  </w:r>
                </w:p>
              </w:tc>
              <w:tc>
                <w:tcPr>
                  <w:tcW w:w="754" w:type="pct"/>
                  <w:vMerge w:val="continue"/>
                  <w:tcBorders>
                    <w:tl2br w:val="nil"/>
                    <w:tr2bl w:val="nil"/>
                  </w:tcBorders>
                  <w:vAlign w:val="center"/>
                </w:tcPr>
                <w:p w14:paraId="6B4FE5EA">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6C80C6B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甲苯</w:t>
                  </w:r>
                </w:p>
              </w:tc>
              <w:tc>
                <w:tcPr>
                  <w:tcW w:w="918" w:type="pct"/>
                  <w:tcBorders>
                    <w:tl2br w:val="nil"/>
                    <w:tr2bl w:val="nil"/>
                  </w:tcBorders>
                  <w:vAlign w:val="center"/>
                </w:tcPr>
                <w:p w14:paraId="7FCCFC6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36885CF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未检出</w:t>
                  </w:r>
                </w:p>
              </w:tc>
            </w:tr>
            <w:tr w14:paraId="373C25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4F1F98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23</w:t>
                  </w:r>
                </w:p>
              </w:tc>
              <w:tc>
                <w:tcPr>
                  <w:tcW w:w="754" w:type="pct"/>
                  <w:vMerge w:val="continue"/>
                  <w:tcBorders>
                    <w:tl2br w:val="nil"/>
                    <w:tr2bl w:val="nil"/>
                  </w:tcBorders>
                  <w:vAlign w:val="center"/>
                </w:tcPr>
                <w:p w14:paraId="20DF0A4A">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529C042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间二甲苯+对二甲苯</w:t>
                  </w:r>
                </w:p>
              </w:tc>
              <w:tc>
                <w:tcPr>
                  <w:tcW w:w="918" w:type="pct"/>
                  <w:tcBorders>
                    <w:tl2br w:val="nil"/>
                    <w:tr2bl w:val="nil"/>
                  </w:tcBorders>
                  <w:vAlign w:val="center"/>
                </w:tcPr>
                <w:p w14:paraId="647A624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558860B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未检出</w:t>
                  </w:r>
                </w:p>
              </w:tc>
            </w:tr>
            <w:tr w14:paraId="612A86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2279AD4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24</w:t>
                  </w:r>
                </w:p>
              </w:tc>
              <w:tc>
                <w:tcPr>
                  <w:tcW w:w="754" w:type="pct"/>
                  <w:vMerge w:val="continue"/>
                  <w:tcBorders>
                    <w:tl2br w:val="nil"/>
                    <w:tr2bl w:val="nil"/>
                  </w:tcBorders>
                  <w:vAlign w:val="center"/>
                </w:tcPr>
                <w:p w14:paraId="3000F679">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7DC9B0C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邻二甲苯</w:t>
                  </w:r>
                </w:p>
              </w:tc>
              <w:tc>
                <w:tcPr>
                  <w:tcW w:w="918" w:type="pct"/>
                  <w:tcBorders>
                    <w:tl2br w:val="nil"/>
                    <w:tr2bl w:val="nil"/>
                  </w:tcBorders>
                  <w:vAlign w:val="center"/>
                </w:tcPr>
                <w:p w14:paraId="66FFD69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09C2C055">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未检出</w:t>
                  </w:r>
                </w:p>
              </w:tc>
            </w:tr>
            <w:tr w14:paraId="0A53BC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BE3E0B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25</w:t>
                  </w:r>
                </w:p>
              </w:tc>
              <w:tc>
                <w:tcPr>
                  <w:tcW w:w="754" w:type="pct"/>
                  <w:vMerge w:val="continue"/>
                  <w:tcBorders>
                    <w:tl2br w:val="nil"/>
                    <w:tr2bl w:val="nil"/>
                  </w:tcBorders>
                  <w:vAlign w:val="center"/>
                </w:tcPr>
                <w:p w14:paraId="3247AD76">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34A6754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苯并[a]蒽</w:t>
                  </w:r>
                </w:p>
              </w:tc>
              <w:tc>
                <w:tcPr>
                  <w:tcW w:w="918" w:type="pct"/>
                  <w:tcBorders>
                    <w:tl2br w:val="nil"/>
                    <w:tr2bl w:val="nil"/>
                  </w:tcBorders>
                  <w:vAlign w:val="center"/>
                </w:tcPr>
                <w:p w14:paraId="7879698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ug/kg</w:t>
                  </w:r>
                </w:p>
              </w:tc>
              <w:tc>
                <w:tcPr>
                  <w:tcW w:w="1468" w:type="pct"/>
                  <w:gridSpan w:val="2"/>
                  <w:tcBorders>
                    <w:tl2br w:val="nil"/>
                    <w:tr2bl w:val="nil"/>
                  </w:tcBorders>
                  <w:vAlign w:val="center"/>
                </w:tcPr>
                <w:p w14:paraId="65D092E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未检出</w:t>
                  </w:r>
                </w:p>
              </w:tc>
            </w:tr>
            <w:tr w14:paraId="5FE626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60EC15A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26</w:t>
                  </w:r>
                </w:p>
              </w:tc>
              <w:tc>
                <w:tcPr>
                  <w:tcW w:w="754" w:type="pct"/>
                  <w:vMerge w:val="continue"/>
                  <w:tcBorders>
                    <w:tl2br w:val="nil"/>
                    <w:tr2bl w:val="nil"/>
                  </w:tcBorders>
                  <w:vAlign w:val="center"/>
                </w:tcPr>
                <w:p w14:paraId="5A7B0EB3">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6D4B1F4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苯并[a]芘</w:t>
                  </w:r>
                </w:p>
              </w:tc>
              <w:tc>
                <w:tcPr>
                  <w:tcW w:w="918" w:type="pct"/>
                  <w:tcBorders>
                    <w:tl2br w:val="nil"/>
                    <w:tr2bl w:val="nil"/>
                  </w:tcBorders>
                  <w:vAlign w:val="center"/>
                </w:tcPr>
                <w:p w14:paraId="10A9990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ug/kg</w:t>
                  </w:r>
                </w:p>
              </w:tc>
              <w:tc>
                <w:tcPr>
                  <w:tcW w:w="1468" w:type="pct"/>
                  <w:gridSpan w:val="2"/>
                  <w:tcBorders>
                    <w:tl2br w:val="nil"/>
                    <w:tr2bl w:val="nil"/>
                  </w:tcBorders>
                  <w:vAlign w:val="center"/>
                </w:tcPr>
                <w:p w14:paraId="65995C2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未检出</w:t>
                  </w:r>
                </w:p>
              </w:tc>
            </w:tr>
            <w:tr w14:paraId="31B7C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5B1D68F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27</w:t>
                  </w:r>
                </w:p>
              </w:tc>
              <w:tc>
                <w:tcPr>
                  <w:tcW w:w="754" w:type="pct"/>
                  <w:vMerge w:val="continue"/>
                  <w:tcBorders>
                    <w:tl2br w:val="nil"/>
                    <w:tr2bl w:val="nil"/>
                  </w:tcBorders>
                  <w:vAlign w:val="center"/>
                </w:tcPr>
                <w:p w14:paraId="71C89C36">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56447D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苯并[b]荧蒽</w:t>
                  </w:r>
                </w:p>
              </w:tc>
              <w:tc>
                <w:tcPr>
                  <w:tcW w:w="918" w:type="pct"/>
                  <w:tcBorders>
                    <w:tl2br w:val="nil"/>
                    <w:tr2bl w:val="nil"/>
                  </w:tcBorders>
                  <w:vAlign w:val="center"/>
                </w:tcPr>
                <w:p w14:paraId="5267BF4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ug/kg</w:t>
                  </w:r>
                </w:p>
              </w:tc>
              <w:tc>
                <w:tcPr>
                  <w:tcW w:w="1468" w:type="pct"/>
                  <w:gridSpan w:val="2"/>
                  <w:tcBorders>
                    <w:tl2br w:val="nil"/>
                    <w:tr2bl w:val="nil"/>
                  </w:tcBorders>
                  <w:vAlign w:val="center"/>
                </w:tcPr>
                <w:p w14:paraId="0C52C6D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8"/>
                      <w:sz w:val="21"/>
                      <w:szCs w:val="21"/>
                    </w:rPr>
                    <w:t>未检出</w:t>
                  </w:r>
                </w:p>
              </w:tc>
            </w:tr>
            <w:tr w14:paraId="707E0C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261DCEF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28</w:t>
                  </w:r>
                </w:p>
              </w:tc>
              <w:tc>
                <w:tcPr>
                  <w:tcW w:w="754" w:type="pct"/>
                  <w:vMerge w:val="continue"/>
                  <w:tcBorders>
                    <w:tl2br w:val="nil"/>
                    <w:tr2bl w:val="nil"/>
                  </w:tcBorders>
                  <w:vAlign w:val="center"/>
                </w:tcPr>
                <w:p w14:paraId="5ECB148A">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2B2D5C2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苯并k]荧蒽</w:t>
                  </w:r>
                </w:p>
              </w:tc>
              <w:tc>
                <w:tcPr>
                  <w:tcW w:w="918" w:type="pct"/>
                  <w:tcBorders>
                    <w:tl2br w:val="nil"/>
                    <w:tr2bl w:val="nil"/>
                  </w:tcBorders>
                  <w:vAlign w:val="center"/>
                </w:tcPr>
                <w:p w14:paraId="20C6588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ug/kg</w:t>
                  </w:r>
                </w:p>
              </w:tc>
              <w:tc>
                <w:tcPr>
                  <w:tcW w:w="1468" w:type="pct"/>
                  <w:gridSpan w:val="2"/>
                  <w:tcBorders>
                    <w:tl2br w:val="nil"/>
                    <w:tr2bl w:val="nil"/>
                  </w:tcBorders>
                  <w:vAlign w:val="center"/>
                </w:tcPr>
                <w:p w14:paraId="22E7492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8"/>
                      <w:sz w:val="21"/>
                      <w:szCs w:val="21"/>
                    </w:rPr>
                    <w:t>未检出</w:t>
                  </w:r>
                </w:p>
              </w:tc>
            </w:tr>
            <w:tr w14:paraId="36C088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60A4A48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29</w:t>
                  </w:r>
                </w:p>
              </w:tc>
              <w:tc>
                <w:tcPr>
                  <w:tcW w:w="754" w:type="pct"/>
                  <w:vMerge w:val="continue"/>
                  <w:tcBorders>
                    <w:tl2br w:val="nil"/>
                    <w:tr2bl w:val="nil"/>
                  </w:tcBorders>
                  <w:vAlign w:val="center"/>
                </w:tcPr>
                <w:p w14:paraId="67AC0472">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547E0B5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菌</w:t>
                  </w:r>
                </w:p>
              </w:tc>
              <w:tc>
                <w:tcPr>
                  <w:tcW w:w="918" w:type="pct"/>
                  <w:tcBorders>
                    <w:tl2br w:val="nil"/>
                    <w:tr2bl w:val="nil"/>
                  </w:tcBorders>
                  <w:vAlign w:val="center"/>
                </w:tcPr>
                <w:p w14:paraId="531DBC0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ug/kg</w:t>
                  </w:r>
                </w:p>
              </w:tc>
              <w:tc>
                <w:tcPr>
                  <w:tcW w:w="1468" w:type="pct"/>
                  <w:gridSpan w:val="2"/>
                  <w:tcBorders>
                    <w:tl2br w:val="nil"/>
                    <w:tr2bl w:val="nil"/>
                  </w:tcBorders>
                  <w:vAlign w:val="center"/>
                </w:tcPr>
                <w:p w14:paraId="20C19E1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8"/>
                      <w:sz w:val="21"/>
                      <w:szCs w:val="21"/>
                    </w:rPr>
                    <w:t>未检出</w:t>
                  </w:r>
                </w:p>
              </w:tc>
            </w:tr>
            <w:tr w14:paraId="7FD76E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05D6FB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31</w:t>
                  </w:r>
                </w:p>
              </w:tc>
              <w:tc>
                <w:tcPr>
                  <w:tcW w:w="754" w:type="pct"/>
                  <w:vMerge w:val="continue"/>
                  <w:tcBorders>
                    <w:tl2br w:val="nil"/>
                    <w:tr2bl w:val="nil"/>
                  </w:tcBorders>
                  <w:vAlign w:val="center"/>
                </w:tcPr>
                <w:p w14:paraId="68C6BAE6">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FC5C82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二苯并a,h]蒽</w:t>
                  </w:r>
                </w:p>
              </w:tc>
              <w:tc>
                <w:tcPr>
                  <w:tcW w:w="918" w:type="pct"/>
                  <w:tcBorders>
                    <w:tl2br w:val="nil"/>
                    <w:tr2bl w:val="nil"/>
                  </w:tcBorders>
                  <w:vAlign w:val="center"/>
                </w:tcPr>
                <w:p w14:paraId="1F4FCF1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ug/kg</w:t>
                  </w:r>
                </w:p>
              </w:tc>
              <w:tc>
                <w:tcPr>
                  <w:tcW w:w="1468" w:type="pct"/>
                  <w:gridSpan w:val="2"/>
                  <w:tcBorders>
                    <w:tl2br w:val="nil"/>
                    <w:tr2bl w:val="nil"/>
                  </w:tcBorders>
                  <w:vAlign w:val="center"/>
                </w:tcPr>
                <w:p w14:paraId="41EAF905">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8"/>
                      <w:sz w:val="21"/>
                      <w:szCs w:val="21"/>
                    </w:rPr>
                    <w:t>未检出</w:t>
                  </w:r>
                </w:p>
              </w:tc>
            </w:tr>
            <w:tr w14:paraId="070C04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A59374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31</w:t>
                  </w:r>
                </w:p>
              </w:tc>
              <w:tc>
                <w:tcPr>
                  <w:tcW w:w="754" w:type="pct"/>
                  <w:vMerge w:val="continue"/>
                  <w:tcBorders>
                    <w:tl2br w:val="nil"/>
                    <w:tr2bl w:val="nil"/>
                  </w:tcBorders>
                  <w:vAlign w:val="center"/>
                </w:tcPr>
                <w:p w14:paraId="3074D3C4">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45C8E4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茚并[1,2,3-cd]芘</w:t>
                  </w:r>
                </w:p>
              </w:tc>
              <w:tc>
                <w:tcPr>
                  <w:tcW w:w="918" w:type="pct"/>
                  <w:tcBorders>
                    <w:tl2br w:val="nil"/>
                    <w:tr2bl w:val="nil"/>
                  </w:tcBorders>
                  <w:vAlign w:val="center"/>
                </w:tcPr>
                <w:p w14:paraId="15265FF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ug/kg</w:t>
                  </w:r>
                </w:p>
              </w:tc>
              <w:tc>
                <w:tcPr>
                  <w:tcW w:w="1468" w:type="pct"/>
                  <w:gridSpan w:val="2"/>
                  <w:tcBorders>
                    <w:tl2br w:val="nil"/>
                    <w:tr2bl w:val="nil"/>
                  </w:tcBorders>
                  <w:vAlign w:val="center"/>
                </w:tcPr>
                <w:p w14:paraId="40880D2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8"/>
                      <w:sz w:val="21"/>
                      <w:szCs w:val="21"/>
                    </w:rPr>
                    <w:t>未检出</w:t>
                  </w:r>
                </w:p>
              </w:tc>
            </w:tr>
            <w:tr w14:paraId="67C04D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69788455">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32</w:t>
                  </w:r>
                </w:p>
              </w:tc>
              <w:tc>
                <w:tcPr>
                  <w:tcW w:w="754" w:type="pct"/>
                  <w:vMerge w:val="continue"/>
                  <w:tcBorders>
                    <w:tl2br w:val="nil"/>
                    <w:tr2bl w:val="nil"/>
                  </w:tcBorders>
                  <w:vAlign w:val="center"/>
                </w:tcPr>
                <w:p w14:paraId="2DEE4481">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CBAA00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铅</w:t>
                  </w:r>
                </w:p>
              </w:tc>
              <w:tc>
                <w:tcPr>
                  <w:tcW w:w="918" w:type="pct"/>
                  <w:tcBorders>
                    <w:tl2br w:val="nil"/>
                    <w:tr2bl w:val="nil"/>
                  </w:tcBorders>
                  <w:vAlign w:val="center"/>
                </w:tcPr>
                <w:p w14:paraId="10AC456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452A7C2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5"/>
                      <w:sz w:val="21"/>
                      <w:szCs w:val="21"/>
                    </w:rPr>
                    <w:t>16.0</w:t>
                  </w:r>
                </w:p>
              </w:tc>
            </w:tr>
            <w:tr w14:paraId="3F7D06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1931A3F">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33</w:t>
                  </w:r>
                </w:p>
              </w:tc>
              <w:tc>
                <w:tcPr>
                  <w:tcW w:w="754" w:type="pct"/>
                  <w:vMerge w:val="continue"/>
                  <w:tcBorders>
                    <w:tl2br w:val="nil"/>
                    <w:tr2bl w:val="nil"/>
                  </w:tcBorders>
                  <w:vAlign w:val="center"/>
                </w:tcPr>
                <w:p w14:paraId="5C17F028">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4317B94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镉</w:t>
                  </w:r>
                </w:p>
              </w:tc>
              <w:tc>
                <w:tcPr>
                  <w:tcW w:w="918" w:type="pct"/>
                  <w:tcBorders>
                    <w:tl2br w:val="nil"/>
                    <w:tr2bl w:val="nil"/>
                  </w:tcBorders>
                  <w:vAlign w:val="center"/>
                </w:tcPr>
                <w:p w14:paraId="515CC6D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50DFB77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8"/>
                      <w:sz w:val="21"/>
                      <w:szCs w:val="21"/>
                    </w:rPr>
                    <w:t>未检出</w:t>
                  </w:r>
                </w:p>
              </w:tc>
            </w:tr>
            <w:tr w14:paraId="03950A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DE49D1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34</w:t>
                  </w:r>
                </w:p>
              </w:tc>
              <w:tc>
                <w:tcPr>
                  <w:tcW w:w="754" w:type="pct"/>
                  <w:vMerge w:val="continue"/>
                  <w:tcBorders>
                    <w:tl2br w:val="nil"/>
                    <w:tr2bl w:val="nil"/>
                  </w:tcBorders>
                  <w:vAlign w:val="center"/>
                </w:tcPr>
                <w:p w14:paraId="38B9E4CB">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5ECDB07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铜</w:t>
                  </w:r>
                </w:p>
              </w:tc>
              <w:tc>
                <w:tcPr>
                  <w:tcW w:w="918" w:type="pct"/>
                  <w:tcBorders>
                    <w:tl2br w:val="nil"/>
                    <w:tr2bl w:val="nil"/>
                  </w:tcBorders>
                  <w:vAlign w:val="center"/>
                </w:tcPr>
                <w:p w14:paraId="59DE602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719406B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14</w:t>
                  </w:r>
                </w:p>
              </w:tc>
            </w:tr>
            <w:tr w14:paraId="65FD2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2ABE2F6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35</w:t>
                  </w:r>
                </w:p>
              </w:tc>
              <w:tc>
                <w:tcPr>
                  <w:tcW w:w="754" w:type="pct"/>
                  <w:vMerge w:val="continue"/>
                  <w:tcBorders>
                    <w:tl2br w:val="nil"/>
                    <w:tr2bl w:val="nil"/>
                  </w:tcBorders>
                  <w:vAlign w:val="center"/>
                </w:tcPr>
                <w:p w14:paraId="4F69C0F5">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2A2FF48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镍</w:t>
                  </w:r>
                </w:p>
              </w:tc>
              <w:tc>
                <w:tcPr>
                  <w:tcW w:w="918" w:type="pct"/>
                  <w:tcBorders>
                    <w:tl2br w:val="nil"/>
                    <w:tr2bl w:val="nil"/>
                  </w:tcBorders>
                  <w:vAlign w:val="center"/>
                </w:tcPr>
                <w:p w14:paraId="3BD85F7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5CDC838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6"/>
                      <w:sz w:val="21"/>
                      <w:szCs w:val="21"/>
                    </w:rPr>
                    <w:t>18</w:t>
                  </w:r>
                </w:p>
              </w:tc>
            </w:tr>
            <w:tr w14:paraId="1B3CB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123B674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36</w:t>
                  </w:r>
                </w:p>
              </w:tc>
              <w:tc>
                <w:tcPr>
                  <w:tcW w:w="754" w:type="pct"/>
                  <w:vMerge w:val="continue"/>
                  <w:tcBorders>
                    <w:tl2br w:val="nil"/>
                    <w:tr2bl w:val="nil"/>
                  </w:tcBorders>
                  <w:vAlign w:val="center"/>
                </w:tcPr>
                <w:p w14:paraId="6CE4F74A">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777EF11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汞</w:t>
                  </w:r>
                </w:p>
              </w:tc>
              <w:tc>
                <w:tcPr>
                  <w:tcW w:w="918" w:type="pct"/>
                  <w:tcBorders>
                    <w:tl2br w:val="nil"/>
                    <w:tr2bl w:val="nil"/>
                  </w:tcBorders>
                  <w:vAlign w:val="center"/>
                </w:tcPr>
                <w:p w14:paraId="1CEF398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0199943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0.338</w:t>
                  </w:r>
                </w:p>
              </w:tc>
            </w:tr>
            <w:tr w14:paraId="72AE1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E0E3B4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37</w:t>
                  </w:r>
                </w:p>
              </w:tc>
              <w:tc>
                <w:tcPr>
                  <w:tcW w:w="754" w:type="pct"/>
                  <w:vMerge w:val="continue"/>
                  <w:tcBorders>
                    <w:tl2br w:val="nil"/>
                    <w:tr2bl w:val="nil"/>
                  </w:tcBorders>
                  <w:vAlign w:val="center"/>
                </w:tcPr>
                <w:p w14:paraId="6CFDC0A3">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573A01D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rPr>
                    <w:t>砷</w:t>
                  </w:r>
                </w:p>
              </w:tc>
              <w:tc>
                <w:tcPr>
                  <w:tcW w:w="918" w:type="pct"/>
                  <w:tcBorders>
                    <w:tl2br w:val="nil"/>
                    <w:tr2bl w:val="nil"/>
                  </w:tcBorders>
                  <w:vAlign w:val="center"/>
                </w:tcPr>
                <w:p w14:paraId="30CEA67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0E0B1E9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6.63</w:t>
                  </w:r>
                </w:p>
              </w:tc>
            </w:tr>
            <w:tr w14:paraId="4B1A14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09BC40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38</w:t>
                  </w:r>
                </w:p>
              </w:tc>
              <w:tc>
                <w:tcPr>
                  <w:tcW w:w="754" w:type="pct"/>
                  <w:vMerge w:val="continue"/>
                  <w:tcBorders>
                    <w:tl2br w:val="nil"/>
                    <w:tr2bl w:val="nil"/>
                  </w:tcBorders>
                  <w:vAlign w:val="center"/>
                </w:tcPr>
                <w:p w14:paraId="235C7973">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38B7C56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六价铬</w:t>
                  </w:r>
                </w:p>
              </w:tc>
              <w:tc>
                <w:tcPr>
                  <w:tcW w:w="918" w:type="pct"/>
                  <w:tcBorders>
                    <w:tl2br w:val="nil"/>
                    <w:tr2bl w:val="nil"/>
                  </w:tcBorders>
                  <w:vAlign w:val="center"/>
                </w:tcPr>
                <w:p w14:paraId="66E09BF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4315C31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8"/>
                      <w:sz w:val="21"/>
                      <w:szCs w:val="21"/>
                    </w:rPr>
                    <w:t>未检出</w:t>
                  </w:r>
                </w:p>
              </w:tc>
            </w:tr>
            <w:tr w14:paraId="0D27B2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01DF9B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39</w:t>
                  </w:r>
                </w:p>
              </w:tc>
              <w:tc>
                <w:tcPr>
                  <w:tcW w:w="754" w:type="pct"/>
                  <w:vMerge w:val="continue"/>
                  <w:tcBorders>
                    <w:tl2br w:val="nil"/>
                    <w:tr2bl w:val="nil"/>
                  </w:tcBorders>
                  <w:vAlign w:val="center"/>
                </w:tcPr>
                <w:p w14:paraId="36412285">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1B1B9DA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*氯甲烷</w:t>
                  </w:r>
                </w:p>
              </w:tc>
              <w:tc>
                <w:tcPr>
                  <w:tcW w:w="918" w:type="pct"/>
                  <w:tcBorders>
                    <w:tl2br w:val="nil"/>
                    <w:tr2bl w:val="nil"/>
                  </w:tcBorders>
                  <w:vAlign w:val="center"/>
                </w:tcPr>
                <w:p w14:paraId="4B03A23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7C2C379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0.0054</w:t>
                  </w:r>
                </w:p>
              </w:tc>
            </w:tr>
            <w:tr w14:paraId="03B65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6A65FE53">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4"/>
                      <w:sz w:val="21"/>
                      <w:szCs w:val="21"/>
                    </w:rPr>
                  </w:pPr>
                  <w:r>
                    <w:rPr>
                      <w:rFonts w:hint="default" w:ascii="Times New Roman" w:hAnsi="Times New Roman" w:cs="Times New Roman" w:eastAsiaTheme="minorEastAsia"/>
                      <w:color w:val="auto"/>
                      <w:spacing w:val="-2"/>
                      <w:sz w:val="21"/>
                      <w:szCs w:val="21"/>
                    </w:rPr>
                    <w:t>40</w:t>
                  </w:r>
                </w:p>
              </w:tc>
              <w:tc>
                <w:tcPr>
                  <w:tcW w:w="754" w:type="pct"/>
                  <w:vMerge w:val="continue"/>
                  <w:tcBorders>
                    <w:tl2br w:val="nil"/>
                    <w:tr2bl w:val="nil"/>
                  </w:tcBorders>
                  <w:vAlign w:val="center"/>
                </w:tcPr>
                <w:p w14:paraId="7CE56533">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6B7CCA8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1"/>
                      <w:sz w:val="21"/>
                      <w:szCs w:val="21"/>
                    </w:rPr>
                    <w:t>*顺-1,2-二氯乙烯</w:t>
                  </w:r>
                </w:p>
              </w:tc>
              <w:tc>
                <w:tcPr>
                  <w:tcW w:w="918" w:type="pct"/>
                  <w:tcBorders>
                    <w:tl2br w:val="nil"/>
                    <w:tr2bl w:val="nil"/>
                  </w:tcBorders>
                  <w:vAlign w:val="center"/>
                </w:tcPr>
                <w:p w14:paraId="3402EC9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083B22F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0.0020</w:t>
                  </w:r>
                </w:p>
              </w:tc>
            </w:tr>
            <w:tr w14:paraId="73D739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39C2574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4"/>
                      <w:sz w:val="21"/>
                      <w:szCs w:val="21"/>
                    </w:rPr>
                  </w:pPr>
                  <w:r>
                    <w:rPr>
                      <w:rFonts w:hint="default" w:ascii="Times New Roman" w:hAnsi="Times New Roman" w:cs="Times New Roman" w:eastAsiaTheme="minorEastAsia"/>
                      <w:color w:val="auto"/>
                      <w:spacing w:val="-2"/>
                      <w:sz w:val="21"/>
                      <w:szCs w:val="21"/>
                    </w:rPr>
                    <w:t>41</w:t>
                  </w:r>
                </w:p>
              </w:tc>
              <w:tc>
                <w:tcPr>
                  <w:tcW w:w="754" w:type="pct"/>
                  <w:vMerge w:val="continue"/>
                  <w:tcBorders>
                    <w:tl2br w:val="nil"/>
                    <w:tr2bl w:val="nil"/>
                  </w:tcBorders>
                  <w:vAlign w:val="center"/>
                </w:tcPr>
                <w:p w14:paraId="63A114D2">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7B654D5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1"/>
                      <w:sz w:val="21"/>
                      <w:szCs w:val="21"/>
                    </w:rPr>
                    <w:t>*反-1,2-二氯乙烯</w:t>
                  </w:r>
                </w:p>
              </w:tc>
              <w:tc>
                <w:tcPr>
                  <w:tcW w:w="918" w:type="pct"/>
                  <w:tcBorders>
                    <w:tl2br w:val="nil"/>
                    <w:tr2bl w:val="nil"/>
                  </w:tcBorders>
                  <w:vAlign w:val="center"/>
                </w:tcPr>
                <w:p w14:paraId="05AC78C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26D4ED5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8"/>
                      <w:sz w:val="21"/>
                      <w:szCs w:val="21"/>
                    </w:rPr>
                    <w:t>未检出</w:t>
                  </w:r>
                </w:p>
              </w:tc>
            </w:tr>
            <w:tr w14:paraId="517216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6C64703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4"/>
                      <w:sz w:val="21"/>
                      <w:szCs w:val="21"/>
                    </w:rPr>
                  </w:pPr>
                  <w:r>
                    <w:rPr>
                      <w:rFonts w:hint="default" w:ascii="Times New Roman" w:hAnsi="Times New Roman" w:cs="Times New Roman" w:eastAsiaTheme="minorEastAsia"/>
                      <w:color w:val="auto"/>
                      <w:spacing w:val="-2"/>
                      <w:sz w:val="21"/>
                      <w:szCs w:val="21"/>
                    </w:rPr>
                    <w:t>42</w:t>
                  </w:r>
                </w:p>
              </w:tc>
              <w:tc>
                <w:tcPr>
                  <w:tcW w:w="754" w:type="pct"/>
                  <w:vMerge w:val="continue"/>
                  <w:tcBorders>
                    <w:tl2br w:val="nil"/>
                    <w:tr2bl w:val="nil"/>
                  </w:tcBorders>
                  <w:vAlign w:val="center"/>
                </w:tcPr>
                <w:p w14:paraId="53212CAA">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4919440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*硝基苯</w:t>
                  </w:r>
                </w:p>
              </w:tc>
              <w:tc>
                <w:tcPr>
                  <w:tcW w:w="918" w:type="pct"/>
                  <w:tcBorders>
                    <w:tl2br w:val="nil"/>
                    <w:tr2bl w:val="nil"/>
                  </w:tcBorders>
                  <w:vAlign w:val="center"/>
                </w:tcPr>
                <w:p w14:paraId="3225488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3D7C8F0D">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8"/>
                      <w:sz w:val="21"/>
                      <w:szCs w:val="21"/>
                    </w:rPr>
                    <w:t>未检出</w:t>
                  </w:r>
                </w:p>
              </w:tc>
            </w:tr>
            <w:tr w14:paraId="58FB6F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3A4317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4"/>
                      <w:sz w:val="21"/>
                      <w:szCs w:val="21"/>
                    </w:rPr>
                  </w:pPr>
                  <w:r>
                    <w:rPr>
                      <w:rFonts w:hint="default" w:ascii="Times New Roman" w:hAnsi="Times New Roman" w:cs="Times New Roman" w:eastAsiaTheme="minorEastAsia"/>
                      <w:color w:val="auto"/>
                      <w:spacing w:val="-2"/>
                      <w:sz w:val="21"/>
                      <w:szCs w:val="21"/>
                    </w:rPr>
                    <w:t>43</w:t>
                  </w:r>
                </w:p>
              </w:tc>
              <w:tc>
                <w:tcPr>
                  <w:tcW w:w="754" w:type="pct"/>
                  <w:vMerge w:val="continue"/>
                  <w:tcBorders>
                    <w:tl2br w:val="nil"/>
                    <w:tr2bl w:val="nil"/>
                  </w:tcBorders>
                  <w:vAlign w:val="center"/>
                </w:tcPr>
                <w:p w14:paraId="1CC9FC48">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26D2119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*苯胺</w:t>
                  </w:r>
                </w:p>
              </w:tc>
              <w:tc>
                <w:tcPr>
                  <w:tcW w:w="918" w:type="pct"/>
                  <w:tcBorders>
                    <w:tl2br w:val="nil"/>
                    <w:tr2bl w:val="nil"/>
                  </w:tcBorders>
                  <w:vAlign w:val="center"/>
                </w:tcPr>
                <w:p w14:paraId="27828A56">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79F47C5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8"/>
                      <w:sz w:val="21"/>
                      <w:szCs w:val="21"/>
                    </w:rPr>
                    <w:t>未检出</w:t>
                  </w:r>
                </w:p>
              </w:tc>
            </w:tr>
            <w:tr w14:paraId="54A854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48988BB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4"/>
                      <w:sz w:val="21"/>
                      <w:szCs w:val="21"/>
                    </w:rPr>
                  </w:pPr>
                  <w:r>
                    <w:rPr>
                      <w:rFonts w:hint="default" w:ascii="Times New Roman" w:hAnsi="Times New Roman" w:cs="Times New Roman" w:eastAsiaTheme="minorEastAsia"/>
                      <w:color w:val="auto"/>
                      <w:spacing w:val="-2"/>
                      <w:sz w:val="21"/>
                      <w:szCs w:val="21"/>
                    </w:rPr>
                    <w:t>44</w:t>
                  </w:r>
                </w:p>
              </w:tc>
              <w:tc>
                <w:tcPr>
                  <w:tcW w:w="754" w:type="pct"/>
                  <w:vMerge w:val="continue"/>
                  <w:tcBorders>
                    <w:tl2br w:val="nil"/>
                    <w:tr2bl w:val="nil"/>
                  </w:tcBorders>
                  <w:vAlign w:val="center"/>
                </w:tcPr>
                <w:p w14:paraId="42C416E0">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69CFEF0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*2,-氯酚</w:t>
                  </w:r>
                </w:p>
              </w:tc>
              <w:tc>
                <w:tcPr>
                  <w:tcW w:w="918" w:type="pct"/>
                  <w:tcBorders>
                    <w:tl2br w:val="nil"/>
                    <w:tr2bl w:val="nil"/>
                  </w:tcBorders>
                  <w:vAlign w:val="center"/>
                </w:tcPr>
                <w:p w14:paraId="461295D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1F478CE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8"/>
                      <w:sz w:val="21"/>
                      <w:szCs w:val="21"/>
                    </w:rPr>
                    <w:t>未检出</w:t>
                  </w:r>
                </w:p>
              </w:tc>
            </w:tr>
            <w:tr w14:paraId="30CF18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14:paraId="0AA66BC1">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45</w:t>
                  </w:r>
                </w:p>
              </w:tc>
              <w:tc>
                <w:tcPr>
                  <w:tcW w:w="754" w:type="pct"/>
                  <w:vMerge w:val="continue"/>
                  <w:tcBorders>
                    <w:tl2br w:val="nil"/>
                    <w:tr2bl w:val="nil"/>
                  </w:tcBorders>
                  <w:vAlign w:val="center"/>
                </w:tcPr>
                <w:p w14:paraId="2CDC992D">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cs="Times New Roman" w:eastAsiaTheme="minorEastAsia"/>
                      <w:color w:val="auto"/>
                      <w:sz w:val="21"/>
                      <w:szCs w:val="21"/>
                      <w:vertAlign w:val="baseline"/>
                    </w:rPr>
                  </w:pPr>
                </w:p>
              </w:tc>
              <w:tc>
                <w:tcPr>
                  <w:tcW w:w="1145" w:type="pct"/>
                  <w:tcBorders>
                    <w:tl2br w:val="nil"/>
                    <w:tr2bl w:val="nil"/>
                  </w:tcBorders>
                  <w:vAlign w:val="center"/>
                </w:tcPr>
                <w:p w14:paraId="3FBD607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7"/>
                      <w:sz w:val="21"/>
                      <w:szCs w:val="21"/>
                    </w:rPr>
                    <w:t>*萘</w:t>
                  </w:r>
                </w:p>
              </w:tc>
              <w:tc>
                <w:tcPr>
                  <w:tcW w:w="918" w:type="pct"/>
                  <w:tcBorders>
                    <w:tl2br w:val="nil"/>
                    <w:tr2bl w:val="nil"/>
                  </w:tcBorders>
                  <w:vAlign w:val="center"/>
                </w:tcPr>
                <w:p w14:paraId="09FDE5B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mg/kg</w:t>
                  </w:r>
                </w:p>
              </w:tc>
              <w:tc>
                <w:tcPr>
                  <w:tcW w:w="1468" w:type="pct"/>
                  <w:gridSpan w:val="2"/>
                  <w:tcBorders>
                    <w:tl2br w:val="nil"/>
                    <w:tr2bl w:val="nil"/>
                  </w:tcBorders>
                  <w:vAlign w:val="center"/>
                </w:tcPr>
                <w:p w14:paraId="57A7E64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8"/>
                      <w:sz w:val="21"/>
                      <w:szCs w:val="21"/>
                    </w:rPr>
                  </w:pPr>
                  <w:r>
                    <w:rPr>
                      <w:rFonts w:hint="default" w:ascii="Times New Roman" w:hAnsi="Times New Roman" w:cs="Times New Roman" w:eastAsiaTheme="minorEastAsia"/>
                      <w:color w:val="auto"/>
                      <w:spacing w:val="8"/>
                      <w:sz w:val="21"/>
                      <w:szCs w:val="21"/>
                    </w:rPr>
                    <w:t>未检出</w:t>
                  </w:r>
                </w:p>
              </w:tc>
            </w:tr>
          </w:tbl>
          <w:p w14:paraId="048D92C8">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监测结果符合《土壤环境质量建设用地土壤污染风险管控标准》(试行)(GB36600-2018)标准</w:t>
            </w:r>
            <w:r>
              <w:rPr>
                <w:rFonts w:hint="default" w:ascii="Times New Roman" w:hAnsi="Times New Roman" w:cs="Times New Roman"/>
                <w:color w:val="auto"/>
                <w:kern w:val="0"/>
                <w:sz w:val="24"/>
                <w:lang w:val="en-US" w:eastAsia="zh-CN"/>
              </w:rPr>
              <w:t>。</w:t>
            </w:r>
          </w:p>
          <w:p w14:paraId="44488211">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项目周边500m内无地下水取水口，</w:t>
            </w:r>
            <w:r>
              <w:rPr>
                <w:rFonts w:hint="default" w:ascii="Times New Roman" w:hAnsi="Times New Roman" w:eastAsia="宋体" w:cs="Times New Roman"/>
                <w:color w:val="auto"/>
                <w:kern w:val="0"/>
                <w:sz w:val="24"/>
                <w:lang w:val="en-US" w:eastAsia="zh-CN"/>
              </w:rPr>
              <w:t>2021年5月10日-5月12日，甘肃清绿源环境检测有限公司对项目区地下水环境质量现状进行监测。</w:t>
            </w:r>
          </w:p>
          <w:p w14:paraId="37B6E3B3">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(1)监测点位设置</w:t>
            </w:r>
          </w:p>
          <w:p w14:paraId="48CAC8CA">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根据项目区地下水的流向(由西北向东南),共布设3个监测点，1#点布设在项   目区西北侧650m处，2#点布设在项目区下游300m</w:t>
            </w:r>
            <w:r>
              <w:rPr>
                <w:rFonts w:hint="default" w:ascii="Times New Roman" w:hAnsi="Times New Roman"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3#点布设在项目区下游1000m处，具体位置见表3-</w:t>
            </w:r>
            <w:r>
              <w:rPr>
                <w:rFonts w:hint="default" w:ascii="Times New Roman" w:hAnsi="Times New Roman" w:cs="Times New Roman"/>
                <w:color w:val="auto"/>
                <w:kern w:val="0"/>
                <w:sz w:val="24"/>
                <w:lang w:val="en-US" w:eastAsia="zh-CN"/>
              </w:rPr>
              <w:t>6</w:t>
            </w:r>
            <w:r>
              <w:rPr>
                <w:rFonts w:hint="default" w:ascii="Times New Roman" w:hAnsi="Times New Roman" w:eastAsia="宋体" w:cs="Times New Roman"/>
                <w:color w:val="auto"/>
                <w:kern w:val="0"/>
                <w:sz w:val="24"/>
                <w:lang w:val="en-US" w:eastAsia="zh-CN"/>
              </w:rPr>
              <w:t>。</w:t>
            </w:r>
          </w:p>
          <w:p w14:paraId="683EA2A4">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表3-6  监测点位于项目位置关系</w:t>
            </w:r>
          </w:p>
          <w:tbl>
            <w:tblPr>
              <w:tblStyle w:val="35"/>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72"/>
              <w:gridCol w:w="2772"/>
              <w:gridCol w:w="2774"/>
            </w:tblGrid>
            <w:tr w14:paraId="3613D2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774" w:type="dxa"/>
                  <w:tcBorders>
                    <w:tl2br w:val="nil"/>
                    <w:tr2bl w:val="nil"/>
                  </w:tcBorders>
                  <w:vAlign w:val="top"/>
                </w:tcPr>
                <w:p w14:paraId="49A2C7C2">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序号</w:t>
                  </w:r>
                </w:p>
              </w:tc>
              <w:tc>
                <w:tcPr>
                  <w:tcW w:w="2774" w:type="dxa"/>
                  <w:tcBorders>
                    <w:tl2br w:val="nil"/>
                    <w:tr2bl w:val="nil"/>
                  </w:tcBorders>
                  <w:vAlign w:val="top"/>
                </w:tcPr>
                <w:p w14:paraId="53D2DF4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监测点位</w:t>
                  </w:r>
                </w:p>
              </w:tc>
              <w:tc>
                <w:tcPr>
                  <w:tcW w:w="2775" w:type="dxa"/>
                  <w:tcBorders>
                    <w:tl2br w:val="nil"/>
                    <w:tr2bl w:val="nil"/>
                  </w:tcBorders>
                  <w:vAlign w:val="top"/>
                </w:tcPr>
                <w:p w14:paraId="619CFF1E">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备注</w:t>
                  </w:r>
                </w:p>
              </w:tc>
            </w:tr>
            <w:tr w14:paraId="531D64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4" w:type="dxa"/>
                  <w:tcBorders>
                    <w:tl2br w:val="nil"/>
                    <w:tr2bl w:val="nil"/>
                  </w:tcBorders>
                  <w:vAlign w:val="top"/>
                </w:tcPr>
                <w:p w14:paraId="794A6B8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1#</w:t>
                  </w:r>
                </w:p>
              </w:tc>
              <w:tc>
                <w:tcPr>
                  <w:tcW w:w="2774" w:type="dxa"/>
                  <w:tcBorders>
                    <w:tl2br w:val="nil"/>
                    <w:tr2bl w:val="nil"/>
                  </w:tcBorders>
                  <w:vAlign w:val="top"/>
                </w:tcPr>
                <w:p w14:paraId="764E6AD4">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项目区西北侧</w:t>
                  </w:r>
                </w:p>
              </w:tc>
              <w:tc>
                <w:tcPr>
                  <w:tcW w:w="2775" w:type="dxa"/>
                  <w:tcBorders>
                    <w:tl2br w:val="nil"/>
                    <w:tr2bl w:val="nil"/>
                  </w:tcBorders>
                  <w:vAlign w:val="top"/>
                </w:tcPr>
                <w:p w14:paraId="7E2D3DBC">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项目区上游650m处</w:t>
                  </w:r>
                </w:p>
              </w:tc>
            </w:tr>
            <w:tr w14:paraId="517744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4" w:type="dxa"/>
                  <w:tcBorders>
                    <w:tl2br w:val="nil"/>
                    <w:tr2bl w:val="nil"/>
                  </w:tcBorders>
                  <w:vAlign w:val="top"/>
                </w:tcPr>
                <w:p w14:paraId="432299A9">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2#</w:t>
                  </w:r>
                </w:p>
              </w:tc>
              <w:tc>
                <w:tcPr>
                  <w:tcW w:w="2774" w:type="dxa"/>
                  <w:tcBorders>
                    <w:tl2br w:val="nil"/>
                    <w:tr2bl w:val="nil"/>
                  </w:tcBorders>
                  <w:vAlign w:val="top"/>
                </w:tcPr>
                <w:p w14:paraId="26BE48D0">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项目区南侧</w:t>
                  </w:r>
                </w:p>
              </w:tc>
              <w:tc>
                <w:tcPr>
                  <w:tcW w:w="2775" w:type="dxa"/>
                  <w:tcBorders>
                    <w:tl2br w:val="nil"/>
                    <w:tr2bl w:val="nil"/>
                  </w:tcBorders>
                  <w:vAlign w:val="top"/>
                </w:tcPr>
                <w:p w14:paraId="73451CBA">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项目区下游300m处</w:t>
                  </w:r>
                </w:p>
              </w:tc>
            </w:tr>
            <w:tr w14:paraId="574B76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4" w:type="dxa"/>
                  <w:tcBorders>
                    <w:tl2br w:val="nil"/>
                    <w:tr2bl w:val="nil"/>
                  </w:tcBorders>
                  <w:vAlign w:val="top"/>
                </w:tcPr>
                <w:p w14:paraId="0110C528">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3#</w:t>
                  </w:r>
                </w:p>
              </w:tc>
              <w:tc>
                <w:tcPr>
                  <w:tcW w:w="2774" w:type="dxa"/>
                  <w:tcBorders>
                    <w:tl2br w:val="nil"/>
                    <w:tr2bl w:val="nil"/>
                  </w:tcBorders>
                  <w:vAlign w:val="top"/>
                </w:tcPr>
                <w:p w14:paraId="66978FE7">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项目区南侧</w:t>
                  </w:r>
                </w:p>
              </w:tc>
              <w:tc>
                <w:tcPr>
                  <w:tcW w:w="2775" w:type="dxa"/>
                  <w:tcBorders>
                    <w:tl2br w:val="nil"/>
                    <w:tr2bl w:val="nil"/>
                  </w:tcBorders>
                  <w:vAlign w:val="top"/>
                </w:tcPr>
                <w:p w14:paraId="0A511FBB">
                  <w:pPr>
                    <w:pStyle w:val="195"/>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rPr>
                    <w:t>项目区下游1000m处</w:t>
                  </w:r>
                </w:p>
              </w:tc>
            </w:tr>
          </w:tbl>
          <w:p w14:paraId="43B249F0">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(2)监测项目</w:t>
            </w:r>
          </w:p>
          <w:p w14:paraId="37C36599">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pH、高锰酸盐指数、总硬度、氨氮、氟化物、氯化物、汞、镉、砷、硒、锌、六价铬、铅、铜、铁、锰、硫酸盐、挥发酚、亚硝酸盐、硝酸盐、氰化物、阴离子</w:t>
            </w:r>
            <w:r>
              <w:rPr>
                <w:rFonts w:hint="eastAsia" w:cs="Times New Roman"/>
                <w:color w:val="auto"/>
                <w:kern w:val="0"/>
                <w:sz w:val="24"/>
                <w:lang w:val="en-US" w:eastAsia="zh-CN"/>
              </w:rPr>
              <w:t>活性剂</w:t>
            </w:r>
            <w:r>
              <w:rPr>
                <w:rFonts w:hint="default" w:ascii="Times New Roman" w:hAnsi="Times New Roman" w:eastAsia="宋体" w:cs="Times New Roman"/>
                <w:color w:val="auto"/>
                <w:kern w:val="0"/>
                <w:sz w:val="24"/>
                <w:lang w:val="en-US" w:eastAsia="zh-CN"/>
              </w:rPr>
              <w:t>、K+、Nat+、Ca²+、Mg</w:t>
            </w:r>
            <w:r>
              <w:rPr>
                <w:rFonts w:hint="default" w:ascii="Times New Roman" w:hAnsi="Times New Roman" w:eastAsia="宋体" w:cs="Times New Roman"/>
                <w:color w:val="auto"/>
                <w:kern w:val="0"/>
                <w:sz w:val="24"/>
                <w:vertAlign w:val="superscript"/>
                <w:lang w:val="en-US" w:eastAsia="zh-CN"/>
              </w:rPr>
              <w:t>2+</w:t>
            </w:r>
            <w:r>
              <w:rPr>
                <w:rFonts w:hint="default" w:ascii="Times New Roman" w:hAnsi="Times New Roman" w:eastAsia="宋体" w:cs="Times New Roman"/>
                <w:color w:val="auto"/>
                <w:kern w:val="0"/>
                <w:sz w:val="24"/>
                <w:lang w:val="en-US" w:eastAsia="zh-CN"/>
              </w:rPr>
              <w:t>、CO₃</w:t>
            </w:r>
            <w:r>
              <w:rPr>
                <w:rFonts w:hint="default" w:ascii="Times New Roman" w:hAnsi="Times New Roman" w:eastAsia="宋体" w:cs="Times New Roman"/>
                <w:color w:val="auto"/>
                <w:kern w:val="0"/>
                <w:sz w:val="24"/>
                <w:vertAlign w:val="superscript"/>
                <w:lang w:val="en-US" w:eastAsia="zh-CN"/>
              </w:rPr>
              <w:t>²+</w:t>
            </w:r>
            <w:r>
              <w:rPr>
                <w:rFonts w:hint="default" w:ascii="Times New Roman" w:hAnsi="Times New Roman" w:eastAsia="宋体" w:cs="Times New Roman"/>
                <w:color w:val="auto"/>
                <w:kern w:val="0"/>
                <w:sz w:val="24"/>
                <w:lang w:val="en-US" w:eastAsia="zh-CN"/>
              </w:rPr>
              <w:t>、HCO₃共28项以及各监测井地下水的井深、埋深。</w:t>
            </w:r>
          </w:p>
          <w:p w14:paraId="2245CE0D">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(3)监测时间和频率</w:t>
            </w:r>
          </w:p>
          <w:p w14:paraId="552139C9">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连续监测3天，每天一次。</w:t>
            </w:r>
          </w:p>
          <w:p w14:paraId="70586BE1">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(4)监测分析方法</w:t>
            </w:r>
          </w:p>
          <w:p w14:paraId="39B64DD8">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地下水采样按照《地下水环境监测技术规范》(HJ/T164-2004)中的地下水取样方法进行。各监测项目的分析方法按国家标准GB5750《生活饮用水标准检验方法》执行。</w:t>
            </w:r>
          </w:p>
          <w:p w14:paraId="54FD6C47">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(5)监测结果</w:t>
            </w:r>
          </w:p>
          <w:p w14:paraId="36770555">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监测结果见表3-</w:t>
            </w:r>
            <w:r>
              <w:rPr>
                <w:rFonts w:hint="default" w:ascii="Times New Roman" w:hAnsi="Times New Roman" w:cs="Times New Roman"/>
                <w:color w:val="auto"/>
                <w:kern w:val="0"/>
                <w:sz w:val="24"/>
                <w:lang w:val="en-US" w:eastAsia="zh-CN"/>
              </w:rPr>
              <w:t>7</w:t>
            </w:r>
            <w:r>
              <w:rPr>
                <w:rFonts w:hint="default" w:ascii="Times New Roman" w:hAnsi="Times New Roman" w:eastAsia="宋体" w:cs="Times New Roman"/>
                <w:color w:val="auto"/>
                <w:kern w:val="0"/>
                <w:sz w:val="24"/>
                <w:lang w:val="en-US" w:eastAsia="zh-CN"/>
              </w:rPr>
              <w:t>。</w:t>
            </w:r>
          </w:p>
          <w:p w14:paraId="74765510">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表3-7  本项目地下水质量现状监测结果表 单位：mg/L(pH无量纲)</w:t>
            </w:r>
          </w:p>
          <w:tbl>
            <w:tblPr>
              <w:tblStyle w:val="35"/>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445"/>
              <w:gridCol w:w="1123"/>
              <w:gridCol w:w="1530"/>
              <w:gridCol w:w="1545"/>
              <w:gridCol w:w="1613"/>
            </w:tblGrid>
            <w:tr w14:paraId="3237AD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restart"/>
                  <w:tcBorders>
                    <w:tl2br w:val="nil"/>
                    <w:tr2bl w:val="nil"/>
                  </w:tcBorders>
                  <w:vAlign w:val="center"/>
                </w:tcPr>
                <w:p w14:paraId="427C3C24">
                  <w:pPr>
                    <w:pStyle w:val="195"/>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检测时间</w:t>
                  </w:r>
                </w:p>
              </w:tc>
              <w:tc>
                <w:tcPr>
                  <w:tcW w:w="868" w:type="pct"/>
                  <w:vMerge w:val="restart"/>
                  <w:tcBorders>
                    <w:tl2br w:val="nil"/>
                    <w:tr2bl w:val="nil"/>
                  </w:tcBorders>
                  <w:vAlign w:val="center"/>
                </w:tcPr>
                <w:p w14:paraId="71385BB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0"/>
                      <w:sz w:val="21"/>
                      <w:szCs w:val="21"/>
                    </w:rPr>
                    <w:t>检测项目</w:t>
                  </w:r>
                </w:p>
              </w:tc>
              <w:tc>
                <w:tcPr>
                  <w:tcW w:w="675" w:type="pct"/>
                  <w:vMerge w:val="restart"/>
                  <w:tcBorders>
                    <w:tl2br w:val="nil"/>
                    <w:tr2bl w:val="nil"/>
                  </w:tcBorders>
                  <w:vAlign w:val="center"/>
                </w:tcPr>
                <w:p w14:paraId="5A2B30B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单位</w:t>
                  </w:r>
                </w:p>
              </w:tc>
              <w:tc>
                <w:tcPr>
                  <w:tcW w:w="2816" w:type="pct"/>
                  <w:gridSpan w:val="3"/>
                  <w:tcBorders>
                    <w:tl2br w:val="nil"/>
                    <w:tr2bl w:val="nil"/>
                  </w:tcBorders>
                  <w:vAlign w:val="center"/>
                </w:tcPr>
                <w:p w14:paraId="1C30A80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检测点位结果</w:t>
                  </w:r>
                </w:p>
              </w:tc>
            </w:tr>
            <w:tr w14:paraId="2E8EF2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E555DAC">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vMerge w:val="continue"/>
                  <w:tcBorders>
                    <w:tl2br w:val="nil"/>
                    <w:tr2bl w:val="nil"/>
                  </w:tcBorders>
                  <w:vAlign w:val="center"/>
                </w:tcPr>
                <w:p w14:paraId="71F19E9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675" w:type="pct"/>
                  <w:vMerge w:val="continue"/>
                  <w:tcBorders>
                    <w:tl2br w:val="nil"/>
                    <w:tr2bl w:val="nil"/>
                  </w:tcBorders>
                  <w:vAlign w:val="center"/>
                </w:tcPr>
                <w:p w14:paraId="30837DF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919" w:type="pct"/>
                  <w:tcBorders>
                    <w:tl2br w:val="nil"/>
                    <w:tr2bl w:val="nil"/>
                  </w:tcBorders>
                  <w:vAlign w:val="center"/>
                </w:tcPr>
                <w:p w14:paraId="5BCF061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7"/>
                      <w:sz w:val="21"/>
                      <w:szCs w:val="21"/>
                    </w:rPr>
                    <w:t>1#</w:t>
                  </w:r>
                </w:p>
              </w:tc>
              <w:tc>
                <w:tcPr>
                  <w:tcW w:w="928" w:type="pct"/>
                  <w:tcBorders>
                    <w:tl2br w:val="nil"/>
                    <w:tr2bl w:val="nil"/>
                  </w:tcBorders>
                  <w:vAlign w:val="center"/>
                </w:tcPr>
                <w:p w14:paraId="293F54E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2#</w:t>
                  </w:r>
                </w:p>
              </w:tc>
              <w:tc>
                <w:tcPr>
                  <w:tcW w:w="968" w:type="pct"/>
                  <w:tcBorders>
                    <w:tl2br w:val="nil"/>
                    <w:tr2bl w:val="nil"/>
                  </w:tcBorders>
                  <w:vAlign w:val="center"/>
                </w:tcPr>
                <w:p w14:paraId="5F8CD7D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4"/>
                      <w:sz w:val="21"/>
                      <w:szCs w:val="21"/>
                    </w:rPr>
                    <w:t>3#</w:t>
                  </w:r>
                </w:p>
              </w:tc>
            </w:tr>
            <w:tr w14:paraId="0C81A3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restart"/>
                  <w:tcBorders>
                    <w:tl2br w:val="nil"/>
                    <w:tr2bl w:val="nil"/>
                  </w:tcBorders>
                  <w:vAlign w:val="center"/>
                </w:tcPr>
                <w:p w14:paraId="37E759F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2021年5</w:t>
                  </w:r>
                  <w:r>
                    <w:rPr>
                      <w:rFonts w:hint="default" w:ascii="Times New Roman" w:hAnsi="Times New Roman" w:cs="Times New Roman" w:eastAsiaTheme="minorEastAsia"/>
                      <w:color w:val="auto"/>
                      <w:spacing w:val="10"/>
                      <w:sz w:val="21"/>
                      <w:szCs w:val="21"/>
                    </w:rPr>
                    <w:t>月10日</w:t>
                  </w:r>
                </w:p>
              </w:tc>
              <w:tc>
                <w:tcPr>
                  <w:tcW w:w="868" w:type="pct"/>
                  <w:tcBorders>
                    <w:tl2br w:val="nil"/>
                    <w:tr2bl w:val="nil"/>
                  </w:tcBorders>
                  <w:vAlign w:val="center"/>
                </w:tcPr>
                <w:p w14:paraId="4C3FF30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pH</w:t>
                  </w:r>
                </w:p>
              </w:tc>
              <w:tc>
                <w:tcPr>
                  <w:tcW w:w="675" w:type="pct"/>
                  <w:tcBorders>
                    <w:tl2br w:val="nil"/>
                    <w:tr2bl w:val="nil"/>
                  </w:tcBorders>
                  <w:vAlign w:val="center"/>
                </w:tcPr>
                <w:p w14:paraId="45F56A8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5"/>
                      <w:sz w:val="21"/>
                      <w:szCs w:val="21"/>
                    </w:rPr>
                    <w:t>无量纲</w:t>
                  </w:r>
                </w:p>
              </w:tc>
              <w:tc>
                <w:tcPr>
                  <w:tcW w:w="919" w:type="pct"/>
                  <w:tcBorders>
                    <w:tl2br w:val="nil"/>
                    <w:tr2bl w:val="nil"/>
                  </w:tcBorders>
                  <w:vAlign w:val="center"/>
                </w:tcPr>
                <w:p w14:paraId="59999DD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8.00</w:t>
                  </w:r>
                </w:p>
              </w:tc>
              <w:tc>
                <w:tcPr>
                  <w:tcW w:w="928" w:type="pct"/>
                  <w:tcBorders>
                    <w:tl2br w:val="nil"/>
                    <w:tr2bl w:val="nil"/>
                  </w:tcBorders>
                  <w:vAlign w:val="center"/>
                </w:tcPr>
                <w:p w14:paraId="6554A1F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7.96</w:t>
                  </w:r>
                </w:p>
              </w:tc>
              <w:tc>
                <w:tcPr>
                  <w:tcW w:w="968" w:type="pct"/>
                  <w:tcBorders>
                    <w:tl2br w:val="nil"/>
                    <w:tr2bl w:val="nil"/>
                  </w:tcBorders>
                  <w:vAlign w:val="center"/>
                </w:tcPr>
                <w:p w14:paraId="2749991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7.88</w:t>
                  </w:r>
                </w:p>
              </w:tc>
            </w:tr>
            <w:tr w14:paraId="1605E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F2DD9A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4693A46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氨氮</w:t>
                  </w:r>
                </w:p>
              </w:tc>
              <w:tc>
                <w:tcPr>
                  <w:tcW w:w="675" w:type="pct"/>
                  <w:tcBorders>
                    <w:tl2br w:val="nil"/>
                    <w:tr2bl w:val="nil"/>
                  </w:tcBorders>
                  <w:vAlign w:val="center"/>
                </w:tcPr>
                <w:p w14:paraId="48A0068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17270A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0.242</w:t>
                  </w:r>
                </w:p>
              </w:tc>
              <w:tc>
                <w:tcPr>
                  <w:tcW w:w="928" w:type="pct"/>
                  <w:tcBorders>
                    <w:tl2br w:val="nil"/>
                    <w:tr2bl w:val="nil"/>
                  </w:tcBorders>
                  <w:vAlign w:val="center"/>
                </w:tcPr>
                <w:p w14:paraId="720528D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0.142</w:t>
                  </w:r>
                </w:p>
              </w:tc>
              <w:tc>
                <w:tcPr>
                  <w:tcW w:w="968" w:type="pct"/>
                  <w:tcBorders>
                    <w:tl2br w:val="nil"/>
                    <w:tr2bl w:val="nil"/>
                  </w:tcBorders>
                  <w:vAlign w:val="center"/>
                </w:tcPr>
                <w:p w14:paraId="0F0D2C1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0.104</w:t>
                  </w:r>
                </w:p>
              </w:tc>
            </w:tr>
            <w:tr w14:paraId="30AD0A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60C7738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B2BDED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氟化物</w:t>
                  </w:r>
                </w:p>
              </w:tc>
              <w:tc>
                <w:tcPr>
                  <w:tcW w:w="675" w:type="pct"/>
                  <w:tcBorders>
                    <w:tl2br w:val="nil"/>
                    <w:tr2bl w:val="nil"/>
                  </w:tcBorders>
                  <w:vAlign w:val="center"/>
                </w:tcPr>
                <w:p w14:paraId="5B11590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3C3F1B7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0.630</w:t>
                  </w:r>
                </w:p>
              </w:tc>
              <w:tc>
                <w:tcPr>
                  <w:tcW w:w="928" w:type="pct"/>
                  <w:tcBorders>
                    <w:tl2br w:val="nil"/>
                    <w:tr2bl w:val="nil"/>
                  </w:tcBorders>
                  <w:vAlign w:val="center"/>
                </w:tcPr>
                <w:p w14:paraId="1AC8CBF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0.607</w:t>
                  </w:r>
                </w:p>
              </w:tc>
              <w:tc>
                <w:tcPr>
                  <w:tcW w:w="968" w:type="pct"/>
                  <w:tcBorders>
                    <w:tl2br w:val="nil"/>
                    <w:tr2bl w:val="nil"/>
                  </w:tcBorders>
                  <w:vAlign w:val="center"/>
                </w:tcPr>
                <w:p w14:paraId="0E28794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0.584</w:t>
                  </w:r>
                </w:p>
              </w:tc>
            </w:tr>
            <w:tr w14:paraId="107A28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8A0B96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C81416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硝酸盐氮</w:t>
                  </w:r>
                </w:p>
              </w:tc>
              <w:tc>
                <w:tcPr>
                  <w:tcW w:w="675" w:type="pct"/>
                  <w:tcBorders>
                    <w:tl2br w:val="nil"/>
                    <w:tr2bl w:val="nil"/>
                  </w:tcBorders>
                  <w:vAlign w:val="center"/>
                </w:tcPr>
                <w:p w14:paraId="4FA477E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831622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3.48</w:t>
                  </w:r>
                </w:p>
              </w:tc>
              <w:tc>
                <w:tcPr>
                  <w:tcW w:w="928" w:type="pct"/>
                  <w:tcBorders>
                    <w:tl2br w:val="nil"/>
                    <w:tr2bl w:val="nil"/>
                  </w:tcBorders>
                  <w:vAlign w:val="center"/>
                </w:tcPr>
                <w:p w14:paraId="4B5B9D3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3.72</w:t>
                  </w:r>
                </w:p>
              </w:tc>
              <w:tc>
                <w:tcPr>
                  <w:tcW w:w="968" w:type="pct"/>
                  <w:tcBorders>
                    <w:tl2br w:val="nil"/>
                    <w:tr2bl w:val="nil"/>
                  </w:tcBorders>
                  <w:vAlign w:val="center"/>
                </w:tcPr>
                <w:p w14:paraId="2459E42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2.56</w:t>
                  </w:r>
                </w:p>
              </w:tc>
            </w:tr>
            <w:tr w14:paraId="442B6A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5173A3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1E71AE5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亚硝酸盐氮</w:t>
                  </w:r>
                </w:p>
              </w:tc>
              <w:tc>
                <w:tcPr>
                  <w:tcW w:w="675" w:type="pct"/>
                  <w:tcBorders>
                    <w:tl2br w:val="nil"/>
                    <w:tr2bl w:val="nil"/>
                  </w:tcBorders>
                  <w:vAlign w:val="center"/>
                </w:tcPr>
                <w:p w14:paraId="7B6C9CC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A011EC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c>
                <w:tcPr>
                  <w:tcW w:w="928" w:type="pct"/>
                  <w:tcBorders>
                    <w:tl2br w:val="nil"/>
                    <w:tr2bl w:val="nil"/>
                  </w:tcBorders>
                  <w:vAlign w:val="center"/>
                </w:tcPr>
                <w:p w14:paraId="38B8E63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c>
                <w:tcPr>
                  <w:tcW w:w="968" w:type="pct"/>
                  <w:tcBorders>
                    <w:tl2br w:val="nil"/>
                    <w:tr2bl w:val="nil"/>
                  </w:tcBorders>
                  <w:vAlign w:val="center"/>
                </w:tcPr>
                <w:p w14:paraId="1200E5D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r>
            <w:tr w14:paraId="3273BD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6211F595">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74E7A8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挥发性酚类</w:t>
                  </w:r>
                </w:p>
              </w:tc>
              <w:tc>
                <w:tcPr>
                  <w:tcW w:w="675" w:type="pct"/>
                  <w:tcBorders>
                    <w:tl2br w:val="nil"/>
                    <w:tr2bl w:val="nil"/>
                  </w:tcBorders>
                  <w:vAlign w:val="center"/>
                </w:tcPr>
                <w:p w14:paraId="5B2EA66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045914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c>
                <w:tcPr>
                  <w:tcW w:w="928" w:type="pct"/>
                  <w:tcBorders>
                    <w:tl2br w:val="nil"/>
                    <w:tr2bl w:val="nil"/>
                  </w:tcBorders>
                  <w:vAlign w:val="center"/>
                </w:tcPr>
                <w:p w14:paraId="387200A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c>
                <w:tcPr>
                  <w:tcW w:w="968" w:type="pct"/>
                  <w:tcBorders>
                    <w:tl2br w:val="nil"/>
                    <w:tr2bl w:val="nil"/>
                  </w:tcBorders>
                  <w:vAlign w:val="center"/>
                </w:tcPr>
                <w:p w14:paraId="3581659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r>
            <w:tr w14:paraId="3EB48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C92360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2378C0E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耗氧量</w:t>
                  </w:r>
                </w:p>
              </w:tc>
              <w:tc>
                <w:tcPr>
                  <w:tcW w:w="675" w:type="pct"/>
                  <w:tcBorders>
                    <w:tl2br w:val="nil"/>
                    <w:tr2bl w:val="nil"/>
                  </w:tcBorders>
                  <w:vAlign w:val="center"/>
                </w:tcPr>
                <w:p w14:paraId="6ECD145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EE5343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1.1</w:t>
                  </w:r>
                </w:p>
              </w:tc>
              <w:tc>
                <w:tcPr>
                  <w:tcW w:w="928" w:type="pct"/>
                  <w:tcBorders>
                    <w:tl2br w:val="nil"/>
                    <w:tr2bl w:val="nil"/>
                  </w:tcBorders>
                  <w:vAlign w:val="center"/>
                </w:tcPr>
                <w:p w14:paraId="5B7C10A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1.2</w:t>
                  </w:r>
                </w:p>
              </w:tc>
              <w:tc>
                <w:tcPr>
                  <w:tcW w:w="968" w:type="pct"/>
                  <w:tcBorders>
                    <w:tl2br w:val="nil"/>
                    <w:tr2bl w:val="nil"/>
                  </w:tcBorders>
                  <w:vAlign w:val="center"/>
                </w:tcPr>
                <w:p w14:paraId="19C9A47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1.4</w:t>
                  </w:r>
                </w:p>
              </w:tc>
            </w:tr>
            <w:tr w14:paraId="63EB12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6129EAA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1DD5455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氯化物</w:t>
                  </w:r>
                </w:p>
              </w:tc>
              <w:tc>
                <w:tcPr>
                  <w:tcW w:w="675" w:type="pct"/>
                  <w:tcBorders>
                    <w:tl2br w:val="nil"/>
                    <w:tr2bl w:val="nil"/>
                  </w:tcBorders>
                  <w:vAlign w:val="center"/>
                </w:tcPr>
                <w:p w14:paraId="55A945F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05CDBC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6.48</w:t>
                  </w:r>
                </w:p>
              </w:tc>
              <w:tc>
                <w:tcPr>
                  <w:tcW w:w="928" w:type="pct"/>
                  <w:tcBorders>
                    <w:tl2br w:val="nil"/>
                    <w:tr2bl w:val="nil"/>
                  </w:tcBorders>
                  <w:vAlign w:val="center"/>
                </w:tcPr>
                <w:p w14:paraId="6202FCA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6.72</w:t>
                  </w:r>
                </w:p>
              </w:tc>
              <w:tc>
                <w:tcPr>
                  <w:tcW w:w="968" w:type="pct"/>
                  <w:tcBorders>
                    <w:tl2br w:val="nil"/>
                    <w:tr2bl w:val="nil"/>
                  </w:tcBorders>
                  <w:vAlign w:val="center"/>
                </w:tcPr>
                <w:p w14:paraId="0BD1093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4.58</w:t>
                  </w:r>
                </w:p>
              </w:tc>
            </w:tr>
            <w:tr w14:paraId="55E9A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7E6727C">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2B4C62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总硬度</w:t>
                  </w:r>
                </w:p>
              </w:tc>
              <w:tc>
                <w:tcPr>
                  <w:tcW w:w="675" w:type="pct"/>
                  <w:tcBorders>
                    <w:tl2br w:val="nil"/>
                    <w:tr2bl w:val="nil"/>
                  </w:tcBorders>
                  <w:vAlign w:val="center"/>
                </w:tcPr>
                <w:p w14:paraId="276113A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8D0374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105</w:t>
                  </w:r>
                </w:p>
              </w:tc>
              <w:tc>
                <w:tcPr>
                  <w:tcW w:w="928" w:type="pct"/>
                  <w:tcBorders>
                    <w:tl2br w:val="nil"/>
                    <w:tr2bl w:val="nil"/>
                  </w:tcBorders>
                  <w:vAlign w:val="center"/>
                </w:tcPr>
                <w:p w14:paraId="2455221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116</w:t>
                  </w:r>
                </w:p>
              </w:tc>
              <w:tc>
                <w:tcPr>
                  <w:tcW w:w="968" w:type="pct"/>
                  <w:tcBorders>
                    <w:tl2br w:val="nil"/>
                    <w:tr2bl w:val="nil"/>
                  </w:tcBorders>
                  <w:vAlign w:val="center"/>
                </w:tcPr>
                <w:p w14:paraId="6BE7514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121</w:t>
                  </w:r>
                </w:p>
              </w:tc>
            </w:tr>
            <w:tr w14:paraId="752EBA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04E44B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BB33C8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rPr>
                    <w:t>铁</w:t>
                  </w:r>
                </w:p>
              </w:tc>
              <w:tc>
                <w:tcPr>
                  <w:tcW w:w="675" w:type="pct"/>
                  <w:tcBorders>
                    <w:tl2br w:val="nil"/>
                    <w:tr2bl w:val="nil"/>
                  </w:tcBorders>
                  <w:vAlign w:val="center"/>
                </w:tcPr>
                <w:p w14:paraId="57043AE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4F93A34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0.031</w:t>
                  </w:r>
                </w:p>
              </w:tc>
              <w:tc>
                <w:tcPr>
                  <w:tcW w:w="928" w:type="pct"/>
                  <w:tcBorders>
                    <w:tl2br w:val="nil"/>
                    <w:tr2bl w:val="nil"/>
                  </w:tcBorders>
                  <w:vAlign w:val="center"/>
                </w:tcPr>
                <w:p w14:paraId="064641B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0.03L</w:t>
                  </w:r>
                </w:p>
              </w:tc>
              <w:tc>
                <w:tcPr>
                  <w:tcW w:w="968" w:type="pct"/>
                  <w:tcBorders>
                    <w:tl2br w:val="nil"/>
                    <w:tr2bl w:val="nil"/>
                  </w:tcBorders>
                  <w:vAlign w:val="center"/>
                </w:tcPr>
                <w:p w14:paraId="2888681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0.03L</w:t>
                  </w:r>
                </w:p>
              </w:tc>
            </w:tr>
            <w:tr w14:paraId="052C8D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6EF7654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7E923DB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rPr>
                    <w:t>锰</w:t>
                  </w:r>
                </w:p>
              </w:tc>
              <w:tc>
                <w:tcPr>
                  <w:tcW w:w="675" w:type="pct"/>
                  <w:tcBorders>
                    <w:tl2br w:val="nil"/>
                    <w:tr2bl w:val="nil"/>
                  </w:tcBorders>
                  <w:vAlign w:val="center"/>
                </w:tcPr>
                <w:p w14:paraId="2ADF664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F80CB3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28" w:type="pct"/>
                  <w:tcBorders>
                    <w:tl2br w:val="nil"/>
                    <w:tr2bl w:val="nil"/>
                  </w:tcBorders>
                  <w:vAlign w:val="center"/>
                </w:tcPr>
                <w:p w14:paraId="7868DC2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68" w:type="pct"/>
                  <w:tcBorders>
                    <w:tl2br w:val="nil"/>
                    <w:tr2bl w:val="nil"/>
                  </w:tcBorders>
                  <w:vAlign w:val="center"/>
                </w:tcPr>
                <w:p w14:paraId="5EC83AB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r>
            <w:tr w14:paraId="7E8E8F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1617B48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FB2B57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氰化物</w:t>
                  </w:r>
                </w:p>
              </w:tc>
              <w:tc>
                <w:tcPr>
                  <w:tcW w:w="675" w:type="pct"/>
                  <w:tcBorders>
                    <w:tl2br w:val="nil"/>
                    <w:tr2bl w:val="nil"/>
                  </w:tcBorders>
                  <w:vAlign w:val="center"/>
                </w:tcPr>
                <w:p w14:paraId="732C6E4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14B4577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28" w:type="pct"/>
                  <w:tcBorders>
                    <w:tl2br w:val="nil"/>
                    <w:tr2bl w:val="nil"/>
                  </w:tcBorders>
                  <w:vAlign w:val="center"/>
                </w:tcPr>
                <w:p w14:paraId="1A0EA85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68" w:type="pct"/>
                  <w:tcBorders>
                    <w:tl2br w:val="nil"/>
                    <w:tr2bl w:val="nil"/>
                  </w:tcBorders>
                  <w:vAlign w:val="center"/>
                </w:tcPr>
                <w:p w14:paraId="1C3E202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r>
            <w:tr w14:paraId="5423F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6C5062D">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2722A37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rPr>
                    <w:t>汞</w:t>
                  </w:r>
                </w:p>
              </w:tc>
              <w:tc>
                <w:tcPr>
                  <w:tcW w:w="675" w:type="pct"/>
                  <w:tcBorders>
                    <w:tl2br w:val="nil"/>
                    <w:tr2bl w:val="nil"/>
                  </w:tcBorders>
                  <w:vAlign w:val="center"/>
                </w:tcPr>
                <w:p w14:paraId="02F1D69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6806661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c>
                <w:tcPr>
                  <w:tcW w:w="928" w:type="pct"/>
                  <w:tcBorders>
                    <w:tl2br w:val="nil"/>
                    <w:tr2bl w:val="nil"/>
                  </w:tcBorders>
                  <w:vAlign w:val="center"/>
                </w:tcPr>
                <w:p w14:paraId="681D3FB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c>
                <w:tcPr>
                  <w:tcW w:w="968" w:type="pct"/>
                  <w:tcBorders>
                    <w:tl2br w:val="nil"/>
                    <w:tr2bl w:val="nil"/>
                  </w:tcBorders>
                  <w:vAlign w:val="center"/>
                </w:tcPr>
                <w:p w14:paraId="3FFAC6F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r>
            <w:tr w14:paraId="382B58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33146A35">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7DF82F6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砷</w:t>
                  </w:r>
                </w:p>
              </w:tc>
              <w:tc>
                <w:tcPr>
                  <w:tcW w:w="675" w:type="pct"/>
                  <w:tcBorders>
                    <w:tl2br w:val="nil"/>
                    <w:tr2bl w:val="nil"/>
                  </w:tcBorders>
                  <w:vAlign w:val="center"/>
                </w:tcPr>
                <w:p w14:paraId="50B26AD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5282F18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c>
                <w:tcPr>
                  <w:tcW w:w="928" w:type="pct"/>
                  <w:tcBorders>
                    <w:tl2br w:val="nil"/>
                    <w:tr2bl w:val="nil"/>
                  </w:tcBorders>
                  <w:vAlign w:val="center"/>
                </w:tcPr>
                <w:p w14:paraId="0D6EFD1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c>
                <w:tcPr>
                  <w:tcW w:w="968" w:type="pct"/>
                  <w:tcBorders>
                    <w:tl2br w:val="nil"/>
                    <w:tr2bl w:val="nil"/>
                  </w:tcBorders>
                  <w:vAlign w:val="center"/>
                </w:tcPr>
                <w:p w14:paraId="727262A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r>
            <w:tr w14:paraId="191010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D4CB58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BBEB00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六价铬</w:t>
                  </w:r>
                </w:p>
              </w:tc>
              <w:tc>
                <w:tcPr>
                  <w:tcW w:w="675" w:type="pct"/>
                  <w:tcBorders>
                    <w:tl2br w:val="nil"/>
                    <w:tr2bl w:val="nil"/>
                  </w:tcBorders>
                  <w:vAlign w:val="center"/>
                </w:tcPr>
                <w:p w14:paraId="3053502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61E31B7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c>
                <w:tcPr>
                  <w:tcW w:w="928" w:type="pct"/>
                  <w:tcBorders>
                    <w:tl2br w:val="nil"/>
                    <w:tr2bl w:val="nil"/>
                  </w:tcBorders>
                  <w:vAlign w:val="center"/>
                </w:tcPr>
                <w:p w14:paraId="5E099F1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c>
                <w:tcPr>
                  <w:tcW w:w="968" w:type="pct"/>
                  <w:tcBorders>
                    <w:tl2br w:val="nil"/>
                    <w:tr2bl w:val="nil"/>
                  </w:tcBorders>
                  <w:vAlign w:val="center"/>
                </w:tcPr>
                <w:p w14:paraId="0A73C02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r>
            <w:tr w14:paraId="770ADA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ADBF5B9">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4CF83B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镉</w:t>
                  </w:r>
                </w:p>
              </w:tc>
              <w:tc>
                <w:tcPr>
                  <w:tcW w:w="675" w:type="pct"/>
                  <w:tcBorders>
                    <w:tl2br w:val="nil"/>
                    <w:tr2bl w:val="nil"/>
                  </w:tcBorders>
                  <w:vAlign w:val="center"/>
                </w:tcPr>
                <w:p w14:paraId="358848C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3416935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28" w:type="pct"/>
                  <w:tcBorders>
                    <w:tl2br w:val="nil"/>
                    <w:tr2bl w:val="nil"/>
                  </w:tcBorders>
                  <w:vAlign w:val="center"/>
                </w:tcPr>
                <w:p w14:paraId="39C664F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68" w:type="pct"/>
                  <w:tcBorders>
                    <w:tl2br w:val="nil"/>
                    <w:tr2bl w:val="nil"/>
                  </w:tcBorders>
                  <w:vAlign w:val="center"/>
                </w:tcPr>
                <w:p w14:paraId="6A5E9BF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r>
            <w:tr w14:paraId="540A2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BD4E809">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46C073B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铅</w:t>
                  </w:r>
                </w:p>
              </w:tc>
              <w:tc>
                <w:tcPr>
                  <w:tcW w:w="675" w:type="pct"/>
                  <w:tcBorders>
                    <w:tl2br w:val="nil"/>
                    <w:tr2bl w:val="nil"/>
                  </w:tcBorders>
                  <w:vAlign w:val="center"/>
                </w:tcPr>
                <w:p w14:paraId="684AC50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C98F7A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28" w:type="pct"/>
                  <w:tcBorders>
                    <w:tl2br w:val="nil"/>
                    <w:tr2bl w:val="nil"/>
                  </w:tcBorders>
                  <w:vAlign w:val="center"/>
                </w:tcPr>
                <w:p w14:paraId="19947BA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68" w:type="pct"/>
                  <w:tcBorders>
                    <w:tl2br w:val="nil"/>
                    <w:tr2bl w:val="nil"/>
                  </w:tcBorders>
                  <w:vAlign w:val="center"/>
                </w:tcPr>
                <w:p w14:paraId="1B900A0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r>
            <w:tr w14:paraId="72D85C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65D3F90A">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7BA2133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锌</w:t>
                  </w:r>
                </w:p>
              </w:tc>
              <w:tc>
                <w:tcPr>
                  <w:tcW w:w="675" w:type="pct"/>
                  <w:tcBorders>
                    <w:tl2br w:val="nil"/>
                    <w:tr2bl w:val="nil"/>
                  </w:tcBorders>
                  <w:vAlign w:val="center"/>
                </w:tcPr>
                <w:p w14:paraId="496B565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45414C3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6CF48C2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5909D86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352C77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CD4FB7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2CF8E32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硒</w:t>
                  </w:r>
                </w:p>
              </w:tc>
              <w:tc>
                <w:tcPr>
                  <w:tcW w:w="675" w:type="pct"/>
                  <w:tcBorders>
                    <w:tl2br w:val="nil"/>
                    <w:tr2bl w:val="nil"/>
                  </w:tcBorders>
                  <w:vAlign w:val="center"/>
                </w:tcPr>
                <w:p w14:paraId="4039902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6B03A65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c>
                <w:tcPr>
                  <w:tcW w:w="928" w:type="pct"/>
                  <w:tcBorders>
                    <w:tl2br w:val="nil"/>
                    <w:tr2bl w:val="nil"/>
                  </w:tcBorders>
                  <w:vAlign w:val="center"/>
                </w:tcPr>
                <w:p w14:paraId="48826D1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c>
                <w:tcPr>
                  <w:tcW w:w="968" w:type="pct"/>
                  <w:tcBorders>
                    <w:tl2br w:val="nil"/>
                    <w:tr2bl w:val="nil"/>
                  </w:tcBorders>
                  <w:vAlign w:val="center"/>
                </w:tcPr>
                <w:p w14:paraId="36403DC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r>
            <w:tr w14:paraId="42247C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1AFF2750">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10050C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铜</w:t>
                  </w:r>
                </w:p>
              </w:tc>
              <w:tc>
                <w:tcPr>
                  <w:tcW w:w="675" w:type="pct"/>
                  <w:tcBorders>
                    <w:tl2br w:val="nil"/>
                    <w:tr2bl w:val="nil"/>
                  </w:tcBorders>
                  <w:vAlign w:val="center"/>
                </w:tcPr>
                <w:p w14:paraId="769F3C4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2C0635A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4637382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781576C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6DF2F4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170F46E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7CF5A21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阴离子表面活性剂</w:t>
                  </w:r>
                </w:p>
              </w:tc>
              <w:tc>
                <w:tcPr>
                  <w:tcW w:w="675" w:type="pct"/>
                  <w:tcBorders>
                    <w:tl2br w:val="nil"/>
                    <w:tr2bl w:val="nil"/>
                  </w:tcBorders>
                  <w:vAlign w:val="center"/>
                </w:tcPr>
                <w:p w14:paraId="1599D42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82B1D2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3F5C119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7AA57DE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1703F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EF0621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422A327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7"/>
                      <w:sz w:val="21"/>
                      <w:szCs w:val="21"/>
                    </w:rPr>
                    <w:t>*钾</w:t>
                  </w:r>
                </w:p>
              </w:tc>
              <w:tc>
                <w:tcPr>
                  <w:tcW w:w="675" w:type="pct"/>
                  <w:tcBorders>
                    <w:tl2br w:val="nil"/>
                    <w:tr2bl w:val="nil"/>
                  </w:tcBorders>
                  <w:vAlign w:val="center"/>
                </w:tcPr>
                <w:p w14:paraId="3C68317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3DC04C0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0.94</w:t>
                  </w:r>
                </w:p>
              </w:tc>
              <w:tc>
                <w:tcPr>
                  <w:tcW w:w="928" w:type="pct"/>
                  <w:tcBorders>
                    <w:tl2br w:val="nil"/>
                    <w:tr2bl w:val="nil"/>
                  </w:tcBorders>
                  <w:vAlign w:val="center"/>
                </w:tcPr>
                <w:p w14:paraId="2820489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5"/>
                      <w:sz w:val="21"/>
                      <w:szCs w:val="21"/>
                    </w:rPr>
                    <w:t>1.97</w:t>
                  </w:r>
                </w:p>
              </w:tc>
              <w:tc>
                <w:tcPr>
                  <w:tcW w:w="968" w:type="pct"/>
                  <w:tcBorders>
                    <w:tl2br w:val="nil"/>
                    <w:tr2bl w:val="nil"/>
                  </w:tcBorders>
                  <w:vAlign w:val="center"/>
                </w:tcPr>
                <w:p w14:paraId="16A0320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0.82</w:t>
                  </w:r>
                </w:p>
              </w:tc>
            </w:tr>
            <w:tr w14:paraId="1B5B3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B70A6A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47CE8C2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*钠</w:t>
                  </w:r>
                </w:p>
              </w:tc>
              <w:tc>
                <w:tcPr>
                  <w:tcW w:w="675" w:type="pct"/>
                  <w:tcBorders>
                    <w:tl2br w:val="nil"/>
                    <w:tr2bl w:val="nil"/>
                  </w:tcBorders>
                  <w:vAlign w:val="center"/>
                </w:tcPr>
                <w:p w14:paraId="002716D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8A13E8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69.9</w:t>
                  </w:r>
                </w:p>
              </w:tc>
              <w:tc>
                <w:tcPr>
                  <w:tcW w:w="928" w:type="pct"/>
                  <w:tcBorders>
                    <w:tl2br w:val="nil"/>
                    <w:tr2bl w:val="nil"/>
                  </w:tcBorders>
                  <w:vAlign w:val="center"/>
                </w:tcPr>
                <w:p w14:paraId="22D259D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61.3</w:t>
                  </w:r>
                </w:p>
              </w:tc>
              <w:tc>
                <w:tcPr>
                  <w:tcW w:w="968" w:type="pct"/>
                  <w:tcBorders>
                    <w:tl2br w:val="nil"/>
                    <w:tr2bl w:val="nil"/>
                  </w:tcBorders>
                  <w:vAlign w:val="center"/>
                </w:tcPr>
                <w:p w14:paraId="2CC9ADC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60.1</w:t>
                  </w:r>
                </w:p>
              </w:tc>
            </w:tr>
            <w:tr w14:paraId="773BC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039BDF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D73FAC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*钙</w:t>
                  </w:r>
                </w:p>
              </w:tc>
              <w:tc>
                <w:tcPr>
                  <w:tcW w:w="675" w:type="pct"/>
                  <w:tcBorders>
                    <w:tl2br w:val="nil"/>
                    <w:tr2bl w:val="nil"/>
                  </w:tcBorders>
                  <w:vAlign w:val="center"/>
                </w:tcPr>
                <w:p w14:paraId="257F832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208313F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20.5</w:t>
                  </w:r>
                </w:p>
              </w:tc>
              <w:tc>
                <w:tcPr>
                  <w:tcW w:w="928" w:type="pct"/>
                  <w:tcBorders>
                    <w:tl2br w:val="nil"/>
                    <w:tr2bl w:val="nil"/>
                  </w:tcBorders>
                  <w:vAlign w:val="center"/>
                </w:tcPr>
                <w:p w14:paraId="4646D37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22.6</w:t>
                  </w:r>
                </w:p>
              </w:tc>
              <w:tc>
                <w:tcPr>
                  <w:tcW w:w="968" w:type="pct"/>
                  <w:tcBorders>
                    <w:tl2br w:val="nil"/>
                    <w:tr2bl w:val="nil"/>
                  </w:tcBorders>
                  <w:vAlign w:val="center"/>
                </w:tcPr>
                <w:p w14:paraId="3F34A93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24.5</w:t>
                  </w:r>
                </w:p>
              </w:tc>
            </w:tr>
            <w:tr w14:paraId="06E747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03EF44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7650DE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*镁</w:t>
                  </w:r>
                </w:p>
              </w:tc>
              <w:tc>
                <w:tcPr>
                  <w:tcW w:w="675" w:type="pct"/>
                  <w:tcBorders>
                    <w:tl2br w:val="nil"/>
                    <w:tr2bl w:val="nil"/>
                  </w:tcBorders>
                  <w:vAlign w:val="center"/>
                </w:tcPr>
                <w:p w14:paraId="2918788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1E46F9F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7.69</w:t>
                  </w:r>
                </w:p>
              </w:tc>
              <w:tc>
                <w:tcPr>
                  <w:tcW w:w="928" w:type="pct"/>
                  <w:tcBorders>
                    <w:tl2br w:val="nil"/>
                    <w:tr2bl w:val="nil"/>
                  </w:tcBorders>
                  <w:vAlign w:val="center"/>
                </w:tcPr>
                <w:p w14:paraId="637DBEC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9.26</w:t>
                  </w:r>
                </w:p>
              </w:tc>
              <w:tc>
                <w:tcPr>
                  <w:tcW w:w="968" w:type="pct"/>
                  <w:tcBorders>
                    <w:tl2br w:val="nil"/>
                    <w:tr2bl w:val="nil"/>
                  </w:tcBorders>
                  <w:vAlign w:val="center"/>
                </w:tcPr>
                <w:p w14:paraId="76111DE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5"/>
                      <w:sz w:val="21"/>
                      <w:szCs w:val="21"/>
                    </w:rPr>
                    <w:t>10.1</w:t>
                  </w:r>
                </w:p>
              </w:tc>
            </w:tr>
            <w:tr w14:paraId="32E86D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restart"/>
                  <w:tcBorders>
                    <w:tl2br w:val="nil"/>
                    <w:tr2bl w:val="nil"/>
                  </w:tcBorders>
                  <w:vAlign w:val="center"/>
                </w:tcPr>
                <w:p w14:paraId="2314A97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2021年5</w:t>
                  </w:r>
                  <w:r>
                    <w:rPr>
                      <w:rFonts w:hint="default" w:ascii="Times New Roman" w:hAnsi="Times New Roman" w:cs="Times New Roman" w:eastAsiaTheme="minorEastAsia"/>
                      <w:color w:val="auto"/>
                      <w:sz w:val="21"/>
                      <w:szCs w:val="21"/>
                    </w:rPr>
                    <w:t xml:space="preserve"> </w:t>
                  </w:r>
                  <w:r>
                    <w:rPr>
                      <w:rFonts w:hint="default" w:ascii="Times New Roman" w:hAnsi="Times New Roman" w:cs="Times New Roman" w:eastAsiaTheme="minorEastAsia"/>
                      <w:color w:val="auto"/>
                      <w:spacing w:val="10"/>
                      <w:sz w:val="21"/>
                      <w:szCs w:val="21"/>
                    </w:rPr>
                    <w:t>月1</w:t>
                  </w:r>
                  <w:r>
                    <w:rPr>
                      <w:rFonts w:hint="default" w:ascii="Times New Roman" w:hAnsi="Times New Roman" w:cs="Times New Roman" w:eastAsiaTheme="minorEastAsia"/>
                      <w:color w:val="auto"/>
                      <w:spacing w:val="10"/>
                      <w:sz w:val="21"/>
                      <w:szCs w:val="21"/>
                      <w:lang w:val="en-US" w:eastAsia="zh-CN"/>
                    </w:rPr>
                    <w:t>1</w:t>
                  </w:r>
                  <w:r>
                    <w:rPr>
                      <w:rFonts w:hint="default" w:ascii="Times New Roman" w:hAnsi="Times New Roman" w:cs="Times New Roman" w:eastAsiaTheme="minorEastAsia"/>
                      <w:color w:val="auto"/>
                      <w:spacing w:val="10"/>
                      <w:sz w:val="21"/>
                      <w:szCs w:val="21"/>
                    </w:rPr>
                    <w:t>日</w:t>
                  </w:r>
                </w:p>
              </w:tc>
              <w:tc>
                <w:tcPr>
                  <w:tcW w:w="868" w:type="pct"/>
                  <w:tcBorders>
                    <w:tl2br w:val="nil"/>
                    <w:tr2bl w:val="nil"/>
                  </w:tcBorders>
                  <w:vAlign w:val="center"/>
                </w:tcPr>
                <w:p w14:paraId="6B57A57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pH</w:t>
                  </w:r>
                </w:p>
              </w:tc>
              <w:tc>
                <w:tcPr>
                  <w:tcW w:w="675" w:type="pct"/>
                  <w:tcBorders>
                    <w:tl2br w:val="nil"/>
                    <w:tr2bl w:val="nil"/>
                  </w:tcBorders>
                  <w:vAlign w:val="center"/>
                </w:tcPr>
                <w:p w14:paraId="7B0E30D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无量纲</w:t>
                  </w:r>
                </w:p>
              </w:tc>
              <w:tc>
                <w:tcPr>
                  <w:tcW w:w="919" w:type="pct"/>
                  <w:tcBorders>
                    <w:tl2br w:val="nil"/>
                    <w:tr2bl w:val="nil"/>
                  </w:tcBorders>
                  <w:vAlign w:val="center"/>
                </w:tcPr>
                <w:p w14:paraId="0CE34CC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8.02</w:t>
                  </w:r>
                </w:p>
              </w:tc>
              <w:tc>
                <w:tcPr>
                  <w:tcW w:w="928" w:type="pct"/>
                  <w:tcBorders>
                    <w:tl2br w:val="nil"/>
                    <w:tr2bl w:val="nil"/>
                  </w:tcBorders>
                  <w:vAlign w:val="center"/>
                </w:tcPr>
                <w:p w14:paraId="5464829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7.97</w:t>
                  </w:r>
                </w:p>
              </w:tc>
              <w:tc>
                <w:tcPr>
                  <w:tcW w:w="968" w:type="pct"/>
                  <w:tcBorders>
                    <w:tl2br w:val="nil"/>
                    <w:tr2bl w:val="nil"/>
                  </w:tcBorders>
                  <w:vAlign w:val="center"/>
                </w:tcPr>
                <w:p w14:paraId="77DEC4C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7.86</w:t>
                  </w:r>
                </w:p>
              </w:tc>
            </w:tr>
            <w:tr w14:paraId="49F8B7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A36743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4090435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氨氮</w:t>
                  </w:r>
                </w:p>
              </w:tc>
              <w:tc>
                <w:tcPr>
                  <w:tcW w:w="675" w:type="pct"/>
                  <w:tcBorders>
                    <w:tl2br w:val="nil"/>
                    <w:tr2bl w:val="nil"/>
                  </w:tcBorders>
                  <w:vAlign w:val="center"/>
                </w:tcPr>
                <w:p w14:paraId="540CFCB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4E12781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0.250</w:t>
                  </w:r>
                </w:p>
              </w:tc>
              <w:tc>
                <w:tcPr>
                  <w:tcW w:w="928" w:type="pct"/>
                  <w:tcBorders>
                    <w:tl2br w:val="nil"/>
                    <w:tr2bl w:val="nil"/>
                  </w:tcBorders>
                  <w:vAlign w:val="center"/>
                </w:tcPr>
                <w:p w14:paraId="7A13CB5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0.154</w:t>
                  </w:r>
                </w:p>
              </w:tc>
              <w:tc>
                <w:tcPr>
                  <w:tcW w:w="968" w:type="pct"/>
                  <w:tcBorders>
                    <w:tl2br w:val="nil"/>
                    <w:tr2bl w:val="nil"/>
                  </w:tcBorders>
                  <w:vAlign w:val="center"/>
                </w:tcPr>
                <w:p w14:paraId="6F26EF6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0.114</w:t>
                  </w:r>
                </w:p>
              </w:tc>
            </w:tr>
            <w:tr w14:paraId="05FA0A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77B433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1167423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氟化物</w:t>
                  </w:r>
                </w:p>
              </w:tc>
              <w:tc>
                <w:tcPr>
                  <w:tcW w:w="675" w:type="pct"/>
                  <w:tcBorders>
                    <w:tl2br w:val="nil"/>
                    <w:tr2bl w:val="nil"/>
                  </w:tcBorders>
                  <w:vAlign w:val="center"/>
                </w:tcPr>
                <w:p w14:paraId="1208203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A7B549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0.660</w:t>
                  </w:r>
                </w:p>
              </w:tc>
              <w:tc>
                <w:tcPr>
                  <w:tcW w:w="928" w:type="pct"/>
                  <w:tcBorders>
                    <w:tl2br w:val="nil"/>
                    <w:tr2bl w:val="nil"/>
                  </w:tcBorders>
                  <w:vAlign w:val="center"/>
                </w:tcPr>
                <w:p w14:paraId="7C64B0C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0.592</w:t>
                  </w:r>
                </w:p>
              </w:tc>
              <w:tc>
                <w:tcPr>
                  <w:tcW w:w="968" w:type="pct"/>
                  <w:tcBorders>
                    <w:tl2br w:val="nil"/>
                    <w:tr2bl w:val="nil"/>
                  </w:tcBorders>
                  <w:vAlign w:val="center"/>
                </w:tcPr>
                <w:p w14:paraId="59127E9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0.588</w:t>
                  </w:r>
                </w:p>
              </w:tc>
            </w:tr>
            <w:tr w14:paraId="51FF44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3903E659">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2BF80E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硫酸盐</w:t>
                  </w:r>
                </w:p>
              </w:tc>
              <w:tc>
                <w:tcPr>
                  <w:tcW w:w="675" w:type="pct"/>
                  <w:tcBorders>
                    <w:tl2br w:val="nil"/>
                    <w:tr2bl w:val="nil"/>
                  </w:tcBorders>
                  <w:vAlign w:val="center"/>
                </w:tcPr>
                <w:p w14:paraId="220FDC5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27C3B6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3.14</w:t>
                  </w:r>
                </w:p>
              </w:tc>
              <w:tc>
                <w:tcPr>
                  <w:tcW w:w="928" w:type="pct"/>
                  <w:tcBorders>
                    <w:tl2br w:val="nil"/>
                    <w:tr2bl w:val="nil"/>
                  </w:tcBorders>
                  <w:vAlign w:val="center"/>
                </w:tcPr>
                <w:p w14:paraId="0D2D754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4.28</w:t>
                  </w:r>
                </w:p>
              </w:tc>
              <w:tc>
                <w:tcPr>
                  <w:tcW w:w="968" w:type="pct"/>
                  <w:tcBorders>
                    <w:tl2br w:val="nil"/>
                    <w:tr2bl w:val="nil"/>
                  </w:tcBorders>
                  <w:vAlign w:val="center"/>
                </w:tcPr>
                <w:p w14:paraId="3CDC94E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4.76</w:t>
                  </w:r>
                </w:p>
              </w:tc>
            </w:tr>
            <w:tr w14:paraId="657C33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DBB897A">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143B71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硝酸盐氮</w:t>
                  </w:r>
                </w:p>
              </w:tc>
              <w:tc>
                <w:tcPr>
                  <w:tcW w:w="675" w:type="pct"/>
                  <w:tcBorders>
                    <w:tl2br w:val="nil"/>
                    <w:tr2bl w:val="nil"/>
                  </w:tcBorders>
                  <w:vAlign w:val="center"/>
                </w:tcPr>
                <w:p w14:paraId="60A93E0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280463B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3.50</w:t>
                  </w:r>
                </w:p>
              </w:tc>
              <w:tc>
                <w:tcPr>
                  <w:tcW w:w="928" w:type="pct"/>
                  <w:tcBorders>
                    <w:tl2br w:val="nil"/>
                    <w:tr2bl w:val="nil"/>
                  </w:tcBorders>
                  <w:vAlign w:val="center"/>
                </w:tcPr>
                <w:p w14:paraId="332A44C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3.78</w:t>
                  </w:r>
                </w:p>
              </w:tc>
              <w:tc>
                <w:tcPr>
                  <w:tcW w:w="968" w:type="pct"/>
                  <w:tcBorders>
                    <w:tl2br w:val="nil"/>
                    <w:tr2bl w:val="nil"/>
                  </w:tcBorders>
                  <w:vAlign w:val="center"/>
                </w:tcPr>
                <w:p w14:paraId="7FE51C9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2.60</w:t>
                  </w:r>
                </w:p>
              </w:tc>
            </w:tr>
            <w:tr w14:paraId="768BA2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79014E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600F79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亚硝酸盐氮</w:t>
                  </w:r>
                </w:p>
              </w:tc>
              <w:tc>
                <w:tcPr>
                  <w:tcW w:w="675" w:type="pct"/>
                  <w:tcBorders>
                    <w:tl2br w:val="nil"/>
                    <w:tr2bl w:val="nil"/>
                  </w:tcBorders>
                  <w:vAlign w:val="center"/>
                </w:tcPr>
                <w:p w14:paraId="09815D8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4930083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c>
                <w:tcPr>
                  <w:tcW w:w="928" w:type="pct"/>
                  <w:tcBorders>
                    <w:tl2br w:val="nil"/>
                    <w:tr2bl w:val="nil"/>
                  </w:tcBorders>
                  <w:vAlign w:val="center"/>
                </w:tcPr>
                <w:p w14:paraId="1E7B6D0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c>
                <w:tcPr>
                  <w:tcW w:w="968" w:type="pct"/>
                  <w:tcBorders>
                    <w:tl2br w:val="nil"/>
                    <w:tr2bl w:val="nil"/>
                  </w:tcBorders>
                  <w:vAlign w:val="center"/>
                </w:tcPr>
                <w:p w14:paraId="7A36EE3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r>
            <w:tr w14:paraId="73A56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3096DB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20DEDAD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挥发性酚类</w:t>
                  </w:r>
                </w:p>
              </w:tc>
              <w:tc>
                <w:tcPr>
                  <w:tcW w:w="675" w:type="pct"/>
                  <w:tcBorders>
                    <w:tl2br w:val="nil"/>
                    <w:tr2bl w:val="nil"/>
                  </w:tcBorders>
                  <w:vAlign w:val="center"/>
                </w:tcPr>
                <w:p w14:paraId="4B9C121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3548B1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c>
                <w:tcPr>
                  <w:tcW w:w="928" w:type="pct"/>
                  <w:tcBorders>
                    <w:tl2br w:val="nil"/>
                    <w:tr2bl w:val="nil"/>
                  </w:tcBorders>
                  <w:vAlign w:val="center"/>
                </w:tcPr>
                <w:p w14:paraId="2927266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c>
                <w:tcPr>
                  <w:tcW w:w="968" w:type="pct"/>
                  <w:tcBorders>
                    <w:tl2br w:val="nil"/>
                    <w:tr2bl w:val="nil"/>
                  </w:tcBorders>
                  <w:vAlign w:val="center"/>
                </w:tcPr>
                <w:p w14:paraId="09A09FE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r>
            <w:tr w14:paraId="359551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CAD14AD">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4B4BFF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耗氧量</w:t>
                  </w:r>
                </w:p>
              </w:tc>
              <w:tc>
                <w:tcPr>
                  <w:tcW w:w="675" w:type="pct"/>
                  <w:tcBorders>
                    <w:tl2br w:val="nil"/>
                    <w:tr2bl w:val="nil"/>
                  </w:tcBorders>
                  <w:vAlign w:val="center"/>
                </w:tcPr>
                <w:p w14:paraId="65A006E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3D8B3B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1.1</w:t>
                  </w:r>
                </w:p>
              </w:tc>
              <w:tc>
                <w:tcPr>
                  <w:tcW w:w="928" w:type="pct"/>
                  <w:tcBorders>
                    <w:tl2br w:val="nil"/>
                    <w:tr2bl w:val="nil"/>
                  </w:tcBorders>
                  <w:vAlign w:val="center"/>
                </w:tcPr>
                <w:p w14:paraId="295C6FC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1.2</w:t>
                  </w:r>
                </w:p>
              </w:tc>
              <w:tc>
                <w:tcPr>
                  <w:tcW w:w="968" w:type="pct"/>
                  <w:tcBorders>
                    <w:tl2br w:val="nil"/>
                    <w:tr2bl w:val="nil"/>
                  </w:tcBorders>
                  <w:vAlign w:val="center"/>
                </w:tcPr>
                <w:p w14:paraId="203994F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1.4</w:t>
                  </w:r>
                </w:p>
              </w:tc>
            </w:tr>
            <w:tr w14:paraId="26903A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439BDA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02BDD1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氯化物</w:t>
                  </w:r>
                </w:p>
              </w:tc>
              <w:tc>
                <w:tcPr>
                  <w:tcW w:w="675" w:type="pct"/>
                  <w:tcBorders>
                    <w:tl2br w:val="nil"/>
                    <w:tr2bl w:val="nil"/>
                  </w:tcBorders>
                  <w:vAlign w:val="center"/>
                </w:tcPr>
                <w:p w14:paraId="2DBB09F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1921173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6.29</w:t>
                  </w:r>
                </w:p>
              </w:tc>
              <w:tc>
                <w:tcPr>
                  <w:tcW w:w="928" w:type="pct"/>
                  <w:tcBorders>
                    <w:tl2br w:val="nil"/>
                    <w:tr2bl w:val="nil"/>
                  </w:tcBorders>
                  <w:vAlign w:val="center"/>
                </w:tcPr>
                <w:p w14:paraId="72E247F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6.70</w:t>
                  </w:r>
                </w:p>
              </w:tc>
              <w:tc>
                <w:tcPr>
                  <w:tcW w:w="968" w:type="pct"/>
                  <w:tcBorders>
                    <w:tl2br w:val="nil"/>
                    <w:tr2bl w:val="nil"/>
                  </w:tcBorders>
                  <w:vAlign w:val="center"/>
                </w:tcPr>
                <w:p w14:paraId="5795C8A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4.56</w:t>
                  </w:r>
                </w:p>
              </w:tc>
            </w:tr>
            <w:tr w14:paraId="517F14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C337210">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2D8160E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总硬度</w:t>
                  </w:r>
                </w:p>
              </w:tc>
              <w:tc>
                <w:tcPr>
                  <w:tcW w:w="675" w:type="pct"/>
                  <w:tcBorders>
                    <w:tl2br w:val="nil"/>
                    <w:tr2bl w:val="nil"/>
                  </w:tcBorders>
                  <w:vAlign w:val="center"/>
                </w:tcPr>
                <w:p w14:paraId="58BA7C8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3F185C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106</w:t>
                  </w:r>
                </w:p>
              </w:tc>
              <w:tc>
                <w:tcPr>
                  <w:tcW w:w="928" w:type="pct"/>
                  <w:tcBorders>
                    <w:tl2br w:val="nil"/>
                    <w:tr2bl w:val="nil"/>
                  </w:tcBorders>
                  <w:vAlign w:val="center"/>
                </w:tcPr>
                <w:p w14:paraId="05E47A4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118</w:t>
                  </w:r>
                </w:p>
              </w:tc>
              <w:tc>
                <w:tcPr>
                  <w:tcW w:w="968" w:type="pct"/>
                  <w:tcBorders>
                    <w:tl2br w:val="nil"/>
                    <w:tr2bl w:val="nil"/>
                  </w:tcBorders>
                  <w:vAlign w:val="center"/>
                </w:tcPr>
                <w:p w14:paraId="2190BCE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123</w:t>
                  </w:r>
                </w:p>
              </w:tc>
            </w:tr>
            <w:tr w14:paraId="154D10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A3C930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7137FE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rPr>
                    <w:t>铁</w:t>
                  </w:r>
                </w:p>
              </w:tc>
              <w:tc>
                <w:tcPr>
                  <w:tcW w:w="675" w:type="pct"/>
                  <w:tcBorders>
                    <w:tl2br w:val="nil"/>
                    <w:tr2bl w:val="nil"/>
                  </w:tcBorders>
                  <w:vAlign w:val="center"/>
                </w:tcPr>
                <w:p w14:paraId="2CF8F90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63321CF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0.03L</w:t>
                  </w:r>
                </w:p>
              </w:tc>
              <w:tc>
                <w:tcPr>
                  <w:tcW w:w="928" w:type="pct"/>
                  <w:tcBorders>
                    <w:tl2br w:val="nil"/>
                    <w:tr2bl w:val="nil"/>
                  </w:tcBorders>
                  <w:vAlign w:val="center"/>
                </w:tcPr>
                <w:p w14:paraId="13E47D0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0.03L</w:t>
                  </w:r>
                </w:p>
              </w:tc>
              <w:tc>
                <w:tcPr>
                  <w:tcW w:w="968" w:type="pct"/>
                  <w:tcBorders>
                    <w:tl2br w:val="nil"/>
                    <w:tr2bl w:val="nil"/>
                  </w:tcBorders>
                  <w:vAlign w:val="center"/>
                </w:tcPr>
                <w:p w14:paraId="4635F17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0.03L</w:t>
                  </w:r>
                </w:p>
              </w:tc>
            </w:tr>
            <w:tr w14:paraId="2072A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39B15B7D">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A9403F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rPr>
                    <w:t>锰</w:t>
                  </w:r>
                </w:p>
              </w:tc>
              <w:tc>
                <w:tcPr>
                  <w:tcW w:w="675" w:type="pct"/>
                  <w:tcBorders>
                    <w:tl2br w:val="nil"/>
                    <w:tr2bl w:val="nil"/>
                  </w:tcBorders>
                  <w:vAlign w:val="center"/>
                </w:tcPr>
                <w:p w14:paraId="607947C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3E5AB8A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28" w:type="pct"/>
                  <w:tcBorders>
                    <w:tl2br w:val="nil"/>
                    <w:tr2bl w:val="nil"/>
                  </w:tcBorders>
                  <w:vAlign w:val="center"/>
                </w:tcPr>
                <w:p w14:paraId="06519F2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68" w:type="pct"/>
                  <w:tcBorders>
                    <w:tl2br w:val="nil"/>
                    <w:tr2bl w:val="nil"/>
                  </w:tcBorders>
                  <w:vAlign w:val="center"/>
                </w:tcPr>
                <w:p w14:paraId="6AF6292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r>
            <w:tr w14:paraId="1719C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ED002A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F010FC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氰化物</w:t>
                  </w:r>
                </w:p>
              </w:tc>
              <w:tc>
                <w:tcPr>
                  <w:tcW w:w="675" w:type="pct"/>
                  <w:tcBorders>
                    <w:tl2br w:val="nil"/>
                    <w:tr2bl w:val="nil"/>
                  </w:tcBorders>
                  <w:vAlign w:val="center"/>
                </w:tcPr>
                <w:p w14:paraId="0342166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6B2E00E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28" w:type="pct"/>
                  <w:tcBorders>
                    <w:tl2br w:val="nil"/>
                    <w:tr2bl w:val="nil"/>
                  </w:tcBorders>
                  <w:vAlign w:val="center"/>
                </w:tcPr>
                <w:p w14:paraId="1EEDC13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68" w:type="pct"/>
                  <w:tcBorders>
                    <w:tl2br w:val="nil"/>
                    <w:tr2bl w:val="nil"/>
                  </w:tcBorders>
                  <w:vAlign w:val="center"/>
                </w:tcPr>
                <w:p w14:paraId="1028C63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r>
            <w:tr w14:paraId="79B7B5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5977C2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814E4B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汞</w:t>
                  </w:r>
                </w:p>
              </w:tc>
              <w:tc>
                <w:tcPr>
                  <w:tcW w:w="675" w:type="pct"/>
                  <w:tcBorders>
                    <w:tl2br w:val="nil"/>
                    <w:tr2bl w:val="nil"/>
                  </w:tcBorders>
                  <w:vAlign w:val="center"/>
                </w:tcPr>
                <w:p w14:paraId="528FF10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13228AD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c>
                <w:tcPr>
                  <w:tcW w:w="928" w:type="pct"/>
                  <w:tcBorders>
                    <w:tl2br w:val="nil"/>
                    <w:tr2bl w:val="nil"/>
                  </w:tcBorders>
                  <w:vAlign w:val="center"/>
                </w:tcPr>
                <w:p w14:paraId="4FF795E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c>
                <w:tcPr>
                  <w:tcW w:w="968" w:type="pct"/>
                  <w:tcBorders>
                    <w:tl2br w:val="nil"/>
                    <w:tr2bl w:val="nil"/>
                  </w:tcBorders>
                  <w:vAlign w:val="center"/>
                </w:tcPr>
                <w:p w14:paraId="15CB9CB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r>
            <w:tr w14:paraId="7A1928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302DE5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ADDC9A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砷</w:t>
                  </w:r>
                </w:p>
              </w:tc>
              <w:tc>
                <w:tcPr>
                  <w:tcW w:w="675" w:type="pct"/>
                  <w:tcBorders>
                    <w:tl2br w:val="nil"/>
                    <w:tr2bl w:val="nil"/>
                  </w:tcBorders>
                  <w:vAlign w:val="center"/>
                </w:tcPr>
                <w:p w14:paraId="00B609F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50AA190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c>
                <w:tcPr>
                  <w:tcW w:w="928" w:type="pct"/>
                  <w:tcBorders>
                    <w:tl2br w:val="nil"/>
                    <w:tr2bl w:val="nil"/>
                  </w:tcBorders>
                  <w:vAlign w:val="center"/>
                </w:tcPr>
                <w:p w14:paraId="23D2E86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c>
                <w:tcPr>
                  <w:tcW w:w="968" w:type="pct"/>
                  <w:tcBorders>
                    <w:tl2br w:val="nil"/>
                    <w:tr2bl w:val="nil"/>
                  </w:tcBorders>
                  <w:vAlign w:val="center"/>
                </w:tcPr>
                <w:p w14:paraId="6D714F0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r>
            <w:tr w14:paraId="62A46C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1731CB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7633340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六价铬</w:t>
                  </w:r>
                </w:p>
              </w:tc>
              <w:tc>
                <w:tcPr>
                  <w:tcW w:w="675" w:type="pct"/>
                  <w:tcBorders>
                    <w:tl2br w:val="nil"/>
                    <w:tr2bl w:val="nil"/>
                  </w:tcBorders>
                  <w:vAlign w:val="center"/>
                </w:tcPr>
                <w:p w14:paraId="05CE1C0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BF0E9A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c>
                <w:tcPr>
                  <w:tcW w:w="928" w:type="pct"/>
                  <w:tcBorders>
                    <w:tl2br w:val="nil"/>
                    <w:tr2bl w:val="nil"/>
                  </w:tcBorders>
                  <w:vAlign w:val="center"/>
                </w:tcPr>
                <w:p w14:paraId="271C1D4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c>
                <w:tcPr>
                  <w:tcW w:w="968" w:type="pct"/>
                  <w:tcBorders>
                    <w:tl2br w:val="nil"/>
                    <w:tr2bl w:val="nil"/>
                  </w:tcBorders>
                  <w:vAlign w:val="center"/>
                </w:tcPr>
                <w:p w14:paraId="519ABC8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r>
            <w:tr w14:paraId="41B69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D200615">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A47069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镉</w:t>
                  </w:r>
                </w:p>
              </w:tc>
              <w:tc>
                <w:tcPr>
                  <w:tcW w:w="675" w:type="pct"/>
                  <w:tcBorders>
                    <w:tl2br w:val="nil"/>
                    <w:tr2bl w:val="nil"/>
                  </w:tcBorders>
                  <w:vAlign w:val="center"/>
                </w:tcPr>
                <w:p w14:paraId="1010DE4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FB40A0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0.00IL</w:t>
                  </w:r>
                </w:p>
              </w:tc>
              <w:tc>
                <w:tcPr>
                  <w:tcW w:w="928" w:type="pct"/>
                  <w:tcBorders>
                    <w:tl2br w:val="nil"/>
                    <w:tr2bl w:val="nil"/>
                  </w:tcBorders>
                  <w:vAlign w:val="center"/>
                </w:tcPr>
                <w:p w14:paraId="760A613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68" w:type="pct"/>
                  <w:tcBorders>
                    <w:tl2br w:val="nil"/>
                    <w:tr2bl w:val="nil"/>
                  </w:tcBorders>
                  <w:vAlign w:val="center"/>
                </w:tcPr>
                <w:p w14:paraId="266BBC7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r>
            <w:tr w14:paraId="0DE595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89CBB7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8F12F0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铅</w:t>
                  </w:r>
                </w:p>
              </w:tc>
              <w:tc>
                <w:tcPr>
                  <w:tcW w:w="675" w:type="pct"/>
                  <w:tcBorders>
                    <w:tl2br w:val="nil"/>
                    <w:tr2bl w:val="nil"/>
                  </w:tcBorders>
                  <w:vAlign w:val="center"/>
                </w:tcPr>
                <w:p w14:paraId="4B9E0CC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E5287E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28" w:type="pct"/>
                  <w:tcBorders>
                    <w:tl2br w:val="nil"/>
                    <w:tr2bl w:val="nil"/>
                  </w:tcBorders>
                  <w:vAlign w:val="center"/>
                </w:tcPr>
                <w:p w14:paraId="1DAE392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68" w:type="pct"/>
                  <w:tcBorders>
                    <w:tl2br w:val="nil"/>
                    <w:tr2bl w:val="nil"/>
                  </w:tcBorders>
                  <w:vAlign w:val="center"/>
                </w:tcPr>
                <w:p w14:paraId="69BFDD6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r>
            <w:tr w14:paraId="5178F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36C3655D">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06646F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锌</w:t>
                  </w:r>
                </w:p>
              </w:tc>
              <w:tc>
                <w:tcPr>
                  <w:tcW w:w="675" w:type="pct"/>
                  <w:tcBorders>
                    <w:tl2br w:val="nil"/>
                    <w:tr2bl w:val="nil"/>
                  </w:tcBorders>
                  <w:vAlign w:val="center"/>
                </w:tcPr>
                <w:p w14:paraId="6F774D2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74B673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6FCEAE5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4A72A94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1CF24E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C99847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732DB96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硒</w:t>
                  </w:r>
                </w:p>
              </w:tc>
              <w:tc>
                <w:tcPr>
                  <w:tcW w:w="675" w:type="pct"/>
                  <w:tcBorders>
                    <w:tl2br w:val="nil"/>
                    <w:tr2bl w:val="nil"/>
                  </w:tcBorders>
                  <w:vAlign w:val="center"/>
                </w:tcPr>
                <w:p w14:paraId="30D35ED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44B692A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c>
                <w:tcPr>
                  <w:tcW w:w="928" w:type="pct"/>
                  <w:tcBorders>
                    <w:tl2br w:val="nil"/>
                    <w:tr2bl w:val="nil"/>
                  </w:tcBorders>
                  <w:vAlign w:val="center"/>
                </w:tcPr>
                <w:p w14:paraId="5810A1B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c>
                <w:tcPr>
                  <w:tcW w:w="968" w:type="pct"/>
                  <w:tcBorders>
                    <w:tl2br w:val="nil"/>
                    <w:tr2bl w:val="nil"/>
                  </w:tcBorders>
                  <w:vAlign w:val="center"/>
                </w:tcPr>
                <w:p w14:paraId="451D7AE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r>
            <w:tr w14:paraId="3B2243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DB6181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41DC9DA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铜</w:t>
                  </w:r>
                </w:p>
              </w:tc>
              <w:tc>
                <w:tcPr>
                  <w:tcW w:w="675" w:type="pct"/>
                  <w:tcBorders>
                    <w:tl2br w:val="nil"/>
                    <w:tr2bl w:val="nil"/>
                  </w:tcBorders>
                  <w:vAlign w:val="center"/>
                </w:tcPr>
                <w:p w14:paraId="1C9030D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B23A33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66D6C53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5BAA783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512F4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06237AF">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9695EA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阴离子表面活性剂</w:t>
                  </w:r>
                </w:p>
              </w:tc>
              <w:tc>
                <w:tcPr>
                  <w:tcW w:w="675" w:type="pct"/>
                  <w:tcBorders>
                    <w:tl2br w:val="nil"/>
                    <w:tr2bl w:val="nil"/>
                  </w:tcBorders>
                  <w:vAlign w:val="center"/>
                </w:tcPr>
                <w:p w14:paraId="197BF66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EDB4DF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1BFA793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64C031A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636CC7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351EECA">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186650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7"/>
                      <w:sz w:val="21"/>
                      <w:szCs w:val="21"/>
                    </w:rPr>
                    <w:t>*钾</w:t>
                  </w:r>
                </w:p>
              </w:tc>
              <w:tc>
                <w:tcPr>
                  <w:tcW w:w="675" w:type="pct"/>
                  <w:tcBorders>
                    <w:tl2br w:val="nil"/>
                    <w:tr2bl w:val="nil"/>
                  </w:tcBorders>
                  <w:vAlign w:val="center"/>
                </w:tcPr>
                <w:p w14:paraId="5687CC7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EC0A42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0.94</w:t>
                  </w:r>
                </w:p>
              </w:tc>
              <w:tc>
                <w:tcPr>
                  <w:tcW w:w="928" w:type="pct"/>
                  <w:tcBorders>
                    <w:tl2br w:val="nil"/>
                    <w:tr2bl w:val="nil"/>
                  </w:tcBorders>
                  <w:vAlign w:val="center"/>
                </w:tcPr>
                <w:p w14:paraId="6317E5C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5"/>
                      <w:sz w:val="21"/>
                      <w:szCs w:val="21"/>
                    </w:rPr>
                    <w:t>1.88</w:t>
                  </w:r>
                </w:p>
              </w:tc>
              <w:tc>
                <w:tcPr>
                  <w:tcW w:w="968" w:type="pct"/>
                  <w:tcBorders>
                    <w:tl2br w:val="nil"/>
                    <w:tr2bl w:val="nil"/>
                  </w:tcBorders>
                  <w:vAlign w:val="center"/>
                </w:tcPr>
                <w:p w14:paraId="18A2A98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5"/>
                      <w:sz w:val="21"/>
                      <w:szCs w:val="21"/>
                    </w:rPr>
                    <w:t>1.45</w:t>
                  </w:r>
                </w:p>
              </w:tc>
            </w:tr>
            <w:tr w14:paraId="65D127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1ABBE48D">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BB42C9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*钠</w:t>
                  </w:r>
                </w:p>
              </w:tc>
              <w:tc>
                <w:tcPr>
                  <w:tcW w:w="675" w:type="pct"/>
                  <w:tcBorders>
                    <w:tl2br w:val="nil"/>
                    <w:tr2bl w:val="nil"/>
                  </w:tcBorders>
                  <w:vAlign w:val="center"/>
                </w:tcPr>
                <w:p w14:paraId="69EC333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2AA6C30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69.1</w:t>
                  </w:r>
                </w:p>
              </w:tc>
              <w:tc>
                <w:tcPr>
                  <w:tcW w:w="928" w:type="pct"/>
                  <w:tcBorders>
                    <w:tl2br w:val="nil"/>
                    <w:tr2bl w:val="nil"/>
                  </w:tcBorders>
                  <w:vAlign w:val="center"/>
                </w:tcPr>
                <w:p w14:paraId="721AD16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61.6</w:t>
                  </w:r>
                </w:p>
              </w:tc>
              <w:tc>
                <w:tcPr>
                  <w:tcW w:w="968" w:type="pct"/>
                  <w:tcBorders>
                    <w:tl2br w:val="nil"/>
                    <w:tr2bl w:val="nil"/>
                  </w:tcBorders>
                  <w:vAlign w:val="center"/>
                </w:tcPr>
                <w:p w14:paraId="0091ADC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59.5</w:t>
                  </w:r>
                </w:p>
              </w:tc>
            </w:tr>
            <w:tr w14:paraId="275D28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3906BBAC">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6ED8F7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*钙</w:t>
                  </w:r>
                </w:p>
              </w:tc>
              <w:tc>
                <w:tcPr>
                  <w:tcW w:w="675" w:type="pct"/>
                  <w:tcBorders>
                    <w:tl2br w:val="nil"/>
                    <w:tr2bl w:val="nil"/>
                  </w:tcBorders>
                  <w:vAlign w:val="center"/>
                </w:tcPr>
                <w:p w14:paraId="0A912CC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44370E7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22.3</w:t>
                  </w:r>
                </w:p>
              </w:tc>
              <w:tc>
                <w:tcPr>
                  <w:tcW w:w="928" w:type="pct"/>
                  <w:tcBorders>
                    <w:tl2br w:val="nil"/>
                    <w:tr2bl w:val="nil"/>
                  </w:tcBorders>
                  <w:vAlign w:val="center"/>
                </w:tcPr>
                <w:p w14:paraId="5103BBE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22.5</w:t>
                  </w:r>
                </w:p>
              </w:tc>
              <w:tc>
                <w:tcPr>
                  <w:tcW w:w="968" w:type="pct"/>
                  <w:tcBorders>
                    <w:tl2br w:val="nil"/>
                    <w:tr2bl w:val="nil"/>
                  </w:tcBorders>
                  <w:vAlign w:val="center"/>
                </w:tcPr>
                <w:p w14:paraId="754E57F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24.9</w:t>
                  </w:r>
                </w:p>
              </w:tc>
            </w:tr>
            <w:tr w14:paraId="333F67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3258728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shd w:val="clear" w:color="auto" w:fill="auto"/>
                  <w:vAlign w:val="center"/>
                </w:tcPr>
                <w:p w14:paraId="14B50B4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2"/>
                      <w:sz w:val="21"/>
                      <w:szCs w:val="21"/>
                    </w:rPr>
                    <w:t>*镁</w:t>
                  </w:r>
                </w:p>
              </w:tc>
              <w:tc>
                <w:tcPr>
                  <w:tcW w:w="675" w:type="pct"/>
                  <w:tcBorders>
                    <w:tl2br w:val="nil"/>
                    <w:tr2bl w:val="nil"/>
                  </w:tcBorders>
                  <w:shd w:val="clear" w:color="auto" w:fill="auto"/>
                  <w:vAlign w:val="center"/>
                </w:tcPr>
                <w:p w14:paraId="14686F9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shd w:val="clear" w:color="auto" w:fill="auto"/>
                  <w:vAlign w:val="center"/>
                </w:tcPr>
                <w:p w14:paraId="77DFA6C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3"/>
                      <w:sz w:val="21"/>
                      <w:szCs w:val="21"/>
                    </w:rPr>
                    <w:t>7.78</w:t>
                  </w:r>
                </w:p>
              </w:tc>
              <w:tc>
                <w:tcPr>
                  <w:tcW w:w="928" w:type="pct"/>
                  <w:tcBorders>
                    <w:tl2br w:val="nil"/>
                    <w:tr2bl w:val="nil"/>
                  </w:tcBorders>
                  <w:shd w:val="clear" w:color="auto" w:fill="auto"/>
                  <w:vAlign w:val="center"/>
                </w:tcPr>
                <w:p w14:paraId="0C32077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2"/>
                      <w:sz w:val="21"/>
                      <w:szCs w:val="21"/>
                    </w:rPr>
                    <w:t>9.15</w:t>
                  </w:r>
                </w:p>
              </w:tc>
              <w:tc>
                <w:tcPr>
                  <w:tcW w:w="968" w:type="pct"/>
                  <w:tcBorders>
                    <w:tl2br w:val="nil"/>
                    <w:tr2bl w:val="nil"/>
                  </w:tcBorders>
                  <w:shd w:val="clear" w:color="auto" w:fill="auto"/>
                  <w:vAlign w:val="center"/>
                </w:tcPr>
                <w:p w14:paraId="0D1A6D0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2"/>
                      <w:sz w:val="21"/>
                      <w:szCs w:val="21"/>
                    </w:rPr>
                    <w:t>9.95</w:t>
                  </w:r>
                </w:p>
              </w:tc>
            </w:tr>
            <w:tr w14:paraId="1520A9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restart"/>
                  <w:tcBorders>
                    <w:tl2br w:val="nil"/>
                    <w:tr2bl w:val="nil"/>
                  </w:tcBorders>
                  <w:vAlign w:val="center"/>
                </w:tcPr>
                <w:p w14:paraId="31F3A80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3"/>
                      <w:sz w:val="21"/>
                      <w:szCs w:val="21"/>
                    </w:rPr>
                    <w:t>2021年5</w:t>
                  </w:r>
                  <w:r>
                    <w:rPr>
                      <w:rFonts w:hint="default" w:ascii="Times New Roman" w:hAnsi="Times New Roman" w:cs="Times New Roman" w:eastAsiaTheme="minorEastAsia"/>
                      <w:color w:val="auto"/>
                      <w:spacing w:val="10"/>
                      <w:sz w:val="21"/>
                      <w:szCs w:val="21"/>
                    </w:rPr>
                    <w:t>月1</w:t>
                  </w:r>
                  <w:r>
                    <w:rPr>
                      <w:rFonts w:hint="default" w:ascii="Times New Roman" w:hAnsi="Times New Roman" w:cs="Times New Roman" w:eastAsiaTheme="minorEastAsia"/>
                      <w:color w:val="auto"/>
                      <w:spacing w:val="10"/>
                      <w:sz w:val="21"/>
                      <w:szCs w:val="21"/>
                      <w:lang w:val="en-US" w:eastAsia="zh-CN"/>
                    </w:rPr>
                    <w:t>2</w:t>
                  </w:r>
                  <w:r>
                    <w:rPr>
                      <w:rFonts w:hint="default" w:ascii="Times New Roman" w:hAnsi="Times New Roman" w:cs="Times New Roman" w:eastAsiaTheme="minorEastAsia"/>
                      <w:color w:val="auto"/>
                      <w:spacing w:val="10"/>
                      <w:sz w:val="21"/>
                      <w:szCs w:val="21"/>
                    </w:rPr>
                    <w:t>日</w:t>
                  </w:r>
                </w:p>
              </w:tc>
              <w:tc>
                <w:tcPr>
                  <w:tcW w:w="868" w:type="pct"/>
                  <w:tcBorders>
                    <w:tl2br w:val="nil"/>
                    <w:tr2bl w:val="nil"/>
                  </w:tcBorders>
                  <w:vAlign w:val="center"/>
                </w:tcPr>
                <w:p w14:paraId="6752FDF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pH</w:t>
                  </w:r>
                </w:p>
              </w:tc>
              <w:tc>
                <w:tcPr>
                  <w:tcW w:w="675" w:type="pct"/>
                  <w:tcBorders>
                    <w:tl2br w:val="nil"/>
                    <w:tr2bl w:val="nil"/>
                  </w:tcBorders>
                  <w:vAlign w:val="center"/>
                </w:tcPr>
                <w:p w14:paraId="614DB52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4"/>
                      <w:sz w:val="21"/>
                      <w:szCs w:val="21"/>
                    </w:rPr>
                    <w:t>无量纲</w:t>
                  </w:r>
                </w:p>
              </w:tc>
              <w:tc>
                <w:tcPr>
                  <w:tcW w:w="919" w:type="pct"/>
                  <w:tcBorders>
                    <w:tl2br w:val="nil"/>
                    <w:tr2bl w:val="nil"/>
                  </w:tcBorders>
                  <w:vAlign w:val="center"/>
                </w:tcPr>
                <w:p w14:paraId="6E8CA69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8.01</w:t>
                  </w:r>
                </w:p>
              </w:tc>
              <w:tc>
                <w:tcPr>
                  <w:tcW w:w="928" w:type="pct"/>
                  <w:tcBorders>
                    <w:tl2br w:val="nil"/>
                    <w:tr2bl w:val="nil"/>
                  </w:tcBorders>
                  <w:vAlign w:val="center"/>
                </w:tcPr>
                <w:p w14:paraId="28341E8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7.98</w:t>
                  </w:r>
                </w:p>
              </w:tc>
              <w:tc>
                <w:tcPr>
                  <w:tcW w:w="968" w:type="pct"/>
                  <w:tcBorders>
                    <w:tl2br w:val="nil"/>
                    <w:tr2bl w:val="nil"/>
                  </w:tcBorders>
                  <w:vAlign w:val="center"/>
                </w:tcPr>
                <w:p w14:paraId="497D03E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7.87</w:t>
                  </w:r>
                </w:p>
              </w:tc>
            </w:tr>
            <w:tr w14:paraId="5314E7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6DF0FC6">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70A4FF2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氨氮</w:t>
                  </w:r>
                </w:p>
              </w:tc>
              <w:tc>
                <w:tcPr>
                  <w:tcW w:w="675" w:type="pct"/>
                  <w:tcBorders>
                    <w:tl2br w:val="nil"/>
                    <w:tr2bl w:val="nil"/>
                  </w:tcBorders>
                  <w:vAlign w:val="center"/>
                </w:tcPr>
                <w:p w14:paraId="190717C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643955C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0.250</w:t>
                  </w:r>
                </w:p>
              </w:tc>
              <w:tc>
                <w:tcPr>
                  <w:tcW w:w="928" w:type="pct"/>
                  <w:tcBorders>
                    <w:tl2br w:val="nil"/>
                    <w:tr2bl w:val="nil"/>
                  </w:tcBorders>
                  <w:vAlign w:val="center"/>
                </w:tcPr>
                <w:p w14:paraId="78C1E01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0.156</w:t>
                  </w:r>
                </w:p>
              </w:tc>
              <w:tc>
                <w:tcPr>
                  <w:tcW w:w="968" w:type="pct"/>
                  <w:tcBorders>
                    <w:tl2br w:val="nil"/>
                    <w:tr2bl w:val="nil"/>
                  </w:tcBorders>
                  <w:vAlign w:val="center"/>
                </w:tcPr>
                <w:p w14:paraId="07D62E7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0.118</w:t>
                  </w:r>
                </w:p>
              </w:tc>
            </w:tr>
            <w:tr w14:paraId="147B09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BF9526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AFE22F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氟化物</w:t>
                  </w:r>
                </w:p>
              </w:tc>
              <w:tc>
                <w:tcPr>
                  <w:tcW w:w="675" w:type="pct"/>
                  <w:tcBorders>
                    <w:tl2br w:val="nil"/>
                    <w:tr2bl w:val="nil"/>
                  </w:tcBorders>
                  <w:vAlign w:val="center"/>
                </w:tcPr>
                <w:p w14:paraId="79A4E76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300C03B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pacing w:val="-2"/>
                      <w:sz w:val="21"/>
                      <w:szCs w:val="21"/>
                    </w:rPr>
                    <w:t>0.685</w:t>
                  </w:r>
                </w:p>
              </w:tc>
              <w:tc>
                <w:tcPr>
                  <w:tcW w:w="928" w:type="pct"/>
                  <w:tcBorders>
                    <w:tl2br w:val="nil"/>
                    <w:tr2bl w:val="nil"/>
                  </w:tcBorders>
                  <w:vAlign w:val="center"/>
                </w:tcPr>
                <w:p w14:paraId="681FF4C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0.622</w:t>
                  </w:r>
                </w:p>
              </w:tc>
              <w:tc>
                <w:tcPr>
                  <w:tcW w:w="968" w:type="pct"/>
                  <w:tcBorders>
                    <w:tl2br w:val="nil"/>
                    <w:tr2bl w:val="nil"/>
                  </w:tcBorders>
                  <w:vAlign w:val="center"/>
                </w:tcPr>
                <w:p w14:paraId="1904E6E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
                      <w:sz w:val="21"/>
                      <w:szCs w:val="21"/>
                    </w:rPr>
                    <w:t>0.584</w:t>
                  </w:r>
                </w:p>
              </w:tc>
            </w:tr>
            <w:tr w14:paraId="3A2FD1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3CB5D1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3F85A6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硫酸盐</w:t>
                  </w:r>
                </w:p>
              </w:tc>
              <w:tc>
                <w:tcPr>
                  <w:tcW w:w="675" w:type="pct"/>
                  <w:tcBorders>
                    <w:tl2br w:val="nil"/>
                    <w:tr2bl w:val="nil"/>
                  </w:tcBorders>
                  <w:vAlign w:val="center"/>
                </w:tcPr>
                <w:p w14:paraId="095C146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54FF41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3.34</w:t>
                  </w:r>
                </w:p>
              </w:tc>
              <w:tc>
                <w:tcPr>
                  <w:tcW w:w="928" w:type="pct"/>
                  <w:tcBorders>
                    <w:tl2br w:val="nil"/>
                    <w:tr2bl w:val="nil"/>
                  </w:tcBorders>
                  <w:vAlign w:val="center"/>
                </w:tcPr>
                <w:p w14:paraId="0F160B6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4.33</w:t>
                  </w:r>
                </w:p>
              </w:tc>
              <w:tc>
                <w:tcPr>
                  <w:tcW w:w="968" w:type="pct"/>
                  <w:tcBorders>
                    <w:tl2br w:val="nil"/>
                    <w:tr2bl w:val="nil"/>
                  </w:tcBorders>
                  <w:vAlign w:val="center"/>
                </w:tcPr>
                <w:p w14:paraId="6342935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4.96</w:t>
                  </w:r>
                </w:p>
              </w:tc>
            </w:tr>
            <w:tr w14:paraId="61DFC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60A7CBC5">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1AFC458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硝酸盐氮</w:t>
                  </w:r>
                </w:p>
              </w:tc>
              <w:tc>
                <w:tcPr>
                  <w:tcW w:w="675" w:type="pct"/>
                  <w:tcBorders>
                    <w:tl2br w:val="nil"/>
                    <w:tr2bl w:val="nil"/>
                  </w:tcBorders>
                  <w:vAlign w:val="center"/>
                </w:tcPr>
                <w:p w14:paraId="0E0BA6A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35183B6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3.70</w:t>
                  </w:r>
                </w:p>
              </w:tc>
              <w:tc>
                <w:tcPr>
                  <w:tcW w:w="928" w:type="pct"/>
                  <w:tcBorders>
                    <w:tl2br w:val="nil"/>
                    <w:tr2bl w:val="nil"/>
                  </w:tcBorders>
                  <w:vAlign w:val="center"/>
                </w:tcPr>
                <w:p w14:paraId="563E30F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3.90</w:t>
                  </w:r>
                </w:p>
              </w:tc>
              <w:tc>
                <w:tcPr>
                  <w:tcW w:w="968" w:type="pct"/>
                  <w:tcBorders>
                    <w:tl2br w:val="nil"/>
                    <w:tr2bl w:val="nil"/>
                  </w:tcBorders>
                  <w:vAlign w:val="center"/>
                </w:tcPr>
                <w:p w14:paraId="40776EA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2.67</w:t>
                  </w:r>
                </w:p>
              </w:tc>
            </w:tr>
            <w:tr w14:paraId="1D6571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990155A">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94AD9A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亚硝酸盐氮</w:t>
                  </w:r>
                </w:p>
              </w:tc>
              <w:tc>
                <w:tcPr>
                  <w:tcW w:w="675" w:type="pct"/>
                  <w:tcBorders>
                    <w:tl2br w:val="nil"/>
                    <w:tr2bl w:val="nil"/>
                  </w:tcBorders>
                  <w:vAlign w:val="center"/>
                </w:tcPr>
                <w:p w14:paraId="479A021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1A9C800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c>
                <w:tcPr>
                  <w:tcW w:w="928" w:type="pct"/>
                  <w:tcBorders>
                    <w:tl2br w:val="nil"/>
                    <w:tr2bl w:val="nil"/>
                  </w:tcBorders>
                  <w:vAlign w:val="center"/>
                </w:tcPr>
                <w:p w14:paraId="4AA873F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c>
                <w:tcPr>
                  <w:tcW w:w="968" w:type="pct"/>
                  <w:tcBorders>
                    <w:tl2br w:val="nil"/>
                    <w:tr2bl w:val="nil"/>
                  </w:tcBorders>
                  <w:vAlign w:val="center"/>
                </w:tcPr>
                <w:p w14:paraId="2A6F40E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0.016L</w:t>
                  </w:r>
                </w:p>
              </w:tc>
            </w:tr>
            <w:tr w14:paraId="27E32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53BF3E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01B52D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挥发性酚类</w:t>
                  </w:r>
                </w:p>
              </w:tc>
              <w:tc>
                <w:tcPr>
                  <w:tcW w:w="675" w:type="pct"/>
                  <w:tcBorders>
                    <w:tl2br w:val="nil"/>
                    <w:tr2bl w:val="nil"/>
                  </w:tcBorders>
                  <w:vAlign w:val="center"/>
                </w:tcPr>
                <w:p w14:paraId="50AF681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4CA38FA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c>
                <w:tcPr>
                  <w:tcW w:w="928" w:type="pct"/>
                  <w:tcBorders>
                    <w:tl2br w:val="nil"/>
                    <w:tr2bl w:val="nil"/>
                  </w:tcBorders>
                  <w:vAlign w:val="center"/>
                </w:tcPr>
                <w:p w14:paraId="01F277D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c>
                <w:tcPr>
                  <w:tcW w:w="968" w:type="pct"/>
                  <w:tcBorders>
                    <w:tl2br w:val="nil"/>
                    <w:tr2bl w:val="nil"/>
                  </w:tcBorders>
                  <w:vAlign w:val="center"/>
                </w:tcPr>
                <w:p w14:paraId="5DE5BBC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0.0003L</w:t>
                  </w:r>
                </w:p>
              </w:tc>
            </w:tr>
            <w:tr w14:paraId="04B29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F42216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5188F3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耗氧量</w:t>
                  </w:r>
                </w:p>
              </w:tc>
              <w:tc>
                <w:tcPr>
                  <w:tcW w:w="675" w:type="pct"/>
                  <w:tcBorders>
                    <w:tl2br w:val="nil"/>
                    <w:tr2bl w:val="nil"/>
                  </w:tcBorders>
                  <w:vAlign w:val="center"/>
                </w:tcPr>
                <w:p w14:paraId="12B423F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20ACCBF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1.1</w:t>
                  </w:r>
                </w:p>
              </w:tc>
              <w:tc>
                <w:tcPr>
                  <w:tcW w:w="928" w:type="pct"/>
                  <w:tcBorders>
                    <w:tl2br w:val="nil"/>
                    <w:tr2bl w:val="nil"/>
                  </w:tcBorders>
                  <w:vAlign w:val="center"/>
                </w:tcPr>
                <w:p w14:paraId="40494CC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1.3</w:t>
                  </w:r>
                </w:p>
              </w:tc>
              <w:tc>
                <w:tcPr>
                  <w:tcW w:w="968" w:type="pct"/>
                  <w:tcBorders>
                    <w:tl2br w:val="nil"/>
                    <w:tr2bl w:val="nil"/>
                  </w:tcBorders>
                  <w:vAlign w:val="center"/>
                </w:tcPr>
                <w:p w14:paraId="575BFB0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1.4</w:t>
                  </w:r>
                </w:p>
              </w:tc>
            </w:tr>
            <w:tr w14:paraId="0859C9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1D72F9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5247EBE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氯化物</w:t>
                  </w:r>
                </w:p>
              </w:tc>
              <w:tc>
                <w:tcPr>
                  <w:tcW w:w="675" w:type="pct"/>
                  <w:tcBorders>
                    <w:tl2br w:val="nil"/>
                    <w:tr2bl w:val="nil"/>
                  </w:tcBorders>
                  <w:vAlign w:val="center"/>
                </w:tcPr>
                <w:p w14:paraId="085FDFE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1DE1E88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6.64</w:t>
                  </w:r>
                </w:p>
              </w:tc>
              <w:tc>
                <w:tcPr>
                  <w:tcW w:w="928" w:type="pct"/>
                  <w:tcBorders>
                    <w:tl2br w:val="nil"/>
                    <w:tr2bl w:val="nil"/>
                  </w:tcBorders>
                  <w:vAlign w:val="center"/>
                </w:tcPr>
                <w:p w14:paraId="5FC4096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6.96</w:t>
                  </w:r>
                </w:p>
              </w:tc>
              <w:tc>
                <w:tcPr>
                  <w:tcW w:w="968" w:type="pct"/>
                  <w:tcBorders>
                    <w:tl2br w:val="nil"/>
                    <w:tr2bl w:val="nil"/>
                  </w:tcBorders>
                  <w:vAlign w:val="center"/>
                </w:tcPr>
                <w:p w14:paraId="6EB9899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4.62</w:t>
                  </w:r>
                </w:p>
              </w:tc>
            </w:tr>
            <w:tr w14:paraId="53BE36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53550EA">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2EA63BD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3"/>
                      <w:sz w:val="21"/>
                      <w:szCs w:val="21"/>
                    </w:rPr>
                    <w:t>总硬度</w:t>
                  </w:r>
                </w:p>
              </w:tc>
              <w:tc>
                <w:tcPr>
                  <w:tcW w:w="675" w:type="pct"/>
                  <w:tcBorders>
                    <w:tl2br w:val="nil"/>
                    <w:tr2bl w:val="nil"/>
                  </w:tcBorders>
                  <w:vAlign w:val="center"/>
                </w:tcPr>
                <w:p w14:paraId="07F07C1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174590C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105</w:t>
                  </w:r>
                </w:p>
              </w:tc>
              <w:tc>
                <w:tcPr>
                  <w:tcW w:w="928" w:type="pct"/>
                  <w:tcBorders>
                    <w:tl2br w:val="nil"/>
                    <w:tr2bl w:val="nil"/>
                  </w:tcBorders>
                  <w:vAlign w:val="center"/>
                </w:tcPr>
                <w:p w14:paraId="403DC02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118</w:t>
                  </w:r>
                </w:p>
              </w:tc>
              <w:tc>
                <w:tcPr>
                  <w:tcW w:w="968" w:type="pct"/>
                  <w:tcBorders>
                    <w:tl2br w:val="nil"/>
                    <w:tr2bl w:val="nil"/>
                  </w:tcBorders>
                  <w:vAlign w:val="center"/>
                </w:tcPr>
                <w:p w14:paraId="48D4C34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6"/>
                      <w:sz w:val="21"/>
                      <w:szCs w:val="21"/>
                    </w:rPr>
                    <w:t>122</w:t>
                  </w:r>
                </w:p>
              </w:tc>
            </w:tr>
            <w:tr w14:paraId="4B26B4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8C0AD60">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75E060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rPr>
                    <w:t>铁</w:t>
                  </w:r>
                </w:p>
              </w:tc>
              <w:tc>
                <w:tcPr>
                  <w:tcW w:w="675" w:type="pct"/>
                  <w:tcBorders>
                    <w:tl2br w:val="nil"/>
                    <w:tr2bl w:val="nil"/>
                  </w:tcBorders>
                  <w:vAlign w:val="center"/>
                </w:tcPr>
                <w:p w14:paraId="228ABC1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16BAD5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0.03L</w:t>
                  </w:r>
                </w:p>
              </w:tc>
              <w:tc>
                <w:tcPr>
                  <w:tcW w:w="928" w:type="pct"/>
                  <w:tcBorders>
                    <w:tl2br w:val="nil"/>
                    <w:tr2bl w:val="nil"/>
                  </w:tcBorders>
                  <w:vAlign w:val="center"/>
                </w:tcPr>
                <w:p w14:paraId="4071D2D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0.03L</w:t>
                  </w:r>
                </w:p>
              </w:tc>
              <w:tc>
                <w:tcPr>
                  <w:tcW w:w="968" w:type="pct"/>
                  <w:tcBorders>
                    <w:tl2br w:val="nil"/>
                    <w:tr2bl w:val="nil"/>
                  </w:tcBorders>
                  <w:vAlign w:val="center"/>
                </w:tcPr>
                <w:p w14:paraId="0759A44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0.03L</w:t>
                  </w:r>
                </w:p>
              </w:tc>
            </w:tr>
            <w:tr w14:paraId="6A0B7E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C25E24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E4EE3A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z w:val="21"/>
                      <w:szCs w:val="21"/>
                    </w:rPr>
                    <w:t>锰</w:t>
                  </w:r>
                </w:p>
              </w:tc>
              <w:tc>
                <w:tcPr>
                  <w:tcW w:w="675" w:type="pct"/>
                  <w:tcBorders>
                    <w:tl2br w:val="nil"/>
                    <w:tr2bl w:val="nil"/>
                  </w:tcBorders>
                  <w:vAlign w:val="center"/>
                </w:tcPr>
                <w:p w14:paraId="0768D33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204179B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28" w:type="pct"/>
                  <w:tcBorders>
                    <w:tl2br w:val="nil"/>
                    <w:tr2bl w:val="nil"/>
                  </w:tcBorders>
                  <w:vAlign w:val="center"/>
                </w:tcPr>
                <w:p w14:paraId="0F5DC50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68" w:type="pct"/>
                  <w:tcBorders>
                    <w:tl2br w:val="nil"/>
                    <w:tr2bl w:val="nil"/>
                  </w:tcBorders>
                  <w:vAlign w:val="center"/>
                </w:tcPr>
                <w:p w14:paraId="3DEB698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r>
            <w:tr w14:paraId="326755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B821F58">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233E5C4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3"/>
                      <w:sz w:val="21"/>
                      <w:szCs w:val="21"/>
                    </w:rPr>
                  </w:pPr>
                  <w:r>
                    <w:rPr>
                      <w:rFonts w:hint="default" w:ascii="Times New Roman" w:hAnsi="Times New Roman" w:cs="Times New Roman" w:eastAsiaTheme="minorEastAsia"/>
                      <w:color w:val="auto"/>
                      <w:spacing w:val="-2"/>
                      <w:sz w:val="21"/>
                      <w:szCs w:val="21"/>
                    </w:rPr>
                    <w:t>氰化物</w:t>
                  </w:r>
                </w:p>
              </w:tc>
              <w:tc>
                <w:tcPr>
                  <w:tcW w:w="675" w:type="pct"/>
                  <w:tcBorders>
                    <w:tl2br w:val="nil"/>
                    <w:tr2bl w:val="nil"/>
                  </w:tcBorders>
                  <w:vAlign w:val="center"/>
                </w:tcPr>
                <w:p w14:paraId="0354EC9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40687A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28" w:type="pct"/>
                  <w:tcBorders>
                    <w:tl2br w:val="nil"/>
                    <w:tr2bl w:val="nil"/>
                  </w:tcBorders>
                  <w:vAlign w:val="center"/>
                </w:tcPr>
                <w:p w14:paraId="7CBBE3A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68" w:type="pct"/>
                  <w:tcBorders>
                    <w:tl2br w:val="nil"/>
                    <w:tr2bl w:val="nil"/>
                  </w:tcBorders>
                  <w:vAlign w:val="center"/>
                </w:tcPr>
                <w:p w14:paraId="63A41D4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r>
            <w:tr w14:paraId="4C4A29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5713F4B">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562DEA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汞</w:t>
                  </w:r>
                </w:p>
              </w:tc>
              <w:tc>
                <w:tcPr>
                  <w:tcW w:w="675" w:type="pct"/>
                  <w:tcBorders>
                    <w:tl2br w:val="nil"/>
                    <w:tr2bl w:val="nil"/>
                  </w:tcBorders>
                  <w:vAlign w:val="center"/>
                </w:tcPr>
                <w:p w14:paraId="72DCEF4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6B67D55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c>
                <w:tcPr>
                  <w:tcW w:w="928" w:type="pct"/>
                  <w:tcBorders>
                    <w:tl2br w:val="nil"/>
                    <w:tr2bl w:val="nil"/>
                  </w:tcBorders>
                  <w:vAlign w:val="center"/>
                </w:tcPr>
                <w:p w14:paraId="211016F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c>
                <w:tcPr>
                  <w:tcW w:w="968" w:type="pct"/>
                  <w:tcBorders>
                    <w:tl2br w:val="nil"/>
                    <w:tr2bl w:val="nil"/>
                  </w:tcBorders>
                  <w:vAlign w:val="center"/>
                </w:tcPr>
                <w:p w14:paraId="3FC4940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0.04L</w:t>
                  </w:r>
                </w:p>
              </w:tc>
            </w:tr>
            <w:tr w14:paraId="6BF43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4C361C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8A546F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砷</w:t>
                  </w:r>
                </w:p>
              </w:tc>
              <w:tc>
                <w:tcPr>
                  <w:tcW w:w="675" w:type="pct"/>
                  <w:tcBorders>
                    <w:tl2br w:val="nil"/>
                    <w:tr2bl w:val="nil"/>
                  </w:tcBorders>
                  <w:vAlign w:val="center"/>
                </w:tcPr>
                <w:p w14:paraId="7EB6925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4DD9B4A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c>
                <w:tcPr>
                  <w:tcW w:w="928" w:type="pct"/>
                  <w:tcBorders>
                    <w:tl2br w:val="nil"/>
                    <w:tr2bl w:val="nil"/>
                  </w:tcBorders>
                  <w:vAlign w:val="center"/>
                </w:tcPr>
                <w:p w14:paraId="7A29041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c>
                <w:tcPr>
                  <w:tcW w:w="968" w:type="pct"/>
                  <w:tcBorders>
                    <w:tl2br w:val="nil"/>
                    <w:tr2bl w:val="nil"/>
                  </w:tcBorders>
                  <w:vAlign w:val="center"/>
                </w:tcPr>
                <w:p w14:paraId="6401C2A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1"/>
                      <w:sz w:val="21"/>
                      <w:szCs w:val="21"/>
                    </w:rPr>
                    <w:t>0.3L</w:t>
                  </w:r>
                </w:p>
              </w:tc>
            </w:tr>
            <w:tr w14:paraId="234AE1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000948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925FF3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3"/>
                      <w:sz w:val="21"/>
                      <w:szCs w:val="21"/>
                    </w:rPr>
                    <w:t>六价铬</w:t>
                  </w:r>
                </w:p>
              </w:tc>
              <w:tc>
                <w:tcPr>
                  <w:tcW w:w="675" w:type="pct"/>
                  <w:tcBorders>
                    <w:tl2br w:val="nil"/>
                    <w:tr2bl w:val="nil"/>
                  </w:tcBorders>
                  <w:vAlign w:val="center"/>
                </w:tcPr>
                <w:p w14:paraId="485D9B9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043420A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c>
                <w:tcPr>
                  <w:tcW w:w="928" w:type="pct"/>
                  <w:tcBorders>
                    <w:tl2br w:val="nil"/>
                    <w:tr2bl w:val="nil"/>
                  </w:tcBorders>
                  <w:vAlign w:val="center"/>
                </w:tcPr>
                <w:p w14:paraId="3047A9E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c>
                <w:tcPr>
                  <w:tcW w:w="968" w:type="pct"/>
                  <w:tcBorders>
                    <w:tl2br w:val="nil"/>
                    <w:tr2bl w:val="nil"/>
                  </w:tcBorders>
                  <w:vAlign w:val="center"/>
                </w:tcPr>
                <w:p w14:paraId="24EDAE8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0.004L</w:t>
                  </w:r>
                </w:p>
              </w:tc>
            </w:tr>
            <w:tr w14:paraId="38E979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2A5ADEC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4B9137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镉</w:t>
                  </w:r>
                </w:p>
              </w:tc>
              <w:tc>
                <w:tcPr>
                  <w:tcW w:w="675" w:type="pct"/>
                  <w:tcBorders>
                    <w:tl2br w:val="nil"/>
                    <w:tr2bl w:val="nil"/>
                  </w:tcBorders>
                  <w:vAlign w:val="center"/>
                </w:tcPr>
                <w:p w14:paraId="7A3A6B2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D01807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28" w:type="pct"/>
                  <w:tcBorders>
                    <w:tl2br w:val="nil"/>
                    <w:tr2bl w:val="nil"/>
                  </w:tcBorders>
                  <w:vAlign w:val="center"/>
                </w:tcPr>
                <w:p w14:paraId="1EB88E8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c>
                <w:tcPr>
                  <w:tcW w:w="968" w:type="pct"/>
                  <w:tcBorders>
                    <w:tl2br w:val="nil"/>
                    <w:tr2bl w:val="nil"/>
                  </w:tcBorders>
                  <w:vAlign w:val="center"/>
                </w:tcPr>
                <w:p w14:paraId="37FBB58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0.001L</w:t>
                  </w:r>
                </w:p>
              </w:tc>
            </w:tr>
            <w:tr w14:paraId="1DB0F6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563C44A">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36A16B6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铅</w:t>
                  </w:r>
                </w:p>
              </w:tc>
              <w:tc>
                <w:tcPr>
                  <w:tcW w:w="675" w:type="pct"/>
                  <w:tcBorders>
                    <w:tl2br w:val="nil"/>
                    <w:tr2bl w:val="nil"/>
                  </w:tcBorders>
                  <w:vAlign w:val="center"/>
                </w:tcPr>
                <w:p w14:paraId="7CA0569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7E63573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28" w:type="pct"/>
                  <w:tcBorders>
                    <w:tl2br w:val="nil"/>
                    <w:tr2bl w:val="nil"/>
                  </w:tcBorders>
                  <w:vAlign w:val="center"/>
                </w:tcPr>
                <w:p w14:paraId="2B12CB5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c>
                <w:tcPr>
                  <w:tcW w:w="968" w:type="pct"/>
                  <w:tcBorders>
                    <w:tl2br w:val="nil"/>
                    <w:tr2bl w:val="nil"/>
                  </w:tcBorders>
                  <w:vAlign w:val="center"/>
                </w:tcPr>
                <w:p w14:paraId="0F60041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0.01L</w:t>
                  </w:r>
                </w:p>
              </w:tc>
            </w:tr>
            <w:tr w14:paraId="3CAF02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44032687">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F743BE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锌</w:t>
                  </w:r>
                </w:p>
              </w:tc>
              <w:tc>
                <w:tcPr>
                  <w:tcW w:w="675" w:type="pct"/>
                  <w:tcBorders>
                    <w:tl2br w:val="nil"/>
                    <w:tr2bl w:val="nil"/>
                  </w:tcBorders>
                  <w:vAlign w:val="center"/>
                </w:tcPr>
                <w:p w14:paraId="53C27A2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45060C3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53EDEE6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6C3A2DA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0B7F8A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AE07132">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0EAB3A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硒</w:t>
                  </w:r>
                </w:p>
              </w:tc>
              <w:tc>
                <w:tcPr>
                  <w:tcW w:w="675" w:type="pct"/>
                  <w:tcBorders>
                    <w:tl2br w:val="nil"/>
                    <w:tr2bl w:val="nil"/>
                  </w:tcBorders>
                  <w:vAlign w:val="center"/>
                </w:tcPr>
                <w:p w14:paraId="71E0B60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ug/L</w:t>
                  </w:r>
                </w:p>
              </w:tc>
              <w:tc>
                <w:tcPr>
                  <w:tcW w:w="919" w:type="pct"/>
                  <w:tcBorders>
                    <w:tl2br w:val="nil"/>
                    <w:tr2bl w:val="nil"/>
                  </w:tcBorders>
                  <w:vAlign w:val="center"/>
                </w:tcPr>
                <w:p w14:paraId="261D38E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c>
                <w:tcPr>
                  <w:tcW w:w="928" w:type="pct"/>
                  <w:tcBorders>
                    <w:tl2br w:val="nil"/>
                    <w:tr2bl w:val="nil"/>
                  </w:tcBorders>
                  <w:vAlign w:val="center"/>
                </w:tcPr>
                <w:p w14:paraId="089D17F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c>
                <w:tcPr>
                  <w:tcW w:w="968" w:type="pct"/>
                  <w:tcBorders>
                    <w:tl2br w:val="nil"/>
                    <w:tr2bl w:val="nil"/>
                  </w:tcBorders>
                  <w:vAlign w:val="center"/>
                </w:tcPr>
                <w:p w14:paraId="4DBEE1A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0.4L</w:t>
                  </w:r>
                </w:p>
              </w:tc>
            </w:tr>
            <w:tr w14:paraId="580893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74BECAAE">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DF0F14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铜</w:t>
                  </w:r>
                </w:p>
              </w:tc>
              <w:tc>
                <w:tcPr>
                  <w:tcW w:w="675" w:type="pct"/>
                  <w:tcBorders>
                    <w:tl2br w:val="nil"/>
                    <w:tr2bl w:val="nil"/>
                  </w:tcBorders>
                  <w:vAlign w:val="center"/>
                </w:tcPr>
                <w:p w14:paraId="4FD8AC3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20B2D72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4E64ED1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139B6F4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04DE9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3FA0C9F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696ADF2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1"/>
                      <w:sz w:val="21"/>
                      <w:szCs w:val="21"/>
                    </w:rPr>
                    <w:t>阴离子表面活性剂</w:t>
                  </w:r>
                </w:p>
              </w:tc>
              <w:tc>
                <w:tcPr>
                  <w:tcW w:w="675" w:type="pct"/>
                  <w:tcBorders>
                    <w:tl2br w:val="nil"/>
                    <w:tr2bl w:val="nil"/>
                  </w:tcBorders>
                  <w:vAlign w:val="center"/>
                </w:tcPr>
                <w:p w14:paraId="1EF5A8A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567C38B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28" w:type="pct"/>
                  <w:tcBorders>
                    <w:tl2br w:val="nil"/>
                    <w:tr2bl w:val="nil"/>
                  </w:tcBorders>
                  <w:vAlign w:val="center"/>
                </w:tcPr>
                <w:p w14:paraId="3FA398E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c>
                <w:tcPr>
                  <w:tcW w:w="968" w:type="pct"/>
                  <w:tcBorders>
                    <w:tl2br w:val="nil"/>
                    <w:tr2bl w:val="nil"/>
                  </w:tcBorders>
                  <w:vAlign w:val="center"/>
                </w:tcPr>
                <w:p w14:paraId="5AE3115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0.05L</w:t>
                  </w:r>
                </w:p>
              </w:tc>
            </w:tr>
            <w:tr w14:paraId="27D1D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32D3773">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0CA70F6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7"/>
                      <w:sz w:val="21"/>
                      <w:szCs w:val="21"/>
                    </w:rPr>
                    <w:t>*钾</w:t>
                  </w:r>
                </w:p>
              </w:tc>
              <w:tc>
                <w:tcPr>
                  <w:tcW w:w="675" w:type="pct"/>
                  <w:tcBorders>
                    <w:tl2br w:val="nil"/>
                    <w:tr2bl w:val="nil"/>
                  </w:tcBorders>
                  <w:vAlign w:val="center"/>
                </w:tcPr>
                <w:p w14:paraId="2CC6AFA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137481E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0.82</w:t>
                  </w:r>
                </w:p>
              </w:tc>
              <w:tc>
                <w:tcPr>
                  <w:tcW w:w="928" w:type="pct"/>
                  <w:tcBorders>
                    <w:tl2br w:val="nil"/>
                    <w:tr2bl w:val="nil"/>
                  </w:tcBorders>
                  <w:vAlign w:val="center"/>
                </w:tcPr>
                <w:p w14:paraId="3C3E66B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5"/>
                      <w:sz w:val="21"/>
                      <w:szCs w:val="21"/>
                    </w:rPr>
                    <w:t>1.96</w:t>
                  </w:r>
                </w:p>
              </w:tc>
              <w:tc>
                <w:tcPr>
                  <w:tcW w:w="968" w:type="pct"/>
                  <w:tcBorders>
                    <w:tl2br w:val="nil"/>
                    <w:tr2bl w:val="nil"/>
                  </w:tcBorders>
                  <w:vAlign w:val="center"/>
                </w:tcPr>
                <w:p w14:paraId="28B5FD1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0.88</w:t>
                  </w:r>
                </w:p>
              </w:tc>
            </w:tr>
            <w:tr w14:paraId="5154A6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091461D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164CDB2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*钠</w:t>
                  </w:r>
                </w:p>
              </w:tc>
              <w:tc>
                <w:tcPr>
                  <w:tcW w:w="675" w:type="pct"/>
                  <w:tcBorders>
                    <w:tl2br w:val="nil"/>
                    <w:tr2bl w:val="nil"/>
                  </w:tcBorders>
                  <w:vAlign w:val="center"/>
                </w:tcPr>
                <w:p w14:paraId="6E50CAB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3918518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3"/>
                      <w:sz w:val="21"/>
                      <w:szCs w:val="21"/>
                    </w:rPr>
                    <w:t>70.8</w:t>
                  </w:r>
                </w:p>
              </w:tc>
              <w:tc>
                <w:tcPr>
                  <w:tcW w:w="928" w:type="pct"/>
                  <w:tcBorders>
                    <w:tl2br w:val="nil"/>
                    <w:tr2bl w:val="nil"/>
                  </w:tcBorders>
                  <w:vAlign w:val="center"/>
                </w:tcPr>
                <w:p w14:paraId="313B4C9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62.7</w:t>
                  </w:r>
                </w:p>
              </w:tc>
              <w:tc>
                <w:tcPr>
                  <w:tcW w:w="968" w:type="pct"/>
                  <w:tcBorders>
                    <w:tl2br w:val="nil"/>
                    <w:tr2bl w:val="nil"/>
                  </w:tcBorders>
                  <w:vAlign w:val="center"/>
                </w:tcPr>
                <w:p w14:paraId="4ABFD19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61.3</w:t>
                  </w:r>
                </w:p>
              </w:tc>
            </w:tr>
            <w:tr w14:paraId="2FAC43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52B16251">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vAlign w:val="center"/>
                </w:tcPr>
                <w:p w14:paraId="7B6304D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*钙</w:t>
                  </w:r>
                </w:p>
              </w:tc>
              <w:tc>
                <w:tcPr>
                  <w:tcW w:w="675" w:type="pct"/>
                  <w:tcBorders>
                    <w:tl2br w:val="nil"/>
                    <w:tr2bl w:val="nil"/>
                  </w:tcBorders>
                  <w:vAlign w:val="center"/>
                </w:tcPr>
                <w:p w14:paraId="53007E5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1"/>
                      <w:sz w:val="21"/>
                      <w:szCs w:val="21"/>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vAlign w:val="center"/>
                </w:tcPr>
                <w:p w14:paraId="31ACA4A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21.4</w:t>
                  </w:r>
                </w:p>
              </w:tc>
              <w:tc>
                <w:tcPr>
                  <w:tcW w:w="928" w:type="pct"/>
                  <w:tcBorders>
                    <w:tl2br w:val="nil"/>
                    <w:tr2bl w:val="nil"/>
                  </w:tcBorders>
                  <w:vAlign w:val="center"/>
                </w:tcPr>
                <w:p w14:paraId="687C325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23.3</w:t>
                  </w:r>
                </w:p>
              </w:tc>
              <w:tc>
                <w:tcPr>
                  <w:tcW w:w="968" w:type="pct"/>
                  <w:tcBorders>
                    <w:tl2br w:val="nil"/>
                    <w:tr2bl w:val="nil"/>
                  </w:tcBorders>
                  <w:vAlign w:val="center"/>
                </w:tcPr>
                <w:p w14:paraId="748B8D3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pacing w:val="-2"/>
                      <w:sz w:val="21"/>
                      <w:szCs w:val="21"/>
                    </w:rPr>
                  </w:pPr>
                  <w:r>
                    <w:rPr>
                      <w:rFonts w:hint="default" w:ascii="Times New Roman" w:hAnsi="Times New Roman" w:cs="Times New Roman" w:eastAsiaTheme="minorEastAsia"/>
                      <w:color w:val="auto"/>
                      <w:spacing w:val="-2"/>
                      <w:sz w:val="21"/>
                      <w:szCs w:val="21"/>
                    </w:rPr>
                    <w:t>24.8</w:t>
                  </w:r>
                </w:p>
              </w:tc>
            </w:tr>
            <w:tr w14:paraId="5AF400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pct"/>
                  <w:vMerge w:val="continue"/>
                  <w:tcBorders>
                    <w:tl2br w:val="nil"/>
                    <w:tr2bl w:val="nil"/>
                  </w:tcBorders>
                  <w:vAlign w:val="center"/>
                </w:tcPr>
                <w:p w14:paraId="69DFA1D4">
                  <w:pPr>
                    <w:keepNext w:val="0"/>
                    <w:keepLines w:val="0"/>
                    <w:pageBreakBefore w:val="0"/>
                    <w:widowControl w:val="0"/>
                    <w:kinsoku/>
                    <w:wordWrap/>
                    <w:overflowPunct/>
                    <w:topLinePunct w:val="0"/>
                    <w:autoSpaceDE/>
                    <w:autoSpaceDN/>
                    <w:bidi w:val="0"/>
                    <w:adjustRightInd/>
                    <w:snapToGrid/>
                    <w:spacing w:line="240" w:lineRule="atLeast"/>
                    <w:ind w:left="0" w:right="0" w:firstLine="0"/>
                    <w:jc w:val="center"/>
                    <w:textAlignment w:val="auto"/>
                    <w:rPr>
                      <w:rFonts w:hint="default" w:ascii="Times New Roman" w:hAnsi="Times New Roman" w:cs="Times New Roman" w:eastAsiaTheme="minorEastAsia"/>
                      <w:color w:val="auto"/>
                      <w:sz w:val="21"/>
                      <w:szCs w:val="21"/>
                      <w:vertAlign w:val="baseline"/>
                    </w:rPr>
                  </w:pPr>
                </w:p>
              </w:tc>
              <w:tc>
                <w:tcPr>
                  <w:tcW w:w="868" w:type="pct"/>
                  <w:tcBorders>
                    <w:tl2br w:val="nil"/>
                    <w:tr2bl w:val="nil"/>
                  </w:tcBorders>
                  <w:shd w:val="clear" w:color="auto" w:fill="auto"/>
                  <w:vAlign w:val="center"/>
                </w:tcPr>
                <w:p w14:paraId="50AE960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2"/>
                      <w:sz w:val="21"/>
                      <w:szCs w:val="21"/>
                    </w:rPr>
                    <w:t>*镁</w:t>
                  </w:r>
                </w:p>
              </w:tc>
              <w:tc>
                <w:tcPr>
                  <w:tcW w:w="675" w:type="pct"/>
                  <w:tcBorders>
                    <w:tl2br w:val="nil"/>
                    <w:tr2bl w:val="nil"/>
                  </w:tcBorders>
                  <w:shd w:val="clear" w:color="auto" w:fill="auto"/>
                  <w:vAlign w:val="center"/>
                </w:tcPr>
                <w:p w14:paraId="407753C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1"/>
                      <w:sz w:val="21"/>
                      <w:szCs w:val="21"/>
                    </w:rPr>
                    <w:t>mg/L</w:t>
                  </w:r>
                </w:p>
              </w:tc>
              <w:tc>
                <w:tcPr>
                  <w:tcW w:w="919" w:type="pct"/>
                  <w:tcBorders>
                    <w:tl2br w:val="nil"/>
                    <w:tr2bl w:val="nil"/>
                  </w:tcBorders>
                  <w:shd w:val="clear" w:color="auto" w:fill="auto"/>
                  <w:vAlign w:val="center"/>
                </w:tcPr>
                <w:p w14:paraId="71D8D10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3"/>
                      <w:sz w:val="21"/>
                      <w:szCs w:val="21"/>
                    </w:rPr>
                    <w:t>7.71</w:t>
                  </w:r>
                </w:p>
              </w:tc>
              <w:tc>
                <w:tcPr>
                  <w:tcW w:w="928" w:type="pct"/>
                  <w:tcBorders>
                    <w:tl2br w:val="nil"/>
                    <w:tr2bl w:val="nil"/>
                  </w:tcBorders>
                  <w:shd w:val="clear" w:color="auto" w:fill="auto"/>
                  <w:vAlign w:val="center"/>
                </w:tcPr>
                <w:p w14:paraId="5086938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2"/>
                      <w:sz w:val="21"/>
                      <w:szCs w:val="21"/>
                    </w:rPr>
                    <w:t>9.28</w:t>
                  </w:r>
                </w:p>
              </w:tc>
              <w:tc>
                <w:tcPr>
                  <w:tcW w:w="968" w:type="pct"/>
                  <w:tcBorders>
                    <w:tl2br w:val="nil"/>
                    <w:tr2bl w:val="nil"/>
                  </w:tcBorders>
                  <w:shd w:val="clear" w:color="auto" w:fill="auto"/>
                  <w:vAlign w:val="center"/>
                </w:tcPr>
                <w:p w14:paraId="045B2E4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snapToGrid w:val="0"/>
                      <w:color w:val="auto"/>
                      <w:kern w:val="0"/>
                      <w:sz w:val="21"/>
                      <w:szCs w:val="21"/>
                      <w:lang w:val="en-US" w:eastAsia="en-US" w:bidi="ar-SA"/>
                    </w:rPr>
                  </w:pPr>
                  <w:r>
                    <w:rPr>
                      <w:rFonts w:hint="default" w:ascii="Times New Roman" w:hAnsi="Times New Roman" w:cs="Times New Roman" w:eastAsiaTheme="minorEastAsia"/>
                      <w:color w:val="auto"/>
                      <w:spacing w:val="-5"/>
                      <w:sz w:val="21"/>
                      <w:szCs w:val="21"/>
                    </w:rPr>
                    <w:t>10.1</w:t>
                  </w:r>
                </w:p>
              </w:tc>
            </w:tr>
          </w:tbl>
          <w:p w14:paraId="7C65278C">
            <w:pPr>
              <w:widowControl/>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地下水</w:t>
            </w:r>
            <w:r>
              <w:rPr>
                <w:rFonts w:hint="default" w:ascii="Times New Roman" w:hAnsi="Times New Roman" w:cs="Times New Roman"/>
                <w:color w:val="auto"/>
                <w:kern w:val="0"/>
                <w:sz w:val="24"/>
                <w:lang w:val="en-US" w:eastAsia="zh-CN"/>
              </w:rPr>
              <w:t>监测</w:t>
            </w:r>
            <w:r>
              <w:rPr>
                <w:rFonts w:hint="default" w:ascii="Times New Roman" w:hAnsi="Times New Roman" w:eastAsia="宋体" w:cs="Times New Roman"/>
                <w:color w:val="auto"/>
                <w:kern w:val="0"/>
                <w:sz w:val="24"/>
                <w:lang w:val="en-US" w:eastAsia="zh-CN"/>
              </w:rPr>
              <w:t>结果表明，各项地下</w:t>
            </w:r>
            <w:r>
              <w:rPr>
                <w:rFonts w:hint="default" w:ascii="Times New Roman" w:hAnsi="Times New Roman" w:cs="Times New Roman"/>
                <w:color w:val="auto"/>
                <w:kern w:val="0"/>
                <w:sz w:val="24"/>
                <w:lang w:val="en-US" w:eastAsia="zh-CN"/>
              </w:rPr>
              <w:t>水监测因子浓度均满足《地下水质量标准》GB/T14848-2017中Ⅲ类标准。</w:t>
            </w:r>
          </w:p>
          <w:p w14:paraId="334A7675">
            <w:pPr>
              <w:widowControl/>
              <w:spacing w:line="360" w:lineRule="auto"/>
              <w:ind w:firstLine="482" w:firstLineChars="200"/>
              <w:jc w:val="left"/>
              <w:rPr>
                <w:rFonts w:hint="default" w:ascii="Times New Roman" w:hAnsi="Times New Roman" w:eastAsia="宋体" w:cs="Times New Roman"/>
                <w:b/>
                <w:bCs/>
                <w:color w:val="auto"/>
                <w:kern w:val="0"/>
                <w:sz w:val="24"/>
                <w:lang w:val="en-US" w:eastAsia="zh-CN" w:bidi="ar"/>
              </w:rPr>
            </w:pPr>
            <w:r>
              <w:rPr>
                <w:rFonts w:hint="default" w:ascii="Times New Roman" w:hAnsi="Times New Roman" w:eastAsia="宋体" w:cs="Times New Roman"/>
                <w:b/>
                <w:bCs/>
                <w:color w:val="auto"/>
                <w:kern w:val="0"/>
                <w:sz w:val="24"/>
                <w:lang w:val="en-US" w:eastAsia="zh-CN" w:bidi="ar"/>
              </w:rPr>
              <w:t>6、生态环境质量现状</w:t>
            </w:r>
          </w:p>
          <w:p w14:paraId="42DEE399">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本项目</w:t>
            </w:r>
            <w:r>
              <w:rPr>
                <w:rFonts w:hint="default" w:ascii="Times New Roman" w:hAnsi="Times New Roman" w:eastAsia="宋体" w:cs="Times New Roman"/>
                <w:color w:val="auto"/>
                <w:kern w:val="0"/>
                <w:sz w:val="24"/>
                <w:szCs w:val="24"/>
                <w:lang w:val="en-US" w:eastAsia="zh-CN" w:bidi="ar"/>
              </w:rPr>
              <w:t>所在区域不涉及名胜古迹、野生动物保护区、饮用水森林公园、重要湿地、生态敏感区和其他重要生态功能区，</w:t>
            </w:r>
            <w:r>
              <w:rPr>
                <w:rFonts w:hint="default" w:ascii="Times New Roman" w:hAnsi="Times New Roman" w:cs="Times New Roman"/>
                <w:color w:val="auto"/>
                <w:kern w:val="0"/>
                <w:sz w:val="24"/>
                <w:szCs w:val="24"/>
                <w:lang w:val="en-US" w:eastAsia="zh-CN" w:bidi="ar"/>
              </w:rPr>
              <w:t>项目周边为村镇建设用地及农田等，</w:t>
            </w:r>
            <w:r>
              <w:rPr>
                <w:rFonts w:hint="default" w:ascii="Times New Roman" w:hAnsi="Times New Roman" w:eastAsia="宋体" w:cs="Times New Roman"/>
                <w:color w:val="auto"/>
                <w:kern w:val="0"/>
                <w:sz w:val="24"/>
                <w:szCs w:val="24"/>
                <w:lang w:val="en-US" w:eastAsia="zh-CN" w:bidi="ar"/>
              </w:rPr>
              <w:t>不开展生态现状调查。</w:t>
            </w:r>
          </w:p>
          <w:p w14:paraId="7D5E9DE1">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电磁辐射</w:t>
            </w:r>
          </w:p>
          <w:p w14:paraId="0233D7EE">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bidi="ar"/>
              </w:rPr>
              <w:t>项目不属于新建或改建、扩建广播电台、差转台、电视塔台、卫星地球上行站、雷达等电磁辐射类项目，不开展对电磁辐射现状开展监测与评价</w:t>
            </w:r>
            <w:r>
              <w:rPr>
                <w:rFonts w:hint="default" w:ascii="Times New Roman" w:hAnsi="Times New Roman" w:eastAsia="宋体" w:cs="Times New Roman"/>
                <w:color w:val="auto"/>
                <w:kern w:val="0"/>
                <w:sz w:val="24"/>
                <w:lang w:val="en-US" w:eastAsia="zh-CN" w:bidi="ar"/>
              </w:rPr>
              <w:t>。</w:t>
            </w:r>
          </w:p>
          <w:p w14:paraId="735AB751">
            <w:pPr>
              <w:widowControl/>
              <w:jc w:val="left"/>
              <w:rPr>
                <w:rFonts w:hint="default" w:ascii="Times New Roman" w:hAnsi="Times New Roman" w:eastAsia="宋体" w:cs="Times New Roman"/>
                <w:color w:val="auto"/>
              </w:rPr>
            </w:pPr>
          </w:p>
        </w:tc>
      </w:tr>
      <w:tr w14:paraId="40A9F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7F1B3CE3">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环境</w:t>
            </w:r>
          </w:p>
          <w:p w14:paraId="476BF622">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保护</w:t>
            </w:r>
          </w:p>
          <w:p w14:paraId="683EA52D">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kern w:val="0"/>
                <w:sz w:val="24"/>
              </w:rPr>
              <w:t>目标</w:t>
            </w:r>
          </w:p>
        </w:tc>
        <w:tc>
          <w:tcPr>
            <w:tcW w:w="8190" w:type="dxa"/>
            <w:noWrap w:val="0"/>
            <w:vAlign w:val="center"/>
          </w:tcPr>
          <w:p w14:paraId="57C84DF2">
            <w:pPr>
              <w:widowControl/>
              <w:spacing w:line="360" w:lineRule="auto"/>
              <w:ind w:firstLine="482" w:firstLineChars="200"/>
              <w:jc w:val="left"/>
              <w:rPr>
                <w:rFonts w:hint="default" w:ascii="Times New Roman" w:hAnsi="Times New Roman" w:eastAsia="宋体" w:cs="Times New Roman"/>
                <w:b/>
                <w:bCs/>
                <w:color w:val="auto"/>
                <w:kern w:val="0"/>
                <w:sz w:val="24"/>
                <w:lang w:eastAsia="zh-CN" w:bidi="ar"/>
              </w:rPr>
            </w:pPr>
            <w:r>
              <w:rPr>
                <w:rFonts w:hint="default" w:ascii="Times New Roman" w:hAnsi="Times New Roman" w:eastAsia="宋体" w:cs="Times New Roman"/>
                <w:b/>
                <w:bCs/>
                <w:color w:val="auto"/>
                <w:kern w:val="0"/>
                <w:sz w:val="24"/>
                <w:lang w:eastAsia="zh-CN" w:bidi="ar"/>
              </w:rPr>
              <w:t>一、项目区环境保护目标</w:t>
            </w:r>
          </w:p>
          <w:p w14:paraId="7E821B6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1、大气环境敏感点</w:t>
            </w:r>
          </w:p>
          <w:p w14:paraId="07D1ED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根据建设项目环境影响报告表编制技术指南（污染影响类）项目厂界500m范围内</w:t>
            </w:r>
            <w:r>
              <w:rPr>
                <w:rFonts w:hint="default" w:ascii="Times New Roman" w:hAnsi="Times New Roman" w:cs="Times New Roman"/>
                <w:color w:val="auto"/>
                <w:sz w:val="24"/>
                <w:szCs w:val="24"/>
                <w:highlight w:val="none"/>
                <w:u w:val="none"/>
                <w:lang w:val="en-US" w:eastAsia="zh-CN"/>
              </w:rPr>
              <w:t>存在居民</w:t>
            </w:r>
            <w:r>
              <w:rPr>
                <w:rFonts w:hint="default" w:ascii="Times New Roman" w:hAnsi="Times New Roman" w:eastAsia="宋体" w:cs="Times New Roman"/>
                <w:color w:val="auto"/>
                <w:sz w:val="24"/>
                <w:szCs w:val="24"/>
                <w:highlight w:val="none"/>
                <w:u w:val="none"/>
                <w:lang w:val="en-US" w:eastAsia="zh-CN"/>
              </w:rPr>
              <w:t>。</w:t>
            </w:r>
          </w:p>
          <w:p w14:paraId="11B54250">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2.声环境</w:t>
            </w:r>
          </w:p>
          <w:p w14:paraId="6A8B543E">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根据建设项目环境影响报告表编制技术指南（污染影响类）项目厂界50m范围内</w:t>
            </w:r>
            <w:r>
              <w:rPr>
                <w:rFonts w:hint="default" w:ascii="Times New Roman" w:hAnsi="Times New Roman" w:cs="Times New Roman"/>
                <w:color w:val="auto"/>
                <w:kern w:val="0"/>
                <w:sz w:val="24"/>
                <w:lang w:eastAsia="zh-CN" w:bidi="ar"/>
              </w:rPr>
              <w:t>有</w:t>
            </w:r>
            <w:r>
              <w:rPr>
                <w:rFonts w:hint="default" w:ascii="Times New Roman" w:hAnsi="Times New Roman" w:cs="Times New Roman"/>
                <w:color w:val="auto"/>
                <w:kern w:val="0"/>
                <w:sz w:val="24"/>
                <w:lang w:val="en-US" w:eastAsia="zh-CN" w:bidi="ar"/>
              </w:rPr>
              <w:t>居民</w:t>
            </w:r>
            <w:r>
              <w:rPr>
                <w:rFonts w:hint="default" w:ascii="Times New Roman" w:hAnsi="Times New Roman" w:eastAsia="宋体" w:cs="Times New Roman"/>
                <w:color w:val="auto"/>
                <w:kern w:val="0"/>
                <w:sz w:val="24"/>
                <w:lang w:bidi="ar"/>
              </w:rPr>
              <w:t>。</w:t>
            </w:r>
          </w:p>
          <w:p w14:paraId="50D33BC1">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3.地下水环境</w:t>
            </w:r>
          </w:p>
          <w:p w14:paraId="625DF503">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根据建设项目环境影响报告表编制技术指南（污染影响类）及实际调查，企业厂界外500m范围内不存在地下水集中式</w:t>
            </w:r>
            <w:r>
              <w:rPr>
                <w:rFonts w:hint="default" w:ascii="Times New Roman" w:hAnsi="Times New Roman" w:cs="Times New Roman"/>
                <w:color w:val="auto"/>
                <w:kern w:val="0"/>
                <w:sz w:val="24"/>
                <w:lang w:eastAsia="zh-CN" w:bidi="ar"/>
              </w:rPr>
              <w:t>饮用水</w:t>
            </w:r>
            <w:r>
              <w:rPr>
                <w:rFonts w:hint="default" w:ascii="Times New Roman" w:hAnsi="Times New Roman" w:eastAsia="宋体" w:cs="Times New Roman"/>
                <w:color w:val="auto"/>
                <w:kern w:val="0"/>
                <w:sz w:val="24"/>
                <w:lang w:bidi="ar"/>
              </w:rPr>
              <w:t>水源和热水、矿泉水、温泉等特殊地下水资源。</w:t>
            </w:r>
          </w:p>
          <w:p w14:paraId="61DB9F41">
            <w:pPr>
              <w:widowControl/>
              <w:numPr>
                <w:ilvl w:val="0"/>
                <w:numId w:val="11"/>
              </w:numPr>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根据建设项目环境影响报告表编制技术指南（污染影响类），项目在已有场地内建设，不新增占地，且占地范围内无生态环境保护目标。</w:t>
            </w:r>
          </w:p>
          <w:p w14:paraId="587830C1">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表3-8  项目敏感目标一览表</w:t>
            </w:r>
          </w:p>
          <w:tbl>
            <w:tblPr>
              <w:tblStyle w:val="35"/>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980"/>
              <w:gridCol w:w="1354"/>
              <w:gridCol w:w="811"/>
              <w:gridCol w:w="937"/>
              <w:gridCol w:w="701"/>
              <w:gridCol w:w="747"/>
              <w:gridCol w:w="1943"/>
            </w:tblGrid>
            <w:tr w14:paraId="35DCAA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4" w:type="dxa"/>
                  <w:tcBorders>
                    <w:tl2br w:val="nil"/>
                    <w:tr2bl w:val="nil"/>
                  </w:tcBorders>
                  <w:vAlign w:val="center"/>
                </w:tcPr>
                <w:p w14:paraId="5FAB9C4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 功能</w:t>
                  </w:r>
                </w:p>
              </w:tc>
              <w:tc>
                <w:tcPr>
                  <w:tcW w:w="1072" w:type="dxa"/>
                  <w:tcBorders>
                    <w:tl2br w:val="nil"/>
                    <w:tr2bl w:val="nil"/>
                  </w:tcBorders>
                  <w:vAlign w:val="center"/>
                </w:tcPr>
                <w:p w14:paraId="0F95A88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敏感目标 名称</w:t>
                  </w:r>
                </w:p>
              </w:tc>
              <w:tc>
                <w:tcPr>
                  <w:tcW w:w="1377" w:type="dxa"/>
                  <w:tcBorders>
                    <w:tl2br w:val="nil"/>
                    <w:tr2bl w:val="nil"/>
                  </w:tcBorders>
                  <w:vAlign w:val="center"/>
                </w:tcPr>
                <w:p w14:paraId="103E687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中心坐标</w:t>
                  </w:r>
                </w:p>
              </w:tc>
              <w:tc>
                <w:tcPr>
                  <w:tcW w:w="840" w:type="dxa"/>
                  <w:tcBorders>
                    <w:tl2br w:val="nil"/>
                    <w:tr2bl w:val="nil"/>
                  </w:tcBorders>
                  <w:vAlign w:val="center"/>
                </w:tcPr>
                <w:p w14:paraId="169D6C3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方位</w:t>
                  </w:r>
                </w:p>
              </w:tc>
              <w:tc>
                <w:tcPr>
                  <w:tcW w:w="977" w:type="dxa"/>
                  <w:tcBorders>
                    <w:tl2br w:val="nil"/>
                    <w:tr2bl w:val="nil"/>
                  </w:tcBorders>
                  <w:vAlign w:val="center"/>
                </w:tcPr>
                <w:p w14:paraId="7A01DF9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距离 (m)</w:t>
                  </w:r>
                </w:p>
              </w:tc>
              <w:tc>
                <w:tcPr>
                  <w:tcW w:w="747" w:type="dxa"/>
                  <w:tcBorders>
                    <w:tl2br w:val="nil"/>
                    <w:tr2bl w:val="nil"/>
                  </w:tcBorders>
                  <w:vAlign w:val="center"/>
                </w:tcPr>
                <w:p w14:paraId="276D248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人数</w:t>
                  </w:r>
                </w:p>
              </w:tc>
              <w:tc>
                <w:tcPr>
                  <w:tcW w:w="800" w:type="dxa"/>
                  <w:tcBorders>
                    <w:tl2br w:val="nil"/>
                    <w:tr2bl w:val="nil"/>
                  </w:tcBorders>
                  <w:vAlign w:val="center"/>
                </w:tcPr>
                <w:p w14:paraId="0F0FDD2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功能</w:t>
                  </w:r>
                </w:p>
              </w:tc>
              <w:tc>
                <w:tcPr>
                  <w:tcW w:w="1795" w:type="dxa"/>
                  <w:tcBorders>
                    <w:tl2br w:val="nil"/>
                    <w:tr2bl w:val="nil"/>
                  </w:tcBorders>
                  <w:vAlign w:val="center"/>
                </w:tcPr>
                <w:p w14:paraId="3621909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环境敏感因子</w:t>
                  </w:r>
                </w:p>
              </w:tc>
            </w:tr>
            <w:tr w14:paraId="206CE6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4" w:type="dxa"/>
                  <w:vMerge w:val="restart"/>
                  <w:tcBorders>
                    <w:tl2br w:val="nil"/>
                    <w:tr2bl w:val="nil"/>
                  </w:tcBorders>
                  <w:vAlign w:val="center"/>
                </w:tcPr>
                <w:p w14:paraId="246839F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大气 环境</w:t>
                  </w:r>
                </w:p>
              </w:tc>
              <w:tc>
                <w:tcPr>
                  <w:tcW w:w="1072" w:type="dxa"/>
                  <w:tcBorders>
                    <w:tl2br w:val="nil"/>
                    <w:tr2bl w:val="nil"/>
                  </w:tcBorders>
                  <w:vAlign w:val="center"/>
                </w:tcPr>
                <w:p w14:paraId="55D5287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居民</w:t>
                  </w:r>
                </w:p>
              </w:tc>
              <w:tc>
                <w:tcPr>
                  <w:tcW w:w="1377" w:type="dxa"/>
                  <w:tcBorders>
                    <w:tl2br w:val="nil"/>
                    <w:tr2bl w:val="nil"/>
                  </w:tcBorders>
                  <w:vAlign w:val="center"/>
                </w:tcPr>
                <w:p w14:paraId="5F7A675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107.765568 35.510055</w:t>
                  </w:r>
                </w:p>
              </w:tc>
              <w:tc>
                <w:tcPr>
                  <w:tcW w:w="840" w:type="dxa"/>
                  <w:tcBorders>
                    <w:tl2br w:val="nil"/>
                    <w:tr2bl w:val="nil"/>
                  </w:tcBorders>
                  <w:vAlign w:val="center"/>
                </w:tcPr>
                <w:p w14:paraId="7BF719C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北侧</w:t>
                  </w:r>
                </w:p>
              </w:tc>
              <w:tc>
                <w:tcPr>
                  <w:tcW w:w="977" w:type="dxa"/>
                  <w:tcBorders>
                    <w:tl2br w:val="nil"/>
                    <w:tr2bl w:val="nil"/>
                  </w:tcBorders>
                  <w:vAlign w:val="center"/>
                </w:tcPr>
                <w:p w14:paraId="57EB931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100</w:t>
                  </w:r>
                </w:p>
              </w:tc>
              <w:tc>
                <w:tcPr>
                  <w:tcW w:w="747" w:type="dxa"/>
                  <w:tcBorders>
                    <w:tl2br w:val="nil"/>
                    <w:tr2bl w:val="nil"/>
                  </w:tcBorders>
                  <w:vAlign w:val="center"/>
                </w:tcPr>
                <w:p w14:paraId="69B1A0A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8户</w:t>
                  </w:r>
                </w:p>
              </w:tc>
              <w:tc>
                <w:tcPr>
                  <w:tcW w:w="800" w:type="dxa"/>
                  <w:vMerge w:val="restart"/>
                  <w:tcBorders>
                    <w:tl2br w:val="nil"/>
                    <w:tr2bl w:val="nil"/>
                  </w:tcBorders>
                  <w:vAlign w:val="center"/>
                </w:tcPr>
                <w:p w14:paraId="1238B4C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居住 区</w:t>
                  </w:r>
                </w:p>
              </w:tc>
              <w:tc>
                <w:tcPr>
                  <w:tcW w:w="1795" w:type="dxa"/>
                  <w:vMerge w:val="restart"/>
                  <w:tcBorders>
                    <w:tl2br w:val="nil"/>
                    <w:tr2bl w:val="nil"/>
                  </w:tcBorders>
                  <w:vAlign w:val="center"/>
                </w:tcPr>
                <w:p w14:paraId="2EC3778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《环境空气质量标准》(GB3095-2012)及其修改单二级标准要求</w:t>
                  </w:r>
                </w:p>
              </w:tc>
            </w:tr>
            <w:tr w14:paraId="433CF9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4" w:type="dxa"/>
                  <w:vMerge w:val="continue"/>
                  <w:tcBorders>
                    <w:tl2br w:val="nil"/>
                    <w:tr2bl w:val="nil"/>
                  </w:tcBorders>
                  <w:vAlign w:val="center"/>
                </w:tcPr>
                <w:p w14:paraId="527B351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p>
              </w:tc>
              <w:tc>
                <w:tcPr>
                  <w:tcW w:w="1072" w:type="dxa"/>
                  <w:tcBorders>
                    <w:tl2br w:val="nil"/>
                    <w:tr2bl w:val="nil"/>
                  </w:tcBorders>
                  <w:vAlign w:val="center"/>
                </w:tcPr>
                <w:p w14:paraId="5E20828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居民</w:t>
                  </w:r>
                </w:p>
              </w:tc>
              <w:tc>
                <w:tcPr>
                  <w:tcW w:w="1377" w:type="dxa"/>
                  <w:tcBorders>
                    <w:tl2br w:val="nil"/>
                    <w:tr2bl w:val="nil"/>
                  </w:tcBorders>
                  <w:vAlign w:val="center"/>
                </w:tcPr>
                <w:p w14:paraId="7D7A477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107.765477 35.509252</w:t>
                  </w:r>
                </w:p>
              </w:tc>
              <w:tc>
                <w:tcPr>
                  <w:tcW w:w="840" w:type="dxa"/>
                  <w:tcBorders>
                    <w:tl2br w:val="nil"/>
                    <w:tr2bl w:val="nil"/>
                  </w:tcBorders>
                  <w:vAlign w:val="center"/>
                </w:tcPr>
                <w:p w14:paraId="3FCFA74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西侧</w:t>
                  </w:r>
                </w:p>
              </w:tc>
              <w:tc>
                <w:tcPr>
                  <w:tcW w:w="977" w:type="dxa"/>
                  <w:tcBorders>
                    <w:tl2br w:val="nil"/>
                    <w:tr2bl w:val="nil"/>
                  </w:tcBorders>
                  <w:vAlign w:val="center"/>
                </w:tcPr>
                <w:p w14:paraId="3AF96CA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p>
              </w:tc>
              <w:tc>
                <w:tcPr>
                  <w:tcW w:w="747" w:type="dxa"/>
                  <w:tcBorders>
                    <w:tl2br w:val="nil"/>
                    <w:tr2bl w:val="nil"/>
                  </w:tcBorders>
                  <w:vAlign w:val="center"/>
                </w:tcPr>
                <w:p w14:paraId="2C6127E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2户</w:t>
                  </w:r>
                </w:p>
              </w:tc>
              <w:tc>
                <w:tcPr>
                  <w:tcW w:w="800" w:type="dxa"/>
                  <w:vMerge w:val="continue"/>
                  <w:tcBorders>
                    <w:tl2br w:val="nil"/>
                    <w:tr2bl w:val="nil"/>
                  </w:tcBorders>
                  <w:vAlign w:val="center"/>
                </w:tcPr>
                <w:p w14:paraId="584437D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p>
              </w:tc>
              <w:tc>
                <w:tcPr>
                  <w:tcW w:w="1795" w:type="dxa"/>
                  <w:vMerge w:val="continue"/>
                  <w:tcBorders>
                    <w:tl2br w:val="nil"/>
                    <w:tr2bl w:val="nil"/>
                  </w:tcBorders>
                  <w:vAlign w:val="center"/>
                </w:tcPr>
                <w:p w14:paraId="3158BC2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p>
              </w:tc>
            </w:tr>
            <w:tr w14:paraId="7822E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4" w:type="dxa"/>
                  <w:vMerge w:val="restart"/>
                  <w:tcBorders>
                    <w:tl2br w:val="nil"/>
                    <w:tr2bl w:val="nil"/>
                  </w:tcBorders>
                  <w:vAlign w:val="center"/>
                </w:tcPr>
                <w:p w14:paraId="33914C4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声环 境</w:t>
                  </w:r>
                </w:p>
              </w:tc>
              <w:tc>
                <w:tcPr>
                  <w:tcW w:w="1072" w:type="dxa"/>
                  <w:tcBorders>
                    <w:tl2br w:val="nil"/>
                    <w:tr2bl w:val="nil"/>
                  </w:tcBorders>
                  <w:vAlign w:val="center"/>
                </w:tcPr>
                <w:p w14:paraId="6791CCC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居民</w:t>
                  </w:r>
                </w:p>
              </w:tc>
              <w:tc>
                <w:tcPr>
                  <w:tcW w:w="1377" w:type="dxa"/>
                  <w:tcBorders>
                    <w:tl2br w:val="nil"/>
                    <w:tr2bl w:val="nil"/>
                  </w:tcBorders>
                  <w:vAlign w:val="center"/>
                </w:tcPr>
                <w:p w14:paraId="0CA8F34F">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107.765568 35.510055</w:t>
                  </w:r>
                </w:p>
              </w:tc>
              <w:tc>
                <w:tcPr>
                  <w:tcW w:w="840" w:type="dxa"/>
                  <w:tcBorders>
                    <w:tl2br w:val="nil"/>
                    <w:tr2bl w:val="nil"/>
                  </w:tcBorders>
                  <w:vAlign w:val="center"/>
                </w:tcPr>
                <w:p w14:paraId="1612AF9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北侧</w:t>
                  </w:r>
                </w:p>
              </w:tc>
              <w:tc>
                <w:tcPr>
                  <w:tcW w:w="977" w:type="dxa"/>
                  <w:tcBorders>
                    <w:tl2br w:val="nil"/>
                    <w:tr2bl w:val="nil"/>
                  </w:tcBorders>
                  <w:vAlign w:val="center"/>
                </w:tcPr>
                <w:p w14:paraId="206F0E4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100</w:t>
                  </w:r>
                </w:p>
              </w:tc>
              <w:tc>
                <w:tcPr>
                  <w:tcW w:w="747" w:type="dxa"/>
                  <w:tcBorders>
                    <w:tl2br w:val="nil"/>
                    <w:tr2bl w:val="nil"/>
                  </w:tcBorders>
                  <w:vAlign w:val="center"/>
                </w:tcPr>
                <w:p w14:paraId="687D4470">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8户</w:t>
                  </w:r>
                </w:p>
              </w:tc>
              <w:tc>
                <w:tcPr>
                  <w:tcW w:w="800" w:type="dxa"/>
                  <w:vMerge w:val="restart"/>
                  <w:tcBorders>
                    <w:tl2br w:val="nil"/>
                    <w:tr2bl w:val="nil"/>
                  </w:tcBorders>
                  <w:vAlign w:val="center"/>
                </w:tcPr>
                <w:p w14:paraId="74C1201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居住 区</w:t>
                  </w:r>
                </w:p>
              </w:tc>
              <w:tc>
                <w:tcPr>
                  <w:tcW w:w="1795" w:type="dxa"/>
                  <w:vMerge w:val="restart"/>
                  <w:tcBorders>
                    <w:tl2br w:val="nil"/>
                    <w:tr2bl w:val="nil"/>
                  </w:tcBorders>
                  <w:vAlign w:val="center"/>
                </w:tcPr>
                <w:p w14:paraId="527D71A7">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《声环境质量标准》</w:t>
                  </w:r>
                </w:p>
                <w:p w14:paraId="42B35DD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(GB3096-2008)2类区标准</w:t>
                  </w:r>
                </w:p>
              </w:tc>
            </w:tr>
            <w:tr w14:paraId="105EEB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4" w:type="dxa"/>
                  <w:vMerge w:val="continue"/>
                  <w:tcBorders>
                    <w:tl2br w:val="nil"/>
                    <w:tr2bl w:val="nil"/>
                  </w:tcBorders>
                  <w:vAlign w:val="center"/>
                </w:tcPr>
                <w:p w14:paraId="7972E3F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p>
              </w:tc>
              <w:tc>
                <w:tcPr>
                  <w:tcW w:w="1072" w:type="dxa"/>
                  <w:tcBorders>
                    <w:tl2br w:val="nil"/>
                    <w:tr2bl w:val="nil"/>
                  </w:tcBorders>
                  <w:vAlign w:val="center"/>
                </w:tcPr>
                <w:p w14:paraId="77D60C7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居民</w:t>
                  </w:r>
                </w:p>
              </w:tc>
              <w:tc>
                <w:tcPr>
                  <w:tcW w:w="1377" w:type="dxa"/>
                  <w:tcBorders>
                    <w:tl2br w:val="nil"/>
                    <w:tr2bl w:val="nil"/>
                  </w:tcBorders>
                  <w:vAlign w:val="center"/>
                </w:tcPr>
                <w:p w14:paraId="4C843B0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107.765477 35.509252</w:t>
                  </w:r>
                </w:p>
              </w:tc>
              <w:tc>
                <w:tcPr>
                  <w:tcW w:w="840" w:type="dxa"/>
                  <w:tcBorders>
                    <w:tl2br w:val="nil"/>
                    <w:tr2bl w:val="nil"/>
                  </w:tcBorders>
                  <w:vAlign w:val="center"/>
                </w:tcPr>
                <w:p w14:paraId="0193AF1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西侧</w:t>
                  </w:r>
                </w:p>
              </w:tc>
              <w:tc>
                <w:tcPr>
                  <w:tcW w:w="977" w:type="dxa"/>
                  <w:tcBorders>
                    <w:tl2br w:val="nil"/>
                    <w:tr2bl w:val="nil"/>
                  </w:tcBorders>
                  <w:vAlign w:val="center"/>
                </w:tcPr>
                <w:p w14:paraId="2375B24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p>
              </w:tc>
              <w:tc>
                <w:tcPr>
                  <w:tcW w:w="747" w:type="dxa"/>
                  <w:tcBorders>
                    <w:tl2br w:val="nil"/>
                    <w:tr2bl w:val="nil"/>
                  </w:tcBorders>
                  <w:vAlign w:val="center"/>
                </w:tcPr>
                <w:p w14:paraId="57235D9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2户</w:t>
                  </w:r>
                </w:p>
              </w:tc>
              <w:tc>
                <w:tcPr>
                  <w:tcW w:w="800" w:type="dxa"/>
                  <w:vMerge w:val="continue"/>
                  <w:tcBorders>
                    <w:tl2br w:val="nil"/>
                    <w:tr2bl w:val="nil"/>
                  </w:tcBorders>
                  <w:vAlign w:val="center"/>
                </w:tcPr>
                <w:p w14:paraId="1827B8B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p>
              </w:tc>
              <w:tc>
                <w:tcPr>
                  <w:tcW w:w="1795" w:type="dxa"/>
                  <w:vMerge w:val="continue"/>
                  <w:tcBorders>
                    <w:tl2br w:val="nil"/>
                    <w:tr2bl w:val="nil"/>
                  </w:tcBorders>
                  <w:vAlign w:val="center"/>
                </w:tcPr>
                <w:p w14:paraId="43173286">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p>
              </w:tc>
            </w:tr>
            <w:tr w14:paraId="2208C3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4" w:type="dxa"/>
                  <w:tcBorders>
                    <w:tl2br w:val="nil"/>
                    <w:tr2bl w:val="nil"/>
                  </w:tcBorders>
                  <w:vAlign w:val="center"/>
                </w:tcPr>
                <w:p w14:paraId="2BEF8EB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土壤 环境</w:t>
                  </w:r>
                </w:p>
              </w:tc>
              <w:tc>
                <w:tcPr>
                  <w:tcW w:w="1072" w:type="dxa"/>
                  <w:tcBorders>
                    <w:tl2br w:val="nil"/>
                    <w:tr2bl w:val="nil"/>
                  </w:tcBorders>
                  <w:vAlign w:val="center"/>
                </w:tcPr>
                <w:p w14:paraId="77A38083">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周围农田</w:t>
                  </w:r>
                </w:p>
              </w:tc>
              <w:tc>
                <w:tcPr>
                  <w:tcW w:w="1377" w:type="dxa"/>
                  <w:tcBorders>
                    <w:tl2br w:val="nil"/>
                    <w:tr2bl w:val="nil"/>
                  </w:tcBorders>
                  <w:vAlign w:val="center"/>
                </w:tcPr>
                <w:p w14:paraId="65BBE519">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40" w:type="dxa"/>
                  <w:tcBorders>
                    <w:tl2br w:val="nil"/>
                    <w:tr2bl w:val="nil"/>
                  </w:tcBorders>
                  <w:vAlign w:val="center"/>
                </w:tcPr>
                <w:p w14:paraId="4425E5FC">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厂区及</w:t>
                  </w:r>
                </w:p>
                <w:p w14:paraId="49458E64">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项目地</w:t>
                  </w:r>
                </w:p>
                <w:p w14:paraId="08A5089A">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西侧、北</w:t>
                  </w:r>
                </w:p>
                <w:p w14:paraId="50D96B7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侧</w:t>
                  </w:r>
                </w:p>
              </w:tc>
              <w:tc>
                <w:tcPr>
                  <w:tcW w:w="977" w:type="dxa"/>
                  <w:tcBorders>
                    <w:tl2br w:val="nil"/>
                    <w:tr2bl w:val="nil"/>
                  </w:tcBorders>
                  <w:vAlign w:val="center"/>
                </w:tcPr>
                <w:p w14:paraId="1854223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c>
                <w:tcPr>
                  <w:tcW w:w="747" w:type="dxa"/>
                  <w:tcBorders>
                    <w:tl2br w:val="nil"/>
                    <w:tr2bl w:val="nil"/>
                  </w:tcBorders>
                  <w:vAlign w:val="center"/>
                </w:tcPr>
                <w:p w14:paraId="3193AAAD">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00" w:type="dxa"/>
                  <w:tcBorders>
                    <w:tl2br w:val="nil"/>
                    <w:tr2bl w:val="nil"/>
                  </w:tcBorders>
                  <w:vAlign w:val="center"/>
                </w:tcPr>
                <w:p w14:paraId="3D8B5401">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p>
                <w:p w14:paraId="2455ECD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795" w:type="dxa"/>
                  <w:tcBorders>
                    <w:tl2br w:val="nil"/>
                    <w:tr2bl w:val="nil"/>
                  </w:tcBorders>
                  <w:vAlign w:val="center"/>
                </w:tcPr>
                <w:p w14:paraId="3CB1555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《土壤环境质量建设用地土壤污染风险管控标准》(试行)(GB36600-2018)《土壤环境质量农用地土壤污染风险管控标准》(GB15618-2018)中的限值要求</w:t>
                  </w:r>
                </w:p>
              </w:tc>
            </w:tr>
            <w:tr w14:paraId="0EA900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4" w:type="dxa"/>
                  <w:tcBorders>
                    <w:tl2br w:val="nil"/>
                    <w:tr2bl w:val="nil"/>
                  </w:tcBorders>
                  <w:vAlign w:val="center"/>
                </w:tcPr>
                <w:p w14:paraId="6018030E">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水环境</w:t>
                  </w:r>
                </w:p>
              </w:tc>
              <w:tc>
                <w:tcPr>
                  <w:tcW w:w="1072" w:type="dxa"/>
                  <w:tcBorders>
                    <w:tl2br w:val="nil"/>
                    <w:tr2bl w:val="nil"/>
                  </w:tcBorders>
                  <w:vAlign w:val="center"/>
                </w:tcPr>
                <w:p w14:paraId="6C8E773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马莲河</w:t>
                  </w:r>
                </w:p>
              </w:tc>
              <w:tc>
                <w:tcPr>
                  <w:tcW w:w="1377" w:type="dxa"/>
                  <w:tcBorders>
                    <w:tl2br w:val="nil"/>
                    <w:tr2bl w:val="nil"/>
                  </w:tcBorders>
                  <w:vAlign w:val="center"/>
                </w:tcPr>
                <w:p w14:paraId="21875AA8">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840" w:type="dxa"/>
                  <w:tcBorders>
                    <w:tl2br w:val="nil"/>
                    <w:tr2bl w:val="nil"/>
                  </w:tcBorders>
                  <w:vAlign w:val="center"/>
                </w:tcPr>
                <w:p w14:paraId="25156DB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厂区东侧</w:t>
                  </w:r>
                </w:p>
              </w:tc>
              <w:tc>
                <w:tcPr>
                  <w:tcW w:w="977" w:type="dxa"/>
                  <w:tcBorders>
                    <w:tl2br w:val="nil"/>
                    <w:tr2bl w:val="nil"/>
                  </w:tcBorders>
                  <w:vAlign w:val="center"/>
                </w:tcPr>
                <w:p w14:paraId="6640D755">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13km</w:t>
                  </w:r>
                </w:p>
              </w:tc>
              <w:tc>
                <w:tcPr>
                  <w:tcW w:w="747" w:type="dxa"/>
                  <w:tcBorders>
                    <w:tl2br w:val="nil"/>
                    <w:tr2bl w:val="nil"/>
                  </w:tcBorders>
                  <w:vAlign w:val="center"/>
                </w:tcPr>
                <w:p w14:paraId="1BC6A1D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800" w:type="dxa"/>
                  <w:tcBorders>
                    <w:tl2br w:val="nil"/>
                    <w:tr2bl w:val="nil"/>
                  </w:tcBorders>
                  <w:vAlign w:val="center"/>
                </w:tcPr>
                <w:p w14:paraId="23C2DADB">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地表水</w:t>
                  </w:r>
                </w:p>
              </w:tc>
              <w:tc>
                <w:tcPr>
                  <w:tcW w:w="1795" w:type="dxa"/>
                  <w:tcBorders>
                    <w:tl2br w:val="nil"/>
                    <w:tr2bl w:val="nil"/>
                  </w:tcBorders>
                  <w:vAlign w:val="center"/>
                </w:tcPr>
                <w:p w14:paraId="0FF8AEA2">
                  <w:pPr>
                    <w:pStyle w:val="195"/>
                    <w:keepNext w:val="0"/>
                    <w:keepLines w:val="0"/>
                    <w:pageBreakBefore w:val="0"/>
                    <w:widowControl w:val="0"/>
                    <w:kinsoku/>
                    <w:wordWrap/>
                    <w:overflowPunct/>
                    <w:topLinePunct w:val="0"/>
                    <w:autoSpaceDE/>
                    <w:autoSpaceDN/>
                    <w:bidi w:val="0"/>
                    <w:adjustRightInd/>
                    <w:snapToGrid/>
                    <w:spacing w:line="240" w:lineRule="atLeast"/>
                    <w:ind w:left="0" w:leftChars="0" w:right="0" w:firstLine="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《地表水环境质量标准》GB3838-2002</w:t>
                  </w:r>
                  <w:r>
                    <w:rPr>
                      <w:rFonts w:hint="default" w:ascii="Times New Roman" w:hAnsi="Times New Roman" w:cs="Times New Roman" w:eastAsiaTheme="minorEastAsia"/>
                      <w:color w:val="auto"/>
                      <w:sz w:val="21"/>
                      <w:szCs w:val="21"/>
                      <w:lang w:val="en-US" w:eastAsia="zh-CN"/>
                    </w:rPr>
                    <w:t>中Ⅳ类水体</w:t>
                  </w:r>
                </w:p>
              </w:tc>
            </w:tr>
          </w:tbl>
          <w:p w14:paraId="1D42E4B4">
            <w:pPr>
              <w:widowControl/>
              <w:numPr>
                <w:ilvl w:val="0"/>
                <w:numId w:val="0"/>
              </w:numPr>
              <w:spacing w:line="360" w:lineRule="auto"/>
              <w:jc w:val="left"/>
              <w:rPr>
                <w:rFonts w:hint="default" w:ascii="Times New Roman" w:hAnsi="Times New Roman" w:eastAsia="宋体" w:cs="Times New Roman"/>
                <w:color w:val="auto"/>
                <w:kern w:val="0"/>
                <w:sz w:val="24"/>
                <w:lang w:eastAsia="zh-CN" w:bidi="ar"/>
              </w:rPr>
            </w:pPr>
            <w:r>
              <w:rPr>
                <w:rFonts w:hint="default" w:ascii="Times New Roman" w:hAnsi="Times New Roman" w:eastAsia="宋体" w:cs="Times New Roman"/>
                <w:color w:val="auto"/>
                <w:kern w:val="0"/>
                <w:sz w:val="24"/>
                <w:lang w:eastAsia="zh-CN" w:bidi="ar"/>
              </w:rPr>
              <w:drawing>
                <wp:inline distT="0" distB="0" distL="114300" distR="114300">
                  <wp:extent cx="5276850" cy="4338320"/>
                  <wp:effectExtent l="0" t="0" r="0" b="5080"/>
                  <wp:docPr id="6" name="图片 6" descr="敏感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敏感目标"/>
                          <pic:cNvPicPr>
                            <a:picLocks noChangeAspect="1"/>
                          </pic:cNvPicPr>
                        </pic:nvPicPr>
                        <pic:blipFill>
                          <a:blip r:embed="rId23"/>
                          <a:stretch>
                            <a:fillRect/>
                          </a:stretch>
                        </pic:blipFill>
                        <pic:spPr>
                          <a:xfrm>
                            <a:off x="0" y="0"/>
                            <a:ext cx="5276850" cy="4338320"/>
                          </a:xfrm>
                          <a:prstGeom prst="rect">
                            <a:avLst/>
                          </a:prstGeom>
                        </pic:spPr>
                      </pic:pic>
                    </a:graphicData>
                  </a:graphic>
                </wp:inline>
              </w:drawing>
            </w:r>
          </w:p>
          <w:p w14:paraId="67607531">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图3-1  项目敏感目标图</w:t>
            </w:r>
          </w:p>
          <w:p w14:paraId="39C95BFC">
            <w:pPr>
              <w:widowControl/>
              <w:numPr>
                <w:ilvl w:val="0"/>
                <w:numId w:val="0"/>
              </w:numPr>
              <w:spacing w:line="360" w:lineRule="auto"/>
              <w:jc w:val="left"/>
              <w:rPr>
                <w:rFonts w:hint="default" w:ascii="Times New Roman" w:hAnsi="Times New Roman" w:eastAsia="宋体" w:cs="Times New Roman"/>
                <w:color w:val="auto"/>
                <w:kern w:val="0"/>
                <w:sz w:val="24"/>
                <w:lang w:bidi="ar"/>
              </w:rPr>
            </w:pPr>
          </w:p>
        </w:tc>
      </w:tr>
      <w:tr w14:paraId="167B8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14:paraId="65828CFF">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污染</w:t>
            </w:r>
          </w:p>
          <w:p w14:paraId="386F101C">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物排</w:t>
            </w:r>
          </w:p>
          <w:p w14:paraId="1E89F561">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放控</w:t>
            </w:r>
          </w:p>
          <w:p w14:paraId="5F6872A4">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制标</w:t>
            </w:r>
          </w:p>
          <w:p w14:paraId="62DEC01B">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kern w:val="0"/>
                <w:sz w:val="24"/>
              </w:rPr>
              <w:t>准</w:t>
            </w:r>
          </w:p>
        </w:tc>
        <w:tc>
          <w:tcPr>
            <w:tcW w:w="8190" w:type="dxa"/>
            <w:noWrap w:val="0"/>
            <w:vAlign w:val="center"/>
          </w:tcPr>
          <w:p w14:paraId="50B4B45A">
            <w:pPr>
              <w:spacing w:line="360" w:lineRule="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val="en-US" w:eastAsia="zh-CN"/>
              </w:rPr>
              <w:t>1、废气</w:t>
            </w:r>
          </w:p>
          <w:p w14:paraId="5B473D57">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施工期</w:t>
            </w:r>
            <w:r>
              <w:rPr>
                <w:rFonts w:hint="default" w:ascii="Times New Roman" w:hAnsi="Times New Roman" w:cs="Times New Roman"/>
                <w:color w:val="auto"/>
                <w:sz w:val="24"/>
                <w:szCs w:val="24"/>
                <w:lang w:eastAsia="zh-CN"/>
              </w:rPr>
              <w:t>废气</w:t>
            </w:r>
          </w:p>
          <w:p w14:paraId="5AADD19E">
            <w:pPr>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rPr>
              <w:t>无组织</w:t>
            </w:r>
            <w:r>
              <w:rPr>
                <w:rFonts w:hint="default" w:ascii="Times New Roman" w:hAnsi="Times New Roman" w:eastAsia="宋体" w:cs="Times New Roman"/>
                <w:bCs/>
                <w:color w:val="auto"/>
                <w:sz w:val="24"/>
                <w:szCs w:val="24"/>
              </w:rPr>
              <w:t>粉尘排放执行《大气污染物综合排放标准》（GB16279-1996）表2中</w:t>
            </w:r>
            <w:r>
              <w:rPr>
                <w:rFonts w:hint="default" w:ascii="Times New Roman" w:hAnsi="Times New Roman" w:eastAsia="宋体" w:cs="Times New Roman"/>
                <w:bCs/>
                <w:color w:val="auto"/>
                <w:sz w:val="24"/>
                <w:szCs w:val="24"/>
                <w:lang w:eastAsia="zh-CN"/>
              </w:rPr>
              <w:t>限值</w:t>
            </w:r>
            <w:r>
              <w:rPr>
                <w:rFonts w:hint="default" w:ascii="Times New Roman" w:hAnsi="Times New Roman" w:eastAsia="宋体" w:cs="Times New Roman"/>
                <w:bCs/>
                <w:color w:val="auto"/>
                <w:sz w:val="24"/>
                <w:szCs w:val="24"/>
              </w:rPr>
              <w:t>要求</w:t>
            </w:r>
            <w:r>
              <w:rPr>
                <w:rFonts w:hint="default" w:ascii="Times New Roman" w:hAnsi="Times New Roman" w:eastAsia="宋体" w:cs="Times New Roman"/>
                <w:bCs/>
                <w:color w:val="auto"/>
                <w:sz w:val="24"/>
                <w:szCs w:val="24"/>
                <w:lang w:eastAsia="zh-CN"/>
              </w:rPr>
              <w:t>；</w:t>
            </w:r>
          </w:p>
          <w:p w14:paraId="06DC5C09">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（2）运营期有组织</w:t>
            </w:r>
            <w:r>
              <w:rPr>
                <w:rFonts w:hint="default" w:ascii="Times New Roman" w:hAnsi="Times New Roman" w:eastAsia="宋体" w:cs="Times New Roman"/>
                <w:color w:val="auto"/>
                <w:sz w:val="24"/>
                <w:szCs w:val="24"/>
                <w:lang w:val="en-US" w:eastAsia="zh-CN"/>
              </w:rPr>
              <w:t>废气</w:t>
            </w:r>
          </w:p>
          <w:p w14:paraId="33C0EB4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本项目沼气发电属于生物质能发电</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《国民经济行业分类》(GB/14754—2017</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2019年修改</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根据《关于进一步加强生物质发电项目环境影响评价管理工作的通知环发〔2008〕82号》</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发电机组产生的烟尘、SO₂、NO排放浓度参照执行《锅炉大气污染物排放标准》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GB13271-2014</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表2燃气锅炉大气污染物排放限值；</w:t>
            </w:r>
          </w:p>
          <w:p w14:paraId="08EDB4C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冬季供热沼气锅炉产生的烟尘、SO₂、NOx排放浓度执行《锅炉大气污染物排放标准》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GB13271-2014</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表2燃气锅炉大气污染物排放限值；</w:t>
            </w:r>
          </w:p>
          <w:p w14:paraId="4ABFB52B">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进料池有组织NH₃、H₂S执行《恶臭污染物排放标准》(GB14554-93)中表2恶臭污染物排放限值；沼液池无组织NH₃、H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vertAlign w:val="baseline"/>
                <w:lang w:val="en-US" w:eastAsia="zh-CN"/>
              </w:rPr>
              <w:t>S</w:t>
            </w:r>
            <w:r>
              <w:rPr>
                <w:rFonts w:hint="default" w:ascii="Times New Roman" w:hAnsi="Times New Roman" w:eastAsia="宋体" w:cs="Times New Roman"/>
                <w:color w:val="auto"/>
                <w:sz w:val="24"/>
                <w:szCs w:val="24"/>
                <w:lang w:val="en-US" w:eastAsia="zh-CN"/>
              </w:rPr>
              <w:t>执行《恶臭污染物排放标准》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GB14554-93</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中表1恶臭污染物排放限值。具体标准值详见表3-</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w:t>
            </w:r>
          </w:p>
          <w:p w14:paraId="1044A748">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运营期生物质</w:t>
            </w:r>
            <w:r>
              <w:rPr>
                <w:rFonts w:hint="default" w:ascii="Times New Roman" w:hAnsi="Times New Roman" w:cs="Times New Roman"/>
                <w:color w:val="auto"/>
                <w:sz w:val="24"/>
                <w:szCs w:val="24"/>
                <w:lang w:val="en-US" w:eastAsia="zh-CN"/>
              </w:rPr>
              <w:t>热风炉</w:t>
            </w:r>
            <w:r>
              <w:rPr>
                <w:rFonts w:hint="default" w:ascii="Times New Roman" w:hAnsi="Times New Roman" w:eastAsia="宋体" w:cs="Times New Roman"/>
                <w:color w:val="auto"/>
                <w:sz w:val="24"/>
                <w:szCs w:val="24"/>
                <w:lang w:val="en-US" w:eastAsia="zh-CN"/>
              </w:rPr>
              <w:t>烟气执行</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工业炉窑大气污染物排放标准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GB9078-1996限值；</w:t>
            </w:r>
          </w:p>
          <w:p w14:paraId="30674705">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表3-9  废气排放标准</w:t>
            </w:r>
          </w:p>
          <w:tbl>
            <w:tblPr>
              <w:tblStyle w:val="34"/>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96"/>
              <w:gridCol w:w="536"/>
              <w:gridCol w:w="508"/>
              <w:gridCol w:w="737"/>
              <w:gridCol w:w="952"/>
              <w:gridCol w:w="769"/>
              <w:gridCol w:w="1477"/>
              <w:gridCol w:w="2845"/>
            </w:tblGrid>
            <w:tr w14:paraId="29571F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5" w:hRule="atLeast"/>
              </w:trPr>
              <w:tc>
                <w:tcPr>
                  <w:tcW w:w="298" w:type="pct"/>
                  <w:vMerge w:val="restart"/>
                  <w:tcBorders>
                    <w:tl2br w:val="nil"/>
                    <w:tr2bl w:val="nil"/>
                  </w:tcBorders>
                  <w:shd w:val="clear" w:color="auto" w:fill="auto"/>
                  <w:vAlign w:val="center"/>
                </w:tcPr>
                <w:p w14:paraId="39FC9CBD">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时段</w:t>
                  </w:r>
                </w:p>
              </w:tc>
              <w:tc>
                <w:tcPr>
                  <w:tcW w:w="322" w:type="pct"/>
                  <w:vMerge w:val="restart"/>
                  <w:tcBorders>
                    <w:tl2br w:val="nil"/>
                    <w:tr2bl w:val="nil"/>
                  </w:tcBorders>
                  <w:shd w:val="clear" w:color="auto" w:fill="auto"/>
                  <w:vAlign w:val="center"/>
                </w:tcPr>
                <w:p w14:paraId="7343F4F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工段</w:t>
                  </w:r>
                </w:p>
              </w:tc>
              <w:tc>
                <w:tcPr>
                  <w:tcW w:w="748" w:type="pct"/>
                  <w:gridSpan w:val="2"/>
                  <w:vMerge w:val="restart"/>
                  <w:tcBorders>
                    <w:tl2br w:val="nil"/>
                    <w:tr2bl w:val="nil"/>
                  </w:tcBorders>
                  <w:shd w:val="clear" w:color="auto" w:fill="auto"/>
                  <w:vAlign w:val="center"/>
                </w:tcPr>
                <w:p w14:paraId="5B1EC9D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污染物名称</w:t>
                  </w:r>
                </w:p>
              </w:tc>
              <w:tc>
                <w:tcPr>
                  <w:tcW w:w="1034" w:type="pct"/>
                  <w:gridSpan w:val="2"/>
                  <w:tcBorders>
                    <w:tl2br w:val="nil"/>
                    <w:tr2bl w:val="nil"/>
                  </w:tcBorders>
                  <w:shd w:val="clear" w:color="auto" w:fill="auto"/>
                  <w:vAlign w:val="center"/>
                </w:tcPr>
                <w:p w14:paraId="6843696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标准限值</w:t>
                  </w:r>
                </w:p>
              </w:tc>
              <w:tc>
                <w:tcPr>
                  <w:tcW w:w="2596" w:type="pct"/>
                  <w:gridSpan w:val="2"/>
                  <w:vMerge w:val="restart"/>
                  <w:tcBorders>
                    <w:tl2br w:val="nil"/>
                    <w:tr2bl w:val="nil"/>
                  </w:tcBorders>
                  <w:shd w:val="clear" w:color="auto" w:fill="auto"/>
                  <w:vAlign w:val="center"/>
                </w:tcPr>
                <w:p w14:paraId="4A11F5D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标准</w:t>
                  </w:r>
                </w:p>
              </w:tc>
            </w:tr>
            <w:tr w14:paraId="40777DB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98" w:type="pct"/>
                  <w:vMerge w:val="continue"/>
                  <w:tcBorders>
                    <w:tl2br w:val="nil"/>
                    <w:tr2bl w:val="nil"/>
                  </w:tcBorders>
                  <w:shd w:val="clear" w:color="auto" w:fill="auto"/>
                  <w:vAlign w:val="center"/>
                </w:tcPr>
                <w:p w14:paraId="0B2D20BA">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3AE92DEC">
                  <w:pPr>
                    <w:jc w:val="center"/>
                    <w:rPr>
                      <w:rFonts w:hint="default" w:ascii="Times New Roman" w:hAnsi="Times New Roman" w:cs="Times New Roman" w:eastAsiaTheme="minorEastAsia"/>
                      <w:color w:val="auto"/>
                      <w:kern w:val="2"/>
                      <w:sz w:val="21"/>
                      <w:szCs w:val="21"/>
                      <w:lang w:val="en-US" w:eastAsia="en-US" w:bidi="ar-SA"/>
                    </w:rPr>
                  </w:pPr>
                </w:p>
              </w:tc>
              <w:tc>
                <w:tcPr>
                  <w:tcW w:w="748" w:type="pct"/>
                  <w:gridSpan w:val="2"/>
                  <w:vMerge w:val="continue"/>
                  <w:tcBorders>
                    <w:tl2br w:val="nil"/>
                    <w:tr2bl w:val="nil"/>
                  </w:tcBorders>
                  <w:shd w:val="clear" w:color="auto" w:fill="auto"/>
                  <w:vAlign w:val="center"/>
                </w:tcPr>
                <w:p w14:paraId="23495371">
                  <w:pPr>
                    <w:jc w:val="center"/>
                    <w:rPr>
                      <w:rFonts w:hint="default" w:ascii="Times New Roman" w:hAnsi="Times New Roman" w:cs="Times New Roman" w:eastAsiaTheme="minorEastAsia"/>
                      <w:color w:val="auto"/>
                      <w:kern w:val="2"/>
                      <w:sz w:val="21"/>
                      <w:szCs w:val="21"/>
                      <w:lang w:val="en-US" w:eastAsia="en-US" w:bidi="ar-SA"/>
                    </w:rPr>
                  </w:pPr>
                </w:p>
              </w:tc>
              <w:tc>
                <w:tcPr>
                  <w:tcW w:w="572" w:type="pct"/>
                  <w:tcBorders>
                    <w:tl2br w:val="nil"/>
                    <w:tr2bl w:val="nil"/>
                  </w:tcBorders>
                  <w:shd w:val="clear" w:color="auto" w:fill="auto"/>
                  <w:vAlign w:val="center"/>
                </w:tcPr>
                <w:p w14:paraId="68D930F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排放浓度</w:t>
                  </w:r>
                </w:p>
              </w:tc>
              <w:tc>
                <w:tcPr>
                  <w:tcW w:w="462" w:type="pct"/>
                  <w:tcBorders>
                    <w:tl2br w:val="nil"/>
                    <w:tr2bl w:val="nil"/>
                  </w:tcBorders>
                  <w:shd w:val="clear" w:color="auto" w:fill="auto"/>
                  <w:vAlign w:val="center"/>
                </w:tcPr>
                <w:p w14:paraId="4A05E1D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单位</w:t>
                  </w:r>
                </w:p>
              </w:tc>
              <w:tc>
                <w:tcPr>
                  <w:tcW w:w="2596" w:type="pct"/>
                  <w:gridSpan w:val="2"/>
                  <w:vMerge w:val="continue"/>
                  <w:tcBorders>
                    <w:tl2br w:val="nil"/>
                    <w:tr2bl w:val="nil"/>
                  </w:tcBorders>
                  <w:shd w:val="clear" w:color="auto" w:fill="auto"/>
                  <w:vAlign w:val="center"/>
                </w:tcPr>
                <w:p w14:paraId="120D0854">
                  <w:pPr>
                    <w:jc w:val="center"/>
                    <w:rPr>
                      <w:rFonts w:hint="default" w:ascii="Times New Roman" w:hAnsi="Times New Roman" w:cs="Times New Roman" w:eastAsiaTheme="minorEastAsia"/>
                      <w:color w:val="auto"/>
                      <w:kern w:val="2"/>
                      <w:sz w:val="21"/>
                      <w:szCs w:val="21"/>
                      <w:lang w:val="en-US" w:eastAsia="en-US" w:bidi="ar-SA"/>
                    </w:rPr>
                  </w:pPr>
                </w:p>
              </w:tc>
            </w:tr>
            <w:tr w14:paraId="7205D0C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98" w:type="pct"/>
                  <w:tcBorders>
                    <w:tl2br w:val="nil"/>
                    <w:tr2bl w:val="nil"/>
                  </w:tcBorders>
                  <w:shd w:val="clear" w:color="auto" w:fill="auto"/>
                  <w:vAlign w:val="center"/>
                </w:tcPr>
                <w:p w14:paraId="11A7EA8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施工</w:t>
                  </w:r>
                  <w:r>
                    <w:rPr>
                      <w:rFonts w:hint="default" w:ascii="Times New Roman" w:hAnsi="Times New Roman" w:cs="Times New Roman" w:eastAsiaTheme="minorEastAsia"/>
                      <w:color w:val="auto"/>
                      <w:kern w:val="2"/>
                      <w:sz w:val="21"/>
                      <w:szCs w:val="21"/>
                      <w:lang w:val="en-US" w:eastAsia="zh-CN" w:bidi="ar-SA"/>
                    </w:rPr>
                    <w:br w:type="textWrapping"/>
                  </w:r>
                  <w:r>
                    <w:rPr>
                      <w:rFonts w:hint="default" w:ascii="Times New Roman" w:hAnsi="Times New Roman" w:cs="Times New Roman" w:eastAsiaTheme="minorEastAsia"/>
                      <w:color w:val="auto"/>
                      <w:kern w:val="2"/>
                      <w:sz w:val="21"/>
                      <w:szCs w:val="21"/>
                      <w:lang w:val="en-US" w:eastAsia="zh-CN" w:bidi="ar-SA"/>
                    </w:rPr>
                    <w:t>期</w:t>
                  </w:r>
                </w:p>
              </w:tc>
              <w:tc>
                <w:tcPr>
                  <w:tcW w:w="322" w:type="pct"/>
                  <w:tcBorders>
                    <w:tl2br w:val="nil"/>
                    <w:tr2bl w:val="nil"/>
                  </w:tcBorders>
                  <w:shd w:val="clear" w:color="auto" w:fill="auto"/>
                  <w:vAlign w:val="center"/>
                </w:tcPr>
                <w:p w14:paraId="5A464AC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施工</w:t>
                  </w:r>
                </w:p>
              </w:tc>
              <w:tc>
                <w:tcPr>
                  <w:tcW w:w="748" w:type="pct"/>
                  <w:gridSpan w:val="2"/>
                  <w:tcBorders>
                    <w:tl2br w:val="nil"/>
                    <w:tr2bl w:val="nil"/>
                  </w:tcBorders>
                  <w:shd w:val="clear" w:color="auto" w:fill="auto"/>
                  <w:vAlign w:val="center"/>
                </w:tcPr>
                <w:p w14:paraId="01667CA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颗粒物</w:t>
                  </w:r>
                </w:p>
              </w:tc>
              <w:tc>
                <w:tcPr>
                  <w:tcW w:w="572" w:type="pct"/>
                  <w:tcBorders>
                    <w:tl2br w:val="nil"/>
                    <w:tr2bl w:val="nil"/>
                  </w:tcBorders>
                  <w:shd w:val="clear" w:color="auto" w:fill="auto"/>
                  <w:vAlign w:val="center"/>
                </w:tcPr>
                <w:p w14:paraId="4395077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1.0</w:t>
                  </w:r>
                </w:p>
              </w:tc>
              <w:tc>
                <w:tcPr>
                  <w:tcW w:w="462" w:type="pct"/>
                  <w:tcBorders>
                    <w:tl2br w:val="nil"/>
                    <w:tr2bl w:val="nil"/>
                  </w:tcBorders>
                  <w:shd w:val="clear" w:color="auto" w:fill="auto"/>
                  <w:vAlign w:val="center"/>
                </w:tcPr>
                <w:p w14:paraId="64A601E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mg/m³</w:t>
                  </w:r>
                </w:p>
              </w:tc>
              <w:tc>
                <w:tcPr>
                  <w:tcW w:w="2596" w:type="pct"/>
                  <w:gridSpan w:val="2"/>
                  <w:tcBorders>
                    <w:tl2br w:val="nil"/>
                    <w:tr2bl w:val="nil"/>
                  </w:tcBorders>
                  <w:shd w:val="clear" w:color="auto" w:fill="auto"/>
                  <w:vAlign w:val="center"/>
                </w:tcPr>
                <w:p w14:paraId="6A55F7A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《大气污染物综合排放标准》(GB16297-1996)表2中“周界外浓度最高点”</w:t>
                  </w:r>
                </w:p>
              </w:tc>
            </w:tr>
            <w:tr w14:paraId="7087EF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98" w:type="pct"/>
                  <w:vMerge w:val="restart"/>
                  <w:tcBorders>
                    <w:tl2br w:val="nil"/>
                    <w:tr2bl w:val="nil"/>
                  </w:tcBorders>
                  <w:shd w:val="clear" w:color="auto" w:fill="auto"/>
                  <w:vAlign w:val="center"/>
                </w:tcPr>
                <w:p w14:paraId="274029D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运营</w:t>
                  </w:r>
                  <w:r>
                    <w:rPr>
                      <w:rFonts w:hint="default" w:ascii="Times New Roman" w:hAnsi="Times New Roman" w:cs="Times New Roman" w:eastAsiaTheme="minorEastAsia"/>
                      <w:color w:val="auto"/>
                      <w:kern w:val="2"/>
                      <w:sz w:val="21"/>
                      <w:szCs w:val="21"/>
                      <w:lang w:val="en-US" w:eastAsia="zh-CN" w:bidi="ar-SA"/>
                    </w:rPr>
                    <w:br w:type="textWrapping"/>
                  </w:r>
                  <w:r>
                    <w:rPr>
                      <w:rFonts w:hint="default" w:ascii="Times New Roman" w:hAnsi="Times New Roman" w:cs="Times New Roman" w:eastAsiaTheme="minorEastAsia"/>
                      <w:color w:val="auto"/>
                      <w:kern w:val="2"/>
                      <w:sz w:val="21"/>
                      <w:szCs w:val="21"/>
                      <w:lang w:val="en-US" w:eastAsia="zh-CN" w:bidi="ar-SA"/>
                    </w:rPr>
                    <w:t>期</w:t>
                  </w:r>
                </w:p>
              </w:tc>
              <w:tc>
                <w:tcPr>
                  <w:tcW w:w="322" w:type="pct"/>
                  <w:vMerge w:val="restart"/>
                  <w:tcBorders>
                    <w:tl2br w:val="nil"/>
                    <w:tr2bl w:val="nil"/>
                  </w:tcBorders>
                  <w:shd w:val="clear" w:color="auto" w:fill="auto"/>
                  <w:vAlign w:val="center"/>
                </w:tcPr>
                <w:p w14:paraId="615031C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发电</w:t>
                  </w:r>
                  <w:r>
                    <w:rPr>
                      <w:rFonts w:hint="default" w:ascii="Times New Roman" w:hAnsi="Times New Roman" w:cs="Times New Roman" w:eastAsiaTheme="minorEastAsia"/>
                      <w:color w:val="auto"/>
                      <w:kern w:val="2"/>
                      <w:sz w:val="21"/>
                      <w:szCs w:val="21"/>
                      <w:lang w:val="en-US" w:eastAsia="zh-CN" w:bidi="ar-SA"/>
                    </w:rPr>
                    <w:br w:type="textWrapping"/>
                  </w:r>
                  <w:r>
                    <w:rPr>
                      <w:rFonts w:hint="default" w:ascii="Times New Roman" w:hAnsi="Times New Roman" w:cs="Times New Roman" w:eastAsiaTheme="minorEastAsia"/>
                      <w:color w:val="auto"/>
                      <w:kern w:val="2"/>
                      <w:sz w:val="21"/>
                      <w:szCs w:val="21"/>
                      <w:lang w:val="en-US" w:eastAsia="zh-CN" w:bidi="ar-SA"/>
                    </w:rPr>
                    <w:t>机组</w:t>
                  </w:r>
                </w:p>
              </w:tc>
              <w:tc>
                <w:tcPr>
                  <w:tcW w:w="748" w:type="pct"/>
                  <w:gridSpan w:val="2"/>
                  <w:tcBorders>
                    <w:tl2br w:val="nil"/>
                    <w:tr2bl w:val="nil"/>
                  </w:tcBorders>
                  <w:shd w:val="clear" w:color="auto" w:fill="auto"/>
                  <w:vAlign w:val="center"/>
                </w:tcPr>
                <w:p w14:paraId="31854864">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颗粒物</w:t>
                  </w:r>
                </w:p>
              </w:tc>
              <w:tc>
                <w:tcPr>
                  <w:tcW w:w="572" w:type="pct"/>
                  <w:tcBorders>
                    <w:tl2br w:val="nil"/>
                    <w:tr2bl w:val="nil"/>
                  </w:tcBorders>
                  <w:shd w:val="clear" w:color="auto" w:fill="auto"/>
                  <w:vAlign w:val="center"/>
                </w:tcPr>
                <w:p w14:paraId="58484C6E">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20</w:t>
                  </w:r>
                </w:p>
              </w:tc>
              <w:tc>
                <w:tcPr>
                  <w:tcW w:w="462" w:type="pct"/>
                  <w:vMerge w:val="restart"/>
                  <w:tcBorders>
                    <w:tl2br w:val="nil"/>
                    <w:tr2bl w:val="nil"/>
                  </w:tcBorders>
                  <w:shd w:val="clear" w:color="auto" w:fill="auto"/>
                  <w:vAlign w:val="center"/>
                </w:tcPr>
                <w:p w14:paraId="7E17198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mg/m³</w:t>
                  </w:r>
                </w:p>
              </w:tc>
              <w:tc>
                <w:tcPr>
                  <w:tcW w:w="2596" w:type="pct"/>
                  <w:gridSpan w:val="2"/>
                  <w:vMerge w:val="restart"/>
                  <w:tcBorders>
                    <w:tl2br w:val="nil"/>
                    <w:tr2bl w:val="nil"/>
                  </w:tcBorders>
                  <w:shd w:val="clear" w:color="auto" w:fill="auto"/>
                  <w:vAlign w:val="center"/>
                </w:tcPr>
                <w:p w14:paraId="7A1BA4A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《锅炉大气污染物排放标准》(GB13271-2014)表2燃气锅炉大气污染物排放限值</w:t>
                  </w:r>
                </w:p>
              </w:tc>
            </w:tr>
            <w:tr w14:paraId="59FAD67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98" w:type="pct"/>
                  <w:vMerge w:val="continue"/>
                  <w:tcBorders>
                    <w:tl2br w:val="nil"/>
                    <w:tr2bl w:val="nil"/>
                  </w:tcBorders>
                  <w:shd w:val="clear" w:color="auto" w:fill="auto"/>
                  <w:vAlign w:val="center"/>
                </w:tcPr>
                <w:p w14:paraId="093FB686">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546BF737">
                  <w:pPr>
                    <w:jc w:val="center"/>
                    <w:rPr>
                      <w:rFonts w:hint="default" w:ascii="Times New Roman" w:hAnsi="Times New Roman" w:cs="Times New Roman" w:eastAsiaTheme="minorEastAsia"/>
                      <w:color w:val="auto"/>
                      <w:kern w:val="2"/>
                      <w:sz w:val="21"/>
                      <w:szCs w:val="21"/>
                      <w:lang w:val="en-US" w:eastAsia="en-US" w:bidi="ar-SA"/>
                    </w:rPr>
                  </w:pPr>
                </w:p>
              </w:tc>
              <w:tc>
                <w:tcPr>
                  <w:tcW w:w="748" w:type="pct"/>
                  <w:gridSpan w:val="2"/>
                  <w:tcBorders>
                    <w:tl2br w:val="nil"/>
                    <w:tr2bl w:val="nil"/>
                  </w:tcBorders>
                  <w:shd w:val="clear" w:color="auto" w:fill="auto"/>
                  <w:vAlign w:val="center"/>
                </w:tcPr>
                <w:p w14:paraId="5E9E7B84">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SO₂</w:t>
                  </w:r>
                </w:p>
              </w:tc>
              <w:tc>
                <w:tcPr>
                  <w:tcW w:w="572" w:type="pct"/>
                  <w:tcBorders>
                    <w:tl2br w:val="nil"/>
                    <w:tr2bl w:val="nil"/>
                  </w:tcBorders>
                  <w:shd w:val="clear" w:color="auto" w:fill="auto"/>
                  <w:vAlign w:val="center"/>
                </w:tcPr>
                <w:p w14:paraId="564C7E9A">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50</w:t>
                  </w:r>
                </w:p>
              </w:tc>
              <w:tc>
                <w:tcPr>
                  <w:tcW w:w="462" w:type="pct"/>
                  <w:vMerge w:val="continue"/>
                  <w:tcBorders>
                    <w:tl2br w:val="nil"/>
                    <w:tr2bl w:val="nil"/>
                  </w:tcBorders>
                  <w:shd w:val="clear" w:color="auto" w:fill="auto"/>
                  <w:vAlign w:val="center"/>
                </w:tcPr>
                <w:p w14:paraId="128A4D46">
                  <w:pPr>
                    <w:jc w:val="center"/>
                    <w:rPr>
                      <w:rFonts w:hint="default" w:ascii="Times New Roman" w:hAnsi="Times New Roman" w:cs="Times New Roman" w:eastAsiaTheme="minorEastAsia"/>
                      <w:color w:val="auto"/>
                      <w:kern w:val="2"/>
                      <w:sz w:val="21"/>
                      <w:szCs w:val="21"/>
                      <w:lang w:val="en-US" w:eastAsia="en-US" w:bidi="ar-SA"/>
                    </w:rPr>
                  </w:pPr>
                </w:p>
              </w:tc>
              <w:tc>
                <w:tcPr>
                  <w:tcW w:w="2596" w:type="pct"/>
                  <w:gridSpan w:val="2"/>
                  <w:vMerge w:val="continue"/>
                  <w:tcBorders>
                    <w:tl2br w:val="nil"/>
                    <w:tr2bl w:val="nil"/>
                  </w:tcBorders>
                  <w:shd w:val="clear" w:color="auto" w:fill="auto"/>
                  <w:vAlign w:val="center"/>
                </w:tcPr>
                <w:p w14:paraId="36D0E89C">
                  <w:pPr>
                    <w:jc w:val="center"/>
                    <w:rPr>
                      <w:rFonts w:hint="default" w:ascii="Times New Roman" w:hAnsi="Times New Roman" w:cs="Times New Roman" w:eastAsiaTheme="minorEastAsia"/>
                      <w:color w:val="auto"/>
                      <w:kern w:val="2"/>
                      <w:sz w:val="21"/>
                      <w:szCs w:val="21"/>
                      <w:lang w:val="en-US" w:eastAsia="en-US" w:bidi="ar-SA"/>
                    </w:rPr>
                  </w:pPr>
                </w:p>
              </w:tc>
            </w:tr>
            <w:tr w14:paraId="3BAA449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98" w:type="pct"/>
                  <w:vMerge w:val="continue"/>
                  <w:tcBorders>
                    <w:tl2br w:val="nil"/>
                    <w:tr2bl w:val="nil"/>
                  </w:tcBorders>
                  <w:shd w:val="clear" w:color="auto" w:fill="auto"/>
                  <w:vAlign w:val="center"/>
                </w:tcPr>
                <w:p w14:paraId="6B974F88">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4B6BC07D">
                  <w:pPr>
                    <w:jc w:val="center"/>
                    <w:rPr>
                      <w:rFonts w:hint="default" w:ascii="Times New Roman" w:hAnsi="Times New Roman" w:cs="Times New Roman" w:eastAsiaTheme="minorEastAsia"/>
                      <w:color w:val="auto"/>
                      <w:kern w:val="2"/>
                      <w:sz w:val="21"/>
                      <w:szCs w:val="21"/>
                      <w:lang w:val="en-US" w:eastAsia="en-US" w:bidi="ar-SA"/>
                    </w:rPr>
                  </w:pPr>
                </w:p>
              </w:tc>
              <w:tc>
                <w:tcPr>
                  <w:tcW w:w="748" w:type="pct"/>
                  <w:gridSpan w:val="2"/>
                  <w:tcBorders>
                    <w:tl2br w:val="nil"/>
                    <w:tr2bl w:val="nil"/>
                  </w:tcBorders>
                  <w:shd w:val="clear" w:color="auto" w:fill="auto"/>
                  <w:vAlign w:val="center"/>
                </w:tcPr>
                <w:p w14:paraId="3B3FDA99">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NOx</w:t>
                  </w:r>
                </w:p>
              </w:tc>
              <w:tc>
                <w:tcPr>
                  <w:tcW w:w="572" w:type="pct"/>
                  <w:tcBorders>
                    <w:tl2br w:val="nil"/>
                    <w:tr2bl w:val="nil"/>
                  </w:tcBorders>
                  <w:shd w:val="clear" w:color="auto" w:fill="auto"/>
                  <w:vAlign w:val="center"/>
                </w:tcPr>
                <w:p w14:paraId="6979AE13">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200</w:t>
                  </w:r>
                </w:p>
              </w:tc>
              <w:tc>
                <w:tcPr>
                  <w:tcW w:w="462" w:type="pct"/>
                  <w:vMerge w:val="continue"/>
                  <w:tcBorders>
                    <w:tl2br w:val="nil"/>
                    <w:tr2bl w:val="nil"/>
                  </w:tcBorders>
                  <w:shd w:val="clear" w:color="auto" w:fill="auto"/>
                  <w:vAlign w:val="center"/>
                </w:tcPr>
                <w:p w14:paraId="60C5DE64">
                  <w:pPr>
                    <w:jc w:val="center"/>
                    <w:rPr>
                      <w:rFonts w:hint="default" w:ascii="Times New Roman" w:hAnsi="Times New Roman" w:cs="Times New Roman" w:eastAsiaTheme="minorEastAsia"/>
                      <w:color w:val="auto"/>
                      <w:kern w:val="2"/>
                      <w:sz w:val="21"/>
                      <w:szCs w:val="21"/>
                      <w:lang w:val="en-US" w:eastAsia="en-US" w:bidi="ar-SA"/>
                    </w:rPr>
                  </w:pPr>
                </w:p>
              </w:tc>
              <w:tc>
                <w:tcPr>
                  <w:tcW w:w="2596" w:type="pct"/>
                  <w:gridSpan w:val="2"/>
                  <w:vMerge w:val="continue"/>
                  <w:tcBorders>
                    <w:tl2br w:val="nil"/>
                    <w:tr2bl w:val="nil"/>
                  </w:tcBorders>
                  <w:shd w:val="clear" w:color="auto" w:fill="auto"/>
                  <w:vAlign w:val="center"/>
                </w:tcPr>
                <w:p w14:paraId="0DB3BB3B">
                  <w:pPr>
                    <w:jc w:val="center"/>
                    <w:rPr>
                      <w:rFonts w:hint="default" w:ascii="Times New Roman" w:hAnsi="Times New Roman" w:cs="Times New Roman" w:eastAsiaTheme="minorEastAsia"/>
                      <w:color w:val="auto"/>
                      <w:kern w:val="2"/>
                      <w:sz w:val="21"/>
                      <w:szCs w:val="21"/>
                      <w:lang w:val="en-US" w:eastAsia="en-US" w:bidi="ar-SA"/>
                    </w:rPr>
                  </w:pPr>
                </w:p>
              </w:tc>
            </w:tr>
            <w:tr w14:paraId="020D9EA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98" w:type="pct"/>
                  <w:vMerge w:val="continue"/>
                  <w:tcBorders>
                    <w:tl2br w:val="nil"/>
                    <w:tr2bl w:val="nil"/>
                  </w:tcBorders>
                  <w:shd w:val="clear" w:color="auto" w:fill="auto"/>
                  <w:vAlign w:val="center"/>
                </w:tcPr>
                <w:p w14:paraId="36CA6175">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restart"/>
                  <w:tcBorders>
                    <w:tl2br w:val="nil"/>
                    <w:tr2bl w:val="nil"/>
                  </w:tcBorders>
                  <w:shd w:val="clear" w:color="auto" w:fill="auto"/>
                  <w:vAlign w:val="center"/>
                </w:tcPr>
                <w:p w14:paraId="7AD926F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沼气</w:t>
                  </w:r>
                  <w:r>
                    <w:rPr>
                      <w:rFonts w:hint="default" w:ascii="Times New Roman" w:hAnsi="Times New Roman" w:cs="Times New Roman" w:eastAsiaTheme="minorEastAsia"/>
                      <w:color w:val="auto"/>
                      <w:kern w:val="2"/>
                      <w:sz w:val="21"/>
                      <w:szCs w:val="21"/>
                      <w:lang w:val="en-US" w:eastAsia="zh-CN" w:bidi="ar-SA"/>
                    </w:rPr>
                    <w:br w:type="textWrapping"/>
                  </w:r>
                  <w:r>
                    <w:rPr>
                      <w:rFonts w:hint="default" w:ascii="Times New Roman" w:hAnsi="Times New Roman" w:cs="Times New Roman" w:eastAsiaTheme="minorEastAsia"/>
                      <w:color w:val="auto"/>
                      <w:kern w:val="2"/>
                      <w:sz w:val="21"/>
                      <w:szCs w:val="21"/>
                      <w:lang w:val="en-US" w:eastAsia="zh-CN" w:bidi="ar-SA"/>
                    </w:rPr>
                    <w:t>锅炉</w:t>
                  </w:r>
                </w:p>
              </w:tc>
              <w:tc>
                <w:tcPr>
                  <w:tcW w:w="748" w:type="pct"/>
                  <w:gridSpan w:val="2"/>
                  <w:tcBorders>
                    <w:tl2br w:val="nil"/>
                    <w:tr2bl w:val="nil"/>
                  </w:tcBorders>
                  <w:shd w:val="clear" w:color="auto" w:fill="auto"/>
                  <w:vAlign w:val="center"/>
                </w:tcPr>
                <w:p w14:paraId="45165CED">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颗粒物</w:t>
                  </w:r>
                </w:p>
              </w:tc>
              <w:tc>
                <w:tcPr>
                  <w:tcW w:w="572" w:type="pct"/>
                  <w:tcBorders>
                    <w:tl2br w:val="nil"/>
                    <w:tr2bl w:val="nil"/>
                  </w:tcBorders>
                  <w:shd w:val="clear" w:color="auto" w:fill="auto"/>
                  <w:vAlign w:val="center"/>
                </w:tcPr>
                <w:p w14:paraId="39ED8E26">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20</w:t>
                  </w:r>
                </w:p>
              </w:tc>
              <w:tc>
                <w:tcPr>
                  <w:tcW w:w="462" w:type="pct"/>
                  <w:vMerge w:val="restart"/>
                  <w:tcBorders>
                    <w:tl2br w:val="nil"/>
                    <w:tr2bl w:val="nil"/>
                  </w:tcBorders>
                  <w:shd w:val="clear" w:color="auto" w:fill="auto"/>
                  <w:vAlign w:val="center"/>
                </w:tcPr>
                <w:p w14:paraId="40F29E6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mg/m³</w:t>
                  </w:r>
                </w:p>
              </w:tc>
              <w:tc>
                <w:tcPr>
                  <w:tcW w:w="2596" w:type="pct"/>
                  <w:gridSpan w:val="2"/>
                  <w:vMerge w:val="restart"/>
                  <w:tcBorders>
                    <w:tl2br w:val="nil"/>
                    <w:tr2bl w:val="nil"/>
                  </w:tcBorders>
                  <w:shd w:val="clear" w:color="auto" w:fill="auto"/>
                  <w:vAlign w:val="center"/>
                </w:tcPr>
                <w:p w14:paraId="5142C99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《锅炉大气污染物排放标准》(GB13271-2014)表2燃气锅炉大气污染物排放限值</w:t>
                  </w:r>
                </w:p>
              </w:tc>
            </w:tr>
            <w:tr w14:paraId="454E79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98" w:type="pct"/>
                  <w:vMerge w:val="continue"/>
                  <w:tcBorders>
                    <w:tl2br w:val="nil"/>
                    <w:tr2bl w:val="nil"/>
                  </w:tcBorders>
                  <w:shd w:val="clear" w:color="auto" w:fill="auto"/>
                  <w:vAlign w:val="center"/>
                </w:tcPr>
                <w:p w14:paraId="01A8714F">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449DC9F5">
                  <w:pPr>
                    <w:jc w:val="center"/>
                    <w:rPr>
                      <w:rFonts w:hint="default" w:ascii="Times New Roman" w:hAnsi="Times New Roman" w:cs="Times New Roman" w:eastAsiaTheme="minorEastAsia"/>
                      <w:color w:val="auto"/>
                      <w:kern w:val="2"/>
                      <w:sz w:val="21"/>
                      <w:szCs w:val="21"/>
                      <w:lang w:val="en-US" w:eastAsia="en-US" w:bidi="ar-SA"/>
                    </w:rPr>
                  </w:pPr>
                </w:p>
              </w:tc>
              <w:tc>
                <w:tcPr>
                  <w:tcW w:w="748" w:type="pct"/>
                  <w:gridSpan w:val="2"/>
                  <w:tcBorders>
                    <w:tl2br w:val="nil"/>
                    <w:tr2bl w:val="nil"/>
                  </w:tcBorders>
                  <w:shd w:val="clear" w:color="auto" w:fill="auto"/>
                  <w:vAlign w:val="center"/>
                </w:tcPr>
                <w:p w14:paraId="0CAD8FFB">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SO₂</w:t>
                  </w:r>
                </w:p>
              </w:tc>
              <w:tc>
                <w:tcPr>
                  <w:tcW w:w="572" w:type="pct"/>
                  <w:tcBorders>
                    <w:tl2br w:val="nil"/>
                    <w:tr2bl w:val="nil"/>
                  </w:tcBorders>
                  <w:shd w:val="clear" w:color="auto" w:fill="auto"/>
                  <w:vAlign w:val="center"/>
                </w:tcPr>
                <w:p w14:paraId="57D162FC">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50</w:t>
                  </w:r>
                </w:p>
              </w:tc>
              <w:tc>
                <w:tcPr>
                  <w:tcW w:w="462" w:type="pct"/>
                  <w:vMerge w:val="continue"/>
                  <w:tcBorders>
                    <w:tl2br w:val="nil"/>
                    <w:tr2bl w:val="nil"/>
                  </w:tcBorders>
                  <w:shd w:val="clear" w:color="auto" w:fill="auto"/>
                  <w:vAlign w:val="center"/>
                </w:tcPr>
                <w:p w14:paraId="43AC42D2">
                  <w:pPr>
                    <w:jc w:val="center"/>
                    <w:rPr>
                      <w:rFonts w:hint="default" w:ascii="Times New Roman" w:hAnsi="Times New Roman" w:cs="Times New Roman" w:eastAsiaTheme="minorEastAsia"/>
                      <w:color w:val="auto"/>
                      <w:kern w:val="2"/>
                      <w:sz w:val="21"/>
                      <w:szCs w:val="21"/>
                      <w:lang w:val="en-US" w:eastAsia="en-US" w:bidi="ar-SA"/>
                    </w:rPr>
                  </w:pPr>
                </w:p>
              </w:tc>
              <w:tc>
                <w:tcPr>
                  <w:tcW w:w="2596" w:type="pct"/>
                  <w:gridSpan w:val="2"/>
                  <w:vMerge w:val="continue"/>
                  <w:tcBorders>
                    <w:tl2br w:val="nil"/>
                    <w:tr2bl w:val="nil"/>
                  </w:tcBorders>
                  <w:shd w:val="clear" w:color="auto" w:fill="auto"/>
                  <w:vAlign w:val="center"/>
                </w:tcPr>
                <w:p w14:paraId="35A92119">
                  <w:pPr>
                    <w:jc w:val="center"/>
                    <w:rPr>
                      <w:rFonts w:hint="default" w:ascii="Times New Roman" w:hAnsi="Times New Roman" w:cs="Times New Roman" w:eastAsiaTheme="minorEastAsia"/>
                      <w:color w:val="auto"/>
                      <w:kern w:val="2"/>
                      <w:sz w:val="21"/>
                      <w:szCs w:val="21"/>
                      <w:lang w:val="en-US" w:eastAsia="en-US" w:bidi="ar-SA"/>
                    </w:rPr>
                  </w:pPr>
                </w:p>
              </w:tc>
            </w:tr>
            <w:tr w14:paraId="0CD0EF5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98" w:type="pct"/>
                  <w:vMerge w:val="continue"/>
                  <w:tcBorders>
                    <w:tl2br w:val="nil"/>
                    <w:tr2bl w:val="nil"/>
                  </w:tcBorders>
                  <w:shd w:val="clear" w:color="auto" w:fill="auto"/>
                  <w:vAlign w:val="center"/>
                </w:tcPr>
                <w:p w14:paraId="39E5EEA3">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23C67F79">
                  <w:pPr>
                    <w:jc w:val="center"/>
                    <w:rPr>
                      <w:rFonts w:hint="default" w:ascii="Times New Roman" w:hAnsi="Times New Roman" w:cs="Times New Roman" w:eastAsiaTheme="minorEastAsia"/>
                      <w:color w:val="auto"/>
                      <w:kern w:val="2"/>
                      <w:sz w:val="21"/>
                      <w:szCs w:val="21"/>
                      <w:lang w:val="en-US" w:eastAsia="en-US" w:bidi="ar-SA"/>
                    </w:rPr>
                  </w:pPr>
                </w:p>
              </w:tc>
              <w:tc>
                <w:tcPr>
                  <w:tcW w:w="748" w:type="pct"/>
                  <w:gridSpan w:val="2"/>
                  <w:tcBorders>
                    <w:tl2br w:val="nil"/>
                    <w:tr2bl w:val="nil"/>
                  </w:tcBorders>
                  <w:shd w:val="clear" w:color="auto" w:fill="auto"/>
                  <w:vAlign w:val="center"/>
                </w:tcPr>
                <w:p w14:paraId="2B4E2B64">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NOx</w:t>
                  </w:r>
                </w:p>
              </w:tc>
              <w:tc>
                <w:tcPr>
                  <w:tcW w:w="572" w:type="pct"/>
                  <w:tcBorders>
                    <w:tl2br w:val="nil"/>
                    <w:tr2bl w:val="nil"/>
                  </w:tcBorders>
                  <w:shd w:val="clear" w:color="auto" w:fill="auto"/>
                  <w:vAlign w:val="center"/>
                </w:tcPr>
                <w:p w14:paraId="05B7F96D">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200</w:t>
                  </w:r>
                </w:p>
              </w:tc>
              <w:tc>
                <w:tcPr>
                  <w:tcW w:w="462" w:type="pct"/>
                  <w:vMerge w:val="continue"/>
                  <w:tcBorders>
                    <w:tl2br w:val="nil"/>
                    <w:tr2bl w:val="nil"/>
                  </w:tcBorders>
                  <w:shd w:val="clear" w:color="auto" w:fill="auto"/>
                  <w:vAlign w:val="center"/>
                </w:tcPr>
                <w:p w14:paraId="22F77E9D">
                  <w:pPr>
                    <w:jc w:val="center"/>
                    <w:rPr>
                      <w:rFonts w:hint="default" w:ascii="Times New Roman" w:hAnsi="Times New Roman" w:cs="Times New Roman" w:eastAsiaTheme="minorEastAsia"/>
                      <w:color w:val="auto"/>
                      <w:kern w:val="2"/>
                      <w:sz w:val="21"/>
                      <w:szCs w:val="21"/>
                      <w:lang w:val="en-US" w:eastAsia="en-US" w:bidi="ar-SA"/>
                    </w:rPr>
                  </w:pPr>
                </w:p>
              </w:tc>
              <w:tc>
                <w:tcPr>
                  <w:tcW w:w="2596" w:type="pct"/>
                  <w:gridSpan w:val="2"/>
                  <w:vMerge w:val="continue"/>
                  <w:tcBorders>
                    <w:tl2br w:val="nil"/>
                    <w:tr2bl w:val="nil"/>
                  </w:tcBorders>
                  <w:shd w:val="clear" w:color="auto" w:fill="auto"/>
                  <w:vAlign w:val="center"/>
                </w:tcPr>
                <w:p w14:paraId="00EFF043">
                  <w:pPr>
                    <w:jc w:val="center"/>
                    <w:rPr>
                      <w:rFonts w:hint="default" w:ascii="Times New Roman" w:hAnsi="Times New Roman" w:cs="Times New Roman" w:eastAsiaTheme="minorEastAsia"/>
                      <w:color w:val="auto"/>
                      <w:kern w:val="2"/>
                      <w:sz w:val="21"/>
                      <w:szCs w:val="21"/>
                      <w:lang w:val="en-US" w:eastAsia="en-US" w:bidi="ar-SA"/>
                    </w:rPr>
                  </w:pPr>
                </w:p>
              </w:tc>
            </w:tr>
            <w:tr w14:paraId="4C658FD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298" w:type="pct"/>
                  <w:vMerge w:val="continue"/>
                  <w:tcBorders>
                    <w:tl2br w:val="nil"/>
                    <w:tr2bl w:val="nil"/>
                  </w:tcBorders>
                  <w:shd w:val="clear" w:color="auto" w:fill="auto"/>
                  <w:vAlign w:val="center"/>
                </w:tcPr>
                <w:p w14:paraId="06422A6B">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restart"/>
                  <w:tcBorders>
                    <w:tl2br w:val="nil"/>
                    <w:tr2bl w:val="nil"/>
                  </w:tcBorders>
                  <w:shd w:val="clear" w:color="auto" w:fill="auto"/>
                  <w:vAlign w:val="center"/>
                </w:tcPr>
                <w:p w14:paraId="41C83D7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热风炉</w:t>
                  </w:r>
                </w:p>
              </w:tc>
              <w:tc>
                <w:tcPr>
                  <w:tcW w:w="748" w:type="pct"/>
                  <w:gridSpan w:val="2"/>
                  <w:tcBorders>
                    <w:tl2br w:val="nil"/>
                    <w:tr2bl w:val="nil"/>
                  </w:tcBorders>
                  <w:shd w:val="clear" w:color="auto" w:fill="auto"/>
                  <w:vAlign w:val="center"/>
                </w:tcPr>
                <w:p w14:paraId="3CDD1FB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颗粒物</w:t>
                  </w:r>
                </w:p>
              </w:tc>
              <w:tc>
                <w:tcPr>
                  <w:tcW w:w="572" w:type="pct"/>
                  <w:tcBorders>
                    <w:tl2br w:val="nil"/>
                    <w:tr2bl w:val="nil"/>
                  </w:tcBorders>
                  <w:shd w:val="clear" w:color="auto" w:fill="auto"/>
                  <w:vAlign w:val="center"/>
                </w:tcPr>
                <w:p w14:paraId="1EB8A298">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200</w:t>
                  </w:r>
                </w:p>
              </w:tc>
              <w:tc>
                <w:tcPr>
                  <w:tcW w:w="462" w:type="pct"/>
                  <w:vMerge w:val="restart"/>
                  <w:tcBorders>
                    <w:tl2br w:val="nil"/>
                    <w:tr2bl w:val="nil"/>
                  </w:tcBorders>
                  <w:shd w:val="clear" w:color="auto" w:fill="auto"/>
                  <w:vAlign w:val="center"/>
                </w:tcPr>
                <w:p w14:paraId="53F137AD">
                  <w:pPr>
                    <w:jc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mg/m³</w:t>
                  </w:r>
                </w:p>
              </w:tc>
              <w:tc>
                <w:tcPr>
                  <w:tcW w:w="2596" w:type="pct"/>
                  <w:gridSpan w:val="2"/>
                  <w:vMerge w:val="restart"/>
                  <w:tcBorders>
                    <w:tl2br w:val="nil"/>
                    <w:tr2bl w:val="nil"/>
                  </w:tcBorders>
                  <w:shd w:val="clear" w:color="auto" w:fill="auto"/>
                  <w:vAlign w:val="center"/>
                </w:tcPr>
                <w:p w14:paraId="20211951">
                  <w:pPr>
                    <w:jc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en-US" w:bidi="ar-SA"/>
                    </w:rPr>
                    <w:t>《工业炉窑大气污染物排放标准》GB9078-1996</w:t>
                  </w:r>
                </w:p>
              </w:tc>
            </w:tr>
            <w:tr w14:paraId="0E9ADA6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298" w:type="pct"/>
                  <w:vMerge w:val="continue"/>
                  <w:tcBorders>
                    <w:tl2br w:val="nil"/>
                    <w:tr2bl w:val="nil"/>
                  </w:tcBorders>
                  <w:shd w:val="clear" w:color="auto" w:fill="auto"/>
                  <w:vAlign w:val="center"/>
                </w:tcPr>
                <w:p w14:paraId="5C396483">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17987A12">
                  <w:pPr>
                    <w:jc w:val="center"/>
                    <w:rPr>
                      <w:rFonts w:hint="default" w:ascii="Times New Roman" w:hAnsi="Times New Roman" w:cs="Times New Roman" w:eastAsiaTheme="minorEastAsia"/>
                      <w:color w:val="auto"/>
                      <w:kern w:val="2"/>
                      <w:sz w:val="21"/>
                      <w:szCs w:val="21"/>
                      <w:lang w:val="en-US" w:eastAsia="en-US" w:bidi="ar-SA"/>
                    </w:rPr>
                  </w:pPr>
                </w:p>
              </w:tc>
              <w:tc>
                <w:tcPr>
                  <w:tcW w:w="748" w:type="pct"/>
                  <w:gridSpan w:val="2"/>
                  <w:tcBorders>
                    <w:tl2br w:val="nil"/>
                    <w:tr2bl w:val="nil"/>
                  </w:tcBorders>
                  <w:shd w:val="clear" w:color="auto" w:fill="auto"/>
                  <w:vAlign w:val="center"/>
                </w:tcPr>
                <w:p w14:paraId="2D3CBD28">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SO₂</w:t>
                  </w:r>
                </w:p>
              </w:tc>
              <w:tc>
                <w:tcPr>
                  <w:tcW w:w="572" w:type="pct"/>
                  <w:tcBorders>
                    <w:tl2br w:val="nil"/>
                    <w:tr2bl w:val="nil"/>
                  </w:tcBorders>
                  <w:shd w:val="clear" w:color="auto" w:fill="auto"/>
                  <w:vAlign w:val="center"/>
                </w:tcPr>
                <w:p w14:paraId="7895C3E2">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850</w:t>
                  </w:r>
                </w:p>
              </w:tc>
              <w:tc>
                <w:tcPr>
                  <w:tcW w:w="462" w:type="pct"/>
                  <w:vMerge w:val="continue"/>
                  <w:tcBorders>
                    <w:tl2br w:val="nil"/>
                    <w:tr2bl w:val="nil"/>
                  </w:tcBorders>
                  <w:shd w:val="clear" w:color="auto" w:fill="auto"/>
                  <w:vAlign w:val="center"/>
                </w:tcPr>
                <w:p w14:paraId="75FC6E52">
                  <w:pPr>
                    <w:jc w:val="center"/>
                    <w:rPr>
                      <w:rFonts w:hint="default" w:ascii="Times New Roman" w:hAnsi="Times New Roman" w:cs="Times New Roman" w:eastAsiaTheme="minorEastAsia"/>
                      <w:color w:val="auto"/>
                      <w:kern w:val="2"/>
                      <w:sz w:val="21"/>
                      <w:szCs w:val="21"/>
                      <w:lang w:val="en-US" w:eastAsia="en-US" w:bidi="ar-SA"/>
                    </w:rPr>
                  </w:pPr>
                </w:p>
              </w:tc>
              <w:tc>
                <w:tcPr>
                  <w:tcW w:w="2596" w:type="pct"/>
                  <w:gridSpan w:val="2"/>
                  <w:vMerge w:val="continue"/>
                  <w:tcBorders>
                    <w:tl2br w:val="nil"/>
                    <w:tr2bl w:val="nil"/>
                  </w:tcBorders>
                  <w:shd w:val="clear" w:color="auto" w:fill="auto"/>
                  <w:vAlign w:val="center"/>
                </w:tcPr>
                <w:p w14:paraId="2DEBEFE8">
                  <w:pPr>
                    <w:jc w:val="center"/>
                    <w:rPr>
                      <w:rFonts w:hint="default" w:ascii="Times New Roman" w:hAnsi="Times New Roman" w:cs="Times New Roman" w:eastAsiaTheme="minorEastAsia"/>
                      <w:color w:val="auto"/>
                      <w:kern w:val="2"/>
                      <w:sz w:val="21"/>
                      <w:szCs w:val="21"/>
                      <w:lang w:val="en-US" w:eastAsia="en-US" w:bidi="ar-SA"/>
                    </w:rPr>
                  </w:pPr>
                </w:p>
              </w:tc>
            </w:tr>
            <w:tr w14:paraId="4FF6422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98" w:type="pct"/>
                  <w:vMerge w:val="continue"/>
                  <w:tcBorders>
                    <w:tl2br w:val="nil"/>
                    <w:tr2bl w:val="nil"/>
                  </w:tcBorders>
                  <w:shd w:val="clear" w:color="auto" w:fill="auto"/>
                  <w:vAlign w:val="center"/>
                </w:tcPr>
                <w:p w14:paraId="0B365602">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restart"/>
                  <w:tcBorders>
                    <w:tl2br w:val="nil"/>
                    <w:tr2bl w:val="nil"/>
                  </w:tcBorders>
                  <w:shd w:val="clear" w:color="auto" w:fill="auto"/>
                  <w:vAlign w:val="center"/>
                </w:tcPr>
                <w:p w14:paraId="079B1DB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全部</w:t>
                  </w:r>
                  <w:r>
                    <w:rPr>
                      <w:rFonts w:hint="default" w:ascii="Times New Roman" w:hAnsi="Times New Roman" w:cs="Times New Roman" w:eastAsiaTheme="minorEastAsia"/>
                      <w:color w:val="auto"/>
                      <w:kern w:val="2"/>
                      <w:sz w:val="21"/>
                      <w:szCs w:val="21"/>
                      <w:lang w:val="en-US" w:eastAsia="zh-CN" w:bidi="ar-SA"/>
                    </w:rPr>
                    <w:br w:type="textWrapping"/>
                  </w:r>
                  <w:r>
                    <w:rPr>
                      <w:rFonts w:hint="default" w:ascii="Times New Roman" w:hAnsi="Times New Roman" w:cs="Times New Roman" w:eastAsiaTheme="minorEastAsia"/>
                      <w:color w:val="auto"/>
                      <w:kern w:val="2"/>
                      <w:sz w:val="21"/>
                      <w:szCs w:val="21"/>
                      <w:lang w:val="en-US" w:eastAsia="zh-CN" w:bidi="ar-SA"/>
                    </w:rPr>
                    <w:t>工段</w:t>
                  </w:r>
                </w:p>
              </w:tc>
              <w:tc>
                <w:tcPr>
                  <w:tcW w:w="305" w:type="pct"/>
                  <w:vMerge w:val="restart"/>
                  <w:tcBorders>
                    <w:tl2br w:val="nil"/>
                    <w:tr2bl w:val="nil"/>
                  </w:tcBorders>
                  <w:shd w:val="clear" w:color="auto" w:fill="auto"/>
                  <w:vAlign w:val="center"/>
                </w:tcPr>
                <w:p w14:paraId="5C6D6528">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无组</w:t>
                  </w:r>
                  <w:r>
                    <w:rPr>
                      <w:rFonts w:hint="default" w:ascii="Times New Roman" w:hAnsi="Times New Roman" w:cs="Times New Roman" w:eastAsiaTheme="minorEastAsia"/>
                      <w:color w:val="auto"/>
                      <w:kern w:val="2"/>
                      <w:sz w:val="21"/>
                      <w:szCs w:val="21"/>
                      <w:lang w:val="en-US" w:eastAsia="zh-CN" w:bidi="ar-SA"/>
                    </w:rPr>
                    <w:br w:type="textWrapping"/>
                  </w:r>
                  <w:r>
                    <w:rPr>
                      <w:rFonts w:hint="default" w:ascii="Times New Roman" w:hAnsi="Times New Roman" w:cs="Times New Roman" w:eastAsiaTheme="minorEastAsia"/>
                      <w:color w:val="auto"/>
                      <w:kern w:val="2"/>
                      <w:sz w:val="21"/>
                      <w:szCs w:val="21"/>
                      <w:lang w:val="en-US" w:eastAsia="zh-CN" w:bidi="ar-SA"/>
                    </w:rPr>
                    <w:t>织</w:t>
                  </w:r>
                </w:p>
              </w:tc>
              <w:tc>
                <w:tcPr>
                  <w:tcW w:w="443" w:type="pct"/>
                  <w:tcBorders>
                    <w:tl2br w:val="nil"/>
                    <w:tr2bl w:val="nil"/>
                  </w:tcBorders>
                  <w:shd w:val="clear" w:color="auto" w:fill="auto"/>
                  <w:vAlign w:val="center"/>
                </w:tcPr>
                <w:p w14:paraId="65AEB5E3">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氨</w:t>
                  </w:r>
                </w:p>
              </w:tc>
              <w:tc>
                <w:tcPr>
                  <w:tcW w:w="572" w:type="pct"/>
                  <w:tcBorders>
                    <w:tl2br w:val="nil"/>
                    <w:tr2bl w:val="nil"/>
                  </w:tcBorders>
                  <w:shd w:val="clear" w:color="auto" w:fill="auto"/>
                  <w:vAlign w:val="center"/>
                </w:tcPr>
                <w:p w14:paraId="4D472CDD">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1.5</w:t>
                  </w:r>
                </w:p>
              </w:tc>
              <w:tc>
                <w:tcPr>
                  <w:tcW w:w="462" w:type="pct"/>
                  <w:vMerge w:val="restart"/>
                  <w:tcBorders>
                    <w:tl2br w:val="nil"/>
                    <w:tr2bl w:val="nil"/>
                  </w:tcBorders>
                  <w:shd w:val="clear" w:color="auto" w:fill="auto"/>
                  <w:vAlign w:val="center"/>
                </w:tcPr>
                <w:p w14:paraId="674FC064">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mg/m³</w:t>
                  </w:r>
                </w:p>
              </w:tc>
              <w:tc>
                <w:tcPr>
                  <w:tcW w:w="2596" w:type="pct"/>
                  <w:gridSpan w:val="2"/>
                  <w:vMerge w:val="restart"/>
                  <w:tcBorders>
                    <w:tl2br w:val="nil"/>
                    <w:tr2bl w:val="nil"/>
                  </w:tcBorders>
                  <w:shd w:val="clear" w:color="auto" w:fill="auto"/>
                  <w:vAlign w:val="center"/>
                </w:tcPr>
                <w:p w14:paraId="1269931D">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《恶臭污染物排放标准》(GB14554-93)中表1恶臭污染物厂界标准值</w:t>
                  </w:r>
                </w:p>
              </w:tc>
            </w:tr>
            <w:tr w14:paraId="45287F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98" w:type="pct"/>
                  <w:vMerge w:val="continue"/>
                  <w:tcBorders>
                    <w:tl2br w:val="nil"/>
                    <w:tr2bl w:val="nil"/>
                  </w:tcBorders>
                  <w:shd w:val="clear" w:color="auto" w:fill="auto"/>
                  <w:vAlign w:val="center"/>
                </w:tcPr>
                <w:p w14:paraId="24E117E5">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43FA2674">
                  <w:pPr>
                    <w:jc w:val="center"/>
                    <w:rPr>
                      <w:rFonts w:hint="default" w:ascii="Times New Roman" w:hAnsi="Times New Roman" w:cs="Times New Roman" w:eastAsiaTheme="minorEastAsia"/>
                      <w:color w:val="auto"/>
                      <w:kern w:val="2"/>
                      <w:sz w:val="21"/>
                      <w:szCs w:val="21"/>
                      <w:lang w:val="en-US" w:eastAsia="en-US" w:bidi="ar-SA"/>
                    </w:rPr>
                  </w:pPr>
                </w:p>
              </w:tc>
              <w:tc>
                <w:tcPr>
                  <w:tcW w:w="305" w:type="pct"/>
                  <w:vMerge w:val="continue"/>
                  <w:tcBorders>
                    <w:tl2br w:val="nil"/>
                    <w:tr2bl w:val="nil"/>
                  </w:tcBorders>
                  <w:shd w:val="clear" w:color="auto" w:fill="auto"/>
                  <w:vAlign w:val="center"/>
                </w:tcPr>
                <w:p w14:paraId="7A46D425">
                  <w:pPr>
                    <w:jc w:val="center"/>
                    <w:rPr>
                      <w:rFonts w:hint="default" w:ascii="Times New Roman" w:hAnsi="Times New Roman" w:cs="Times New Roman" w:eastAsiaTheme="minorEastAsia"/>
                      <w:color w:val="auto"/>
                      <w:kern w:val="2"/>
                      <w:sz w:val="21"/>
                      <w:szCs w:val="21"/>
                      <w:lang w:val="en-US" w:eastAsia="en-US" w:bidi="ar-SA"/>
                    </w:rPr>
                  </w:pPr>
                </w:p>
              </w:tc>
              <w:tc>
                <w:tcPr>
                  <w:tcW w:w="443" w:type="pct"/>
                  <w:tcBorders>
                    <w:tl2br w:val="nil"/>
                    <w:tr2bl w:val="nil"/>
                  </w:tcBorders>
                  <w:shd w:val="clear" w:color="auto" w:fill="auto"/>
                  <w:vAlign w:val="center"/>
                </w:tcPr>
                <w:p w14:paraId="395C196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硫化氢</w:t>
                  </w:r>
                </w:p>
              </w:tc>
              <w:tc>
                <w:tcPr>
                  <w:tcW w:w="572" w:type="pct"/>
                  <w:tcBorders>
                    <w:tl2br w:val="nil"/>
                    <w:tr2bl w:val="nil"/>
                  </w:tcBorders>
                  <w:shd w:val="clear" w:color="auto" w:fill="auto"/>
                  <w:vAlign w:val="center"/>
                </w:tcPr>
                <w:p w14:paraId="1E2AC554">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0.06</w:t>
                  </w:r>
                </w:p>
              </w:tc>
              <w:tc>
                <w:tcPr>
                  <w:tcW w:w="462" w:type="pct"/>
                  <w:vMerge w:val="continue"/>
                  <w:tcBorders>
                    <w:tl2br w:val="nil"/>
                    <w:tr2bl w:val="nil"/>
                  </w:tcBorders>
                  <w:shd w:val="clear" w:color="auto" w:fill="auto"/>
                  <w:vAlign w:val="center"/>
                </w:tcPr>
                <w:p w14:paraId="11761D6F">
                  <w:pPr>
                    <w:jc w:val="center"/>
                    <w:rPr>
                      <w:rFonts w:hint="default" w:ascii="Times New Roman" w:hAnsi="Times New Roman" w:cs="Times New Roman" w:eastAsiaTheme="minorEastAsia"/>
                      <w:color w:val="auto"/>
                      <w:kern w:val="2"/>
                      <w:sz w:val="21"/>
                      <w:szCs w:val="21"/>
                      <w:lang w:val="en-US" w:eastAsia="en-US" w:bidi="ar-SA"/>
                    </w:rPr>
                  </w:pPr>
                </w:p>
              </w:tc>
              <w:tc>
                <w:tcPr>
                  <w:tcW w:w="2596" w:type="pct"/>
                  <w:gridSpan w:val="2"/>
                  <w:vMerge w:val="continue"/>
                  <w:tcBorders>
                    <w:tl2br w:val="nil"/>
                    <w:tr2bl w:val="nil"/>
                  </w:tcBorders>
                  <w:shd w:val="clear" w:color="auto" w:fill="auto"/>
                  <w:vAlign w:val="center"/>
                </w:tcPr>
                <w:p w14:paraId="1B01241C">
                  <w:pPr>
                    <w:jc w:val="center"/>
                    <w:rPr>
                      <w:rFonts w:hint="default" w:ascii="Times New Roman" w:hAnsi="Times New Roman" w:cs="Times New Roman" w:eastAsiaTheme="minorEastAsia"/>
                      <w:color w:val="auto"/>
                      <w:kern w:val="2"/>
                      <w:sz w:val="21"/>
                      <w:szCs w:val="21"/>
                      <w:lang w:val="en-US" w:eastAsia="en-US" w:bidi="ar-SA"/>
                    </w:rPr>
                  </w:pPr>
                </w:p>
              </w:tc>
            </w:tr>
            <w:tr w14:paraId="69DE6F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298" w:type="pct"/>
                  <w:vMerge w:val="continue"/>
                  <w:tcBorders>
                    <w:tl2br w:val="nil"/>
                    <w:tr2bl w:val="nil"/>
                  </w:tcBorders>
                  <w:shd w:val="clear" w:color="auto" w:fill="auto"/>
                  <w:vAlign w:val="center"/>
                </w:tcPr>
                <w:p w14:paraId="364465FB">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27D9633A">
                  <w:pPr>
                    <w:jc w:val="center"/>
                    <w:rPr>
                      <w:rFonts w:hint="default" w:ascii="Times New Roman" w:hAnsi="Times New Roman" w:cs="Times New Roman" w:eastAsiaTheme="minorEastAsia"/>
                      <w:color w:val="auto"/>
                      <w:kern w:val="2"/>
                      <w:sz w:val="21"/>
                      <w:szCs w:val="21"/>
                      <w:lang w:val="en-US" w:eastAsia="en-US" w:bidi="ar-SA"/>
                    </w:rPr>
                  </w:pPr>
                </w:p>
              </w:tc>
              <w:tc>
                <w:tcPr>
                  <w:tcW w:w="305" w:type="pct"/>
                  <w:vMerge w:val="restart"/>
                  <w:tcBorders>
                    <w:tl2br w:val="nil"/>
                    <w:tr2bl w:val="nil"/>
                  </w:tcBorders>
                  <w:shd w:val="clear" w:color="auto" w:fill="auto"/>
                  <w:vAlign w:val="center"/>
                </w:tcPr>
                <w:p w14:paraId="2A3227E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有组</w:t>
                  </w:r>
                  <w:r>
                    <w:rPr>
                      <w:rFonts w:hint="default" w:ascii="Times New Roman" w:hAnsi="Times New Roman" w:cs="Times New Roman" w:eastAsiaTheme="minorEastAsia"/>
                      <w:color w:val="auto"/>
                      <w:kern w:val="2"/>
                      <w:sz w:val="21"/>
                      <w:szCs w:val="21"/>
                      <w:lang w:val="en-US" w:eastAsia="zh-CN" w:bidi="ar-SA"/>
                    </w:rPr>
                    <w:br w:type="textWrapping"/>
                  </w:r>
                  <w:r>
                    <w:rPr>
                      <w:rFonts w:hint="default" w:ascii="Times New Roman" w:hAnsi="Times New Roman" w:cs="Times New Roman" w:eastAsiaTheme="minorEastAsia"/>
                      <w:color w:val="auto"/>
                      <w:kern w:val="2"/>
                      <w:sz w:val="21"/>
                      <w:szCs w:val="21"/>
                      <w:lang w:val="en-US" w:eastAsia="zh-CN" w:bidi="ar-SA"/>
                    </w:rPr>
                    <w:t>织</w:t>
                  </w:r>
                </w:p>
              </w:tc>
              <w:tc>
                <w:tcPr>
                  <w:tcW w:w="443" w:type="pct"/>
                  <w:tcBorders>
                    <w:tl2br w:val="nil"/>
                    <w:tr2bl w:val="nil"/>
                  </w:tcBorders>
                  <w:shd w:val="clear" w:color="auto" w:fill="auto"/>
                  <w:vAlign w:val="center"/>
                </w:tcPr>
                <w:p w14:paraId="16F23E64">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氨</w:t>
                  </w:r>
                </w:p>
              </w:tc>
              <w:tc>
                <w:tcPr>
                  <w:tcW w:w="572" w:type="pct"/>
                  <w:tcBorders>
                    <w:tl2br w:val="nil"/>
                    <w:tr2bl w:val="nil"/>
                  </w:tcBorders>
                  <w:shd w:val="clear" w:color="auto" w:fill="auto"/>
                  <w:vAlign w:val="center"/>
                </w:tcPr>
                <w:p w14:paraId="486838BD">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4.9</w:t>
                  </w:r>
                </w:p>
              </w:tc>
              <w:tc>
                <w:tcPr>
                  <w:tcW w:w="462" w:type="pct"/>
                  <w:tcBorders>
                    <w:tl2br w:val="nil"/>
                    <w:tr2bl w:val="nil"/>
                  </w:tcBorders>
                  <w:shd w:val="clear" w:color="auto" w:fill="auto"/>
                  <w:vAlign w:val="center"/>
                </w:tcPr>
                <w:p w14:paraId="3C41A52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kg/h</w:t>
                  </w:r>
                </w:p>
              </w:tc>
              <w:tc>
                <w:tcPr>
                  <w:tcW w:w="887" w:type="pct"/>
                  <w:tcBorders>
                    <w:tl2br w:val="nil"/>
                    <w:tr2bl w:val="nil"/>
                  </w:tcBorders>
                  <w:shd w:val="clear" w:color="auto" w:fill="auto"/>
                  <w:vAlign w:val="center"/>
                </w:tcPr>
                <w:p w14:paraId="0492550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排放速率</w:t>
                  </w:r>
                </w:p>
              </w:tc>
              <w:tc>
                <w:tcPr>
                  <w:tcW w:w="1708" w:type="pct"/>
                  <w:vMerge w:val="restart"/>
                  <w:tcBorders>
                    <w:tl2br w:val="nil"/>
                    <w:tr2bl w:val="nil"/>
                  </w:tcBorders>
                  <w:shd w:val="clear" w:color="auto" w:fill="auto"/>
                  <w:vAlign w:val="center"/>
                </w:tcPr>
                <w:p w14:paraId="13CF7C9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《恶臭污染物排放标准》(GB14554-93)中表2恶臭污染物排放标准值</w:t>
                  </w:r>
                </w:p>
              </w:tc>
            </w:tr>
            <w:tr w14:paraId="244817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98" w:type="pct"/>
                  <w:vMerge w:val="continue"/>
                  <w:tcBorders>
                    <w:tl2br w:val="nil"/>
                    <w:tr2bl w:val="nil"/>
                  </w:tcBorders>
                  <w:shd w:val="clear" w:color="auto" w:fill="auto"/>
                  <w:vAlign w:val="center"/>
                </w:tcPr>
                <w:p w14:paraId="03C1206B">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3810CC1E">
                  <w:pPr>
                    <w:jc w:val="center"/>
                    <w:rPr>
                      <w:rFonts w:hint="default" w:ascii="Times New Roman" w:hAnsi="Times New Roman" w:cs="Times New Roman" w:eastAsiaTheme="minorEastAsia"/>
                      <w:color w:val="auto"/>
                      <w:kern w:val="2"/>
                      <w:sz w:val="21"/>
                      <w:szCs w:val="21"/>
                      <w:lang w:val="en-US" w:eastAsia="en-US" w:bidi="ar-SA"/>
                    </w:rPr>
                  </w:pPr>
                </w:p>
              </w:tc>
              <w:tc>
                <w:tcPr>
                  <w:tcW w:w="305" w:type="pct"/>
                  <w:vMerge w:val="continue"/>
                  <w:tcBorders>
                    <w:tl2br w:val="nil"/>
                    <w:tr2bl w:val="nil"/>
                  </w:tcBorders>
                  <w:shd w:val="clear" w:color="auto" w:fill="auto"/>
                  <w:vAlign w:val="center"/>
                </w:tcPr>
                <w:p w14:paraId="4C9080B3">
                  <w:pPr>
                    <w:jc w:val="center"/>
                    <w:rPr>
                      <w:rFonts w:hint="default" w:ascii="Times New Roman" w:hAnsi="Times New Roman" w:cs="Times New Roman" w:eastAsiaTheme="minorEastAsia"/>
                      <w:color w:val="auto"/>
                      <w:kern w:val="2"/>
                      <w:sz w:val="21"/>
                      <w:szCs w:val="21"/>
                      <w:lang w:val="en-US" w:eastAsia="en-US" w:bidi="ar-SA"/>
                    </w:rPr>
                  </w:pPr>
                </w:p>
              </w:tc>
              <w:tc>
                <w:tcPr>
                  <w:tcW w:w="443" w:type="pct"/>
                  <w:tcBorders>
                    <w:tl2br w:val="nil"/>
                    <w:tr2bl w:val="nil"/>
                  </w:tcBorders>
                  <w:shd w:val="clear" w:color="auto" w:fill="auto"/>
                  <w:vAlign w:val="center"/>
                </w:tcPr>
                <w:p w14:paraId="32DB592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硫化氢</w:t>
                  </w:r>
                </w:p>
              </w:tc>
              <w:tc>
                <w:tcPr>
                  <w:tcW w:w="572" w:type="pct"/>
                  <w:tcBorders>
                    <w:tl2br w:val="nil"/>
                    <w:tr2bl w:val="nil"/>
                  </w:tcBorders>
                  <w:shd w:val="clear" w:color="auto" w:fill="auto"/>
                  <w:vAlign w:val="center"/>
                </w:tcPr>
                <w:p w14:paraId="14513274">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0.33</w:t>
                  </w:r>
                </w:p>
              </w:tc>
              <w:tc>
                <w:tcPr>
                  <w:tcW w:w="462" w:type="pct"/>
                  <w:tcBorders>
                    <w:tl2br w:val="nil"/>
                    <w:tr2bl w:val="nil"/>
                  </w:tcBorders>
                  <w:shd w:val="clear" w:color="auto" w:fill="auto"/>
                  <w:vAlign w:val="center"/>
                </w:tcPr>
                <w:p w14:paraId="2562795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kg/h</w:t>
                  </w:r>
                </w:p>
              </w:tc>
              <w:tc>
                <w:tcPr>
                  <w:tcW w:w="887" w:type="pct"/>
                  <w:tcBorders>
                    <w:tl2br w:val="nil"/>
                    <w:tr2bl w:val="nil"/>
                  </w:tcBorders>
                  <w:shd w:val="clear" w:color="auto" w:fill="auto"/>
                  <w:vAlign w:val="center"/>
                </w:tcPr>
                <w:p w14:paraId="3ED96D8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排放速率</w:t>
                  </w:r>
                </w:p>
              </w:tc>
              <w:tc>
                <w:tcPr>
                  <w:tcW w:w="1708" w:type="pct"/>
                  <w:vMerge w:val="continue"/>
                  <w:tcBorders>
                    <w:tl2br w:val="nil"/>
                    <w:tr2bl w:val="nil"/>
                  </w:tcBorders>
                  <w:shd w:val="clear" w:color="auto" w:fill="auto"/>
                  <w:vAlign w:val="center"/>
                </w:tcPr>
                <w:p w14:paraId="1E7B12DB">
                  <w:pPr>
                    <w:jc w:val="center"/>
                    <w:rPr>
                      <w:rFonts w:hint="default" w:ascii="Times New Roman" w:hAnsi="Times New Roman" w:cs="Times New Roman" w:eastAsiaTheme="minorEastAsia"/>
                      <w:color w:val="auto"/>
                      <w:kern w:val="2"/>
                      <w:sz w:val="21"/>
                      <w:szCs w:val="21"/>
                      <w:lang w:val="en-US" w:eastAsia="en-US" w:bidi="ar-SA"/>
                    </w:rPr>
                  </w:pPr>
                </w:p>
              </w:tc>
            </w:tr>
            <w:tr w14:paraId="47DCE1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298" w:type="pct"/>
                  <w:vMerge w:val="continue"/>
                  <w:tcBorders>
                    <w:tl2br w:val="nil"/>
                    <w:tr2bl w:val="nil"/>
                  </w:tcBorders>
                  <w:shd w:val="clear" w:color="auto" w:fill="auto"/>
                  <w:vAlign w:val="center"/>
                </w:tcPr>
                <w:p w14:paraId="1C3465F4">
                  <w:pPr>
                    <w:jc w:val="center"/>
                    <w:rPr>
                      <w:rFonts w:hint="default" w:ascii="Times New Roman" w:hAnsi="Times New Roman" w:cs="Times New Roman" w:eastAsiaTheme="minorEastAsia"/>
                      <w:color w:val="auto"/>
                      <w:kern w:val="2"/>
                      <w:sz w:val="21"/>
                      <w:szCs w:val="21"/>
                      <w:lang w:val="en-US" w:eastAsia="en-US" w:bidi="ar-SA"/>
                    </w:rPr>
                  </w:pPr>
                </w:p>
              </w:tc>
              <w:tc>
                <w:tcPr>
                  <w:tcW w:w="322" w:type="pct"/>
                  <w:vMerge w:val="continue"/>
                  <w:tcBorders>
                    <w:tl2br w:val="nil"/>
                    <w:tr2bl w:val="nil"/>
                  </w:tcBorders>
                  <w:shd w:val="clear" w:color="auto" w:fill="auto"/>
                  <w:vAlign w:val="center"/>
                </w:tcPr>
                <w:p w14:paraId="79F66E14">
                  <w:pPr>
                    <w:jc w:val="center"/>
                    <w:rPr>
                      <w:rFonts w:hint="default" w:ascii="Times New Roman" w:hAnsi="Times New Roman" w:cs="Times New Roman" w:eastAsiaTheme="minorEastAsia"/>
                      <w:color w:val="auto"/>
                      <w:kern w:val="2"/>
                      <w:sz w:val="21"/>
                      <w:szCs w:val="21"/>
                      <w:lang w:val="en-US" w:eastAsia="en-US" w:bidi="ar-SA"/>
                    </w:rPr>
                  </w:pPr>
                </w:p>
              </w:tc>
              <w:tc>
                <w:tcPr>
                  <w:tcW w:w="305" w:type="pct"/>
                  <w:vMerge w:val="continue"/>
                  <w:tcBorders>
                    <w:tl2br w:val="nil"/>
                    <w:tr2bl w:val="nil"/>
                  </w:tcBorders>
                  <w:shd w:val="clear" w:color="auto" w:fill="auto"/>
                  <w:vAlign w:val="center"/>
                </w:tcPr>
                <w:p w14:paraId="3235DED2">
                  <w:pPr>
                    <w:jc w:val="center"/>
                    <w:rPr>
                      <w:rFonts w:hint="default" w:ascii="Times New Roman" w:hAnsi="Times New Roman" w:cs="Times New Roman" w:eastAsiaTheme="minorEastAsia"/>
                      <w:color w:val="auto"/>
                      <w:kern w:val="2"/>
                      <w:sz w:val="21"/>
                      <w:szCs w:val="21"/>
                      <w:lang w:val="en-US" w:eastAsia="en-US" w:bidi="ar-SA"/>
                    </w:rPr>
                  </w:pPr>
                </w:p>
              </w:tc>
              <w:tc>
                <w:tcPr>
                  <w:tcW w:w="443" w:type="pct"/>
                  <w:tcBorders>
                    <w:tl2br w:val="nil"/>
                    <w:tr2bl w:val="nil"/>
                  </w:tcBorders>
                  <w:shd w:val="clear" w:color="auto" w:fill="auto"/>
                  <w:vAlign w:val="center"/>
                </w:tcPr>
                <w:p w14:paraId="0FF11263">
                  <w:pPr>
                    <w:jc w:val="center"/>
                    <w:rPr>
                      <w:rFonts w:hint="default" w:ascii="Times New Roman" w:hAnsi="Times New Roman" w:cs="Times New Roman" w:eastAsiaTheme="minorEastAsia"/>
                      <w:color w:val="auto"/>
                      <w:kern w:val="2"/>
                      <w:sz w:val="21"/>
                      <w:szCs w:val="21"/>
                      <w:lang w:val="en-US" w:eastAsia="en-US" w:bidi="ar-SA"/>
                    </w:rPr>
                  </w:pPr>
                </w:p>
              </w:tc>
              <w:tc>
                <w:tcPr>
                  <w:tcW w:w="572" w:type="pct"/>
                  <w:tcBorders>
                    <w:tl2br w:val="nil"/>
                    <w:tr2bl w:val="nil"/>
                  </w:tcBorders>
                  <w:shd w:val="clear" w:color="auto" w:fill="auto"/>
                  <w:vAlign w:val="center"/>
                </w:tcPr>
                <w:p w14:paraId="401E0823">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15</w:t>
                  </w:r>
                </w:p>
              </w:tc>
              <w:tc>
                <w:tcPr>
                  <w:tcW w:w="462" w:type="pct"/>
                  <w:tcBorders>
                    <w:tl2br w:val="nil"/>
                    <w:tr2bl w:val="nil"/>
                  </w:tcBorders>
                  <w:shd w:val="clear" w:color="auto" w:fill="auto"/>
                  <w:vAlign w:val="center"/>
                </w:tcPr>
                <w:p w14:paraId="6C566693">
                  <w:pPr>
                    <w:keepNext w:val="0"/>
                    <w:keepLines w:val="0"/>
                    <w:widowControl/>
                    <w:suppressLineNumbers w:val="0"/>
                    <w:ind w:firstLineChars="100"/>
                    <w:jc w:val="center"/>
                    <w:textAlignment w:val="top"/>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m</w:t>
                  </w:r>
                </w:p>
              </w:tc>
              <w:tc>
                <w:tcPr>
                  <w:tcW w:w="887" w:type="pct"/>
                  <w:tcBorders>
                    <w:tl2br w:val="nil"/>
                    <w:tr2bl w:val="nil"/>
                  </w:tcBorders>
                  <w:shd w:val="clear" w:color="auto" w:fill="auto"/>
                  <w:vAlign w:val="center"/>
                </w:tcPr>
                <w:p w14:paraId="19B0710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en-US" w:bidi="ar-SA"/>
                    </w:rPr>
                  </w:pPr>
                  <w:r>
                    <w:rPr>
                      <w:rFonts w:hint="default" w:ascii="Times New Roman" w:hAnsi="Times New Roman" w:cs="Times New Roman" w:eastAsiaTheme="minorEastAsia"/>
                      <w:color w:val="auto"/>
                      <w:kern w:val="2"/>
                      <w:sz w:val="21"/>
                      <w:szCs w:val="21"/>
                      <w:lang w:val="en-US" w:eastAsia="zh-CN" w:bidi="ar-SA"/>
                    </w:rPr>
                    <w:t>排气筒高度</w:t>
                  </w:r>
                </w:p>
              </w:tc>
              <w:tc>
                <w:tcPr>
                  <w:tcW w:w="1708" w:type="pct"/>
                  <w:vMerge w:val="continue"/>
                  <w:tcBorders>
                    <w:tl2br w:val="nil"/>
                    <w:tr2bl w:val="nil"/>
                  </w:tcBorders>
                  <w:shd w:val="clear" w:color="auto" w:fill="auto"/>
                  <w:vAlign w:val="center"/>
                </w:tcPr>
                <w:p w14:paraId="6DFDEAF9">
                  <w:pPr>
                    <w:jc w:val="center"/>
                    <w:rPr>
                      <w:rFonts w:hint="default" w:ascii="Times New Roman" w:hAnsi="Times New Roman" w:cs="Times New Roman" w:eastAsiaTheme="minorEastAsia"/>
                      <w:color w:val="auto"/>
                      <w:kern w:val="2"/>
                      <w:sz w:val="21"/>
                      <w:szCs w:val="21"/>
                      <w:lang w:val="en-US" w:eastAsia="en-US" w:bidi="ar-SA"/>
                    </w:rPr>
                  </w:pPr>
                </w:p>
              </w:tc>
            </w:tr>
          </w:tbl>
          <w:p w14:paraId="691F0F3E">
            <w:pPr>
              <w:spacing w:line="360" w:lineRule="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2、噪声排放标准</w:t>
            </w:r>
          </w:p>
          <w:p w14:paraId="0373F279">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本项目施工期噪声执行《建筑施工场界环境噪声排放标准》（GB12523-2011）；运营期项目厂界噪声执行《工业企业厂界环境噪声排放标准》（GB12348-2008）中</w:t>
            </w:r>
            <w:r>
              <w:rPr>
                <w:rFonts w:hint="default" w:ascii="Times New Roman" w:hAnsi="Times New Roman"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类标准</w:t>
            </w:r>
            <w:r>
              <w:rPr>
                <w:rFonts w:hint="default" w:ascii="Times New Roman" w:hAnsi="Times New Roman" w:eastAsia="宋体" w:cs="Times New Roman"/>
                <w:bCs/>
                <w:color w:val="auto"/>
                <w:sz w:val="24"/>
                <w:szCs w:val="24"/>
              </w:rPr>
              <w:t>。</w:t>
            </w:r>
          </w:p>
          <w:p w14:paraId="5FA11B11">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表3-4  建筑施工场界环境噪声排放标准单位：dB（A）</w:t>
            </w:r>
          </w:p>
          <w:tbl>
            <w:tblPr>
              <w:tblStyle w:val="34"/>
              <w:tblW w:w="797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4419"/>
            </w:tblGrid>
            <w:tr w14:paraId="507AD4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553" w:type="dxa"/>
                  <w:noWrap w:val="0"/>
                  <w:vAlign w:val="center"/>
                </w:tcPr>
                <w:p w14:paraId="3CEEE49E">
                  <w:pPr>
                    <w:pStyle w:val="78"/>
                    <w:bidi w:val="0"/>
                    <w:rPr>
                      <w:rFonts w:hint="default" w:ascii="Times New Roman" w:hAnsi="Times New Roman" w:cs="Times New Roman"/>
                      <w:color w:val="auto"/>
                    </w:rPr>
                  </w:pPr>
                  <w:r>
                    <w:rPr>
                      <w:rFonts w:hint="default" w:ascii="Times New Roman" w:hAnsi="Times New Roman" w:cs="Times New Roman"/>
                      <w:color w:val="auto"/>
                    </w:rPr>
                    <w:t>昼间</w:t>
                  </w:r>
                </w:p>
              </w:tc>
              <w:tc>
                <w:tcPr>
                  <w:tcW w:w="4419" w:type="dxa"/>
                  <w:noWrap w:val="0"/>
                  <w:vAlign w:val="center"/>
                </w:tcPr>
                <w:p w14:paraId="5F6E2818">
                  <w:pPr>
                    <w:pStyle w:val="78"/>
                    <w:bidi w:val="0"/>
                    <w:rPr>
                      <w:rFonts w:hint="default" w:ascii="Times New Roman" w:hAnsi="Times New Roman" w:cs="Times New Roman"/>
                      <w:color w:val="auto"/>
                    </w:rPr>
                  </w:pPr>
                  <w:r>
                    <w:rPr>
                      <w:rFonts w:hint="default" w:ascii="Times New Roman" w:hAnsi="Times New Roman" w:cs="Times New Roman"/>
                      <w:color w:val="auto"/>
                    </w:rPr>
                    <w:t>夜间</w:t>
                  </w:r>
                </w:p>
              </w:tc>
            </w:tr>
            <w:tr w14:paraId="5364E4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53" w:type="dxa"/>
                  <w:noWrap w:val="0"/>
                  <w:vAlign w:val="center"/>
                </w:tcPr>
                <w:p w14:paraId="57ED7AA0">
                  <w:pPr>
                    <w:pStyle w:val="78"/>
                    <w:bidi w:val="0"/>
                    <w:rPr>
                      <w:rFonts w:hint="default" w:ascii="Times New Roman" w:hAnsi="Times New Roman" w:cs="Times New Roman"/>
                      <w:color w:val="auto"/>
                    </w:rPr>
                  </w:pPr>
                  <w:r>
                    <w:rPr>
                      <w:rFonts w:hint="default" w:ascii="Times New Roman" w:hAnsi="Times New Roman" w:cs="Times New Roman"/>
                      <w:color w:val="auto"/>
                    </w:rPr>
                    <w:t>70</w:t>
                  </w:r>
                </w:p>
              </w:tc>
              <w:tc>
                <w:tcPr>
                  <w:tcW w:w="4419" w:type="dxa"/>
                  <w:noWrap w:val="0"/>
                  <w:vAlign w:val="center"/>
                </w:tcPr>
                <w:p w14:paraId="4FC81CA0">
                  <w:pPr>
                    <w:pStyle w:val="78"/>
                    <w:bidi w:val="0"/>
                    <w:rPr>
                      <w:rFonts w:hint="default" w:ascii="Times New Roman" w:hAnsi="Times New Roman" w:cs="Times New Roman"/>
                      <w:color w:val="auto"/>
                    </w:rPr>
                  </w:pPr>
                  <w:r>
                    <w:rPr>
                      <w:rFonts w:hint="default" w:ascii="Times New Roman" w:hAnsi="Times New Roman" w:cs="Times New Roman"/>
                      <w:color w:val="auto"/>
                    </w:rPr>
                    <w:t>55</w:t>
                  </w:r>
                </w:p>
              </w:tc>
            </w:tr>
          </w:tbl>
          <w:p w14:paraId="52019F37">
            <w:pPr>
              <w:ind w:firstLine="420" w:firstLineChars="200"/>
              <w:jc w:val="center"/>
              <w:rPr>
                <w:rFonts w:hint="default" w:ascii="Times New Roman" w:hAnsi="Times New Roman" w:eastAsia="黑体" w:cs="Times New Roman"/>
                <w:b w:val="0"/>
                <w:bCs w:val="0"/>
                <w:color w:val="auto"/>
                <w:szCs w:val="21"/>
                <w:highlight w:val="none"/>
                <w:lang w:val="en-US" w:eastAsia="zh-CN"/>
              </w:rPr>
            </w:pPr>
            <w:r>
              <w:rPr>
                <w:rFonts w:hint="default" w:ascii="Times New Roman" w:hAnsi="Times New Roman" w:eastAsia="黑体" w:cs="Times New Roman"/>
                <w:b w:val="0"/>
                <w:bCs w:val="0"/>
                <w:color w:val="auto"/>
                <w:szCs w:val="21"/>
                <w:highlight w:val="none"/>
                <w:lang w:val="en-US" w:eastAsia="zh-CN"/>
              </w:rPr>
              <w:t>表3-5  工业企业厂界环境噪声排放标准单位：dB（A）</w:t>
            </w:r>
          </w:p>
          <w:tbl>
            <w:tblPr>
              <w:tblStyle w:val="34"/>
              <w:tblW w:w="7971"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00"/>
              <w:gridCol w:w="2303"/>
              <w:gridCol w:w="3268"/>
            </w:tblGrid>
            <w:tr w14:paraId="7F026AD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00" w:type="dxa"/>
                  <w:noWrap w:val="0"/>
                  <w:vAlign w:val="center"/>
                </w:tcPr>
                <w:p w14:paraId="08EC04CA">
                  <w:pPr>
                    <w:pStyle w:val="78"/>
                    <w:bidi w:val="0"/>
                    <w:rPr>
                      <w:rFonts w:hint="default" w:ascii="Times New Roman" w:hAnsi="Times New Roman" w:cs="Times New Roman"/>
                      <w:color w:val="auto"/>
                    </w:rPr>
                  </w:pPr>
                  <w:r>
                    <w:rPr>
                      <w:rFonts w:hint="default" w:ascii="Times New Roman" w:hAnsi="Times New Roman" w:cs="Times New Roman"/>
                      <w:color w:val="auto"/>
                    </w:rPr>
                    <w:t>厂界外声环境功能区类别</w:t>
                  </w:r>
                </w:p>
              </w:tc>
              <w:tc>
                <w:tcPr>
                  <w:tcW w:w="2303" w:type="dxa"/>
                  <w:noWrap w:val="0"/>
                  <w:vAlign w:val="center"/>
                </w:tcPr>
                <w:p w14:paraId="199DF0FC">
                  <w:pPr>
                    <w:pStyle w:val="78"/>
                    <w:bidi w:val="0"/>
                    <w:rPr>
                      <w:rFonts w:hint="default" w:ascii="Times New Roman" w:hAnsi="Times New Roman" w:cs="Times New Roman"/>
                      <w:color w:val="auto"/>
                    </w:rPr>
                  </w:pPr>
                  <w:r>
                    <w:rPr>
                      <w:rFonts w:hint="default" w:ascii="Times New Roman" w:hAnsi="Times New Roman" w:cs="Times New Roman"/>
                      <w:color w:val="auto"/>
                    </w:rPr>
                    <w:t>昼间</w:t>
                  </w:r>
                </w:p>
              </w:tc>
              <w:tc>
                <w:tcPr>
                  <w:tcW w:w="3268" w:type="dxa"/>
                  <w:noWrap w:val="0"/>
                  <w:vAlign w:val="center"/>
                </w:tcPr>
                <w:p w14:paraId="6C82CE3F">
                  <w:pPr>
                    <w:pStyle w:val="78"/>
                    <w:bidi w:val="0"/>
                    <w:rPr>
                      <w:rFonts w:hint="default" w:ascii="Times New Roman" w:hAnsi="Times New Roman" w:cs="Times New Roman"/>
                      <w:color w:val="auto"/>
                    </w:rPr>
                  </w:pPr>
                  <w:r>
                    <w:rPr>
                      <w:rFonts w:hint="default" w:ascii="Times New Roman" w:hAnsi="Times New Roman" w:cs="Times New Roman"/>
                      <w:color w:val="auto"/>
                    </w:rPr>
                    <w:t>夜间</w:t>
                  </w:r>
                </w:p>
              </w:tc>
            </w:tr>
            <w:tr w14:paraId="418990C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00" w:type="dxa"/>
                  <w:noWrap w:val="0"/>
                  <w:vAlign w:val="center"/>
                </w:tcPr>
                <w:p w14:paraId="5CDD2855">
                  <w:pPr>
                    <w:pStyle w:val="78"/>
                    <w:bidi w:val="0"/>
                    <w:rPr>
                      <w:rFonts w:hint="default" w:ascii="Times New Roman" w:hAnsi="Times New Roman"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类</w:t>
                  </w:r>
                </w:p>
              </w:tc>
              <w:tc>
                <w:tcPr>
                  <w:tcW w:w="2303" w:type="dxa"/>
                  <w:noWrap w:val="0"/>
                  <w:vAlign w:val="center"/>
                </w:tcPr>
                <w:p w14:paraId="10EC0760">
                  <w:pPr>
                    <w:pStyle w:val="7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3268" w:type="dxa"/>
                  <w:noWrap w:val="0"/>
                  <w:vAlign w:val="center"/>
                </w:tcPr>
                <w:p w14:paraId="477C88D4">
                  <w:pPr>
                    <w:pStyle w:val="7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r>
          </w:tbl>
          <w:p w14:paraId="5AD32A7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水污染物</w:t>
            </w:r>
          </w:p>
          <w:p w14:paraId="5052DE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本项目运营期废水主要锅炉制软化水排水、初期雨水及生活污水等，</w:t>
            </w:r>
            <w:r>
              <w:rPr>
                <w:rFonts w:hint="eastAsia" w:cs="Times New Roman"/>
                <w:color w:val="auto"/>
                <w:sz w:val="24"/>
                <w:highlight w:val="none"/>
                <w:u w:val="none"/>
                <w:lang w:val="en-US" w:eastAsia="zh-CN"/>
              </w:rPr>
              <w:t>生活污水进入化粪池处理</w:t>
            </w:r>
            <w:r>
              <w:rPr>
                <w:rFonts w:hint="default" w:ascii="Times New Roman" w:hAnsi="Times New Roman" w:eastAsia="宋体" w:cs="Times New Roman"/>
                <w:color w:val="auto"/>
                <w:sz w:val="24"/>
                <w:highlight w:val="none"/>
                <w:u w:val="none"/>
                <w:lang w:val="en-US" w:eastAsia="zh-CN"/>
              </w:rPr>
              <w:t>后进入项目厌氧发酵系统，无外排。初期雨水经初期雨水收集池收集后，排入项目厌氧发酵系统，无外排。锅炉制软化水排水</w:t>
            </w:r>
            <w:r>
              <w:rPr>
                <w:rFonts w:hint="eastAsia" w:cs="Times New Roman"/>
                <w:color w:val="auto"/>
                <w:sz w:val="24"/>
                <w:highlight w:val="none"/>
                <w:u w:val="none"/>
                <w:lang w:val="en-US" w:eastAsia="zh-CN"/>
              </w:rPr>
              <w:t>进入烘干炉除尘系统补水。</w:t>
            </w:r>
          </w:p>
          <w:p w14:paraId="79B3E87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固体废物</w:t>
            </w:r>
          </w:p>
          <w:p w14:paraId="7D16D0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一般固废执行《一般工业固体废物贮存和填埋污染控制标准》（GB18599-2020）。</w:t>
            </w:r>
          </w:p>
          <w:p w14:paraId="27428ACB">
            <w:pPr>
              <w:snapToGrid w:val="0"/>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rPr>
              <w:t>危险废物执行《危险废物贮存污染物控制标准》（GB18597-2023）中有关规定和要求。</w:t>
            </w:r>
          </w:p>
        </w:tc>
      </w:tr>
      <w:tr w14:paraId="31CB7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noWrap w:val="0"/>
            <w:vAlign w:val="center"/>
          </w:tcPr>
          <w:p w14:paraId="12490CE1">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总量</w:t>
            </w:r>
          </w:p>
          <w:p w14:paraId="410564B2">
            <w:pPr>
              <w:adjustRightInd w:val="0"/>
              <w:snapToGrid w:val="0"/>
              <w:jc w:val="center"/>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控制</w:t>
            </w:r>
          </w:p>
          <w:p w14:paraId="0FA78C99">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kern w:val="0"/>
                <w:sz w:val="24"/>
              </w:rPr>
              <w:t>指标</w:t>
            </w:r>
          </w:p>
        </w:tc>
        <w:tc>
          <w:tcPr>
            <w:tcW w:w="8190" w:type="dxa"/>
            <w:noWrap w:val="0"/>
            <w:vAlign w:val="center"/>
          </w:tcPr>
          <w:p w14:paraId="358159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val="en-US" w:eastAsia="zh-CN"/>
              </w:rPr>
              <w:t>次评价</w:t>
            </w:r>
            <w:r>
              <w:rPr>
                <w:rFonts w:hint="default" w:ascii="Times New Roman" w:hAnsi="Times New Roman" w:eastAsia="宋体" w:cs="Times New Roman"/>
                <w:color w:val="auto"/>
                <w:sz w:val="24"/>
                <w:szCs w:val="24"/>
                <w:highlight w:val="none"/>
                <w:lang w:val="en-US"/>
              </w:rPr>
              <w:t>建议</w:t>
            </w:r>
            <w:r>
              <w:rPr>
                <w:rFonts w:hint="default" w:ascii="Times New Roman" w:hAnsi="Times New Roman" w:cs="Times New Roman"/>
                <w:color w:val="auto"/>
                <w:sz w:val="24"/>
                <w:szCs w:val="24"/>
                <w:highlight w:val="none"/>
                <w:lang w:val="en-US" w:eastAsia="zh-CN"/>
              </w:rPr>
              <w:t>许可排放量</w:t>
            </w:r>
            <w:r>
              <w:rPr>
                <w:rFonts w:hint="default" w:ascii="Times New Roman" w:hAnsi="Times New Roman" w:eastAsia="宋体" w:cs="Times New Roman"/>
                <w:color w:val="auto"/>
                <w:sz w:val="24"/>
                <w:szCs w:val="24"/>
                <w:highlight w:val="none"/>
                <w:lang w:val="en-US"/>
              </w:rPr>
              <w:t>如下：</w:t>
            </w:r>
          </w:p>
          <w:p w14:paraId="5DE2290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黑体" w:cs="Times New Roman"/>
                <w:color w:val="auto"/>
                <w:kern w:val="2"/>
                <w:sz w:val="21"/>
                <w:szCs w:val="21"/>
                <w:lang w:val="en-US" w:eastAsia="zh-CN" w:bidi="ar-SA"/>
              </w:rPr>
            </w:pPr>
            <w:r>
              <w:rPr>
                <w:rFonts w:hint="default" w:ascii="Times New Roman" w:hAnsi="Times New Roman" w:eastAsia="黑体" w:cs="Times New Roman"/>
                <w:color w:val="auto"/>
                <w:kern w:val="2"/>
                <w:sz w:val="21"/>
                <w:szCs w:val="21"/>
                <w:lang w:val="en-US" w:eastAsia="zh-CN" w:bidi="ar-SA"/>
              </w:rPr>
              <w:t>表3-6  许可排放量统计表</w:t>
            </w:r>
          </w:p>
          <w:tbl>
            <w:tblPr>
              <w:tblStyle w:val="35"/>
              <w:tblW w:w="7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3276"/>
              <w:gridCol w:w="3276"/>
            </w:tblGrid>
            <w:tr w14:paraId="34FF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0" w:type="dxa"/>
                  <w:noWrap w:val="0"/>
                  <w:vAlign w:val="top"/>
                </w:tcPr>
                <w:p w14:paraId="2031F5CA">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3276" w:type="dxa"/>
                  <w:noWrap w:val="0"/>
                  <w:vAlign w:val="top"/>
                </w:tcPr>
                <w:p w14:paraId="419BF1ED">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3276" w:type="dxa"/>
                  <w:tcBorders>
                    <w:right w:val="nil"/>
                  </w:tcBorders>
                  <w:noWrap w:val="0"/>
                  <w:vAlign w:val="top"/>
                </w:tcPr>
                <w:p w14:paraId="711EF20B">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许可排放量（t/a）</w:t>
                  </w:r>
                </w:p>
              </w:tc>
            </w:tr>
            <w:tr w14:paraId="3D07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tcBorders>
                    <w:left w:val="nil"/>
                  </w:tcBorders>
                  <w:noWrap w:val="0"/>
                  <w:vAlign w:val="top"/>
                </w:tcPr>
                <w:p w14:paraId="3D15D023">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3276" w:type="dxa"/>
                  <w:noWrap w:val="0"/>
                  <w:vAlign w:val="top"/>
                </w:tcPr>
                <w:p w14:paraId="6DA8A73F">
                  <w:pPr>
                    <w:pStyle w:val="77"/>
                    <w:bidi w:val="0"/>
                    <w:rPr>
                      <w:rFonts w:hint="default" w:ascii="Times New Roman" w:hAnsi="Times New Roman" w:cs="Times New Roman"/>
                      <w:color w:val="auto"/>
                      <w:vertAlign w:val="subscript"/>
                      <w:lang w:val="en-US" w:eastAsia="zh-CN"/>
                    </w:rPr>
                  </w:pP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X</w:t>
                  </w:r>
                </w:p>
              </w:tc>
              <w:tc>
                <w:tcPr>
                  <w:tcW w:w="3276" w:type="dxa"/>
                  <w:tcBorders>
                    <w:right w:val="nil"/>
                  </w:tcBorders>
                  <w:noWrap w:val="0"/>
                  <w:vAlign w:val="center"/>
                </w:tcPr>
                <w:p w14:paraId="300F5654">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11.164</w:t>
                  </w:r>
                </w:p>
              </w:tc>
            </w:tr>
          </w:tbl>
          <w:p w14:paraId="53FB2C5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lang w:eastAsia="zh-CN"/>
              </w:rPr>
            </w:pPr>
          </w:p>
        </w:tc>
      </w:tr>
    </w:tbl>
    <w:p w14:paraId="3EA092EB">
      <w:pPr>
        <w:pStyle w:val="31"/>
        <w:jc w:val="center"/>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snapToGrid w:val="0"/>
          <w:color w:val="auto"/>
          <w:sz w:val="36"/>
          <w:szCs w:val="36"/>
        </w:rPr>
        <w:br w:type="page"/>
      </w:r>
      <w:r>
        <w:rPr>
          <w:rFonts w:hint="default" w:ascii="Times New Roman" w:hAnsi="Times New Roman" w:eastAsia="宋体" w:cs="Times New Roman"/>
          <w:b/>
          <w:bCs/>
          <w:snapToGrid w:val="0"/>
          <w:color w:val="auto"/>
          <w:sz w:val="30"/>
          <w:szCs w:val="30"/>
        </w:rPr>
        <w:t>四、主要环境影响和保护措施</w:t>
      </w:r>
    </w:p>
    <w:tbl>
      <w:tblPr>
        <w:tblStyle w:val="35"/>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8647"/>
      </w:tblGrid>
      <w:tr w14:paraId="682D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Align w:val="center"/>
          </w:tcPr>
          <w:p w14:paraId="596DD08B">
            <w:pPr>
              <w:pStyle w:val="31"/>
              <w:adjustRightInd w:val="0"/>
              <w:snapToGrid w:val="0"/>
              <w:spacing w:before="0" w:beforeAutospacing="0" w:after="0" w:afterAutospacing="0"/>
              <w:jc w:val="center"/>
              <w:rPr>
                <w:rFonts w:hint="default" w:ascii="Times New Roman" w:hAnsi="Times New Roman" w:eastAsia="宋体" w:cs="Times New Roman"/>
                <w:b/>
                <w:color w:val="auto"/>
                <w:kern w:val="2"/>
                <w:szCs w:val="24"/>
              </w:rPr>
            </w:pPr>
            <w:r>
              <w:rPr>
                <w:rFonts w:hint="default" w:ascii="Times New Roman" w:hAnsi="Times New Roman" w:eastAsia="宋体" w:cs="Times New Roman"/>
                <w:b/>
                <w:color w:val="auto"/>
                <w:kern w:val="2"/>
                <w:szCs w:val="24"/>
              </w:rPr>
              <w:t>施工</w:t>
            </w:r>
          </w:p>
          <w:p w14:paraId="1D16427C">
            <w:pPr>
              <w:pStyle w:val="31"/>
              <w:adjustRightInd w:val="0"/>
              <w:snapToGrid w:val="0"/>
              <w:spacing w:before="0" w:beforeAutospacing="0" w:after="0" w:afterAutospacing="0"/>
              <w:jc w:val="center"/>
              <w:rPr>
                <w:rFonts w:hint="default" w:ascii="Times New Roman" w:hAnsi="Times New Roman" w:eastAsia="宋体" w:cs="Times New Roman"/>
                <w:b/>
                <w:color w:val="auto"/>
                <w:kern w:val="2"/>
                <w:szCs w:val="24"/>
              </w:rPr>
            </w:pPr>
            <w:r>
              <w:rPr>
                <w:rFonts w:hint="default" w:ascii="Times New Roman" w:hAnsi="Times New Roman" w:eastAsia="宋体" w:cs="Times New Roman"/>
                <w:b/>
                <w:color w:val="auto"/>
                <w:kern w:val="2"/>
                <w:szCs w:val="24"/>
              </w:rPr>
              <w:t>期环</w:t>
            </w:r>
          </w:p>
          <w:p w14:paraId="70ABC608">
            <w:pPr>
              <w:pStyle w:val="31"/>
              <w:adjustRightInd w:val="0"/>
              <w:snapToGrid w:val="0"/>
              <w:spacing w:before="0" w:beforeAutospacing="0" w:after="0" w:afterAutospacing="0"/>
              <w:jc w:val="center"/>
              <w:rPr>
                <w:rFonts w:hint="default" w:ascii="Times New Roman" w:hAnsi="Times New Roman" w:eastAsia="宋体" w:cs="Times New Roman"/>
                <w:b/>
                <w:color w:val="auto"/>
                <w:kern w:val="2"/>
                <w:szCs w:val="24"/>
              </w:rPr>
            </w:pPr>
            <w:r>
              <w:rPr>
                <w:rFonts w:hint="default" w:ascii="Times New Roman" w:hAnsi="Times New Roman" w:eastAsia="宋体" w:cs="Times New Roman"/>
                <w:b/>
                <w:color w:val="auto"/>
                <w:kern w:val="2"/>
                <w:szCs w:val="24"/>
              </w:rPr>
              <w:t>境保</w:t>
            </w:r>
          </w:p>
          <w:p w14:paraId="2FC139E9">
            <w:pPr>
              <w:pStyle w:val="31"/>
              <w:adjustRightInd w:val="0"/>
              <w:snapToGrid w:val="0"/>
              <w:spacing w:before="0" w:beforeAutospacing="0" w:after="0" w:afterAutospacing="0"/>
              <w:jc w:val="center"/>
              <w:rPr>
                <w:rFonts w:hint="default" w:ascii="Times New Roman" w:hAnsi="Times New Roman" w:eastAsia="宋体" w:cs="Times New Roman"/>
                <w:b/>
                <w:bCs/>
                <w:snapToGrid w:val="0"/>
                <w:color w:val="auto"/>
                <w:sz w:val="30"/>
                <w:szCs w:val="30"/>
                <w:vertAlign w:val="baseline"/>
              </w:rPr>
            </w:pPr>
            <w:r>
              <w:rPr>
                <w:rFonts w:hint="default" w:ascii="Times New Roman" w:hAnsi="Times New Roman" w:eastAsia="宋体" w:cs="Times New Roman"/>
                <w:b/>
                <w:color w:val="auto"/>
                <w:kern w:val="2"/>
                <w:szCs w:val="24"/>
              </w:rPr>
              <w:t>护措施</w:t>
            </w:r>
          </w:p>
        </w:tc>
        <w:tc>
          <w:tcPr>
            <w:tcW w:w="8654" w:type="dxa"/>
          </w:tcPr>
          <w:p w14:paraId="5E60260E">
            <w:pPr>
              <w:spacing w:line="360" w:lineRule="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1</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施工期废气</w:t>
            </w:r>
            <w:r>
              <w:rPr>
                <w:rFonts w:hint="default" w:ascii="Times New Roman" w:hAnsi="Times New Roman" w:cs="Times New Roman"/>
                <w:b/>
                <w:bCs/>
                <w:color w:val="auto"/>
                <w:sz w:val="24"/>
                <w:lang w:val="en-US" w:eastAsia="zh-CN"/>
              </w:rPr>
              <w:t>回顾性分析</w:t>
            </w:r>
          </w:p>
          <w:p w14:paraId="5479199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本项目施工期产生的</w:t>
            </w:r>
            <w:r>
              <w:rPr>
                <w:rFonts w:hint="default" w:ascii="Times New Roman" w:hAnsi="Times New Roman" w:cs="Times New Roman"/>
                <w:color w:val="auto"/>
                <w:sz w:val="24"/>
                <w:szCs w:val="24"/>
                <w:lang w:eastAsia="zh-CN"/>
              </w:rPr>
              <w:t>空气污染物</w:t>
            </w:r>
            <w:r>
              <w:rPr>
                <w:rFonts w:hint="default" w:ascii="Times New Roman" w:hAnsi="Times New Roman" w:eastAsia="宋体" w:cs="Times New Roman"/>
                <w:color w:val="auto"/>
                <w:sz w:val="24"/>
                <w:szCs w:val="24"/>
              </w:rPr>
              <w:t>主要为施工扬尘，采取治理措施如下：</w:t>
            </w:r>
          </w:p>
          <w:p w14:paraId="7E1C6DC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①合理安排施工现场，露天堆存的沙子、水泥等易扬尘材料应加盖帆布、塑料布等，防止扬尘的扩散。</w:t>
            </w:r>
          </w:p>
          <w:p w14:paraId="5358108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②施工现场道路应指定专人定期洒水，使其保持一定的湿度，防止道路扬尘。</w:t>
            </w:r>
          </w:p>
          <w:p w14:paraId="4EE66B89">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③谨防运输车辆装载过满，不得超出车厢板高度，并采取遮盖、密闭措施减少沿途抛洒、散落；及时清扫散落在路面上的泥土和建筑材料，定期冲洗轮胎，车辆不得带</w:t>
            </w:r>
            <w:r>
              <w:rPr>
                <w:rFonts w:hint="default" w:ascii="Times New Roman" w:hAnsi="Times New Roman" w:cs="Times New Roman"/>
                <w:color w:val="auto"/>
                <w:sz w:val="24"/>
                <w:szCs w:val="24"/>
                <w:lang w:eastAsia="zh-CN"/>
              </w:rPr>
              <w:t>泥沙</w:t>
            </w:r>
            <w:r>
              <w:rPr>
                <w:rFonts w:hint="default" w:ascii="Times New Roman" w:hAnsi="Times New Roman" w:eastAsia="宋体" w:cs="Times New Roman"/>
                <w:color w:val="auto"/>
                <w:sz w:val="24"/>
                <w:szCs w:val="24"/>
              </w:rPr>
              <w:t>出现场。</w:t>
            </w:r>
          </w:p>
          <w:p w14:paraId="354A7F8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通过采取以上扬尘防治措施后，可有效的降低施工扬尘对大气环境的影响。</w:t>
            </w:r>
          </w:p>
          <w:p w14:paraId="457AC3E1">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2.施工</w:t>
            </w:r>
            <w:r>
              <w:rPr>
                <w:rFonts w:hint="default" w:ascii="Times New Roman" w:hAnsi="Times New Roman" w:eastAsia="宋体" w:cs="Times New Roman"/>
                <w:b/>
                <w:bCs/>
                <w:color w:val="auto"/>
                <w:sz w:val="24"/>
              </w:rPr>
              <w:t>水污染控制</w:t>
            </w:r>
            <w:r>
              <w:rPr>
                <w:rFonts w:hint="default" w:ascii="Times New Roman" w:hAnsi="Times New Roman" w:cs="Times New Roman"/>
                <w:b/>
                <w:bCs/>
                <w:color w:val="auto"/>
                <w:sz w:val="24"/>
                <w:lang w:val="en-US" w:eastAsia="zh-CN"/>
              </w:rPr>
              <w:t>回顾性分析</w:t>
            </w:r>
          </w:p>
          <w:p w14:paraId="46B3FC7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(1)施工废水</w:t>
            </w:r>
          </w:p>
          <w:p w14:paraId="6912BA9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项目施工废水经厂区设置的临时沉淀池处理后回用于施工过程或泼洒抑尘，施工废水对周围环境的影响较小。</w:t>
            </w:r>
          </w:p>
          <w:p w14:paraId="7FE2521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cs="Times New Roman"/>
                <w:color w:val="auto"/>
                <w:sz w:val="24"/>
                <w:szCs w:val="24"/>
                <w:lang w:eastAsia="zh-CN"/>
              </w:rPr>
              <w:t>生活污水</w:t>
            </w:r>
          </w:p>
          <w:p w14:paraId="36427CD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施工人员产生的</w:t>
            </w:r>
            <w:r>
              <w:rPr>
                <w:rFonts w:hint="default" w:ascii="Times New Roman" w:hAnsi="Times New Roman" w:cs="Times New Roman"/>
                <w:color w:val="auto"/>
                <w:sz w:val="24"/>
                <w:szCs w:val="24"/>
                <w:lang w:eastAsia="zh-CN"/>
              </w:rPr>
              <w:t>生活污水</w:t>
            </w:r>
            <w:r>
              <w:rPr>
                <w:rFonts w:hint="default" w:ascii="Times New Roman" w:hAnsi="Times New Roman" w:eastAsia="宋体" w:cs="Times New Roman"/>
                <w:color w:val="auto"/>
                <w:sz w:val="24"/>
                <w:szCs w:val="24"/>
              </w:rPr>
              <w:t>水质简单且产生量较小，施工现场设置临时防渗旱厕，盥洗废水水质简单，全部泼洒抑尘，不外排。本项目施工期间产生的废水对区域水环境无明显不利影响。</w:t>
            </w:r>
          </w:p>
          <w:p w14:paraId="21C1FE7B">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3.施工</w:t>
            </w:r>
            <w:r>
              <w:rPr>
                <w:rFonts w:hint="default" w:ascii="Times New Roman" w:hAnsi="Times New Roman" w:eastAsia="宋体" w:cs="Times New Roman"/>
                <w:b/>
                <w:bCs/>
                <w:color w:val="auto"/>
                <w:sz w:val="24"/>
              </w:rPr>
              <w:t>噪声污染</w:t>
            </w:r>
            <w:r>
              <w:rPr>
                <w:rFonts w:hint="default" w:ascii="Times New Roman" w:hAnsi="Times New Roman" w:cs="Times New Roman"/>
                <w:b/>
                <w:bCs/>
                <w:color w:val="auto"/>
                <w:sz w:val="24"/>
                <w:lang w:val="en-US" w:eastAsia="zh-CN"/>
              </w:rPr>
              <w:t>回顾性分析</w:t>
            </w:r>
          </w:p>
          <w:p w14:paraId="75D98DD9">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噪声主要来源于施工机械设备，合理安排施工计划和施工机械设备组合以及施工时间，避免在同一时间集中使用大量的动力机械设备。对施工场地进行合理布局，尽量使高噪声机械设备远离附近的环境敏感点。使用低噪音的设备从根本上控制噪声，加强控制传播与管理等措施，采取以上措施后施工期噪声对周围环境影响较小。</w:t>
            </w:r>
          </w:p>
          <w:p w14:paraId="01A0C3B9">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4.施工</w:t>
            </w:r>
            <w:r>
              <w:rPr>
                <w:rFonts w:hint="default" w:ascii="Times New Roman" w:hAnsi="Times New Roman" w:eastAsia="宋体" w:cs="Times New Roman"/>
                <w:b/>
                <w:bCs/>
                <w:color w:val="auto"/>
                <w:sz w:val="24"/>
              </w:rPr>
              <w:t>固体废物处理处置</w:t>
            </w:r>
            <w:r>
              <w:rPr>
                <w:rFonts w:hint="default" w:ascii="Times New Roman" w:hAnsi="Times New Roman" w:cs="Times New Roman"/>
                <w:b/>
                <w:bCs/>
                <w:color w:val="auto"/>
                <w:sz w:val="24"/>
                <w:lang w:val="en-US" w:eastAsia="zh-CN"/>
              </w:rPr>
              <w:t>回顾性分析</w:t>
            </w:r>
          </w:p>
          <w:p w14:paraId="6E448C4C">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施工期固体废物主要来源于施工人员日常生活产生的生活垃圾、工程弃方及建筑垃圾。</w:t>
            </w:r>
          </w:p>
          <w:p w14:paraId="2B50BA0A">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建筑垃圾及时送至城建部门指定地点进行处理；项目地基开挖产生的土石方可全部用于项目场地的平整，不外排；施工人员产生的生活垃圾集中收集后拉运政府指定生活垃圾暂存点处置。项目施工期产生的固体废物均可</w:t>
            </w:r>
            <w:r>
              <w:rPr>
                <w:rFonts w:hint="default" w:ascii="Times New Roman" w:hAnsi="Times New Roman" w:cs="Times New Roman"/>
                <w:color w:val="auto"/>
                <w:sz w:val="24"/>
                <w:szCs w:val="24"/>
                <w:lang w:eastAsia="zh-CN"/>
              </w:rPr>
              <w:t>得到</w:t>
            </w:r>
            <w:r>
              <w:rPr>
                <w:rFonts w:hint="default" w:ascii="Times New Roman" w:hAnsi="Times New Roman" w:eastAsia="宋体" w:cs="Times New Roman"/>
                <w:color w:val="auto"/>
                <w:sz w:val="24"/>
                <w:szCs w:val="24"/>
              </w:rPr>
              <w:t>合理、有效的处置，施工期固体废物对周围环境影响较小。</w:t>
            </w:r>
          </w:p>
          <w:p w14:paraId="0D26D655">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5、生态环境</w:t>
            </w:r>
          </w:p>
          <w:p w14:paraId="5634FAD3">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bCs/>
                <w:snapToGrid w:val="0"/>
                <w:color w:val="auto"/>
                <w:sz w:val="30"/>
                <w:szCs w:val="30"/>
                <w:vertAlign w:val="baseline"/>
              </w:rPr>
            </w:pPr>
            <w:r>
              <w:rPr>
                <w:rFonts w:hint="default" w:ascii="Times New Roman" w:hAnsi="Times New Roman" w:eastAsia="宋体" w:cs="Times New Roman"/>
                <w:color w:val="auto"/>
                <w:sz w:val="24"/>
                <w:szCs w:val="24"/>
              </w:rPr>
              <w:t>项目周边分布有部分农田，为一般耕地，在施工作业过程、工程临时占地对土地利用、植被、水土流失等产生的影响。项目实施过程中会不同程度</w:t>
            </w:r>
            <w:r>
              <w:rPr>
                <w:rFonts w:hint="default" w:ascii="Times New Roman" w:hAnsi="Times New Roman" w:cs="Times New Roman"/>
                <w:color w:val="auto"/>
                <w:sz w:val="24"/>
                <w:szCs w:val="24"/>
                <w:lang w:eastAsia="zh-CN"/>
              </w:rPr>
              <w:t>地</w:t>
            </w:r>
            <w:r>
              <w:rPr>
                <w:rFonts w:hint="default" w:ascii="Times New Roman" w:hAnsi="Times New Roman" w:eastAsia="宋体" w:cs="Times New Roman"/>
                <w:color w:val="auto"/>
                <w:sz w:val="24"/>
                <w:szCs w:val="24"/>
              </w:rPr>
              <w:t>扰动、损坏原有地貌，破坏土壤结构，破坏原有的地表植被，降低地表植被覆盖度，如果操作不慎可能引起水土流失。但施工期的影响是短期的、可控制的，严格控制施工作业范围，在施工过程中应尽量减少不必要的破坏，对施工人员加强宣传教育，采取以上措施，可将施工期对周边生态环境影响降至最低。</w:t>
            </w:r>
          </w:p>
        </w:tc>
      </w:tr>
      <w:tr w14:paraId="651A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Align w:val="center"/>
          </w:tcPr>
          <w:p w14:paraId="133F5F37">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运营</w:t>
            </w:r>
          </w:p>
          <w:p w14:paraId="02BBCCC7">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期环</w:t>
            </w:r>
          </w:p>
          <w:p w14:paraId="0AFF5506">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境影</w:t>
            </w:r>
          </w:p>
          <w:p w14:paraId="4D014700">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响和</w:t>
            </w:r>
          </w:p>
          <w:p w14:paraId="0EAC75DD">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保护</w:t>
            </w:r>
          </w:p>
          <w:p w14:paraId="3A6653C9">
            <w:pPr>
              <w:pStyle w:val="31"/>
              <w:adjustRightInd w:val="0"/>
              <w:snapToGrid w:val="0"/>
              <w:spacing w:before="0" w:beforeAutospacing="0" w:after="0" w:afterAutospacing="0"/>
              <w:jc w:val="center"/>
              <w:rPr>
                <w:rFonts w:hint="default" w:ascii="Times New Roman" w:hAnsi="Times New Roman" w:eastAsia="宋体" w:cs="Times New Roman"/>
                <w:b/>
                <w:color w:val="auto"/>
                <w:kern w:val="2"/>
                <w:szCs w:val="24"/>
              </w:rPr>
            </w:pPr>
            <w:r>
              <w:rPr>
                <w:rFonts w:hint="default" w:ascii="Times New Roman" w:hAnsi="Times New Roman" w:eastAsia="宋体" w:cs="Times New Roman"/>
                <w:b/>
                <w:bCs/>
                <w:color w:val="auto"/>
                <w:sz w:val="24"/>
              </w:rPr>
              <w:t>措施</w:t>
            </w:r>
          </w:p>
        </w:tc>
        <w:tc>
          <w:tcPr>
            <w:tcW w:w="8654" w:type="dxa"/>
          </w:tcPr>
          <w:p w14:paraId="100D9B39">
            <w:pPr>
              <w:adjustRightInd w:val="0"/>
              <w:snapToGrid w:val="0"/>
              <w:spacing w:line="360" w:lineRule="auto"/>
              <w:rPr>
                <w:rFonts w:hint="default" w:ascii="Times New Roman" w:hAnsi="Times New Roman" w:eastAsia="宋体" w:cs="Times New Roman"/>
                <w:b/>
                <w:bCs/>
                <w:color w:val="auto"/>
                <w:kern w:val="0"/>
                <w:sz w:val="24"/>
                <w:lang w:bidi="ar"/>
              </w:rPr>
            </w:pPr>
            <w:r>
              <w:rPr>
                <w:rFonts w:hint="default" w:ascii="Times New Roman" w:hAnsi="Times New Roman" w:eastAsia="宋体" w:cs="Times New Roman"/>
                <w:b/>
                <w:bCs/>
                <w:color w:val="auto"/>
                <w:kern w:val="0"/>
                <w:sz w:val="24"/>
                <w:lang w:val="en-US" w:eastAsia="zh-CN" w:bidi="ar"/>
              </w:rPr>
              <w:t>1.</w:t>
            </w:r>
            <w:r>
              <w:rPr>
                <w:rFonts w:hint="default" w:ascii="Times New Roman" w:hAnsi="Times New Roman" w:eastAsia="宋体" w:cs="Times New Roman"/>
                <w:b/>
                <w:bCs/>
                <w:color w:val="auto"/>
                <w:kern w:val="0"/>
                <w:sz w:val="24"/>
                <w:lang w:bidi="ar"/>
              </w:rPr>
              <w:t>废气环境影响和保护措施</w:t>
            </w:r>
          </w:p>
          <w:p w14:paraId="53D93E07">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根据工艺分析，项目废气主要为有机废弃物处理过程产生的恶臭气体、发电机组废气、沼气锅炉废气</w:t>
            </w:r>
            <w:r>
              <w:rPr>
                <w:rFonts w:hint="default" w:ascii="Times New Roman" w:hAnsi="Times New Roman" w:cs="Times New Roman"/>
                <w:color w:val="auto"/>
                <w:kern w:val="0"/>
                <w:sz w:val="24"/>
                <w:szCs w:val="24"/>
                <w:highlight w:val="none"/>
                <w:lang w:val="en-US" w:eastAsia="zh-CN"/>
              </w:rPr>
              <w:t>及秸秆破碎产生的粉尘、发酵产生的恶臭气体、烘干工艺粉尘、冷却工序产生的粉尘、SO</w:t>
            </w:r>
            <w:r>
              <w:rPr>
                <w:rFonts w:hint="default" w:ascii="Times New Roman" w:hAnsi="Times New Roman" w:cs="Times New Roman"/>
                <w:color w:val="auto"/>
                <w:kern w:val="0"/>
                <w:sz w:val="24"/>
                <w:szCs w:val="24"/>
                <w:highlight w:val="none"/>
                <w:vertAlign w:val="subscript"/>
                <w:lang w:val="en-US" w:eastAsia="zh-CN"/>
              </w:rPr>
              <w:t>2</w:t>
            </w:r>
            <w:r>
              <w:rPr>
                <w:rFonts w:hint="default" w:ascii="Times New Roman" w:hAnsi="Times New Roman" w:cs="Times New Roman"/>
                <w:color w:val="auto"/>
                <w:kern w:val="0"/>
                <w:sz w:val="24"/>
                <w:szCs w:val="24"/>
                <w:highlight w:val="none"/>
                <w:lang w:val="en-US" w:eastAsia="zh-CN"/>
              </w:rPr>
              <w:t>、NOx、臭气、汽车运输过程产生的扬尘</w:t>
            </w:r>
            <w:r>
              <w:rPr>
                <w:rFonts w:hint="default" w:ascii="Times New Roman" w:hAnsi="Times New Roman" w:eastAsia="宋体" w:cs="Times New Roman"/>
                <w:color w:val="auto"/>
                <w:kern w:val="0"/>
                <w:sz w:val="24"/>
                <w:szCs w:val="24"/>
                <w:highlight w:val="none"/>
              </w:rPr>
              <w:t>。</w:t>
            </w:r>
          </w:p>
          <w:p w14:paraId="70A86D32">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项目畜禽粪便运输过程中应采用密闭车辆运输，减少恶臭污染物对收集点及运输沿线影响；秸秆使用本项目配备的专用车辆收集运输，应选择合理的时间、路线，从而降低恶臭、粉尘等污染影响。</w:t>
            </w:r>
          </w:p>
          <w:p w14:paraId="00775C27">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项目厌氧发酵产生沼气，根据本项目实施方案中核算，项目沼气年产生量约为</w:t>
            </w:r>
            <w:r>
              <w:rPr>
                <w:rFonts w:hint="default" w:ascii="Times New Roman" w:hAnsi="Times New Roman" w:cs="Times New Roman"/>
                <w:color w:val="auto"/>
                <w:kern w:val="0"/>
                <w:sz w:val="24"/>
                <w:szCs w:val="24"/>
                <w:highlight w:val="none"/>
                <w:lang w:val="en-US" w:eastAsia="zh-CN"/>
              </w:rPr>
              <w:t>73</w:t>
            </w:r>
            <w:r>
              <w:rPr>
                <w:rFonts w:hint="default" w:ascii="Times New Roman" w:hAnsi="Times New Roman" w:eastAsia="宋体" w:cs="Times New Roman"/>
                <w:color w:val="auto"/>
                <w:kern w:val="0"/>
                <w:sz w:val="24"/>
                <w:szCs w:val="24"/>
                <w:highlight w:val="none"/>
              </w:rPr>
              <w:t>万m³。其中</w:t>
            </w:r>
            <w:r>
              <w:rPr>
                <w:rFonts w:hint="default" w:ascii="Times New Roman" w:hAnsi="Times New Roman" w:cs="Times New Roman"/>
                <w:color w:val="auto"/>
                <w:kern w:val="0"/>
                <w:sz w:val="24"/>
                <w:szCs w:val="24"/>
                <w:highlight w:val="none"/>
                <w:lang w:val="en-US" w:eastAsia="zh-CN"/>
              </w:rPr>
              <w:t>43.8</w:t>
            </w:r>
            <w:r>
              <w:rPr>
                <w:rFonts w:hint="default" w:ascii="Times New Roman" w:hAnsi="Times New Roman" w:eastAsia="宋体" w:cs="Times New Roman"/>
                <w:color w:val="auto"/>
                <w:kern w:val="0"/>
                <w:sz w:val="24"/>
                <w:szCs w:val="24"/>
                <w:highlight w:val="none"/>
              </w:rPr>
              <w:t>万m³用于沼气发电机组发电，</w:t>
            </w:r>
            <w:r>
              <w:rPr>
                <w:rFonts w:hint="default" w:ascii="Times New Roman" w:hAnsi="Times New Roman" w:cs="Times New Roman"/>
                <w:color w:val="auto"/>
                <w:kern w:val="0"/>
                <w:sz w:val="24"/>
                <w:szCs w:val="24"/>
                <w:highlight w:val="none"/>
                <w:lang w:val="en-US" w:eastAsia="zh-CN"/>
              </w:rPr>
              <w:t>29.2</w:t>
            </w:r>
            <w:r>
              <w:rPr>
                <w:rFonts w:hint="default" w:ascii="Times New Roman" w:hAnsi="Times New Roman" w:eastAsia="宋体" w:cs="Times New Roman"/>
                <w:color w:val="auto"/>
                <w:kern w:val="0"/>
                <w:sz w:val="24"/>
                <w:szCs w:val="24"/>
                <w:highlight w:val="none"/>
              </w:rPr>
              <w:t>万m³用于沼气锅炉。</w:t>
            </w:r>
          </w:p>
          <w:p w14:paraId="7FB13BB3">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1.1恶臭气体</w:t>
            </w:r>
          </w:p>
          <w:p w14:paraId="6D310259">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①</w:t>
            </w:r>
            <w:r>
              <w:rPr>
                <w:rFonts w:hint="default" w:ascii="Times New Roman" w:hAnsi="Times New Roman" w:cs="Times New Roman"/>
                <w:color w:val="auto"/>
                <w:kern w:val="0"/>
                <w:sz w:val="24"/>
                <w:szCs w:val="24"/>
                <w:highlight w:val="none"/>
                <w:lang w:val="en-US" w:eastAsia="zh-CN"/>
              </w:rPr>
              <w:t>沼气系统</w:t>
            </w:r>
            <w:r>
              <w:rPr>
                <w:rFonts w:hint="default" w:ascii="Times New Roman" w:hAnsi="Times New Roman" w:eastAsia="宋体" w:cs="Times New Roman"/>
                <w:color w:val="auto"/>
                <w:kern w:val="0"/>
                <w:sz w:val="24"/>
                <w:szCs w:val="24"/>
                <w:highlight w:val="none"/>
              </w:rPr>
              <w:t>进料池卸料工序恶臭气体</w:t>
            </w:r>
          </w:p>
          <w:p w14:paraId="4554A4EE">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项目备料环节主要由原料畜禽粪污散发有机废弃物恶臭气体。本项目</w:t>
            </w:r>
            <w:r>
              <w:rPr>
                <w:rFonts w:hint="default" w:ascii="Times New Roman" w:hAnsi="Times New Roman" w:cs="Times New Roman"/>
                <w:color w:val="auto"/>
                <w:kern w:val="0"/>
                <w:sz w:val="24"/>
                <w:szCs w:val="24"/>
                <w:highlight w:val="none"/>
                <w:lang w:val="en-US" w:eastAsia="zh-CN"/>
              </w:rPr>
              <w:t>粪污</w:t>
            </w:r>
            <w:r>
              <w:rPr>
                <w:rFonts w:hint="default" w:ascii="Times New Roman" w:hAnsi="Times New Roman" w:eastAsia="宋体" w:cs="Times New Roman"/>
                <w:color w:val="auto"/>
                <w:kern w:val="0"/>
                <w:sz w:val="24"/>
                <w:szCs w:val="24"/>
                <w:highlight w:val="none"/>
              </w:rPr>
              <w:t>进场后，恶臭气体源强参照中国农业科学院2010年发表的学术论文《规模化畜禽养殖场恶臭污染物扩散规律及其防护距离研究》中的经验数据，NH₃的排放浓度一般在0.072g/m²·d</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H₂S的排放浓度一般在0.0043g/m²·d。本项目2座进料池恶臭气体产生区域面积均为</w:t>
            </w:r>
            <w:r>
              <w:rPr>
                <w:rFonts w:hint="default" w:ascii="Times New Roman" w:hAnsi="Times New Roman" w:cs="Times New Roman"/>
                <w:color w:val="auto"/>
                <w:kern w:val="0"/>
                <w:sz w:val="24"/>
                <w:szCs w:val="24"/>
                <w:highlight w:val="none"/>
                <w:lang w:val="en-US" w:eastAsia="zh-CN"/>
              </w:rPr>
              <w:t>56.36</w:t>
            </w:r>
            <w:r>
              <w:rPr>
                <w:rFonts w:hint="default" w:ascii="Times New Roman" w:hAnsi="Times New Roman" w:eastAsia="宋体" w:cs="Times New Roman"/>
                <w:color w:val="auto"/>
                <w:kern w:val="0"/>
                <w:sz w:val="24"/>
                <w:szCs w:val="24"/>
                <w:highlight w:val="none"/>
              </w:rPr>
              <w:t>m²</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则本项目2座进料池卸料工序恶臭气体产生量均为NH₃</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0.0009kg/h</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H₂S</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0.000054kg/h。</w:t>
            </w:r>
          </w:p>
          <w:p w14:paraId="0EE4402A">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进料池内臭气收集为了防止恶臭气体的泄露，池体采用地埋式结构，池内采用微负压臭气收集系统。池体恶臭气体整体采用“车间收集+雾化喷淋除臭剂+UV光催化氧化”除臭工艺对备料环节恶臭气体进行处置，设计风量为10000m³/h。</w:t>
            </w:r>
          </w:p>
          <w:p w14:paraId="5FFD233D">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雾化喷淋除臭剂对恶臭气体的削减率约为50%</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UV光催化氧化对恶臭气体的削减率约为60%</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因此本项目除臭系统对氨和硫化氢的综合处理效率按照80%进行核算。经净化后的废气通过15m高排气筒</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DA001</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排入大气中。</w:t>
            </w:r>
          </w:p>
          <w:p w14:paraId="5332C8A7">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②沼液池恶臭气体</w:t>
            </w:r>
          </w:p>
          <w:p w14:paraId="46877853">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根据沼气工程运行模式，厌氧发酵产生的恶臭气体主要进入储气柜进行利用，沼液储存池内发酵工序为二次发酵，恶臭气体产生量相对较少，产生量约为相同沼液池面积</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700</w:t>
            </w:r>
            <w:r>
              <w:rPr>
                <w:rFonts w:hint="default" w:ascii="Times New Roman" w:hAnsi="Times New Roman" w:eastAsia="宋体" w:cs="Times New Roman"/>
                <w:color w:val="auto"/>
                <w:kern w:val="0"/>
                <w:sz w:val="24"/>
                <w:szCs w:val="24"/>
                <w:highlight w:val="none"/>
              </w:rPr>
              <w:t>m²</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有机废弃物恶臭气体产生量的0.1%</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参照中国农业科学院2010年发表的学术论文《规模化畜禽养殖场恶臭污染物扩散规律及其防护距离研究》中的经验数据，NH₃的排放浓度一般在0.072g/m²d</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H₂S的排放浓度一般在0.0043g/m²</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d。则相同沼液池面积有机废弃物恶臭气体NH₃产生量为0.00</w:t>
            </w:r>
            <w:r>
              <w:rPr>
                <w:rFonts w:hint="default" w:ascii="Times New Roman" w:hAnsi="Times New Roman"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rPr>
              <w:t>kg/h</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H₂S产生量为0.000</w:t>
            </w:r>
            <w:r>
              <w:rPr>
                <w:rFonts w:hint="default" w:ascii="Times New Roman" w:hAnsi="Times New Roman" w:cs="Times New Roman"/>
                <w:color w:val="auto"/>
                <w:kern w:val="0"/>
                <w:sz w:val="24"/>
                <w:szCs w:val="24"/>
                <w:highlight w:val="none"/>
                <w:lang w:val="en-US" w:eastAsia="zh-CN"/>
              </w:rPr>
              <w:t>013</w:t>
            </w:r>
            <w:r>
              <w:rPr>
                <w:rFonts w:hint="default" w:ascii="Times New Roman" w:hAnsi="Times New Roman" w:eastAsia="宋体" w:cs="Times New Roman"/>
                <w:color w:val="auto"/>
                <w:kern w:val="0"/>
                <w:sz w:val="24"/>
                <w:szCs w:val="24"/>
                <w:highlight w:val="none"/>
              </w:rPr>
              <w:t>kg/h。产生量较小，通过添加除臭菌、沼液池周围种植绿化隔离带来进一步抑制恶臭气体。</w:t>
            </w:r>
          </w:p>
          <w:p w14:paraId="5297B76E">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③有机肥生产恶臭气体</w:t>
            </w:r>
          </w:p>
          <w:p w14:paraId="4E838BA0">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有机肥生产过程恶臭</w:t>
            </w:r>
            <w:r>
              <w:rPr>
                <w:rFonts w:hint="default" w:ascii="Times New Roman" w:hAnsi="Times New Roman" w:eastAsia="宋体" w:cs="Times New Roman"/>
                <w:color w:val="auto"/>
                <w:kern w:val="0"/>
                <w:sz w:val="24"/>
                <w:szCs w:val="24"/>
                <w:highlight w:val="none"/>
              </w:rPr>
              <w:t>主要为发酵产生的恶臭，本项目发酵采用好氧发酵，加入的分解酶具有消除腐败和恶臭、预防和抑制病原菌的作用。在发酵、搅拌、翻堆过程会产生恶臭气体，其主要成分是NH₃、H₂S。本项目为保证有机肥中有机质的含量，采取控制发酵温度、物料配比等方法，可有效抑制恶臭气体产生。</w:t>
            </w:r>
          </w:p>
          <w:p w14:paraId="27F08894">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恶臭气体源强参照中国农业科学院2010年发表的学术论文《规模化畜禽养殖场恶臭污染物扩散规律及其防护距离研究》中的经验数据，NH₃的排放浓度一般在0.072g/m²·d</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H₂S的排放浓度一般在0.0043g/m²·d。本项目</w:t>
            </w:r>
            <w:r>
              <w:rPr>
                <w:rFonts w:hint="default" w:ascii="Times New Roman" w:hAnsi="Times New Roman" w:cs="Times New Roman"/>
                <w:color w:val="auto"/>
                <w:kern w:val="0"/>
                <w:sz w:val="24"/>
                <w:szCs w:val="24"/>
                <w:highlight w:val="none"/>
                <w:lang w:val="en-US" w:eastAsia="zh-CN"/>
              </w:rPr>
              <w:t>发酵池</w:t>
            </w:r>
            <w:r>
              <w:rPr>
                <w:rFonts w:hint="default" w:ascii="Times New Roman" w:hAnsi="Times New Roman" w:eastAsia="宋体" w:cs="Times New Roman"/>
                <w:color w:val="auto"/>
                <w:kern w:val="0"/>
                <w:sz w:val="24"/>
                <w:szCs w:val="24"/>
                <w:highlight w:val="none"/>
              </w:rPr>
              <w:t>恶臭气体产生区域面积均为</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lang w:val="en-US" w:eastAsia="zh-CN"/>
              </w:rPr>
              <w:t>00</w:t>
            </w:r>
            <w:r>
              <w:rPr>
                <w:rFonts w:hint="default" w:ascii="Times New Roman" w:hAnsi="Times New Roman" w:eastAsia="宋体" w:cs="Times New Roman"/>
                <w:color w:val="auto"/>
                <w:kern w:val="0"/>
                <w:sz w:val="24"/>
                <w:szCs w:val="24"/>
                <w:highlight w:val="none"/>
              </w:rPr>
              <w:t>m²</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则本项目</w:t>
            </w:r>
            <w:r>
              <w:rPr>
                <w:rFonts w:hint="default" w:ascii="Times New Roman" w:hAnsi="Times New Roman" w:cs="Times New Roman"/>
                <w:color w:val="auto"/>
                <w:kern w:val="0"/>
                <w:sz w:val="24"/>
                <w:szCs w:val="24"/>
                <w:highlight w:val="none"/>
                <w:lang w:val="en-US" w:eastAsia="zh-CN"/>
              </w:rPr>
              <w:t>发酵池</w:t>
            </w:r>
            <w:r>
              <w:rPr>
                <w:rFonts w:hint="default" w:ascii="Times New Roman" w:hAnsi="Times New Roman" w:eastAsia="宋体" w:cs="Times New Roman"/>
                <w:color w:val="auto"/>
                <w:kern w:val="0"/>
                <w:sz w:val="24"/>
                <w:szCs w:val="24"/>
                <w:highlight w:val="none"/>
              </w:rPr>
              <w:t>恶臭气体产生量均为NH₃</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0.00</w:t>
            </w:r>
            <w:r>
              <w:rPr>
                <w:rFonts w:hint="default" w:ascii="Times New Roman" w:hAnsi="Times New Roman" w:cs="Times New Roman"/>
                <w:color w:val="auto"/>
                <w:kern w:val="0"/>
                <w:sz w:val="24"/>
                <w:szCs w:val="24"/>
                <w:highlight w:val="none"/>
                <w:lang w:val="en-US" w:eastAsia="zh-CN"/>
              </w:rPr>
              <w:t>12</w:t>
            </w:r>
            <w:r>
              <w:rPr>
                <w:rFonts w:hint="default" w:ascii="Times New Roman" w:hAnsi="Times New Roman" w:eastAsia="宋体" w:cs="Times New Roman"/>
                <w:color w:val="auto"/>
                <w:kern w:val="0"/>
                <w:sz w:val="24"/>
                <w:szCs w:val="24"/>
                <w:highlight w:val="none"/>
              </w:rPr>
              <w:t>kg/h</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H₂S</w:t>
            </w:r>
            <w:r>
              <w:rPr>
                <w:rFonts w:hint="default"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0.0000</w:t>
            </w:r>
            <w:r>
              <w:rPr>
                <w:rFonts w:hint="default" w:ascii="Times New Roman" w:hAnsi="Times New Roman" w:cs="Times New Roman"/>
                <w:color w:val="auto"/>
                <w:kern w:val="0"/>
                <w:sz w:val="24"/>
                <w:szCs w:val="24"/>
                <w:highlight w:val="none"/>
                <w:lang w:val="en-US" w:eastAsia="zh-CN"/>
              </w:rPr>
              <w:t>07</w:t>
            </w:r>
            <w:r>
              <w:rPr>
                <w:rFonts w:hint="default" w:ascii="Times New Roman" w:hAnsi="Times New Roman" w:eastAsia="宋体" w:cs="Times New Roman"/>
                <w:color w:val="auto"/>
                <w:kern w:val="0"/>
                <w:sz w:val="24"/>
                <w:szCs w:val="24"/>
                <w:highlight w:val="none"/>
              </w:rPr>
              <w:t>kg/h。</w:t>
            </w:r>
            <w:r>
              <w:rPr>
                <w:rFonts w:hint="eastAsia" w:ascii="Times New Roman" w:hAnsi="Times New Roman" w:cs="Times New Roman"/>
                <w:color w:val="auto"/>
                <w:kern w:val="0"/>
                <w:sz w:val="24"/>
                <w:szCs w:val="24"/>
                <w:highlight w:val="none"/>
                <w:lang w:val="en-US" w:eastAsia="zh-CN"/>
              </w:rPr>
              <w:t>产生的恶臭气体经车间内收集后送入生物除臭塔除臭后，经15m排气筒（DA002）排放。</w:t>
            </w:r>
          </w:p>
          <w:p w14:paraId="7EAA7276">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④其他无组织恶臭气体</w:t>
            </w:r>
          </w:p>
          <w:p w14:paraId="214B8A39">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一般情况下经发酵后的沼液、沼渣中各类有机物均已被分解，因此基本不存在臭味。实际运行过程中，由于发酵不充分等因素，仍会有少量臭味产生；厌氧发酵过程中，由于罐体密闭性等原因，亦会有少量恶臭气体逸散；</w:t>
            </w:r>
            <w:r>
              <w:rPr>
                <w:rFonts w:hint="default" w:ascii="Times New Roman" w:hAnsi="Times New Roman" w:cs="Times New Roman"/>
                <w:color w:val="auto"/>
                <w:kern w:val="0"/>
                <w:sz w:val="24"/>
                <w:szCs w:val="24"/>
                <w:highlight w:val="none"/>
                <w:lang w:val="en-US" w:eastAsia="zh-CN"/>
              </w:rPr>
              <w:t>有机肥生产中未收集的恶臭气体；</w:t>
            </w:r>
            <w:r>
              <w:rPr>
                <w:rFonts w:hint="default" w:ascii="Times New Roman" w:hAnsi="Times New Roman" w:eastAsia="宋体" w:cs="Times New Roman"/>
                <w:color w:val="auto"/>
                <w:kern w:val="0"/>
                <w:sz w:val="24"/>
                <w:szCs w:val="24"/>
                <w:highlight w:val="none"/>
              </w:rPr>
              <w:t>以上无组织恶臭气体由于产生量较少，本环评不再进行定量分析，仅对应采取处理措施。</w:t>
            </w:r>
          </w:p>
          <w:p w14:paraId="2A39E4D5">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为进一步降低进料区、厌氧发酵罐、沼液储存池等区域无组织臭气浓度，本项目拟采用纯天然植物提取液及加强厂区绿化进行除臭。雾化设备将纯天然植物提取液喷洒形成具有很大比表面积的小雾粒，吸附空气中的臭气分子进行反应或催化与空气中的氧气反应，生成无味、无二次污染的产物，降低进料区、厌氧发酵罐、沼液储存池等区域恶臭气体浓度。</w:t>
            </w:r>
          </w:p>
          <w:p w14:paraId="4FCE2D6F">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天然植物液已在多个领域开展试验研究，如食品加工行业(陆光立，侯玲娟，郭广寨等，天然植物除臭剂的应用试验，上海应用技术学院学报(自然科学版),2004,4(1),以及</w:t>
            </w:r>
            <w:r>
              <w:rPr>
                <w:rFonts w:hint="default" w:ascii="Times New Roman" w:hAnsi="Times New Roman" w:cs="Times New Roman"/>
                <w:color w:val="auto"/>
                <w:kern w:val="0"/>
                <w:sz w:val="24"/>
                <w:szCs w:val="24"/>
                <w:highlight w:val="none"/>
                <w:lang w:eastAsia="zh-CN"/>
              </w:rPr>
              <w:t>污水处理厂</w:t>
            </w:r>
            <w:r>
              <w:rPr>
                <w:rFonts w:hint="default" w:ascii="Times New Roman" w:hAnsi="Times New Roman" w:eastAsia="宋体" w:cs="Times New Roman"/>
                <w:color w:val="auto"/>
                <w:kern w:val="0"/>
                <w:sz w:val="24"/>
                <w:szCs w:val="24"/>
                <w:highlight w:val="none"/>
              </w:rPr>
              <w:t>恶臭气体治理(卢义程，徐灿华，李天琪等，竹园第一污水处理厂除臭工程设计，中国给水排水，2007,23(16))等。根据天然植物液对NH₃、H₂S、甲硫醇和乙硫醇等处理的实验数据，天然植物液与恶臭气体接触后对NH₃的去除率约为30%,对H₂S的去除率约为44.4%,对甲硫醇的去除率&gt;99%,对乙硫醇去除率&gt;97%,接触4min后，对氨的去除率&gt;90%,甲硫醇、乙硫醇等低于检出限。综上，参考根据《城镇污水处理厂大气污染物排放标准》DB31/982-2016编制说明：植物液喷淋恶臭污染物的去除效率约60%。保守估计，本项目天然植物液喷淋系统对NH₃、H₂S的去除效率可达到50%。</w:t>
            </w:r>
          </w:p>
          <w:p w14:paraId="7255C771">
            <w:pPr>
              <w:pStyle w:val="16"/>
              <w:keepNext w:val="0"/>
              <w:keepLines w:val="0"/>
              <w:pageBreakBefore w:val="0"/>
              <w:widowControl w:val="0"/>
              <w:kinsoku/>
              <w:wordWrap/>
              <w:overflowPunct/>
              <w:topLinePunct w:val="0"/>
              <w:autoSpaceDE w:val="0"/>
              <w:autoSpaceDN w:val="0"/>
              <w:bidi w:val="0"/>
              <w:adjustRightInd w:val="0"/>
              <w:snapToGrid/>
              <w:spacing w:line="240" w:lineRule="atLeast"/>
              <w:ind w:firstLine="0" w:firstLineChars="0"/>
              <w:jc w:val="center"/>
              <w:textAlignment w:val="auto"/>
              <w:rPr>
                <w:rStyle w:val="52"/>
                <w:rFonts w:hint="default" w:ascii="Times New Roman" w:hAnsi="Times New Roman" w:cs="Times New Roman"/>
                <w:color w:val="auto"/>
              </w:rPr>
            </w:pPr>
            <w:r>
              <w:rPr>
                <w:rStyle w:val="52"/>
                <w:rFonts w:hint="default" w:ascii="Times New Roman" w:hAnsi="Times New Roman" w:cs="Times New Roman"/>
                <w:color w:val="auto"/>
              </w:rPr>
              <w:t>表4-</w:t>
            </w:r>
            <w:r>
              <w:rPr>
                <w:rStyle w:val="52"/>
                <w:rFonts w:hint="default" w:ascii="Times New Roman" w:hAnsi="Times New Roman" w:cs="Times New Roman"/>
                <w:color w:val="auto"/>
                <w:lang w:val="en-US" w:eastAsia="zh-CN"/>
              </w:rPr>
              <w:t>1</w:t>
            </w:r>
            <w:r>
              <w:rPr>
                <w:rStyle w:val="52"/>
                <w:rFonts w:hint="default" w:ascii="Times New Roman" w:hAnsi="Times New Roman" w:cs="Times New Roman"/>
                <w:color w:val="auto"/>
              </w:rPr>
              <w:t xml:space="preserve"> </w:t>
            </w:r>
            <w:r>
              <w:rPr>
                <w:rStyle w:val="52"/>
                <w:rFonts w:hint="default" w:ascii="Times New Roman" w:hAnsi="Times New Roman" w:cs="Times New Roman"/>
                <w:color w:val="auto"/>
                <w:lang w:val="en-US" w:eastAsia="zh-CN"/>
              </w:rPr>
              <w:t xml:space="preserve"> </w:t>
            </w:r>
            <w:r>
              <w:rPr>
                <w:rStyle w:val="52"/>
                <w:rFonts w:hint="default" w:ascii="Times New Roman" w:hAnsi="Times New Roman" w:cs="Times New Roman"/>
                <w:color w:val="auto"/>
              </w:rPr>
              <w:t>恶臭气体产排情况统计表</w:t>
            </w:r>
          </w:p>
          <w:tbl>
            <w:tblPr>
              <w:tblStyle w:val="34"/>
              <w:tblW w:w="8256" w:type="dxa"/>
              <w:tblInd w:w="-1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9"/>
              <w:gridCol w:w="569"/>
              <w:gridCol w:w="569"/>
              <w:gridCol w:w="648"/>
              <w:gridCol w:w="569"/>
              <w:gridCol w:w="726"/>
              <w:gridCol w:w="648"/>
              <w:gridCol w:w="569"/>
              <w:gridCol w:w="569"/>
              <w:gridCol w:w="569"/>
              <w:gridCol w:w="648"/>
              <w:gridCol w:w="569"/>
              <w:gridCol w:w="569"/>
              <w:gridCol w:w="570"/>
            </w:tblGrid>
            <w:tr w14:paraId="4CEDCB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782" w:type="dxa"/>
                  <w:vMerge w:val="restart"/>
                  <w:tcBorders>
                    <w:tl2br w:val="nil"/>
                    <w:tr2bl w:val="nil"/>
                  </w:tcBorders>
                  <w:shd w:val="clear" w:color="auto" w:fill="auto"/>
                  <w:noWrap/>
                  <w:vAlign w:val="center"/>
                </w:tcPr>
                <w:p w14:paraId="4DC34DF1">
                  <w:pPr>
                    <w:pStyle w:val="7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产无环节</w:t>
                  </w:r>
                </w:p>
                <w:p w14:paraId="5FC67EDD">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因子</w:t>
                  </w:r>
                </w:p>
              </w:tc>
              <w:tc>
                <w:tcPr>
                  <w:tcW w:w="1204" w:type="dxa"/>
                  <w:gridSpan w:val="2"/>
                  <w:tcBorders>
                    <w:tl2br w:val="nil"/>
                    <w:tr2bl w:val="nil"/>
                  </w:tcBorders>
                  <w:shd w:val="clear" w:color="auto" w:fill="auto"/>
                  <w:noWrap/>
                  <w:vAlign w:val="center"/>
                </w:tcPr>
                <w:p w14:paraId="4C106EAA">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产生速率kg/h</w:t>
                  </w:r>
                </w:p>
              </w:tc>
              <w:tc>
                <w:tcPr>
                  <w:tcW w:w="1109" w:type="dxa"/>
                  <w:gridSpan w:val="2"/>
                  <w:tcBorders>
                    <w:tl2br w:val="nil"/>
                    <w:tr2bl w:val="nil"/>
                  </w:tcBorders>
                  <w:shd w:val="clear" w:color="auto" w:fill="auto"/>
                  <w:noWrap/>
                  <w:vAlign w:val="center"/>
                </w:tcPr>
                <w:p w14:paraId="1934FF97">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产生量t/a</w:t>
                  </w:r>
                </w:p>
              </w:tc>
              <w:tc>
                <w:tcPr>
                  <w:tcW w:w="1244" w:type="dxa"/>
                  <w:gridSpan w:val="2"/>
                  <w:tcBorders>
                    <w:tl2br w:val="nil"/>
                    <w:tr2bl w:val="nil"/>
                  </w:tcBorders>
                  <w:shd w:val="clear" w:color="auto" w:fill="auto"/>
                  <w:noWrap/>
                  <w:vAlign w:val="center"/>
                </w:tcPr>
                <w:p w14:paraId="0962D9C7">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产生浓度mg/m</w:t>
                  </w:r>
                  <w:r>
                    <w:rPr>
                      <w:rFonts w:hint="default" w:ascii="Times New Roman" w:hAnsi="Times New Roman" w:eastAsia="宋体" w:cs="Times New Roman"/>
                      <w:color w:val="auto"/>
                      <w:sz w:val="21"/>
                      <w:szCs w:val="21"/>
                      <w:vertAlign w:val="superscript"/>
                      <w:lang w:val="en-US" w:eastAsia="zh-CN"/>
                    </w:rPr>
                    <w:t>3</w:t>
                  </w:r>
                </w:p>
              </w:tc>
              <w:tc>
                <w:tcPr>
                  <w:tcW w:w="521" w:type="dxa"/>
                  <w:tcBorders>
                    <w:tl2br w:val="nil"/>
                    <w:tr2bl w:val="nil"/>
                  </w:tcBorders>
                  <w:shd w:val="clear" w:color="auto" w:fill="auto"/>
                  <w:noWrap/>
                  <w:vAlign w:val="center"/>
                </w:tcPr>
                <w:p w14:paraId="4E20A6B8">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处理效率</w:t>
                  </w:r>
                </w:p>
              </w:tc>
              <w:tc>
                <w:tcPr>
                  <w:tcW w:w="1109" w:type="dxa"/>
                  <w:gridSpan w:val="2"/>
                  <w:tcBorders>
                    <w:tl2br w:val="nil"/>
                    <w:tr2bl w:val="nil"/>
                  </w:tcBorders>
                  <w:shd w:val="clear" w:color="auto" w:fill="auto"/>
                  <w:noWrap/>
                  <w:vAlign w:val="center"/>
                </w:tcPr>
                <w:p w14:paraId="4A9DFC5F">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排放量t/a</w:t>
                  </w:r>
                </w:p>
              </w:tc>
              <w:tc>
                <w:tcPr>
                  <w:tcW w:w="1244" w:type="dxa"/>
                  <w:gridSpan w:val="2"/>
                  <w:tcBorders>
                    <w:tl2br w:val="nil"/>
                    <w:tr2bl w:val="nil"/>
                  </w:tcBorders>
                  <w:shd w:val="clear" w:color="auto" w:fill="auto"/>
                  <w:noWrap/>
                  <w:vAlign w:val="center"/>
                </w:tcPr>
                <w:p w14:paraId="3B8BFABF">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排放浓度mg/m3</w:t>
                  </w:r>
                </w:p>
              </w:tc>
              <w:tc>
                <w:tcPr>
                  <w:tcW w:w="1043" w:type="dxa"/>
                  <w:gridSpan w:val="2"/>
                  <w:tcBorders>
                    <w:tl2br w:val="nil"/>
                    <w:tr2bl w:val="nil"/>
                  </w:tcBorders>
                  <w:shd w:val="clear" w:color="auto" w:fill="auto"/>
                  <w:noWrap/>
                  <w:vAlign w:val="center"/>
                </w:tcPr>
                <w:p w14:paraId="2A71E79F">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排放速率kg/h</w:t>
                  </w:r>
                </w:p>
              </w:tc>
            </w:tr>
            <w:tr w14:paraId="1CCBF1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dxa"/>
                  <w:vMerge w:val="continue"/>
                  <w:tcBorders>
                    <w:tl2br w:val="nil"/>
                    <w:tr2bl w:val="nil"/>
                  </w:tcBorders>
                  <w:shd w:val="clear" w:color="auto" w:fill="auto"/>
                  <w:noWrap/>
                  <w:vAlign w:val="center"/>
                </w:tcPr>
                <w:p w14:paraId="6C54823A">
                  <w:pPr>
                    <w:pStyle w:val="77"/>
                    <w:bidi w:val="0"/>
                    <w:rPr>
                      <w:rFonts w:hint="default" w:ascii="Times New Roman" w:hAnsi="Times New Roman" w:eastAsia="宋体" w:cs="Times New Roman"/>
                      <w:color w:val="auto"/>
                      <w:sz w:val="21"/>
                      <w:szCs w:val="21"/>
                      <w:lang w:val="en-US" w:eastAsia="zh-CN"/>
                    </w:rPr>
                  </w:pPr>
                </w:p>
              </w:tc>
              <w:tc>
                <w:tcPr>
                  <w:tcW w:w="609" w:type="dxa"/>
                  <w:tcBorders>
                    <w:tl2br w:val="nil"/>
                    <w:tr2bl w:val="nil"/>
                  </w:tcBorders>
                  <w:shd w:val="clear" w:color="auto" w:fill="auto"/>
                  <w:noWrap/>
                  <w:vAlign w:val="center"/>
                </w:tcPr>
                <w:p w14:paraId="2999FAAA">
                  <w:pPr>
                    <w:pStyle w:val="77"/>
                    <w:bidi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595" w:type="dxa"/>
                  <w:tcBorders>
                    <w:tl2br w:val="nil"/>
                    <w:tr2bl w:val="nil"/>
                  </w:tcBorders>
                  <w:shd w:val="clear" w:color="auto" w:fill="auto"/>
                  <w:noWrap/>
                  <w:vAlign w:val="center"/>
                </w:tcPr>
                <w:p w14:paraId="50204D0D">
                  <w:pPr>
                    <w:pStyle w:val="77"/>
                    <w:bidi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baseline"/>
                      <w:lang w:val="en-US" w:eastAsia="zh-CN"/>
                    </w:rPr>
                    <w:t>S</w:t>
                  </w:r>
                </w:p>
              </w:tc>
              <w:tc>
                <w:tcPr>
                  <w:tcW w:w="588" w:type="dxa"/>
                  <w:tcBorders>
                    <w:tl2br w:val="nil"/>
                    <w:tr2bl w:val="nil"/>
                  </w:tcBorders>
                  <w:shd w:val="clear" w:color="auto" w:fill="auto"/>
                  <w:noWrap/>
                  <w:vAlign w:val="center"/>
                </w:tcPr>
                <w:p w14:paraId="78642B7C">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521" w:type="dxa"/>
                  <w:tcBorders>
                    <w:tl2br w:val="nil"/>
                    <w:tr2bl w:val="nil"/>
                  </w:tcBorders>
                  <w:shd w:val="clear" w:color="auto" w:fill="auto"/>
                  <w:noWrap/>
                  <w:vAlign w:val="center"/>
                </w:tcPr>
                <w:p w14:paraId="53791272">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baseline"/>
                      <w:lang w:val="en-US" w:eastAsia="zh-CN"/>
                    </w:rPr>
                    <w:t>S</w:t>
                  </w:r>
                </w:p>
              </w:tc>
              <w:tc>
                <w:tcPr>
                  <w:tcW w:w="656" w:type="dxa"/>
                  <w:tcBorders>
                    <w:tl2br w:val="nil"/>
                    <w:tr2bl w:val="nil"/>
                  </w:tcBorders>
                  <w:shd w:val="clear" w:color="auto" w:fill="auto"/>
                  <w:noWrap/>
                  <w:vAlign w:val="center"/>
                </w:tcPr>
                <w:p w14:paraId="25017D8C">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588" w:type="dxa"/>
                  <w:tcBorders>
                    <w:tl2br w:val="nil"/>
                    <w:tr2bl w:val="nil"/>
                  </w:tcBorders>
                  <w:shd w:val="clear" w:color="auto" w:fill="auto"/>
                  <w:noWrap/>
                  <w:vAlign w:val="center"/>
                </w:tcPr>
                <w:p w14:paraId="74F2451C">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baseline"/>
                      <w:lang w:val="en-US" w:eastAsia="zh-CN"/>
                    </w:rPr>
                    <w:t>S</w:t>
                  </w:r>
                </w:p>
              </w:tc>
              <w:tc>
                <w:tcPr>
                  <w:tcW w:w="521" w:type="dxa"/>
                  <w:tcBorders>
                    <w:tl2br w:val="nil"/>
                    <w:tr2bl w:val="nil"/>
                  </w:tcBorders>
                  <w:shd w:val="clear" w:color="auto" w:fill="auto"/>
                  <w:noWrap/>
                  <w:vAlign w:val="center"/>
                </w:tcPr>
                <w:p w14:paraId="6BB70FA5">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588" w:type="dxa"/>
                  <w:tcBorders>
                    <w:tl2br w:val="nil"/>
                    <w:tr2bl w:val="nil"/>
                  </w:tcBorders>
                  <w:shd w:val="clear" w:color="auto" w:fill="auto"/>
                  <w:noWrap/>
                  <w:vAlign w:val="center"/>
                </w:tcPr>
                <w:p w14:paraId="5FC0E8ED">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baseline"/>
                      <w:lang w:val="en-US" w:eastAsia="zh-CN"/>
                    </w:rPr>
                    <w:t>S</w:t>
                  </w:r>
                </w:p>
              </w:tc>
              <w:tc>
                <w:tcPr>
                  <w:tcW w:w="521" w:type="dxa"/>
                  <w:tcBorders>
                    <w:tl2br w:val="nil"/>
                    <w:tr2bl w:val="nil"/>
                  </w:tcBorders>
                  <w:shd w:val="clear" w:color="auto" w:fill="auto"/>
                  <w:noWrap/>
                  <w:vAlign w:val="center"/>
                </w:tcPr>
                <w:p w14:paraId="241852E2">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656" w:type="dxa"/>
                  <w:tcBorders>
                    <w:tl2br w:val="nil"/>
                    <w:tr2bl w:val="nil"/>
                  </w:tcBorders>
                  <w:shd w:val="clear" w:color="auto" w:fill="auto"/>
                  <w:noWrap/>
                  <w:vAlign w:val="center"/>
                </w:tcPr>
                <w:p w14:paraId="19575BD7">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baseline"/>
                      <w:lang w:val="en-US" w:eastAsia="zh-CN"/>
                    </w:rPr>
                    <w:t>S</w:t>
                  </w:r>
                </w:p>
              </w:tc>
              <w:tc>
                <w:tcPr>
                  <w:tcW w:w="588" w:type="dxa"/>
                  <w:tcBorders>
                    <w:tl2br w:val="nil"/>
                    <w:tr2bl w:val="nil"/>
                  </w:tcBorders>
                  <w:shd w:val="clear" w:color="auto" w:fill="auto"/>
                  <w:noWrap/>
                  <w:vAlign w:val="center"/>
                </w:tcPr>
                <w:p w14:paraId="0D2A3E49">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521" w:type="dxa"/>
                  <w:tcBorders>
                    <w:tl2br w:val="nil"/>
                    <w:tr2bl w:val="nil"/>
                  </w:tcBorders>
                  <w:shd w:val="clear" w:color="auto" w:fill="auto"/>
                  <w:noWrap/>
                  <w:vAlign w:val="center"/>
                </w:tcPr>
                <w:p w14:paraId="6232750F">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baseline"/>
                      <w:lang w:val="en-US" w:eastAsia="zh-CN"/>
                    </w:rPr>
                    <w:t>S</w:t>
                  </w:r>
                </w:p>
              </w:tc>
              <w:tc>
                <w:tcPr>
                  <w:tcW w:w="522" w:type="dxa"/>
                  <w:tcBorders>
                    <w:tl2br w:val="nil"/>
                    <w:tr2bl w:val="nil"/>
                  </w:tcBorders>
                  <w:shd w:val="clear" w:color="auto" w:fill="auto"/>
                  <w:noWrap/>
                  <w:vAlign w:val="center"/>
                </w:tcPr>
                <w:p w14:paraId="180A79F7">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r>
            <w:tr w14:paraId="52EB9F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dxa"/>
                  <w:tcBorders>
                    <w:tl2br w:val="nil"/>
                    <w:tr2bl w:val="nil"/>
                  </w:tcBorders>
                  <w:shd w:val="clear" w:color="auto" w:fill="auto"/>
                  <w:noWrap/>
                  <w:vAlign w:val="center"/>
                </w:tcPr>
                <w:p w14:paraId="6F7254B9">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进料，预处理</w:t>
                  </w:r>
                </w:p>
              </w:tc>
              <w:tc>
                <w:tcPr>
                  <w:tcW w:w="609" w:type="dxa"/>
                  <w:tcBorders>
                    <w:tl2br w:val="nil"/>
                    <w:tr2bl w:val="nil"/>
                  </w:tcBorders>
                  <w:shd w:val="clear" w:color="auto" w:fill="auto"/>
                  <w:noWrap/>
                  <w:vAlign w:val="center"/>
                </w:tcPr>
                <w:p w14:paraId="225EAA4F">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 </w:t>
                  </w:r>
                </w:p>
              </w:tc>
              <w:tc>
                <w:tcPr>
                  <w:tcW w:w="595" w:type="dxa"/>
                  <w:tcBorders>
                    <w:tl2br w:val="nil"/>
                    <w:tr2bl w:val="nil"/>
                  </w:tcBorders>
                  <w:shd w:val="clear" w:color="auto" w:fill="auto"/>
                  <w:noWrap/>
                  <w:vAlign w:val="center"/>
                </w:tcPr>
                <w:p w14:paraId="4C043C46">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 </w:t>
                  </w:r>
                </w:p>
              </w:tc>
              <w:tc>
                <w:tcPr>
                  <w:tcW w:w="588" w:type="dxa"/>
                  <w:tcBorders>
                    <w:tl2br w:val="nil"/>
                    <w:tr2bl w:val="nil"/>
                  </w:tcBorders>
                  <w:shd w:val="clear" w:color="auto" w:fill="auto"/>
                  <w:noWrap/>
                  <w:vAlign w:val="center"/>
                </w:tcPr>
                <w:p w14:paraId="54A8F26B">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1.481 </w:t>
                  </w:r>
                </w:p>
              </w:tc>
              <w:tc>
                <w:tcPr>
                  <w:tcW w:w="521" w:type="dxa"/>
                  <w:tcBorders>
                    <w:tl2br w:val="nil"/>
                    <w:tr2bl w:val="nil"/>
                  </w:tcBorders>
                  <w:shd w:val="clear" w:color="auto" w:fill="auto"/>
                  <w:noWrap/>
                  <w:vAlign w:val="center"/>
                </w:tcPr>
                <w:p w14:paraId="760CC3E6">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0.088 </w:t>
                  </w:r>
                </w:p>
              </w:tc>
              <w:tc>
                <w:tcPr>
                  <w:tcW w:w="656" w:type="dxa"/>
                  <w:tcBorders>
                    <w:tl2br w:val="nil"/>
                    <w:tr2bl w:val="nil"/>
                  </w:tcBorders>
                  <w:shd w:val="clear" w:color="auto" w:fill="auto"/>
                  <w:noWrap/>
                  <w:vAlign w:val="center"/>
                </w:tcPr>
                <w:p w14:paraId="3D8439F9">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16.908 </w:t>
                  </w:r>
                </w:p>
              </w:tc>
              <w:tc>
                <w:tcPr>
                  <w:tcW w:w="588" w:type="dxa"/>
                  <w:tcBorders>
                    <w:tl2br w:val="nil"/>
                    <w:tr2bl w:val="nil"/>
                  </w:tcBorders>
                  <w:shd w:val="clear" w:color="auto" w:fill="auto"/>
                  <w:noWrap/>
                  <w:vAlign w:val="center"/>
                </w:tcPr>
                <w:p w14:paraId="77E16370">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1.010 </w:t>
                  </w:r>
                </w:p>
              </w:tc>
              <w:tc>
                <w:tcPr>
                  <w:tcW w:w="521" w:type="dxa"/>
                  <w:tcBorders>
                    <w:tl2br w:val="nil"/>
                    <w:tr2bl w:val="nil"/>
                  </w:tcBorders>
                  <w:shd w:val="clear" w:color="auto" w:fill="auto"/>
                  <w:noWrap/>
                  <w:vAlign w:val="center"/>
                </w:tcPr>
                <w:p w14:paraId="5082ED14">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0.800 </w:t>
                  </w:r>
                </w:p>
              </w:tc>
              <w:tc>
                <w:tcPr>
                  <w:tcW w:w="588" w:type="dxa"/>
                  <w:tcBorders>
                    <w:tl2br w:val="nil"/>
                    <w:tr2bl w:val="nil"/>
                  </w:tcBorders>
                  <w:shd w:val="clear" w:color="auto" w:fill="auto"/>
                  <w:noWrap/>
                  <w:vAlign w:val="center"/>
                </w:tcPr>
                <w:p w14:paraId="5629DD28">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0.296 </w:t>
                  </w:r>
                </w:p>
              </w:tc>
              <w:tc>
                <w:tcPr>
                  <w:tcW w:w="521" w:type="dxa"/>
                  <w:tcBorders>
                    <w:tl2br w:val="nil"/>
                    <w:tr2bl w:val="nil"/>
                  </w:tcBorders>
                  <w:shd w:val="clear" w:color="auto" w:fill="auto"/>
                  <w:noWrap/>
                  <w:vAlign w:val="center"/>
                </w:tcPr>
                <w:p w14:paraId="5A504BB9">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0.018 </w:t>
                  </w:r>
                </w:p>
              </w:tc>
              <w:tc>
                <w:tcPr>
                  <w:tcW w:w="656" w:type="dxa"/>
                  <w:tcBorders>
                    <w:tl2br w:val="nil"/>
                    <w:tr2bl w:val="nil"/>
                  </w:tcBorders>
                  <w:shd w:val="clear" w:color="auto" w:fill="auto"/>
                  <w:noWrap/>
                  <w:vAlign w:val="center"/>
                </w:tcPr>
                <w:p w14:paraId="5A2D8613">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3.382 </w:t>
                  </w:r>
                </w:p>
              </w:tc>
              <w:tc>
                <w:tcPr>
                  <w:tcW w:w="588" w:type="dxa"/>
                  <w:tcBorders>
                    <w:tl2br w:val="nil"/>
                    <w:tr2bl w:val="nil"/>
                  </w:tcBorders>
                  <w:shd w:val="clear" w:color="auto" w:fill="auto"/>
                  <w:noWrap/>
                  <w:vAlign w:val="center"/>
                </w:tcPr>
                <w:p w14:paraId="31C0AA99">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0.202 </w:t>
                  </w:r>
                </w:p>
              </w:tc>
              <w:tc>
                <w:tcPr>
                  <w:tcW w:w="521" w:type="dxa"/>
                  <w:tcBorders>
                    <w:tl2br w:val="nil"/>
                    <w:tr2bl w:val="nil"/>
                  </w:tcBorders>
                  <w:shd w:val="clear" w:color="auto" w:fill="auto"/>
                  <w:noWrap/>
                  <w:vAlign w:val="center"/>
                </w:tcPr>
                <w:p w14:paraId="5C6237AF">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0.034 </w:t>
                  </w:r>
                </w:p>
              </w:tc>
              <w:tc>
                <w:tcPr>
                  <w:tcW w:w="522" w:type="dxa"/>
                  <w:tcBorders>
                    <w:tl2br w:val="nil"/>
                    <w:tr2bl w:val="nil"/>
                  </w:tcBorders>
                  <w:shd w:val="clear" w:color="auto" w:fill="auto"/>
                  <w:noWrap/>
                  <w:vAlign w:val="center"/>
                </w:tcPr>
                <w:p w14:paraId="340C1E8A">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0.002 </w:t>
                  </w:r>
                </w:p>
              </w:tc>
            </w:tr>
            <w:tr w14:paraId="1776D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dxa"/>
                  <w:tcBorders>
                    <w:tl2br w:val="nil"/>
                    <w:tr2bl w:val="nil"/>
                  </w:tcBorders>
                  <w:shd w:val="clear" w:color="auto" w:fill="auto"/>
                  <w:noWrap/>
                  <w:vAlign w:val="center"/>
                </w:tcPr>
                <w:p w14:paraId="530CCCC5">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沼液池</w:t>
                  </w:r>
                </w:p>
              </w:tc>
              <w:tc>
                <w:tcPr>
                  <w:tcW w:w="609" w:type="dxa"/>
                  <w:tcBorders>
                    <w:tl2br w:val="nil"/>
                    <w:tr2bl w:val="nil"/>
                  </w:tcBorders>
                  <w:shd w:val="clear" w:color="auto" w:fill="auto"/>
                  <w:noWrap/>
                  <w:vAlign w:val="center"/>
                </w:tcPr>
                <w:p w14:paraId="1CEF3DE8">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0.002 </w:t>
                  </w:r>
                </w:p>
              </w:tc>
              <w:tc>
                <w:tcPr>
                  <w:tcW w:w="595" w:type="dxa"/>
                  <w:tcBorders>
                    <w:tl2br w:val="nil"/>
                    <w:tr2bl w:val="nil"/>
                  </w:tcBorders>
                  <w:shd w:val="clear" w:color="auto" w:fill="auto"/>
                  <w:noWrap/>
                  <w:vAlign w:val="center"/>
                </w:tcPr>
                <w:p w14:paraId="3CFF4364">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 </w:t>
                  </w:r>
                </w:p>
              </w:tc>
              <w:tc>
                <w:tcPr>
                  <w:tcW w:w="588" w:type="dxa"/>
                  <w:tcBorders>
                    <w:tl2br w:val="nil"/>
                    <w:tr2bl w:val="nil"/>
                  </w:tcBorders>
                  <w:shd w:val="clear" w:color="auto" w:fill="auto"/>
                  <w:noWrap/>
                  <w:vAlign w:val="center"/>
                </w:tcPr>
                <w:p w14:paraId="708490A2">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18.396 </w:t>
                  </w:r>
                </w:p>
              </w:tc>
              <w:tc>
                <w:tcPr>
                  <w:tcW w:w="521" w:type="dxa"/>
                  <w:tcBorders>
                    <w:tl2br w:val="nil"/>
                    <w:tr2bl w:val="nil"/>
                  </w:tcBorders>
                  <w:shd w:val="clear" w:color="auto" w:fill="auto"/>
                  <w:noWrap/>
                  <w:vAlign w:val="center"/>
                </w:tcPr>
                <w:p w14:paraId="42E3AE14">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1.099 </w:t>
                  </w:r>
                </w:p>
              </w:tc>
              <w:tc>
                <w:tcPr>
                  <w:tcW w:w="656" w:type="dxa"/>
                  <w:tcBorders>
                    <w:tl2br w:val="nil"/>
                    <w:tr2bl w:val="nil"/>
                  </w:tcBorders>
                  <w:shd w:val="clear" w:color="auto" w:fill="auto"/>
                  <w:noWrap/>
                  <w:vAlign w:val="center"/>
                </w:tcPr>
                <w:p w14:paraId="3F9DE0B3">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210.000 </w:t>
                  </w:r>
                </w:p>
              </w:tc>
              <w:tc>
                <w:tcPr>
                  <w:tcW w:w="588" w:type="dxa"/>
                  <w:tcBorders>
                    <w:tl2br w:val="nil"/>
                    <w:tr2bl w:val="nil"/>
                  </w:tcBorders>
                  <w:shd w:val="clear" w:color="auto" w:fill="auto"/>
                  <w:noWrap/>
                  <w:vAlign w:val="center"/>
                </w:tcPr>
                <w:p w14:paraId="4EC48CC1">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12.542 </w:t>
                  </w:r>
                </w:p>
              </w:tc>
              <w:tc>
                <w:tcPr>
                  <w:tcW w:w="521" w:type="dxa"/>
                  <w:tcBorders>
                    <w:tl2br w:val="nil"/>
                    <w:tr2bl w:val="nil"/>
                  </w:tcBorders>
                  <w:shd w:val="clear" w:color="auto" w:fill="auto"/>
                  <w:noWrap/>
                  <w:vAlign w:val="center"/>
                </w:tcPr>
                <w:p w14:paraId="181AF9AB">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0.800 </w:t>
                  </w:r>
                </w:p>
              </w:tc>
              <w:tc>
                <w:tcPr>
                  <w:tcW w:w="588" w:type="dxa"/>
                  <w:tcBorders>
                    <w:tl2br w:val="nil"/>
                    <w:tr2bl w:val="nil"/>
                  </w:tcBorders>
                  <w:shd w:val="clear" w:color="auto" w:fill="auto"/>
                  <w:noWrap/>
                  <w:vAlign w:val="center"/>
                </w:tcPr>
                <w:p w14:paraId="056DE85D">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3.679 </w:t>
                  </w:r>
                </w:p>
              </w:tc>
              <w:tc>
                <w:tcPr>
                  <w:tcW w:w="521" w:type="dxa"/>
                  <w:tcBorders>
                    <w:tl2br w:val="nil"/>
                    <w:tr2bl w:val="nil"/>
                  </w:tcBorders>
                  <w:shd w:val="clear" w:color="auto" w:fill="auto"/>
                  <w:noWrap/>
                  <w:vAlign w:val="center"/>
                </w:tcPr>
                <w:p w14:paraId="65043607">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0.220 </w:t>
                  </w:r>
                </w:p>
              </w:tc>
              <w:tc>
                <w:tcPr>
                  <w:tcW w:w="656" w:type="dxa"/>
                  <w:tcBorders>
                    <w:tl2br w:val="nil"/>
                    <w:tr2bl w:val="nil"/>
                  </w:tcBorders>
                  <w:shd w:val="clear" w:color="auto" w:fill="auto"/>
                  <w:noWrap/>
                  <w:vAlign w:val="center"/>
                </w:tcPr>
                <w:p w14:paraId="420C333C">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42.000 </w:t>
                  </w:r>
                </w:p>
              </w:tc>
              <w:tc>
                <w:tcPr>
                  <w:tcW w:w="588" w:type="dxa"/>
                  <w:tcBorders>
                    <w:tl2br w:val="nil"/>
                    <w:tr2bl w:val="nil"/>
                  </w:tcBorders>
                  <w:shd w:val="clear" w:color="auto" w:fill="auto"/>
                  <w:noWrap/>
                  <w:vAlign w:val="center"/>
                </w:tcPr>
                <w:p w14:paraId="0B5E10CA">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2.508 </w:t>
                  </w:r>
                </w:p>
              </w:tc>
              <w:tc>
                <w:tcPr>
                  <w:tcW w:w="521" w:type="dxa"/>
                  <w:tcBorders>
                    <w:tl2br w:val="nil"/>
                    <w:tr2bl w:val="nil"/>
                  </w:tcBorders>
                  <w:shd w:val="clear" w:color="auto" w:fill="auto"/>
                  <w:noWrap/>
                  <w:vAlign w:val="center"/>
                </w:tcPr>
                <w:p w14:paraId="12B29819">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0.420 </w:t>
                  </w:r>
                </w:p>
              </w:tc>
              <w:tc>
                <w:tcPr>
                  <w:tcW w:w="522" w:type="dxa"/>
                  <w:tcBorders>
                    <w:tl2br w:val="nil"/>
                    <w:tr2bl w:val="nil"/>
                  </w:tcBorders>
                  <w:shd w:val="clear" w:color="auto" w:fill="auto"/>
                  <w:noWrap/>
                  <w:vAlign w:val="center"/>
                </w:tcPr>
                <w:p w14:paraId="2548DB14">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0.025 </w:t>
                  </w:r>
                </w:p>
              </w:tc>
            </w:tr>
            <w:tr w14:paraId="22623F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dxa"/>
                  <w:tcBorders>
                    <w:tl2br w:val="nil"/>
                    <w:tr2bl w:val="nil"/>
                  </w:tcBorders>
                  <w:shd w:val="clear" w:color="auto" w:fill="auto"/>
                  <w:noWrap/>
                  <w:vAlign w:val="center"/>
                </w:tcPr>
                <w:p w14:paraId="43B3158C">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有机肥发酵池</w:t>
                  </w:r>
                </w:p>
              </w:tc>
              <w:tc>
                <w:tcPr>
                  <w:tcW w:w="609" w:type="dxa"/>
                  <w:tcBorders>
                    <w:tl2br w:val="nil"/>
                    <w:tr2bl w:val="nil"/>
                  </w:tcBorders>
                  <w:shd w:val="clear" w:color="auto" w:fill="auto"/>
                  <w:noWrap/>
                  <w:vAlign w:val="center"/>
                </w:tcPr>
                <w:p w14:paraId="6D335234">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0.001 </w:t>
                  </w:r>
                </w:p>
              </w:tc>
              <w:tc>
                <w:tcPr>
                  <w:tcW w:w="595" w:type="dxa"/>
                  <w:tcBorders>
                    <w:tl2br w:val="nil"/>
                    <w:tr2bl w:val="nil"/>
                  </w:tcBorders>
                  <w:shd w:val="clear" w:color="auto" w:fill="auto"/>
                  <w:noWrap/>
                  <w:vAlign w:val="center"/>
                </w:tcPr>
                <w:p w14:paraId="09AB5129">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 </w:t>
                  </w:r>
                </w:p>
              </w:tc>
              <w:tc>
                <w:tcPr>
                  <w:tcW w:w="588" w:type="dxa"/>
                  <w:tcBorders>
                    <w:tl2br w:val="nil"/>
                    <w:tr2bl w:val="nil"/>
                  </w:tcBorders>
                  <w:shd w:val="clear" w:color="auto" w:fill="auto"/>
                  <w:noWrap/>
                  <w:vAlign w:val="center"/>
                </w:tcPr>
                <w:p w14:paraId="3325E952">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10.512 </w:t>
                  </w:r>
                </w:p>
              </w:tc>
              <w:tc>
                <w:tcPr>
                  <w:tcW w:w="521" w:type="dxa"/>
                  <w:tcBorders>
                    <w:tl2br w:val="nil"/>
                    <w:tr2bl w:val="nil"/>
                  </w:tcBorders>
                  <w:shd w:val="clear" w:color="auto" w:fill="auto"/>
                  <w:noWrap/>
                  <w:vAlign w:val="center"/>
                </w:tcPr>
                <w:p w14:paraId="6E9469B5">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0.628 </w:t>
                  </w:r>
                </w:p>
              </w:tc>
              <w:tc>
                <w:tcPr>
                  <w:tcW w:w="656" w:type="dxa"/>
                  <w:tcBorders>
                    <w:tl2br w:val="nil"/>
                    <w:tr2bl w:val="nil"/>
                  </w:tcBorders>
                  <w:shd w:val="clear" w:color="auto" w:fill="auto"/>
                  <w:noWrap/>
                  <w:vAlign w:val="center"/>
                </w:tcPr>
                <w:p w14:paraId="6C0C9A8C">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120.000 </w:t>
                  </w:r>
                </w:p>
              </w:tc>
              <w:tc>
                <w:tcPr>
                  <w:tcW w:w="588" w:type="dxa"/>
                  <w:tcBorders>
                    <w:tl2br w:val="nil"/>
                    <w:tr2bl w:val="nil"/>
                  </w:tcBorders>
                  <w:shd w:val="clear" w:color="auto" w:fill="auto"/>
                  <w:noWrap/>
                  <w:vAlign w:val="center"/>
                </w:tcPr>
                <w:p w14:paraId="7D03119F">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7.167 </w:t>
                  </w:r>
                </w:p>
              </w:tc>
              <w:tc>
                <w:tcPr>
                  <w:tcW w:w="521" w:type="dxa"/>
                  <w:tcBorders>
                    <w:tl2br w:val="nil"/>
                    <w:tr2bl w:val="nil"/>
                  </w:tcBorders>
                  <w:shd w:val="clear" w:color="auto" w:fill="auto"/>
                  <w:noWrap/>
                  <w:vAlign w:val="center"/>
                </w:tcPr>
                <w:p w14:paraId="3D57848B">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0.800 </w:t>
                  </w:r>
                </w:p>
              </w:tc>
              <w:tc>
                <w:tcPr>
                  <w:tcW w:w="588" w:type="dxa"/>
                  <w:tcBorders>
                    <w:tl2br w:val="nil"/>
                    <w:tr2bl w:val="nil"/>
                  </w:tcBorders>
                  <w:shd w:val="clear" w:color="auto" w:fill="auto"/>
                  <w:noWrap/>
                  <w:vAlign w:val="center"/>
                </w:tcPr>
                <w:p w14:paraId="209BC528">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2.102 </w:t>
                  </w:r>
                </w:p>
              </w:tc>
              <w:tc>
                <w:tcPr>
                  <w:tcW w:w="521" w:type="dxa"/>
                  <w:tcBorders>
                    <w:tl2br w:val="nil"/>
                    <w:tr2bl w:val="nil"/>
                  </w:tcBorders>
                  <w:shd w:val="clear" w:color="auto" w:fill="auto"/>
                  <w:noWrap/>
                  <w:vAlign w:val="center"/>
                </w:tcPr>
                <w:p w14:paraId="720295B6">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0.126 </w:t>
                  </w:r>
                </w:p>
              </w:tc>
              <w:tc>
                <w:tcPr>
                  <w:tcW w:w="656" w:type="dxa"/>
                  <w:tcBorders>
                    <w:tl2br w:val="nil"/>
                    <w:tr2bl w:val="nil"/>
                  </w:tcBorders>
                  <w:shd w:val="clear" w:color="auto" w:fill="auto"/>
                  <w:noWrap/>
                  <w:vAlign w:val="center"/>
                </w:tcPr>
                <w:p w14:paraId="63AD9617">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24.000 </w:t>
                  </w:r>
                </w:p>
              </w:tc>
              <w:tc>
                <w:tcPr>
                  <w:tcW w:w="588" w:type="dxa"/>
                  <w:tcBorders>
                    <w:tl2br w:val="nil"/>
                    <w:tr2bl w:val="nil"/>
                  </w:tcBorders>
                  <w:shd w:val="clear" w:color="auto" w:fill="auto"/>
                  <w:noWrap/>
                  <w:vAlign w:val="center"/>
                </w:tcPr>
                <w:p w14:paraId="760682E1">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1.433 </w:t>
                  </w:r>
                </w:p>
              </w:tc>
              <w:tc>
                <w:tcPr>
                  <w:tcW w:w="521" w:type="dxa"/>
                  <w:tcBorders>
                    <w:tl2br w:val="nil"/>
                    <w:tr2bl w:val="nil"/>
                  </w:tcBorders>
                  <w:shd w:val="clear" w:color="auto" w:fill="auto"/>
                  <w:noWrap/>
                  <w:vAlign w:val="center"/>
                </w:tcPr>
                <w:p w14:paraId="0D7B804F">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0.240 </w:t>
                  </w:r>
                </w:p>
              </w:tc>
              <w:tc>
                <w:tcPr>
                  <w:tcW w:w="522" w:type="dxa"/>
                  <w:tcBorders>
                    <w:tl2br w:val="nil"/>
                    <w:tr2bl w:val="nil"/>
                  </w:tcBorders>
                  <w:shd w:val="clear" w:color="auto" w:fill="auto"/>
                  <w:noWrap/>
                  <w:vAlign w:val="center"/>
                </w:tcPr>
                <w:p w14:paraId="71A34432">
                  <w:pPr>
                    <w:pStyle w:val="77"/>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0.014 </w:t>
                  </w:r>
                </w:p>
              </w:tc>
            </w:tr>
          </w:tbl>
          <w:p w14:paraId="09BA557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1.2发电机组废气</w:t>
            </w:r>
          </w:p>
          <w:p w14:paraId="5BF3B2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本项目设有1套80kW发电机组，利用发酵后产生的沼气进行发电，发电过程中会产生一定的污染物，主要为颗粒物、二氧化硫、氮氧化物。</w:t>
            </w:r>
          </w:p>
          <w:p w14:paraId="02945B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本项目沼气年产生量约为73万m³。其中43.8万m³用于沼气发电机组发电，29.2万m³用于沼气锅炉。</w:t>
            </w:r>
          </w:p>
          <w:p w14:paraId="7D1F26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①烟气量</w:t>
            </w:r>
          </w:p>
          <w:p w14:paraId="0D87FA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本项目沼气通过内燃机燃烧发电，且沼气工程产生的沼气经汽水分离器脱水和脱硫塔脱硫处理后成分与天然气成分基本相同，本项目发电机组烟气量核算参照《污染源源强核算技术指南锅炉》(HJ991-2018)“C.4没有元素分析时，理论空气量、湿烟气排放量的经验公式计算，计算公式如下。</w:t>
            </w:r>
          </w:p>
          <w:p w14:paraId="0D664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rPr>
              <w:drawing>
                <wp:inline distT="0" distB="0" distL="114300" distR="114300">
                  <wp:extent cx="5017135" cy="2081530"/>
                  <wp:effectExtent l="0" t="0" r="12065" b="1397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4"/>
                          <a:stretch>
                            <a:fillRect/>
                          </a:stretch>
                        </pic:blipFill>
                        <pic:spPr>
                          <a:xfrm>
                            <a:off x="0" y="0"/>
                            <a:ext cx="5017135" cy="2081530"/>
                          </a:xfrm>
                          <a:prstGeom prst="rect">
                            <a:avLst/>
                          </a:prstGeom>
                          <a:noFill/>
                          <a:ln>
                            <a:noFill/>
                          </a:ln>
                        </pic:spPr>
                      </pic:pic>
                    </a:graphicData>
                  </a:graphic>
                </wp:inline>
              </w:drawing>
            </w:r>
          </w:p>
          <w:p w14:paraId="796D38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式中：Vo—理论空气量，m³/m³；</w:t>
            </w:r>
          </w:p>
          <w:p w14:paraId="13BD93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Q</w:t>
            </w:r>
            <w:r>
              <w:rPr>
                <w:rFonts w:hint="default" w:ascii="Times New Roman" w:hAnsi="Times New Roman" w:cs="Times New Roman"/>
                <w:color w:val="auto"/>
                <w:kern w:val="0"/>
                <w:sz w:val="24"/>
                <w:szCs w:val="24"/>
                <w:vertAlign w:val="subscript"/>
                <w:lang w:val="en-US" w:eastAsia="zh-CN" w:bidi="ar"/>
              </w:rPr>
              <w:t>net,ar</w:t>
            </w:r>
            <w:r>
              <w:rPr>
                <w:rFonts w:hint="default" w:ascii="Times New Roman" w:hAnsi="Times New Roman" w:cs="Times New Roman"/>
                <w:color w:val="auto"/>
                <w:kern w:val="0"/>
                <w:sz w:val="24"/>
                <w:szCs w:val="24"/>
                <w:lang w:val="en-US" w:eastAsia="zh-CN" w:bidi="ar"/>
              </w:rPr>
              <w:t>—收到基低位发热量，kJ/m³，本项目Q</w:t>
            </w:r>
            <w:r>
              <w:rPr>
                <w:rFonts w:hint="default" w:ascii="Times New Roman" w:hAnsi="Times New Roman" w:cs="Times New Roman"/>
                <w:color w:val="auto"/>
                <w:kern w:val="0"/>
                <w:sz w:val="24"/>
                <w:szCs w:val="24"/>
                <w:vertAlign w:val="subscript"/>
                <w:lang w:val="en-US" w:eastAsia="zh-CN" w:bidi="ar"/>
              </w:rPr>
              <w:t>net</w:t>
            </w:r>
            <w:r>
              <w:rPr>
                <w:rFonts w:hint="default" w:ascii="Times New Roman" w:hAnsi="Times New Roman" w:cs="Times New Roman"/>
                <w:color w:val="auto"/>
                <w:kern w:val="0"/>
                <w:sz w:val="24"/>
                <w:szCs w:val="24"/>
                <w:lang w:val="en-US" w:eastAsia="zh-CN" w:bidi="ar"/>
              </w:rPr>
              <w:t>=35.161MJ/m³;</w:t>
            </w:r>
          </w:p>
          <w:p w14:paraId="5A909D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Vs—烟气排放量，m³/m³；</w:t>
            </w:r>
          </w:p>
          <w:p w14:paraId="32E6C6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α—过量空气系数，燃料燃烧时实际空气供给量与理论空气需要量之比值，燃气锅炉的过剩空气系数为1.6。</w:t>
            </w:r>
          </w:p>
          <w:p w14:paraId="695DBF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则Vo=8.89Nm³/m³；Vs=14.73m³/m³。本项目发电机组产生废气量为1075.29万m³/a。</w:t>
            </w:r>
          </w:p>
          <w:p w14:paraId="5D4BC8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沼气燃烧产生的污染物排放量参照《排放源统计调查产排污核算方法和系数手册》中生物质能发电行业—沼气的污染物产排系数。</w:t>
            </w:r>
          </w:p>
          <w:p w14:paraId="185E46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②颗粒物</w:t>
            </w:r>
          </w:p>
          <w:p w14:paraId="720410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颗粒物产排污系数为5.75×10</w:t>
            </w:r>
            <w:r>
              <w:rPr>
                <w:rFonts w:hint="default" w:ascii="Times New Roman" w:hAnsi="Times New Roman" w:cs="Times New Roman"/>
                <w:color w:val="auto"/>
                <w:kern w:val="0"/>
                <w:sz w:val="24"/>
                <w:szCs w:val="24"/>
                <w:vertAlign w:val="superscript"/>
                <w:lang w:val="en-US" w:eastAsia="zh-CN" w:bidi="ar"/>
              </w:rPr>
              <w:t>-5</w:t>
            </w:r>
            <w:r>
              <w:rPr>
                <w:rFonts w:hint="default" w:ascii="Times New Roman" w:hAnsi="Times New Roman" w:cs="Times New Roman"/>
                <w:color w:val="auto"/>
                <w:kern w:val="0"/>
                <w:sz w:val="24"/>
                <w:szCs w:val="24"/>
                <w:lang w:val="en-US" w:eastAsia="zh-CN" w:bidi="ar"/>
              </w:rPr>
              <w:t>kg/m³原料，发电机组年利用沼气43.8万m³。年产生颗粒物量为24.40kg/a，产生浓度为2.27mg/m³；通过8m高排气筒（DA00</w:t>
            </w:r>
            <w:r>
              <w:rPr>
                <w:rFonts w:hint="eastAsia" w:cs="Times New Roman"/>
                <w:color w:val="auto"/>
                <w:kern w:val="0"/>
                <w:sz w:val="24"/>
                <w:szCs w:val="24"/>
                <w:lang w:val="en-US" w:eastAsia="zh-CN" w:bidi="ar"/>
              </w:rPr>
              <w:t>3</w:t>
            </w:r>
            <w:r>
              <w:rPr>
                <w:rFonts w:hint="default" w:ascii="Times New Roman" w:hAnsi="Times New Roman" w:cs="Times New Roman"/>
                <w:color w:val="auto"/>
                <w:kern w:val="0"/>
                <w:sz w:val="24"/>
                <w:szCs w:val="24"/>
                <w:lang w:val="en-US" w:eastAsia="zh-CN" w:bidi="ar"/>
              </w:rPr>
              <w:t>）排出，则颗粒物排放量为24.40kg/a，排放浓度为2.27mg/m³。</w:t>
            </w:r>
          </w:p>
          <w:p w14:paraId="31703D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③氮氧化物</w:t>
            </w:r>
          </w:p>
          <w:p w14:paraId="6D5C58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氮氧化物产排污系数为2.74×10</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kg/m³原料，发电机组年利用沼气43.8万m³。年产生氮氧化物量为1200.12kg/a，产生浓度为111.61mg/m³；经加装低氮燃烧器后通过8m高排气筒（DA00</w:t>
            </w:r>
            <w:r>
              <w:rPr>
                <w:rFonts w:hint="eastAsia" w:cs="Times New Roman"/>
                <w:color w:val="auto"/>
                <w:kern w:val="0"/>
                <w:sz w:val="24"/>
                <w:szCs w:val="24"/>
                <w:lang w:val="en-US" w:eastAsia="zh-CN" w:bidi="ar"/>
              </w:rPr>
              <w:t>3</w:t>
            </w:r>
            <w:r>
              <w:rPr>
                <w:rFonts w:hint="default" w:ascii="Times New Roman" w:hAnsi="Times New Roman" w:cs="Times New Roman"/>
                <w:color w:val="auto"/>
                <w:kern w:val="0"/>
                <w:sz w:val="24"/>
                <w:szCs w:val="24"/>
                <w:lang w:val="en-US" w:eastAsia="zh-CN" w:bidi="ar"/>
              </w:rPr>
              <w:t>）排出，则氮氧化物排放量为0.9t/a，排放浓度为83.71mg/m³。</w:t>
            </w:r>
          </w:p>
          <w:p w14:paraId="2A94FB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④二氧化硫</w:t>
            </w:r>
          </w:p>
          <w:p w14:paraId="31CF48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二氧化硫产排污系数为8.36×10</w:t>
            </w:r>
            <w:r>
              <w:rPr>
                <w:rFonts w:hint="default" w:ascii="Times New Roman" w:hAnsi="Times New Roman" w:cs="Times New Roman"/>
                <w:color w:val="auto"/>
                <w:kern w:val="0"/>
                <w:sz w:val="24"/>
                <w:szCs w:val="24"/>
                <w:vertAlign w:val="superscript"/>
                <w:lang w:val="en-US" w:eastAsia="zh-CN" w:bidi="ar"/>
              </w:rPr>
              <w:t>-5</w:t>
            </w:r>
            <w:r>
              <w:rPr>
                <w:rFonts w:hint="default" w:ascii="Times New Roman" w:hAnsi="Times New Roman" w:cs="Times New Roman"/>
                <w:color w:val="auto"/>
                <w:kern w:val="0"/>
                <w:sz w:val="24"/>
                <w:szCs w:val="24"/>
                <w:lang w:val="en-US" w:eastAsia="zh-CN" w:bidi="ar"/>
              </w:rPr>
              <w:t>kg/m³原料，发电机组年利用沼气43.8万m³。年产生二氧化硫量为36.62kg/a，产生浓度为3.41mg/m³；通过8m高排气筒（DA00</w:t>
            </w:r>
            <w:r>
              <w:rPr>
                <w:rFonts w:hint="eastAsia" w:cs="Times New Roman"/>
                <w:color w:val="auto"/>
                <w:kern w:val="0"/>
                <w:sz w:val="24"/>
                <w:szCs w:val="24"/>
                <w:lang w:val="en-US" w:eastAsia="zh-CN" w:bidi="ar"/>
              </w:rPr>
              <w:t>3</w:t>
            </w:r>
            <w:r>
              <w:rPr>
                <w:rFonts w:hint="default" w:ascii="Times New Roman" w:hAnsi="Times New Roman" w:cs="Times New Roman"/>
                <w:color w:val="auto"/>
                <w:kern w:val="0"/>
                <w:sz w:val="24"/>
                <w:szCs w:val="24"/>
                <w:lang w:val="en-US" w:eastAsia="zh-CN" w:bidi="ar"/>
              </w:rPr>
              <w:t>）排出，则二氧化硫排放量为36.62kg/a，排放浓度为3.41mg/m³。</w:t>
            </w:r>
          </w:p>
          <w:p w14:paraId="1F3A5AE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1.3沼气锅炉废气</w:t>
            </w:r>
          </w:p>
          <w:p w14:paraId="3C0E3D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根据设计要求沼气工程产生的沼气经汽水分离器脱水和脱硫塔脱硫处理后成分与天然气成分基本相同，沼气锅炉燃烧产生的污染物排放量参照《污染源源强核算技术指南锅炉》(HJ991-2018)中天然气锅炉产排污系数核算。</w:t>
            </w:r>
          </w:p>
          <w:p w14:paraId="54363B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①烟气量</w:t>
            </w:r>
          </w:p>
          <w:p w14:paraId="35F6F9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沼气锅炉年利用沼气29.3万m³，由于本项目原料无元素分析报告，参照《污染源源强核算技术指南锅炉》(HJ991-2018)“C.4没有元素分析时，理论空气量、湿烟气排放量的经验公式计算，公式同1.2。经计算，沼气锅炉年产生废气量为431.59万m³/a。</w:t>
            </w:r>
          </w:p>
          <w:p w14:paraId="39B154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本项目沼气锅炉污染物排放参照《排污许可证申请与核发技术规范锅炉》(HJ953—2018)中燃气工业锅炉废气产排污系数核算。</w:t>
            </w:r>
          </w:p>
          <w:p w14:paraId="15BFC0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②颗粒物</w:t>
            </w:r>
          </w:p>
          <w:p w14:paraId="729A23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颗粒物产排污系数为2.86kg/万m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燃料，沼气锅炉年利用沼气29.2万m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，年产生颗粒物量为83.51kg/a，产生浓度为19.35mg/m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；通过8m高排气筒（DA003）排出，则颗粒物排放量为83.51kg/a，排放浓度为19.35mg/m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w:t>
            </w:r>
          </w:p>
          <w:p w14:paraId="6E6ABE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③氮氧化物</w:t>
            </w:r>
          </w:p>
          <w:p w14:paraId="5BF131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氮氧化物产排污系数（低氮燃烧）为9.36kg/万m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燃料，沼气锅炉年利用沼气29.2万m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。年产生氮氧化物量为0.27t/a，产生浓度为63.33mg/m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；加装低氮燃烧器，通过8m高排气筒（DA003）排出，则氮氧化物排放量为0.2t/a，排放浓度为47.5mg/m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w:t>
            </w:r>
          </w:p>
          <w:p w14:paraId="20CA88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④二氧化硫</w:t>
            </w:r>
          </w:p>
          <w:p w14:paraId="3BC2F5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lang w:val="en-US" w:eastAsia="zh-CN" w:bidi="ar"/>
              </w:rPr>
              <w:t>二氧化硫产排污系数为0.02S/万m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燃料（S:含硫量），沼气锅炉年利用沼气29.2万m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。根据建设单位提供的本项目设计方案，沼气工程产生的沼气经汽水分离器脱水和脱硫塔脱硫处理后的沼气硫含量约200mg/m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，则沼气锅炉年产生二氧化硫量为58.4kg/a，产生浓度为27.2mg/m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；通过8m高排气筒（DA00</w:t>
            </w:r>
            <w:r>
              <w:rPr>
                <w:rFonts w:hint="eastAsia" w:cs="Times New Roman"/>
                <w:color w:val="auto"/>
                <w:kern w:val="0"/>
                <w:sz w:val="24"/>
                <w:szCs w:val="24"/>
                <w:lang w:val="en-US" w:eastAsia="zh-CN" w:bidi="ar"/>
              </w:rPr>
              <w:t>3</w:t>
            </w:r>
            <w:r>
              <w:rPr>
                <w:rFonts w:hint="default" w:ascii="Times New Roman" w:hAnsi="Times New Roman" w:cs="Times New Roman"/>
                <w:color w:val="auto"/>
                <w:kern w:val="0"/>
                <w:sz w:val="24"/>
                <w:szCs w:val="24"/>
                <w:lang w:val="en-US" w:eastAsia="zh-CN" w:bidi="ar"/>
              </w:rPr>
              <w:t>）排出，则二氧化硫排放量为68.8kg/a，排放浓度为13.53mg/m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w:t>
            </w:r>
          </w:p>
          <w:p w14:paraId="432D5F8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kern w:val="0"/>
                <w:sz w:val="24"/>
                <w:szCs w:val="24"/>
                <w:vertAlign w:val="baseline"/>
                <w:lang w:val="en-US" w:eastAsia="zh-CN" w:bidi="ar"/>
              </w:rPr>
            </w:pPr>
            <w:r>
              <w:rPr>
                <w:rFonts w:hint="default" w:ascii="Times New Roman" w:hAnsi="Times New Roman" w:cs="Times New Roman"/>
                <w:b/>
                <w:bCs/>
                <w:color w:val="auto"/>
                <w:kern w:val="0"/>
                <w:sz w:val="24"/>
                <w:szCs w:val="24"/>
                <w:vertAlign w:val="baseline"/>
                <w:lang w:val="en-US" w:eastAsia="zh-CN" w:bidi="ar"/>
              </w:rPr>
              <w:t>1.4生产车间破碎粉尘</w:t>
            </w:r>
          </w:p>
          <w:p w14:paraId="384BEE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vertAlign w:val="baseline"/>
                <w:lang w:val="en-US" w:eastAsia="zh-CN" w:bidi="ar"/>
              </w:rPr>
              <w:t>发酵预处理阶段需要将秸秆破碎，粉尘无组织产生量为0.89t/a。秸秆破碎在发酵车间原料堆放区进行，发酵车间为全封闭结构，无组织粉尘70%自然沉降，则粉尘无组织排放量为0.27t/a。</w:t>
            </w:r>
          </w:p>
          <w:p w14:paraId="6FE06D1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kern w:val="0"/>
                <w:sz w:val="24"/>
                <w:szCs w:val="24"/>
                <w:vertAlign w:val="baseline"/>
                <w:lang w:val="en-US" w:eastAsia="zh-CN" w:bidi="ar"/>
              </w:rPr>
            </w:pPr>
            <w:r>
              <w:rPr>
                <w:rFonts w:hint="default" w:ascii="Times New Roman" w:hAnsi="Times New Roman" w:cs="Times New Roman"/>
                <w:b/>
                <w:bCs/>
                <w:color w:val="auto"/>
                <w:kern w:val="0"/>
                <w:sz w:val="24"/>
                <w:szCs w:val="24"/>
                <w:vertAlign w:val="baseline"/>
                <w:lang w:val="en-US" w:eastAsia="zh-CN" w:bidi="ar"/>
              </w:rPr>
              <w:t>1.5工艺粉尘</w:t>
            </w:r>
          </w:p>
          <w:p w14:paraId="350746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vertAlign w:val="baseline"/>
                <w:lang w:val="en-US" w:eastAsia="zh-CN" w:bidi="ar"/>
              </w:rPr>
              <w:t>项目运营期产生粉尘的主要工序来源于精加工车间的粉碎、筛分、造粒、包装以及皮带输送机输送等工序。粉尘无组织产生量为0.37t/a。加工车间为全封闭式结构，无组织粉尘70%自然沉降，则粉尘无组织排放量为0.11t/a。</w:t>
            </w:r>
          </w:p>
          <w:p w14:paraId="28F3C5B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kern w:val="0"/>
                <w:sz w:val="24"/>
                <w:szCs w:val="24"/>
                <w:vertAlign w:val="baseline"/>
                <w:lang w:val="en-US" w:eastAsia="zh-CN" w:bidi="ar"/>
              </w:rPr>
            </w:pPr>
            <w:r>
              <w:rPr>
                <w:rFonts w:hint="default" w:ascii="Times New Roman" w:hAnsi="Times New Roman" w:cs="Times New Roman"/>
                <w:b/>
                <w:bCs/>
                <w:color w:val="auto"/>
                <w:kern w:val="0"/>
                <w:sz w:val="24"/>
                <w:szCs w:val="24"/>
                <w:vertAlign w:val="baseline"/>
                <w:lang w:val="en-US" w:eastAsia="zh-CN" w:bidi="ar"/>
              </w:rPr>
              <w:t>1.6生物质热风炉废气</w:t>
            </w:r>
          </w:p>
          <w:p w14:paraId="23CCFE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vertAlign w:val="baseline"/>
                <w:lang w:val="en-US" w:eastAsia="zh-CN" w:bidi="ar"/>
              </w:rPr>
              <w:t>本项目对造粒的颗粒有机肥进行烘干、冷却，热源由生物质热风炉提供，烘干工序在生物质热风炉内进行，烘干尾污染物为烟尘、SO</w:t>
            </w:r>
            <w:r>
              <w:rPr>
                <w:rFonts w:hint="default" w:ascii="Times New Roman" w:hAnsi="Times New Roman" w:cs="Times New Roman"/>
                <w:color w:val="auto"/>
                <w:kern w:val="0"/>
                <w:sz w:val="24"/>
                <w:szCs w:val="24"/>
                <w:vertAlign w:val="subscript"/>
                <w:lang w:val="en-US" w:eastAsia="zh-CN" w:bidi="ar"/>
              </w:rPr>
              <w:t>2</w:t>
            </w:r>
            <w:r>
              <w:rPr>
                <w:rFonts w:hint="default" w:ascii="Times New Roman" w:hAnsi="Times New Roman" w:cs="Times New Roman"/>
                <w:color w:val="auto"/>
                <w:kern w:val="0"/>
                <w:sz w:val="24"/>
                <w:szCs w:val="24"/>
                <w:vertAlign w:val="baseline"/>
                <w:lang w:val="en-US" w:eastAsia="zh-CN" w:bidi="ar"/>
              </w:rPr>
              <w:t>及NOx以及少量的臭气。根据建设单位提供资料，烘干阶段使用生物质颗粒的量为4000t/a，根据《排污许可证申请与核发技术规范工业炉窑》（HJ1121-2020），加热炉、热处理炉、干燥炉（窑）排放口参考绩效值表，本项目生物质颗粒平均低位热值按16.75（MJ/kg）计算，则颗粒物绩效值为（0.252kg/t燃料），二氧化硫绩效值为（0.839kg/t燃料），氮氧化物绩效值为（2.516kg/t燃料）。据建设单位提供资料，生物质热风炉年合计运行180天，平均每天8小时，合计年运行1440h。</w:t>
            </w:r>
          </w:p>
          <w:p w14:paraId="7998D0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vertAlign w:val="baseline"/>
                <w:lang w:val="en-US" w:eastAsia="zh-CN" w:bidi="ar"/>
              </w:rPr>
              <w:t>生物质热风炉采用引风机型号为11-62-No6.8A，功率为18.5KW，风量为25000m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/h。</w:t>
            </w:r>
          </w:p>
          <w:p w14:paraId="02E120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vertAlign w:val="baseline"/>
                <w:lang w:val="en-US" w:eastAsia="zh-CN" w:bidi="ar"/>
              </w:rPr>
              <w:t>项目生物质热风炉废气污染物颗粒物、少量臭气经引风机收集（风量为25000m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/h）+迷宫式重力除尘室+水洗涤喷淋塔+15m高排气筒</w:t>
            </w:r>
            <w:r>
              <w:rPr>
                <w:rFonts w:hint="eastAsia" w:cs="Times New Roman"/>
                <w:color w:val="auto"/>
                <w:kern w:val="0"/>
                <w:sz w:val="24"/>
                <w:szCs w:val="24"/>
                <w:vertAlign w:val="baseline"/>
                <w:lang w:val="en-US" w:eastAsia="zh-CN" w:bidi="ar"/>
              </w:rPr>
              <w:t>（DA004）</w:t>
            </w:r>
            <w:r>
              <w:rPr>
                <w:rFonts w:hint="default" w:ascii="Times New Roman" w:hAnsi="Times New Roman" w:cs="Times New Roman"/>
                <w:color w:val="auto"/>
                <w:kern w:val="0"/>
                <w:sz w:val="24"/>
                <w:szCs w:val="24"/>
                <w:vertAlign w:val="baseline"/>
                <w:lang w:val="en-US" w:eastAsia="zh-CN" w:bidi="ar"/>
              </w:rPr>
              <w:t>排放处理后废气污染物烟尘、SO</w:t>
            </w:r>
            <w:r>
              <w:rPr>
                <w:rFonts w:hint="default" w:ascii="Times New Roman" w:hAnsi="Times New Roman" w:cs="Times New Roman"/>
                <w:color w:val="auto"/>
                <w:kern w:val="0"/>
                <w:sz w:val="24"/>
                <w:szCs w:val="24"/>
                <w:vertAlign w:val="subscript"/>
                <w:lang w:val="en-US" w:eastAsia="zh-CN" w:bidi="ar"/>
              </w:rPr>
              <w:t>2</w:t>
            </w:r>
            <w:r>
              <w:rPr>
                <w:rFonts w:hint="default" w:ascii="Times New Roman" w:hAnsi="Times New Roman" w:cs="Times New Roman"/>
                <w:color w:val="auto"/>
                <w:kern w:val="0"/>
                <w:sz w:val="24"/>
                <w:szCs w:val="24"/>
                <w:vertAlign w:val="baseline"/>
                <w:lang w:val="en-US" w:eastAsia="zh-CN" w:bidi="ar"/>
              </w:rPr>
              <w:t>及NOx排放浓度分别为5.36mg/m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、178.36mg/m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、534.86mg/m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w:t>
            </w:r>
          </w:p>
          <w:p w14:paraId="19F37F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r>
              <w:rPr>
                <w:rFonts w:hint="default" w:ascii="Times New Roman" w:hAnsi="Times New Roman" w:cs="Times New Roman"/>
                <w:color w:val="auto"/>
                <w:kern w:val="0"/>
                <w:sz w:val="24"/>
                <w:szCs w:val="24"/>
                <w:vertAlign w:val="baseline"/>
                <w:lang w:val="en-US" w:eastAsia="zh-CN" w:bidi="ar"/>
              </w:rPr>
              <w:t>宁县不属于《关于印发工业炉窑大气污染综合治理方案的通知》（环大气[2019]56号）“重点地区”，项目为服务农村面源污染防治项目，选址位于农村地区，未通天然气，烘干工艺不可缺少，评价选用现有最严格标准，参照相关行业已出台的标准要求执行”。《工业炉窑大气污染物排放标准》（GB9078-1996）未对项目选用的生物质热风炉类型二氧化硫、氮氧化物排放限值进行规定，本次评价执行（环大气[2019]56号）“重点地区”深度治理限值要求：颗粒物30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、二氧化200mg/m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硫、氮氧化物300mg/m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w:t>
            </w:r>
          </w:p>
          <w:p w14:paraId="1C07FA3D">
            <w:pPr>
              <w:bidi w:val="0"/>
              <w:jc w:val="center"/>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表4-2  生物质热风炉产排情况统计表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4"/>
              <w:gridCol w:w="1243"/>
              <w:gridCol w:w="1911"/>
              <w:gridCol w:w="773"/>
              <w:gridCol w:w="948"/>
              <w:gridCol w:w="1184"/>
              <w:gridCol w:w="1185"/>
            </w:tblGrid>
            <w:tr w14:paraId="5072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2" w:type="pct"/>
                  <w:tcBorders>
                    <w:top w:val="single" w:color="auto" w:sz="4" w:space="0"/>
                    <w:left w:val="nil"/>
                    <w:bottom w:val="single" w:color="auto" w:sz="4" w:space="0"/>
                    <w:right w:val="single" w:color="auto" w:sz="4" w:space="0"/>
                  </w:tcBorders>
                  <w:shd w:val="clear" w:color="auto" w:fill="auto"/>
                  <w:noWrap/>
                  <w:vAlign w:val="center"/>
                </w:tcPr>
                <w:p w14:paraId="17EBEACE">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污染物</w:t>
                  </w:r>
                </w:p>
              </w:tc>
              <w:tc>
                <w:tcPr>
                  <w:tcW w:w="7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A73019">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产生量t/a</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917D6F">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产生浓度mg/m</w:t>
                  </w:r>
                  <w:r>
                    <w:rPr>
                      <w:rFonts w:hint="default" w:ascii="Times New Roman" w:hAnsi="Times New Roman" w:cs="Times New Roman"/>
                      <w:color w:val="auto"/>
                      <w:highlight w:val="none"/>
                      <w:vertAlign w:val="superscript"/>
                      <w:lang w:val="en-US" w:eastAsia="zh-CN"/>
                    </w:rPr>
                    <w:t>3</w:t>
                  </w:r>
                </w:p>
              </w:tc>
              <w:tc>
                <w:tcPr>
                  <w:tcW w:w="4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5732AA">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效率</w:t>
                  </w:r>
                </w:p>
              </w:tc>
              <w:tc>
                <w:tcPr>
                  <w:tcW w:w="5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B218A6">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排放量</w:t>
                  </w:r>
                </w:p>
              </w:tc>
              <w:tc>
                <w:tcPr>
                  <w:tcW w:w="7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68BE34">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排放浓度</w:t>
                  </w:r>
                </w:p>
              </w:tc>
              <w:tc>
                <w:tcPr>
                  <w:tcW w:w="702" w:type="pct"/>
                  <w:tcBorders>
                    <w:top w:val="single" w:color="auto" w:sz="4" w:space="0"/>
                    <w:left w:val="single" w:color="auto" w:sz="4" w:space="0"/>
                    <w:bottom w:val="single" w:color="auto" w:sz="4" w:space="0"/>
                    <w:right w:val="nil"/>
                  </w:tcBorders>
                  <w:shd w:val="clear" w:color="auto" w:fill="auto"/>
                  <w:noWrap/>
                  <w:vAlign w:val="center"/>
                </w:tcPr>
                <w:p w14:paraId="7FF7DEE1">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排放速率</w:t>
                  </w:r>
                </w:p>
              </w:tc>
            </w:tr>
            <w:tr w14:paraId="6CDFC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2" w:type="pct"/>
                  <w:tcBorders>
                    <w:top w:val="single" w:color="auto" w:sz="4" w:space="0"/>
                    <w:left w:val="nil"/>
                    <w:bottom w:val="single" w:color="auto" w:sz="4" w:space="0"/>
                    <w:right w:val="single" w:color="auto" w:sz="4" w:space="0"/>
                  </w:tcBorders>
                  <w:shd w:val="clear" w:color="auto" w:fill="auto"/>
                  <w:noWrap/>
                  <w:vAlign w:val="center"/>
                </w:tcPr>
                <w:p w14:paraId="795D91F9">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7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AD3A22">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1.008 </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2074BD">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28.000 </w:t>
                  </w:r>
                </w:p>
              </w:tc>
              <w:tc>
                <w:tcPr>
                  <w:tcW w:w="4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52ECB8">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0.900 </w:t>
                  </w:r>
                </w:p>
              </w:tc>
              <w:tc>
                <w:tcPr>
                  <w:tcW w:w="5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187399">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0.101 </w:t>
                  </w:r>
                </w:p>
              </w:tc>
              <w:tc>
                <w:tcPr>
                  <w:tcW w:w="7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E293E5">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2.800 </w:t>
                  </w:r>
                </w:p>
              </w:tc>
              <w:tc>
                <w:tcPr>
                  <w:tcW w:w="702" w:type="pct"/>
                  <w:tcBorders>
                    <w:top w:val="single" w:color="auto" w:sz="4" w:space="0"/>
                    <w:left w:val="single" w:color="auto" w:sz="4" w:space="0"/>
                    <w:bottom w:val="single" w:color="auto" w:sz="4" w:space="0"/>
                    <w:right w:val="nil"/>
                  </w:tcBorders>
                  <w:shd w:val="clear" w:color="auto" w:fill="auto"/>
                  <w:noWrap/>
                  <w:vAlign w:val="center"/>
                </w:tcPr>
                <w:p w14:paraId="01532638">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0.070 </w:t>
                  </w:r>
                </w:p>
              </w:tc>
            </w:tr>
            <w:tr w14:paraId="35888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2" w:type="pct"/>
                  <w:tcBorders>
                    <w:top w:val="single" w:color="auto" w:sz="4" w:space="0"/>
                    <w:left w:val="nil"/>
                    <w:bottom w:val="single" w:color="auto" w:sz="4" w:space="0"/>
                    <w:right w:val="single" w:color="auto" w:sz="4" w:space="0"/>
                  </w:tcBorders>
                  <w:shd w:val="clear" w:color="auto" w:fill="auto"/>
                  <w:noWrap/>
                  <w:vAlign w:val="center"/>
                </w:tcPr>
                <w:p w14:paraId="36CB7064">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二氧化硫</w:t>
                  </w:r>
                </w:p>
              </w:tc>
              <w:tc>
                <w:tcPr>
                  <w:tcW w:w="7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6B84D1">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3.356 </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EE4A60">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93.222 </w:t>
                  </w:r>
                </w:p>
              </w:tc>
              <w:tc>
                <w:tcPr>
                  <w:tcW w:w="4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B4D334">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0.000 </w:t>
                  </w:r>
                </w:p>
              </w:tc>
              <w:tc>
                <w:tcPr>
                  <w:tcW w:w="5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3C914D">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3.356 </w:t>
                  </w:r>
                </w:p>
              </w:tc>
              <w:tc>
                <w:tcPr>
                  <w:tcW w:w="7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1058BF">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93.222 </w:t>
                  </w:r>
                </w:p>
              </w:tc>
              <w:tc>
                <w:tcPr>
                  <w:tcW w:w="702" w:type="pct"/>
                  <w:tcBorders>
                    <w:top w:val="single" w:color="auto" w:sz="4" w:space="0"/>
                    <w:left w:val="single" w:color="auto" w:sz="4" w:space="0"/>
                    <w:bottom w:val="single" w:color="auto" w:sz="4" w:space="0"/>
                    <w:right w:val="nil"/>
                  </w:tcBorders>
                  <w:shd w:val="clear" w:color="auto" w:fill="auto"/>
                  <w:noWrap/>
                  <w:vAlign w:val="center"/>
                </w:tcPr>
                <w:p w14:paraId="7EC2EF01">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2.331 </w:t>
                  </w:r>
                </w:p>
              </w:tc>
            </w:tr>
            <w:tr w14:paraId="77DD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2" w:type="pct"/>
                  <w:tcBorders>
                    <w:top w:val="single" w:color="auto" w:sz="4" w:space="0"/>
                    <w:left w:val="nil"/>
                    <w:bottom w:val="single" w:color="auto" w:sz="4" w:space="0"/>
                    <w:right w:val="single" w:color="auto" w:sz="4" w:space="0"/>
                  </w:tcBorders>
                  <w:shd w:val="clear" w:color="auto" w:fill="auto"/>
                  <w:noWrap/>
                  <w:vAlign w:val="center"/>
                </w:tcPr>
                <w:p w14:paraId="233B0E50">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氮氧化物</w:t>
                  </w:r>
                </w:p>
              </w:tc>
              <w:tc>
                <w:tcPr>
                  <w:tcW w:w="7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8D24F4">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10.064 </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C424C6">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279.556 </w:t>
                  </w:r>
                </w:p>
              </w:tc>
              <w:tc>
                <w:tcPr>
                  <w:tcW w:w="4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37CC3E">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0.000 </w:t>
                  </w:r>
                </w:p>
              </w:tc>
              <w:tc>
                <w:tcPr>
                  <w:tcW w:w="5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AC89B1">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10.064 </w:t>
                  </w:r>
                </w:p>
              </w:tc>
              <w:tc>
                <w:tcPr>
                  <w:tcW w:w="7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752E20">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279.556 </w:t>
                  </w:r>
                </w:p>
              </w:tc>
              <w:tc>
                <w:tcPr>
                  <w:tcW w:w="702" w:type="pct"/>
                  <w:tcBorders>
                    <w:top w:val="single" w:color="auto" w:sz="4" w:space="0"/>
                    <w:left w:val="single" w:color="auto" w:sz="4" w:space="0"/>
                    <w:bottom w:val="single" w:color="auto" w:sz="4" w:space="0"/>
                    <w:right w:val="nil"/>
                  </w:tcBorders>
                  <w:shd w:val="clear" w:color="auto" w:fill="auto"/>
                  <w:noWrap/>
                  <w:vAlign w:val="center"/>
                </w:tcPr>
                <w:p w14:paraId="751ADB59">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6.989 </w:t>
                  </w:r>
                </w:p>
              </w:tc>
            </w:tr>
          </w:tbl>
          <w:p w14:paraId="386F7D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p>
          <w:p w14:paraId="0F0258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vertAlign w:val="baseline"/>
                <w:lang w:val="en-US" w:eastAsia="zh-CN" w:bidi="ar"/>
              </w:rPr>
            </w:pPr>
          </w:p>
          <w:p w14:paraId="1E1E6120">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p>
          <w:p w14:paraId="6C9D95F0">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p>
        </w:tc>
      </w:tr>
    </w:tbl>
    <w:p w14:paraId="58B27311">
      <w:pPr>
        <w:pStyle w:val="31"/>
        <w:adjustRightInd w:val="0"/>
        <w:snapToGrid w:val="0"/>
        <w:spacing w:before="0" w:beforeAutospacing="0" w:after="0" w:afterAutospacing="0"/>
        <w:jc w:val="center"/>
        <w:rPr>
          <w:rFonts w:hint="default" w:ascii="Times New Roman" w:hAnsi="Times New Roman" w:eastAsia="宋体" w:cs="Times New Roman"/>
          <w:b/>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B9A374B">
      <w:pPr>
        <w:pStyle w:val="31"/>
        <w:adjustRightInd w:val="0"/>
        <w:snapToGrid w:val="0"/>
        <w:spacing w:before="0" w:beforeAutospacing="0" w:after="0" w:afterAutospacing="0"/>
        <w:jc w:val="center"/>
        <w:rPr>
          <w:rFonts w:hint="default" w:ascii="Times New Roman" w:hAnsi="Times New Roman" w:eastAsia="宋体" w:cs="Times New Roman"/>
          <w:b/>
          <w:bCs/>
          <w:color w:val="auto"/>
          <w:sz w:val="24"/>
        </w:rPr>
      </w:pP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8"/>
      </w:tblGrid>
      <w:tr w14:paraId="7D63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7254780">
            <w:pPr>
              <w:bidi w:val="0"/>
              <w:jc w:val="center"/>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表4-3  大气污染物产排情况一览表</w:t>
            </w:r>
          </w:p>
          <w:tbl>
            <w:tblPr>
              <w:tblStyle w:val="35"/>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578"/>
              <w:gridCol w:w="419"/>
              <w:gridCol w:w="652"/>
              <w:gridCol w:w="805"/>
              <w:gridCol w:w="1512"/>
              <w:gridCol w:w="567"/>
              <w:gridCol w:w="730"/>
              <w:gridCol w:w="785"/>
              <w:gridCol w:w="566"/>
              <w:gridCol w:w="858"/>
              <w:gridCol w:w="504"/>
              <w:gridCol w:w="460"/>
              <w:gridCol w:w="773"/>
              <w:gridCol w:w="665"/>
              <w:gridCol w:w="659"/>
              <w:gridCol w:w="435"/>
              <w:gridCol w:w="419"/>
              <w:gridCol w:w="646"/>
              <w:gridCol w:w="561"/>
            </w:tblGrid>
            <w:tr w14:paraId="719B20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restart"/>
                  <w:tcBorders>
                    <w:tl2br w:val="nil"/>
                    <w:tr2bl w:val="nil"/>
                  </w:tcBorders>
                  <w:vAlign w:val="center"/>
                </w:tcPr>
                <w:p w14:paraId="0024AE3C">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产污环节</w:t>
                  </w:r>
                </w:p>
              </w:tc>
              <w:tc>
                <w:tcPr>
                  <w:tcW w:w="222" w:type="pct"/>
                  <w:vMerge w:val="restart"/>
                  <w:tcBorders>
                    <w:tl2br w:val="nil"/>
                    <w:tr2bl w:val="nil"/>
                  </w:tcBorders>
                  <w:vAlign w:val="center"/>
                </w:tcPr>
                <w:p w14:paraId="27AF531F">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污染物</w:t>
                  </w:r>
                </w:p>
              </w:tc>
              <w:tc>
                <w:tcPr>
                  <w:tcW w:w="161" w:type="pct"/>
                  <w:vMerge w:val="restart"/>
                  <w:tcBorders>
                    <w:tl2br w:val="nil"/>
                    <w:tr2bl w:val="nil"/>
                  </w:tcBorders>
                  <w:vAlign w:val="center"/>
                </w:tcPr>
                <w:p w14:paraId="5CB8E6FB">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排放方式</w:t>
                  </w:r>
                </w:p>
              </w:tc>
              <w:tc>
                <w:tcPr>
                  <w:tcW w:w="559" w:type="pct"/>
                  <w:gridSpan w:val="2"/>
                  <w:tcBorders>
                    <w:tl2br w:val="nil"/>
                    <w:tr2bl w:val="nil"/>
                  </w:tcBorders>
                  <w:vAlign w:val="center"/>
                </w:tcPr>
                <w:p w14:paraId="55B19413">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产生情况</w:t>
                  </w:r>
                </w:p>
              </w:tc>
              <w:tc>
                <w:tcPr>
                  <w:tcW w:w="581" w:type="pct"/>
                  <w:vMerge w:val="restart"/>
                  <w:tcBorders>
                    <w:tl2br w:val="nil"/>
                    <w:tr2bl w:val="nil"/>
                  </w:tcBorders>
                  <w:vAlign w:val="center"/>
                </w:tcPr>
                <w:p w14:paraId="09B45D56">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污染治理设施</w:t>
                  </w:r>
                </w:p>
              </w:tc>
              <w:tc>
                <w:tcPr>
                  <w:tcW w:w="217" w:type="pct"/>
                  <w:vMerge w:val="restart"/>
                  <w:tcBorders>
                    <w:tl2br w:val="nil"/>
                    <w:tr2bl w:val="nil"/>
                  </w:tcBorders>
                  <w:vAlign w:val="center"/>
                </w:tcPr>
                <w:p w14:paraId="5DC9119B">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技术是否可行</w:t>
                  </w:r>
                </w:p>
              </w:tc>
              <w:tc>
                <w:tcPr>
                  <w:tcW w:w="582" w:type="pct"/>
                  <w:gridSpan w:val="2"/>
                  <w:tcBorders>
                    <w:tl2br w:val="nil"/>
                    <w:tr2bl w:val="nil"/>
                  </w:tcBorders>
                  <w:vAlign w:val="center"/>
                </w:tcPr>
                <w:p w14:paraId="7A0F4C7A">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排放情况</w:t>
                  </w:r>
                </w:p>
              </w:tc>
              <w:tc>
                <w:tcPr>
                  <w:tcW w:w="1890" w:type="pct"/>
                  <w:gridSpan w:val="8"/>
                  <w:tcBorders>
                    <w:tl2br w:val="nil"/>
                    <w:tr2bl w:val="nil"/>
                  </w:tcBorders>
                  <w:vAlign w:val="center"/>
                </w:tcPr>
                <w:p w14:paraId="3E1F39E7">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排放口信息</w:t>
                  </w:r>
                </w:p>
              </w:tc>
              <w:tc>
                <w:tcPr>
                  <w:tcW w:w="624" w:type="pct"/>
                  <w:gridSpan w:val="3"/>
                  <w:tcBorders>
                    <w:tl2br w:val="nil"/>
                    <w:tr2bl w:val="nil"/>
                  </w:tcBorders>
                  <w:vAlign w:val="center"/>
                </w:tcPr>
                <w:p w14:paraId="69D3D607">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监测要求</w:t>
                  </w:r>
                </w:p>
              </w:tc>
            </w:tr>
            <w:tr w14:paraId="5182FA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3D53D80A">
                  <w:pPr>
                    <w:pStyle w:val="78"/>
                    <w:bidi w:val="0"/>
                    <w:jc w:val="center"/>
                    <w:rPr>
                      <w:rFonts w:hint="default" w:ascii="Times New Roman" w:hAnsi="Times New Roman" w:cs="Times New Roman"/>
                      <w:b/>
                      <w:bCs/>
                      <w:color w:val="auto"/>
                      <w:highlight w:val="none"/>
                      <w:lang w:val="en-US" w:eastAsia="zh-CN"/>
                    </w:rPr>
                  </w:pPr>
                </w:p>
              </w:tc>
              <w:tc>
                <w:tcPr>
                  <w:tcW w:w="222" w:type="pct"/>
                  <w:vMerge w:val="continue"/>
                  <w:tcBorders>
                    <w:tl2br w:val="nil"/>
                    <w:tr2bl w:val="nil"/>
                  </w:tcBorders>
                  <w:vAlign w:val="center"/>
                </w:tcPr>
                <w:p w14:paraId="63423592">
                  <w:pPr>
                    <w:pStyle w:val="78"/>
                    <w:bidi w:val="0"/>
                    <w:jc w:val="center"/>
                    <w:rPr>
                      <w:rFonts w:hint="default" w:ascii="Times New Roman" w:hAnsi="Times New Roman" w:cs="Times New Roman"/>
                      <w:b/>
                      <w:bCs/>
                      <w:color w:val="auto"/>
                      <w:highlight w:val="none"/>
                      <w:lang w:val="en-US" w:eastAsia="zh-CN"/>
                    </w:rPr>
                  </w:pPr>
                </w:p>
              </w:tc>
              <w:tc>
                <w:tcPr>
                  <w:tcW w:w="161" w:type="pct"/>
                  <w:vMerge w:val="continue"/>
                  <w:tcBorders>
                    <w:tl2br w:val="nil"/>
                    <w:tr2bl w:val="nil"/>
                  </w:tcBorders>
                  <w:vAlign w:val="center"/>
                </w:tcPr>
                <w:p w14:paraId="2FC420C5">
                  <w:pPr>
                    <w:pStyle w:val="78"/>
                    <w:bidi w:val="0"/>
                    <w:jc w:val="center"/>
                    <w:rPr>
                      <w:rFonts w:hint="default" w:ascii="Times New Roman" w:hAnsi="Times New Roman" w:cs="Times New Roman"/>
                      <w:b/>
                      <w:bCs/>
                      <w:color w:val="auto"/>
                      <w:highlight w:val="none"/>
                      <w:lang w:val="en-US" w:eastAsia="zh-CN"/>
                    </w:rPr>
                  </w:pPr>
                </w:p>
              </w:tc>
              <w:tc>
                <w:tcPr>
                  <w:tcW w:w="250" w:type="pct"/>
                  <w:vMerge w:val="restart"/>
                  <w:tcBorders>
                    <w:tl2br w:val="nil"/>
                    <w:tr2bl w:val="nil"/>
                  </w:tcBorders>
                  <w:vAlign w:val="center"/>
                </w:tcPr>
                <w:p w14:paraId="2FBD6EF6">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产生量（t/a）</w:t>
                  </w:r>
                </w:p>
              </w:tc>
              <w:tc>
                <w:tcPr>
                  <w:tcW w:w="309" w:type="pct"/>
                  <w:vMerge w:val="restart"/>
                  <w:tcBorders>
                    <w:tl2br w:val="nil"/>
                    <w:tr2bl w:val="nil"/>
                  </w:tcBorders>
                  <w:vAlign w:val="center"/>
                </w:tcPr>
                <w:p w14:paraId="12867ED4">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产生浓度（mg/m</w:t>
                  </w:r>
                  <w:r>
                    <w:rPr>
                      <w:rFonts w:hint="default" w:ascii="Times New Roman" w:hAnsi="Times New Roman" w:cs="Times New Roman"/>
                      <w:b/>
                      <w:bCs/>
                      <w:color w:val="auto"/>
                      <w:highlight w:val="none"/>
                      <w:vertAlign w:val="superscript"/>
                      <w:lang w:val="en-US" w:eastAsia="zh-CN"/>
                    </w:rPr>
                    <w:t>3</w:t>
                  </w:r>
                  <w:r>
                    <w:rPr>
                      <w:rFonts w:hint="default" w:ascii="Times New Roman" w:hAnsi="Times New Roman" w:cs="Times New Roman"/>
                      <w:b/>
                      <w:bCs/>
                      <w:color w:val="auto"/>
                      <w:highlight w:val="none"/>
                      <w:lang w:val="en-US" w:eastAsia="zh-CN"/>
                    </w:rPr>
                    <w:t>）</w:t>
                  </w:r>
                </w:p>
              </w:tc>
              <w:tc>
                <w:tcPr>
                  <w:tcW w:w="581" w:type="pct"/>
                  <w:vMerge w:val="continue"/>
                  <w:tcBorders>
                    <w:tl2br w:val="nil"/>
                    <w:tr2bl w:val="nil"/>
                  </w:tcBorders>
                  <w:vAlign w:val="center"/>
                </w:tcPr>
                <w:p w14:paraId="55B9904B">
                  <w:pPr>
                    <w:pStyle w:val="78"/>
                    <w:bidi w:val="0"/>
                    <w:jc w:val="center"/>
                    <w:rPr>
                      <w:rFonts w:hint="default" w:ascii="Times New Roman" w:hAnsi="Times New Roman" w:cs="Times New Roman"/>
                      <w:b/>
                      <w:bCs/>
                      <w:color w:val="auto"/>
                      <w:highlight w:val="none"/>
                      <w:lang w:val="en-US" w:eastAsia="zh-CN"/>
                    </w:rPr>
                  </w:pPr>
                </w:p>
              </w:tc>
              <w:tc>
                <w:tcPr>
                  <w:tcW w:w="217" w:type="pct"/>
                  <w:vMerge w:val="continue"/>
                  <w:tcBorders>
                    <w:tl2br w:val="nil"/>
                    <w:tr2bl w:val="nil"/>
                  </w:tcBorders>
                  <w:vAlign w:val="center"/>
                </w:tcPr>
                <w:p w14:paraId="4A0A069E">
                  <w:pPr>
                    <w:pStyle w:val="78"/>
                    <w:bidi w:val="0"/>
                    <w:jc w:val="center"/>
                    <w:rPr>
                      <w:rFonts w:hint="default" w:ascii="Times New Roman" w:hAnsi="Times New Roman" w:cs="Times New Roman"/>
                      <w:b/>
                      <w:bCs/>
                      <w:color w:val="auto"/>
                      <w:highlight w:val="none"/>
                      <w:lang w:val="en-US" w:eastAsia="zh-CN"/>
                    </w:rPr>
                  </w:pPr>
                </w:p>
              </w:tc>
              <w:tc>
                <w:tcPr>
                  <w:tcW w:w="280" w:type="pct"/>
                  <w:vMerge w:val="restart"/>
                  <w:tcBorders>
                    <w:tl2br w:val="nil"/>
                    <w:tr2bl w:val="nil"/>
                  </w:tcBorders>
                  <w:vAlign w:val="center"/>
                </w:tcPr>
                <w:p w14:paraId="488C2284">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排放量（t/a）</w:t>
                  </w:r>
                </w:p>
              </w:tc>
              <w:tc>
                <w:tcPr>
                  <w:tcW w:w="301" w:type="pct"/>
                  <w:vMerge w:val="restart"/>
                  <w:tcBorders>
                    <w:tl2br w:val="nil"/>
                    <w:tr2bl w:val="nil"/>
                  </w:tcBorders>
                  <w:vAlign w:val="center"/>
                </w:tcPr>
                <w:p w14:paraId="21B662C5">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排放浓度（mg/m</w:t>
                  </w:r>
                  <w:r>
                    <w:rPr>
                      <w:rFonts w:hint="default" w:ascii="Times New Roman" w:hAnsi="Times New Roman" w:cs="Times New Roman"/>
                      <w:b/>
                      <w:bCs/>
                      <w:color w:val="auto"/>
                      <w:highlight w:val="none"/>
                      <w:vertAlign w:val="superscript"/>
                      <w:lang w:val="en-US" w:eastAsia="zh-CN"/>
                    </w:rPr>
                    <w:t>3</w:t>
                  </w:r>
                  <w:r>
                    <w:rPr>
                      <w:rFonts w:hint="default" w:ascii="Times New Roman" w:hAnsi="Times New Roman" w:cs="Times New Roman"/>
                      <w:b/>
                      <w:bCs/>
                      <w:color w:val="auto"/>
                      <w:highlight w:val="none"/>
                      <w:lang w:val="en-US" w:eastAsia="zh-CN"/>
                    </w:rPr>
                    <w:t>）</w:t>
                  </w:r>
                </w:p>
              </w:tc>
              <w:tc>
                <w:tcPr>
                  <w:tcW w:w="217" w:type="pct"/>
                  <w:vMerge w:val="restart"/>
                  <w:tcBorders>
                    <w:tl2br w:val="nil"/>
                    <w:tr2bl w:val="nil"/>
                  </w:tcBorders>
                  <w:vAlign w:val="center"/>
                </w:tcPr>
                <w:p w14:paraId="44EF0D6C">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编号</w:t>
                  </w:r>
                </w:p>
              </w:tc>
              <w:tc>
                <w:tcPr>
                  <w:tcW w:w="329" w:type="pct"/>
                  <w:vMerge w:val="restart"/>
                  <w:tcBorders>
                    <w:tl2br w:val="nil"/>
                    <w:tr2bl w:val="nil"/>
                  </w:tcBorders>
                  <w:vAlign w:val="center"/>
                </w:tcPr>
                <w:p w14:paraId="10539F26">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名称</w:t>
                  </w:r>
                </w:p>
              </w:tc>
              <w:tc>
                <w:tcPr>
                  <w:tcW w:w="370" w:type="pct"/>
                  <w:gridSpan w:val="2"/>
                  <w:tcBorders>
                    <w:tl2br w:val="nil"/>
                    <w:tr2bl w:val="nil"/>
                  </w:tcBorders>
                  <w:vAlign w:val="center"/>
                </w:tcPr>
                <w:p w14:paraId="34821D3D">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坐标</w:t>
                  </w:r>
                </w:p>
              </w:tc>
              <w:tc>
                <w:tcPr>
                  <w:tcW w:w="297" w:type="pct"/>
                  <w:vMerge w:val="restart"/>
                  <w:tcBorders>
                    <w:tl2br w:val="nil"/>
                    <w:tr2bl w:val="nil"/>
                  </w:tcBorders>
                  <w:vAlign w:val="center"/>
                </w:tcPr>
                <w:p w14:paraId="7540A6F5">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高度（m）</w:t>
                  </w:r>
                </w:p>
              </w:tc>
              <w:tc>
                <w:tcPr>
                  <w:tcW w:w="255" w:type="pct"/>
                  <w:vMerge w:val="restart"/>
                  <w:tcBorders>
                    <w:tl2br w:val="nil"/>
                    <w:tr2bl w:val="nil"/>
                  </w:tcBorders>
                  <w:vAlign w:val="center"/>
                </w:tcPr>
                <w:p w14:paraId="14D73285">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内径（m）</w:t>
                  </w:r>
                </w:p>
              </w:tc>
              <w:tc>
                <w:tcPr>
                  <w:tcW w:w="253" w:type="pct"/>
                  <w:vMerge w:val="restart"/>
                  <w:tcBorders>
                    <w:tl2br w:val="nil"/>
                    <w:tr2bl w:val="nil"/>
                  </w:tcBorders>
                  <w:vAlign w:val="center"/>
                </w:tcPr>
                <w:p w14:paraId="39681774">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烟气温度（℃）</w:t>
                  </w:r>
                </w:p>
              </w:tc>
              <w:tc>
                <w:tcPr>
                  <w:tcW w:w="167" w:type="pct"/>
                  <w:vMerge w:val="restart"/>
                  <w:tcBorders>
                    <w:tl2br w:val="nil"/>
                    <w:tr2bl w:val="nil"/>
                  </w:tcBorders>
                  <w:vAlign w:val="center"/>
                </w:tcPr>
                <w:p w14:paraId="16B48A3A">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排放口类型</w:t>
                  </w:r>
                </w:p>
              </w:tc>
              <w:tc>
                <w:tcPr>
                  <w:tcW w:w="161" w:type="pct"/>
                  <w:vMerge w:val="restart"/>
                  <w:tcBorders>
                    <w:tl2br w:val="nil"/>
                    <w:tr2bl w:val="nil"/>
                  </w:tcBorders>
                  <w:vAlign w:val="center"/>
                </w:tcPr>
                <w:p w14:paraId="516CAF07">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监测点位</w:t>
                  </w:r>
                </w:p>
              </w:tc>
              <w:tc>
                <w:tcPr>
                  <w:tcW w:w="248" w:type="pct"/>
                  <w:vMerge w:val="restart"/>
                  <w:tcBorders>
                    <w:tl2br w:val="nil"/>
                    <w:tr2bl w:val="nil"/>
                  </w:tcBorders>
                  <w:vAlign w:val="center"/>
                </w:tcPr>
                <w:p w14:paraId="3658BB71">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监测因子</w:t>
                  </w:r>
                </w:p>
              </w:tc>
              <w:tc>
                <w:tcPr>
                  <w:tcW w:w="215" w:type="pct"/>
                  <w:vMerge w:val="restart"/>
                  <w:tcBorders>
                    <w:tl2br w:val="nil"/>
                    <w:tr2bl w:val="nil"/>
                  </w:tcBorders>
                  <w:vAlign w:val="center"/>
                </w:tcPr>
                <w:p w14:paraId="4E88C76E">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监测频次</w:t>
                  </w:r>
                </w:p>
              </w:tc>
            </w:tr>
            <w:tr w14:paraId="61FC7C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5F2BE341">
                  <w:pPr>
                    <w:pStyle w:val="78"/>
                    <w:bidi w:val="0"/>
                    <w:jc w:val="center"/>
                    <w:rPr>
                      <w:rFonts w:hint="default" w:ascii="Times New Roman" w:hAnsi="Times New Roman" w:cs="Times New Roman"/>
                      <w:b/>
                      <w:bCs/>
                      <w:color w:val="auto"/>
                      <w:highlight w:val="none"/>
                      <w:lang w:val="en-US" w:eastAsia="zh-CN"/>
                    </w:rPr>
                  </w:pPr>
                </w:p>
              </w:tc>
              <w:tc>
                <w:tcPr>
                  <w:tcW w:w="222" w:type="pct"/>
                  <w:vMerge w:val="continue"/>
                  <w:tcBorders>
                    <w:tl2br w:val="nil"/>
                    <w:tr2bl w:val="nil"/>
                  </w:tcBorders>
                  <w:vAlign w:val="center"/>
                </w:tcPr>
                <w:p w14:paraId="51407CF4">
                  <w:pPr>
                    <w:pStyle w:val="78"/>
                    <w:bidi w:val="0"/>
                    <w:jc w:val="center"/>
                    <w:rPr>
                      <w:rFonts w:hint="default" w:ascii="Times New Roman" w:hAnsi="Times New Roman" w:cs="Times New Roman"/>
                      <w:b/>
                      <w:bCs/>
                      <w:color w:val="auto"/>
                      <w:highlight w:val="none"/>
                      <w:lang w:val="en-US" w:eastAsia="zh-CN"/>
                    </w:rPr>
                  </w:pPr>
                </w:p>
              </w:tc>
              <w:tc>
                <w:tcPr>
                  <w:tcW w:w="161" w:type="pct"/>
                  <w:vMerge w:val="continue"/>
                  <w:tcBorders>
                    <w:tl2br w:val="nil"/>
                    <w:tr2bl w:val="nil"/>
                  </w:tcBorders>
                  <w:vAlign w:val="center"/>
                </w:tcPr>
                <w:p w14:paraId="041B33AA">
                  <w:pPr>
                    <w:pStyle w:val="78"/>
                    <w:bidi w:val="0"/>
                    <w:jc w:val="center"/>
                    <w:rPr>
                      <w:rFonts w:hint="default" w:ascii="Times New Roman" w:hAnsi="Times New Roman" w:cs="Times New Roman"/>
                      <w:b/>
                      <w:bCs/>
                      <w:color w:val="auto"/>
                      <w:highlight w:val="none"/>
                      <w:lang w:val="en-US" w:eastAsia="zh-CN"/>
                    </w:rPr>
                  </w:pPr>
                </w:p>
              </w:tc>
              <w:tc>
                <w:tcPr>
                  <w:tcW w:w="250" w:type="pct"/>
                  <w:vMerge w:val="continue"/>
                  <w:tcBorders>
                    <w:tl2br w:val="nil"/>
                    <w:tr2bl w:val="nil"/>
                  </w:tcBorders>
                  <w:vAlign w:val="center"/>
                </w:tcPr>
                <w:p w14:paraId="33BB7A6A">
                  <w:pPr>
                    <w:pStyle w:val="78"/>
                    <w:bidi w:val="0"/>
                    <w:jc w:val="center"/>
                    <w:rPr>
                      <w:rFonts w:hint="default" w:ascii="Times New Roman" w:hAnsi="Times New Roman" w:cs="Times New Roman"/>
                      <w:b/>
                      <w:bCs/>
                      <w:color w:val="auto"/>
                      <w:highlight w:val="none"/>
                      <w:lang w:val="en-US" w:eastAsia="zh-CN"/>
                    </w:rPr>
                  </w:pPr>
                </w:p>
              </w:tc>
              <w:tc>
                <w:tcPr>
                  <w:tcW w:w="309" w:type="pct"/>
                  <w:vMerge w:val="continue"/>
                  <w:tcBorders>
                    <w:tl2br w:val="nil"/>
                    <w:tr2bl w:val="nil"/>
                  </w:tcBorders>
                  <w:vAlign w:val="center"/>
                </w:tcPr>
                <w:p w14:paraId="7EDA0C5C">
                  <w:pPr>
                    <w:pStyle w:val="78"/>
                    <w:bidi w:val="0"/>
                    <w:jc w:val="center"/>
                    <w:rPr>
                      <w:rFonts w:hint="default" w:ascii="Times New Roman" w:hAnsi="Times New Roman" w:cs="Times New Roman"/>
                      <w:b/>
                      <w:bCs/>
                      <w:color w:val="auto"/>
                      <w:highlight w:val="none"/>
                      <w:lang w:val="en-US" w:eastAsia="zh-CN"/>
                    </w:rPr>
                  </w:pPr>
                </w:p>
              </w:tc>
              <w:tc>
                <w:tcPr>
                  <w:tcW w:w="581" w:type="pct"/>
                  <w:vMerge w:val="continue"/>
                  <w:tcBorders>
                    <w:tl2br w:val="nil"/>
                    <w:tr2bl w:val="nil"/>
                  </w:tcBorders>
                  <w:vAlign w:val="center"/>
                </w:tcPr>
                <w:p w14:paraId="08D8A9CD">
                  <w:pPr>
                    <w:pStyle w:val="78"/>
                    <w:bidi w:val="0"/>
                    <w:jc w:val="center"/>
                    <w:rPr>
                      <w:rFonts w:hint="default" w:ascii="Times New Roman" w:hAnsi="Times New Roman" w:cs="Times New Roman"/>
                      <w:b/>
                      <w:bCs/>
                      <w:color w:val="auto"/>
                      <w:highlight w:val="none"/>
                      <w:lang w:val="en-US" w:eastAsia="zh-CN"/>
                    </w:rPr>
                  </w:pPr>
                </w:p>
              </w:tc>
              <w:tc>
                <w:tcPr>
                  <w:tcW w:w="217" w:type="pct"/>
                  <w:vMerge w:val="continue"/>
                  <w:tcBorders>
                    <w:tl2br w:val="nil"/>
                    <w:tr2bl w:val="nil"/>
                  </w:tcBorders>
                  <w:vAlign w:val="center"/>
                </w:tcPr>
                <w:p w14:paraId="5A059326">
                  <w:pPr>
                    <w:pStyle w:val="78"/>
                    <w:bidi w:val="0"/>
                    <w:jc w:val="center"/>
                    <w:rPr>
                      <w:rFonts w:hint="default" w:ascii="Times New Roman" w:hAnsi="Times New Roman" w:cs="Times New Roman"/>
                      <w:b/>
                      <w:bCs/>
                      <w:color w:val="auto"/>
                      <w:highlight w:val="none"/>
                      <w:lang w:val="en-US" w:eastAsia="zh-CN"/>
                    </w:rPr>
                  </w:pPr>
                </w:p>
              </w:tc>
              <w:tc>
                <w:tcPr>
                  <w:tcW w:w="280" w:type="pct"/>
                  <w:vMerge w:val="continue"/>
                  <w:tcBorders>
                    <w:tl2br w:val="nil"/>
                    <w:tr2bl w:val="nil"/>
                  </w:tcBorders>
                  <w:vAlign w:val="center"/>
                </w:tcPr>
                <w:p w14:paraId="3AE4FD7F">
                  <w:pPr>
                    <w:pStyle w:val="78"/>
                    <w:bidi w:val="0"/>
                    <w:jc w:val="center"/>
                    <w:rPr>
                      <w:rFonts w:hint="default" w:ascii="Times New Roman" w:hAnsi="Times New Roman" w:cs="Times New Roman"/>
                      <w:b/>
                      <w:bCs/>
                      <w:color w:val="auto"/>
                      <w:highlight w:val="none"/>
                      <w:lang w:val="en-US" w:eastAsia="zh-CN"/>
                    </w:rPr>
                  </w:pPr>
                </w:p>
              </w:tc>
              <w:tc>
                <w:tcPr>
                  <w:tcW w:w="301" w:type="pct"/>
                  <w:vMerge w:val="continue"/>
                  <w:tcBorders>
                    <w:tl2br w:val="nil"/>
                    <w:tr2bl w:val="nil"/>
                  </w:tcBorders>
                  <w:vAlign w:val="center"/>
                </w:tcPr>
                <w:p w14:paraId="6867C686">
                  <w:pPr>
                    <w:pStyle w:val="78"/>
                    <w:bidi w:val="0"/>
                    <w:jc w:val="center"/>
                    <w:rPr>
                      <w:rFonts w:hint="default" w:ascii="Times New Roman" w:hAnsi="Times New Roman" w:cs="Times New Roman"/>
                      <w:b/>
                      <w:bCs/>
                      <w:color w:val="auto"/>
                      <w:highlight w:val="none"/>
                      <w:lang w:val="en-US" w:eastAsia="zh-CN"/>
                    </w:rPr>
                  </w:pPr>
                </w:p>
              </w:tc>
              <w:tc>
                <w:tcPr>
                  <w:tcW w:w="217" w:type="pct"/>
                  <w:vMerge w:val="continue"/>
                  <w:tcBorders>
                    <w:tl2br w:val="nil"/>
                    <w:tr2bl w:val="nil"/>
                  </w:tcBorders>
                  <w:vAlign w:val="center"/>
                </w:tcPr>
                <w:p w14:paraId="343BB24C">
                  <w:pPr>
                    <w:pStyle w:val="78"/>
                    <w:bidi w:val="0"/>
                    <w:jc w:val="center"/>
                    <w:rPr>
                      <w:rFonts w:hint="default" w:ascii="Times New Roman" w:hAnsi="Times New Roman" w:cs="Times New Roman"/>
                      <w:b/>
                      <w:bCs/>
                      <w:color w:val="auto"/>
                      <w:highlight w:val="none"/>
                      <w:lang w:val="en-US" w:eastAsia="zh-CN"/>
                    </w:rPr>
                  </w:pPr>
                </w:p>
              </w:tc>
              <w:tc>
                <w:tcPr>
                  <w:tcW w:w="329" w:type="pct"/>
                  <w:vMerge w:val="continue"/>
                  <w:tcBorders>
                    <w:tl2br w:val="nil"/>
                    <w:tr2bl w:val="nil"/>
                  </w:tcBorders>
                  <w:vAlign w:val="center"/>
                </w:tcPr>
                <w:p w14:paraId="3577AF44">
                  <w:pPr>
                    <w:pStyle w:val="78"/>
                    <w:bidi w:val="0"/>
                    <w:jc w:val="center"/>
                    <w:rPr>
                      <w:rFonts w:hint="default" w:ascii="Times New Roman" w:hAnsi="Times New Roman" w:cs="Times New Roman"/>
                      <w:b/>
                      <w:bCs/>
                      <w:color w:val="auto"/>
                      <w:highlight w:val="none"/>
                      <w:lang w:val="en-US" w:eastAsia="zh-CN"/>
                    </w:rPr>
                  </w:pPr>
                </w:p>
              </w:tc>
              <w:tc>
                <w:tcPr>
                  <w:tcW w:w="193" w:type="pct"/>
                  <w:tcBorders>
                    <w:tl2br w:val="nil"/>
                    <w:tr2bl w:val="nil"/>
                  </w:tcBorders>
                  <w:vAlign w:val="center"/>
                </w:tcPr>
                <w:p w14:paraId="09361DEA">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经度</w:t>
                  </w:r>
                </w:p>
              </w:tc>
              <w:tc>
                <w:tcPr>
                  <w:tcW w:w="176" w:type="pct"/>
                  <w:tcBorders>
                    <w:tl2br w:val="nil"/>
                    <w:tr2bl w:val="nil"/>
                  </w:tcBorders>
                  <w:vAlign w:val="center"/>
                </w:tcPr>
                <w:p w14:paraId="027DDA93">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纬度</w:t>
                  </w:r>
                </w:p>
              </w:tc>
              <w:tc>
                <w:tcPr>
                  <w:tcW w:w="297" w:type="pct"/>
                  <w:vMerge w:val="continue"/>
                  <w:tcBorders>
                    <w:tl2br w:val="nil"/>
                    <w:tr2bl w:val="nil"/>
                  </w:tcBorders>
                  <w:vAlign w:val="center"/>
                </w:tcPr>
                <w:p w14:paraId="3D7AC0E1">
                  <w:pPr>
                    <w:pStyle w:val="78"/>
                    <w:bidi w:val="0"/>
                    <w:jc w:val="center"/>
                    <w:rPr>
                      <w:rFonts w:hint="default" w:ascii="Times New Roman" w:hAnsi="Times New Roman" w:cs="Times New Roman"/>
                      <w:b/>
                      <w:bCs/>
                      <w:color w:val="auto"/>
                      <w:highlight w:val="none"/>
                      <w:lang w:val="en-US" w:eastAsia="zh-CN"/>
                    </w:rPr>
                  </w:pPr>
                </w:p>
              </w:tc>
              <w:tc>
                <w:tcPr>
                  <w:tcW w:w="255" w:type="pct"/>
                  <w:vMerge w:val="continue"/>
                  <w:tcBorders>
                    <w:tl2br w:val="nil"/>
                    <w:tr2bl w:val="nil"/>
                  </w:tcBorders>
                  <w:vAlign w:val="center"/>
                </w:tcPr>
                <w:p w14:paraId="55C9AA79">
                  <w:pPr>
                    <w:pStyle w:val="78"/>
                    <w:bidi w:val="0"/>
                    <w:jc w:val="center"/>
                    <w:rPr>
                      <w:rFonts w:hint="default" w:ascii="Times New Roman" w:hAnsi="Times New Roman" w:cs="Times New Roman"/>
                      <w:b/>
                      <w:bCs/>
                      <w:color w:val="auto"/>
                      <w:highlight w:val="none"/>
                      <w:lang w:val="en-US" w:eastAsia="zh-CN"/>
                    </w:rPr>
                  </w:pPr>
                </w:p>
              </w:tc>
              <w:tc>
                <w:tcPr>
                  <w:tcW w:w="253" w:type="pct"/>
                  <w:vMerge w:val="continue"/>
                  <w:tcBorders>
                    <w:tl2br w:val="nil"/>
                    <w:tr2bl w:val="nil"/>
                  </w:tcBorders>
                  <w:vAlign w:val="center"/>
                </w:tcPr>
                <w:p w14:paraId="3B8464AF">
                  <w:pPr>
                    <w:pStyle w:val="78"/>
                    <w:bidi w:val="0"/>
                    <w:jc w:val="center"/>
                    <w:rPr>
                      <w:rFonts w:hint="default" w:ascii="Times New Roman" w:hAnsi="Times New Roman" w:cs="Times New Roman"/>
                      <w:b/>
                      <w:bCs/>
                      <w:color w:val="auto"/>
                      <w:highlight w:val="none"/>
                      <w:lang w:val="en-US" w:eastAsia="zh-CN"/>
                    </w:rPr>
                  </w:pPr>
                </w:p>
              </w:tc>
              <w:tc>
                <w:tcPr>
                  <w:tcW w:w="167" w:type="pct"/>
                  <w:vMerge w:val="continue"/>
                  <w:tcBorders>
                    <w:tl2br w:val="nil"/>
                    <w:tr2bl w:val="nil"/>
                  </w:tcBorders>
                  <w:vAlign w:val="center"/>
                </w:tcPr>
                <w:p w14:paraId="0A5E013F">
                  <w:pPr>
                    <w:pStyle w:val="78"/>
                    <w:bidi w:val="0"/>
                    <w:jc w:val="center"/>
                    <w:rPr>
                      <w:rFonts w:hint="default" w:ascii="Times New Roman" w:hAnsi="Times New Roman" w:cs="Times New Roman"/>
                      <w:b/>
                      <w:bCs/>
                      <w:color w:val="auto"/>
                      <w:highlight w:val="none"/>
                      <w:lang w:val="en-US" w:eastAsia="zh-CN"/>
                    </w:rPr>
                  </w:pPr>
                </w:p>
              </w:tc>
              <w:tc>
                <w:tcPr>
                  <w:tcW w:w="161" w:type="pct"/>
                  <w:vMerge w:val="continue"/>
                  <w:tcBorders>
                    <w:tl2br w:val="nil"/>
                    <w:tr2bl w:val="nil"/>
                  </w:tcBorders>
                  <w:vAlign w:val="center"/>
                </w:tcPr>
                <w:p w14:paraId="480F5A5B">
                  <w:pPr>
                    <w:pStyle w:val="78"/>
                    <w:bidi w:val="0"/>
                    <w:jc w:val="center"/>
                    <w:rPr>
                      <w:rFonts w:hint="default" w:ascii="Times New Roman" w:hAnsi="Times New Roman" w:cs="Times New Roman"/>
                      <w:b/>
                      <w:bCs/>
                      <w:color w:val="auto"/>
                      <w:highlight w:val="none"/>
                      <w:lang w:val="en-US" w:eastAsia="zh-CN"/>
                    </w:rPr>
                  </w:pPr>
                </w:p>
              </w:tc>
              <w:tc>
                <w:tcPr>
                  <w:tcW w:w="248" w:type="pct"/>
                  <w:vMerge w:val="continue"/>
                  <w:tcBorders>
                    <w:tl2br w:val="nil"/>
                    <w:tr2bl w:val="nil"/>
                  </w:tcBorders>
                  <w:vAlign w:val="center"/>
                </w:tcPr>
                <w:p w14:paraId="21081211">
                  <w:pPr>
                    <w:pStyle w:val="78"/>
                    <w:bidi w:val="0"/>
                    <w:jc w:val="center"/>
                    <w:rPr>
                      <w:rFonts w:hint="default" w:ascii="Times New Roman" w:hAnsi="Times New Roman" w:cs="Times New Roman"/>
                      <w:b/>
                      <w:bCs/>
                      <w:color w:val="auto"/>
                      <w:highlight w:val="none"/>
                      <w:lang w:val="en-US" w:eastAsia="zh-CN"/>
                    </w:rPr>
                  </w:pPr>
                </w:p>
              </w:tc>
              <w:tc>
                <w:tcPr>
                  <w:tcW w:w="215" w:type="pct"/>
                  <w:vMerge w:val="continue"/>
                  <w:tcBorders>
                    <w:tl2br w:val="nil"/>
                    <w:tr2bl w:val="nil"/>
                  </w:tcBorders>
                  <w:vAlign w:val="center"/>
                </w:tcPr>
                <w:p w14:paraId="25093C18">
                  <w:pPr>
                    <w:pStyle w:val="78"/>
                    <w:bidi w:val="0"/>
                    <w:jc w:val="center"/>
                    <w:rPr>
                      <w:rFonts w:hint="default" w:ascii="Times New Roman" w:hAnsi="Times New Roman" w:cs="Times New Roman"/>
                      <w:b/>
                      <w:bCs/>
                      <w:color w:val="auto"/>
                      <w:highlight w:val="none"/>
                      <w:lang w:val="en-US" w:eastAsia="zh-CN"/>
                    </w:rPr>
                  </w:pPr>
                </w:p>
              </w:tc>
            </w:tr>
            <w:tr w14:paraId="46980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restart"/>
                  <w:tcBorders>
                    <w:tl2br w:val="nil"/>
                    <w:tr2bl w:val="nil"/>
                  </w:tcBorders>
                  <w:vAlign w:val="center"/>
                </w:tcPr>
                <w:p w14:paraId="4C061DB3">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沼气进料</w:t>
                  </w:r>
                </w:p>
              </w:tc>
              <w:tc>
                <w:tcPr>
                  <w:tcW w:w="222" w:type="pct"/>
                  <w:tcBorders>
                    <w:tl2br w:val="nil"/>
                    <w:tr2bl w:val="nil"/>
                  </w:tcBorders>
                  <w:vAlign w:val="center"/>
                </w:tcPr>
                <w:p w14:paraId="27525093">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p>
              </w:tc>
              <w:tc>
                <w:tcPr>
                  <w:tcW w:w="161" w:type="pct"/>
                  <w:vMerge w:val="restart"/>
                  <w:tcBorders>
                    <w:tl2br w:val="nil"/>
                    <w:tr2bl w:val="nil"/>
                  </w:tcBorders>
                  <w:vAlign w:val="center"/>
                </w:tcPr>
                <w:p w14:paraId="5AC4A59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有组织</w:t>
                  </w:r>
                </w:p>
              </w:tc>
              <w:tc>
                <w:tcPr>
                  <w:tcW w:w="250" w:type="pct"/>
                  <w:tcBorders>
                    <w:tl2br w:val="nil"/>
                    <w:tr2bl w:val="nil"/>
                  </w:tcBorders>
                  <w:vAlign w:val="center"/>
                </w:tcPr>
                <w:p w14:paraId="3EE4F2A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1.481</w:t>
                  </w:r>
                </w:p>
              </w:tc>
              <w:tc>
                <w:tcPr>
                  <w:tcW w:w="309" w:type="pct"/>
                  <w:tcBorders>
                    <w:tl2br w:val="nil"/>
                    <w:tr2bl w:val="nil"/>
                  </w:tcBorders>
                  <w:vAlign w:val="center"/>
                </w:tcPr>
                <w:p w14:paraId="5014CA8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16.908</w:t>
                  </w:r>
                </w:p>
              </w:tc>
              <w:tc>
                <w:tcPr>
                  <w:tcW w:w="581" w:type="pct"/>
                  <w:vMerge w:val="restart"/>
                  <w:tcBorders>
                    <w:tl2br w:val="nil"/>
                    <w:tr2bl w:val="nil"/>
                  </w:tcBorders>
                  <w:vAlign w:val="center"/>
                </w:tcPr>
                <w:p w14:paraId="62967D6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雾化喷淋除臭剂+UV光催化氧化</w:t>
                  </w:r>
                </w:p>
              </w:tc>
              <w:tc>
                <w:tcPr>
                  <w:tcW w:w="217" w:type="pct"/>
                  <w:vMerge w:val="restart"/>
                  <w:tcBorders>
                    <w:tl2br w:val="nil"/>
                    <w:tr2bl w:val="nil"/>
                  </w:tcBorders>
                  <w:vAlign w:val="center"/>
                </w:tcPr>
                <w:p w14:paraId="1A05737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是</w:t>
                  </w:r>
                </w:p>
              </w:tc>
              <w:tc>
                <w:tcPr>
                  <w:tcW w:w="280" w:type="pct"/>
                  <w:tcBorders>
                    <w:tl2br w:val="nil"/>
                    <w:tr2bl w:val="nil"/>
                  </w:tcBorders>
                  <w:vAlign w:val="center"/>
                </w:tcPr>
                <w:p w14:paraId="7DA323E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1.185</w:t>
                  </w:r>
                </w:p>
              </w:tc>
              <w:tc>
                <w:tcPr>
                  <w:tcW w:w="301" w:type="pct"/>
                  <w:tcBorders>
                    <w:tl2br w:val="nil"/>
                    <w:tr2bl w:val="nil"/>
                  </w:tcBorders>
                  <w:vAlign w:val="center"/>
                </w:tcPr>
                <w:p w14:paraId="704207D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13.526</w:t>
                  </w:r>
                </w:p>
              </w:tc>
              <w:tc>
                <w:tcPr>
                  <w:tcW w:w="217" w:type="pct"/>
                  <w:vMerge w:val="restart"/>
                  <w:tcBorders>
                    <w:tl2br w:val="nil"/>
                    <w:tr2bl w:val="nil"/>
                  </w:tcBorders>
                  <w:vAlign w:val="center"/>
                </w:tcPr>
                <w:p w14:paraId="7B066B0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DA001</w:t>
                  </w:r>
                </w:p>
              </w:tc>
              <w:tc>
                <w:tcPr>
                  <w:tcW w:w="329" w:type="pct"/>
                  <w:vMerge w:val="restart"/>
                  <w:tcBorders>
                    <w:tl2br w:val="nil"/>
                    <w:tr2bl w:val="nil"/>
                  </w:tcBorders>
                  <w:vAlign w:val="center"/>
                </w:tcPr>
                <w:p w14:paraId="3F6089E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沼气系统废气排放口</w:t>
                  </w:r>
                </w:p>
              </w:tc>
              <w:tc>
                <w:tcPr>
                  <w:tcW w:w="193" w:type="pct"/>
                  <w:vMerge w:val="restart"/>
                  <w:tcBorders>
                    <w:tl2br w:val="nil"/>
                    <w:tr2bl w:val="nil"/>
                  </w:tcBorders>
                  <w:vAlign w:val="center"/>
                </w:tcPr>
                <w:p w14:paraId="46F5EAF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vMerge w:val="restart"/>
                  <w:tcBorders>
                    <w:tl2br w:val="nil"/>
                    <w:tr2bl w:val="nil"/>
                  </w:tcBorders>
                  <w:vAlign w:val="center"/>
                </w:tcPr>
                <w:p w14:paraId="452E970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vMerge w:val="restart"/>
                  <w:tcBorders>
                    <w:tl2br w:val="nil"/>
                    <w:tr2bl w:val="nil"/>
                  </w:tcBorders>
                  <w:vAlign w:val="center"/>
                </w:tcPr>
                <w:p w14:paraId="471864A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255" w:type="pct"/>
                  <w:vMerge w:val="restart"/>
                  <w:tcBorders>
                    <w:tl2br w:val="nil"/>
                    <w:tr2bl w:val="nil"/>
                  </w:tcBorders>
                  <w:vAlign w:val="center"/>
                </w:tcPr>
                <w:p w14:paraId="1690B8E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w:t>
                  </w:r>
                </w:p>
              </w:tc>
              <w:tc>
                <w:tcPr>
                  <w:tcW w:w="253" w:type="pct"/>
                  <w:vMerge w:val="restart"/>
                  <w:tcBorders>
                    <w:tl2br w:val="nil"/>
                    <w:tr2bl w:val="nil"/>
                  </w:tcBorders>
                  <w:vAlign w:val="center"/>
                </w:tcPr>
                <w:p w14:paraId="7937072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常温</w:t>
                  </w:r>
                </w:p>
              </w:tc>
              <w:tc>
                <w:tcPr>
                  <w:tcW w:w="167" w:type="pct"/>
                  <w:vMerge w:val="restart"/>
                  <w:tcBorders>
                    <w:tl2br w:val="nil"/>
                    <w:tr2bl w:val="nil"/>
                  </w:tcBorders>
                  <w:vAlign w:val="center"/>
                </w:tcPr>
                <w:p w14:paraId="48ADDAF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一般排放口</w:t>
                  </w:r>
                </w:p>
              </w:tc>
              <w:tc>
                <w:tcPr>
                  <w:tcW w:w="161" w:type="pct"/>
                  <w:vMerge w:val="restart"/>
                  <w:tcBorders>
                    <w:tl2br w:val="nil"/>
                    <w:tr2bl w:val="nil"/>
                  </w:tcBorders>
                  <w:vAlign w:val="center"/>
                </w:tcPr>
                <w:p w14:paraId="4E4A7AB1">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vertAlign w:val="baseline"/>
                      <w:lang w:val="en-US" w:eastAsia="zh-CN"/>
                    </w:rPr>
                    <w:t>排气筒出口</w:t>
                  </w:r>
                </w:p>
              </w:tc>
              <w:tc>
                <w:tcPr>
                  <w:tcW w:w="248" w:type="pct"/>
                  <w:vMerge w:val="restart"/>
                  <w:tcBorders>
                    <w:tl2br w:val="nil"/>
                    <w:tr2bl w:val="nil"/>
                  </w:tcBorders>
                  <w:vAlign w:val="center"/>
                </w:tcPr>
                <w:p w14:paraId="7AB4510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baseli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S</w:t>
                  </w:r>
                </w:p>
              </w:tc>
              <w:tc>
                <w:tcPr>
                  <w:tcW w:w="215" w:type="pct"/>
                  <w:vMerge w:val="restart"/>
                  <w:tcBorders>
                    <w:tl2br w:val="nil"/>
                    <w:tr2bl w:val="nil"/>
                  </w:tcBorders>
                  <w:vAlign w:val="center"/>
                </w:tcPr>
                <w:p w14:paraId="15B7754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1次/半年</w:t>
                  </w:r>
                </w:p>
              </w:tc>
            </w:tr>
            <w:tr w14:paraId="05C64A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60" w:type="pct"/>
                  <w:vMerge w:val="continue"/>
                  <w:tcBorders>
                    <w:tl2br w:val="nil"/>
                    <w:tr2bl w:val="nil"/>
                  </w:tcBorders>
                  <w:vAlign w:val="center"/>
                </w:tcPr>
                <w:p w14:paraId="21988DD7">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vAlign w:val="center"/>
                </w:tcPr>
                <w:p w14:paraId="47832A2A">
                  <w:pPr>
                    <w:pStyle w:val="78"/>
                    <w:bidi w:val="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S</w:t>
                  </w:r>
                </w:p>
              </w:tc>
              <w:tc>
                <w:tcPr>
                  <w:tcW w:w="161" w:type="pct"/>
                  <w:vMerge w:val="continue"/>
                  <w:tcBorders>
                    <w:tl2br w:val="nil"/>
                    <w:tr2bl w:val="nil"/>
                  </w:tcBorders>
                  <w:vAlign w:val="center"/>
                </w:tcPr>
                <w:p w14:paraId="502AEB54">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vAlign w:val="center"/>
                </w:tcPr>
                <w:p w14:paraId="26AD86B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0.088</w:t>
                  </w:r>
                </w:p>
              </w:tc>
              <w:tc>
                <w:tcPr>
                  <w:tcW w:w="309" w:type="pct"/>
                  <w:tcBorders>
                    <w:tl2br w:val="nil"/>
                    <w:tr2bl w:val="nil"/>
                  </w:tcBorders>
                  <w:vAlign w:val="center"/>
                </w:tcPr>
                <w:p w14:paraId="5800576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1.01</w:t>
                  </w:r>
                </w:p>
              </w:tc>
              <w:tc>
                <w:tcPr>
                  <w:tcW w:w="581" w:type="pct"/>
                  <w:vMerge w:val="continue"/>
                  <w:tcBorders>
                    <w:tl2br w:val="nil"/>
                    <w:tr2bl w:val="nil"/>
                  </w:tcBorders>
                  <w:vAlign w:val="center"/>
                </w:tcPr>
                <w:p w14:paraId="599372A9">
                  <w:pPr>
                    <w:pStyle w:val="78"/>
                    <w:bidi w:val="0"/>
                    <w:jc w:val="center"/>
                    <w:rPr>
                      <w:rFonts w:hint="default" w:ascii="Times New Roman" w:hAnsi="Times New Roman" w:cs="Times New Roman"/>
                      <w:color w:val="auto"/>
                      <w:highlight w:val="none"/>
                      <w:lang w:val="en-US" w:eastAsia="zh-CN"/>
                    </w:rPr>
                  </w:pPr>
                </w:p>
              </w:tc>
              <w:tc>
                <w:tcPr>
                  <w:tcW w:w="217" w:type="pct"/>
                  <w:vMerge w:val="continue"/>
                  <w:tcBorders>
                    <w:tl2br w:val="nil"/>
                    <w:tr2bl w:val="nil"/>
                  </w:tcBorders>
                  <w:vAlign w:val="center"/>
                </w:tcPr>
                <w:p w14:paraId="1D083D30">
                  <w:pPr>
                    <w:pStyle w:val="78"/>
                    <w:bidi w:val="0"/>
                    <w:jc w:val="center"/>
                    <w:rPr>
                      <w:rFonts w:hint="default" w:ascii="Times New Roman" w:hAnsi="Times New Roman" w:cs="Times New Roman"/>
                      <w:color w:val="auto"/>
                      <w:highlight w:val="none"/>
                      <w:lang w:val="en-US" w:eastAsia="zh-CN"/>
                    </w:rPr>
                  </w:pPr>
                </w:p>
              </w:tc>
              <w:tc>
                <w:tcPr>
                  <w:tcW w:w="280" w:type="pct"/>
                  <w:tcBorders>
                    <w:tl2br w:val="nil"/>
                    <w:tr2bl w:val="nil"/>
                  </w:tcBorders>
                  <w:vAlign w:val="center"/>
                </w:tcPr>
                <w:p w14:paraId="24066D4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0.071</w:t>
                  </w:r>
                </w:p>
              </w:tc>
              <w:tc>
                <w:tcPr>
                  <w:tcW w:w="301" w:type="pct"/>
                  <w:tcBorders>
                    <w:tl2br w:val="nil"/>
                    <w:tr2bl w:val="nil"/>
                  </w:tcBorders>
                  <w:vAlign w:val="center"/>
                </w:tcPr>
                <w:p w14:paraId="3099A39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0.808</w:t>
                  </w:r>
                </w:p>
              </w:tc>
              <w:tc>
                <w:tcPr>
                  <w:tcW w:w="217" w:type="pct"/>
                  <w:vMerge w:val="continue"/>
                  <w:tcBorders>
                    <w:tl2br w:val="nil"/>
                    <w:tr2bl w:val="nil"/>
                  </w:tcBorders>
                  <w:vAlign w:val="center"/>
                </w:tcPr>
                <w:p w14:paraId="5650B315">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51F199B1">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1E658479">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7AAA1F00">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68E6C3D4">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47921FAE">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79F1DC10">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27C24E38">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44F39F05">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23D112BF">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3FEF6DD7">
                  <w:pPr>
                    <w:pStyle w:val="78"/>
                    <w:bidi w:val="0"/>
                    <w:jc w:val="center"/>
                    <w:rPr>
                      <w:rFonts w:hint="default" w:ascii="Times New Roman" w:hAnsi="Times New Roman" w:cs="Times New Roman"/>
                      <w:color w:val="auto"/>
                      <w:highlight w:val="none"/>
                      <w:lang w:val="en-US" w:eastAsia="zh-CN"/>
                    </w:rPr>
                  </w:pPr>
                </w:p>
              </w:tc>
            </w:tr>
            <w:tr w14:paraId="0786B8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restart"/>
                  <w:tcBorders>
                    <w:tl2br w:val="nil"/>
                    <w:tr2bl w:val="nil"/>
                  </w:tcBorders>
                  <w:vAlign w:val="center"/>
                </w:tcPr>
                <w:p w14:paraId="7B902801">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沼液池</w:t>
                  </w:r>
                </w:p>
              </w:tc>
              <w:tc>
                <w:tcPr>
                  <w:tcW w:w="222" w:type="pct"/>
                  <w:tcBorders>
                    <w:tl2br w:val="nil"/>
                    <w:tr2bl w:val="nil"/>
                  </w:tcBorders>
                  <w:vAlign w:val="center"/>
                </w:tcPr>
                <w:p w14:paraId="7B1D322F">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p>
              </w:tc>
              <w:tc>
                <w:tcPr>
                  <w:tcW w:w="161" w:type="pct"/>
                  <w:vMerge w:val="restart"/>
                  <w:tcBorders>
                    <w:tl2br w:val="nil"/>
                    <w:tr2bl w:val="nil"/>
                  </w:tcBorders>
                  <w:vAlign w:val="center"/>
                </w:tcPr>
                <w:p w14:paraId="02B74D95">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无组织</w:t>
                  </w:r>
                </w:p>
              </w:tc>
              <w:tc>
                <w:tcPr>
                  <w:tcW w:w="250" w:type="pct"/>
                  <w:tcBorders>
                    <w:tl2br w:val="nil"/>
                    <w:tr2bl w:val="nil"/>
                  </w:tcBorders>
                  <w:vAlign w:val="center"/>
                </w:tcPr>
                <w:p w14:paraId="65BC6E1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18.396</w:t>
                  </w:r>
                </w:p>
              </w:tc>
              <w:tc>
                <w:tcPr>
                  <w:tcW w:w="309" w:type="pct"/>
                  <w:tcBorders>
                    <w:tl2br w:val="nil"/>
                    <w:tr2bl w:val="nil"/>
                  </w:tcBorders>
                  <w:vAlign w:val="center"/>
                </w:tcPr>
                <w:p w14:paraId="3BDD74F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210</w:t>
                  </w:r>
                </w:p>
              </w:tc>
              <w:tc>
                <w:tcPr>
                  <w:tcW w:w="581" w:type="pct"/>
                  <w:vMerge w:val="restart"/>
                  <w:tcBorders>
                    <w:tl2br w:val="nil"/>
                    <w:tr2bl w:val="nil"/>
                  </w:tcBorders>
                  <w:vAlign w:val="center"/>
                </w:tcPr>
                <w:p w14:paraId="34EFBBD6">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17" w:type="pct"/>
                  <w:vMerge w:val="restart"/>
                  <w:tcBorders>
                    <w:tl2br w:val="nil"/>
                    <w:tr2bl w:val="nil"/>
                  </w:tcBorders>
                  <w:vAlign w:val="center"/>
                </w:tcPr>
                <w:p w14:paraId="29704E6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是</w:t>
                  </w:r>
                </w:p>
              </w:tc>
              <w:tc>
                <w:tcPr>
                  <w:tcW w:w="280" w:type="pct"/>
                  <w:tcBorders>
                    <w:tl2br w:val="nil"/>
                    <w:tr2bl w:val="nil"/>
                  </w:tcBorders>
                  <w:vAlign w:val="center"/>
                </w:tcPr>
                <w:p w14:paraId="6BC7A45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14.717</w:t>
                  </w:r>
                </w:p>
              </w:tc>
              <w:tc>
                <w:tcPr>
                  <w:tcW w:w="301" w:type="pct"/>
                  <w:tcBorders>
                    <w:tl2br w:val="nil"/>
                    <w:tr2bl w:val="nil"/>
                  </w:tcBorders>
                  <w:vAlign w:val="center"/>
                </w:tcPr>
                <w:p w14:paraId="4584D99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168</w:t>
                  </w:r>
                </w:p>
              </w:tc>
              <w:tc>
                <w:tcPr>
                  <w:tcW w:w="217" w:type="pct"/>
                  <w:vMerge w:val="restart"/>
                  <w:tcBorders>
                    <w:tl2br w:val="nil"/>
                    <w:tr2bl w:val="nil"/>
                  </w:tcBorders>
                  <w:vAlign w:val="center"/>
                </w:tcPr>
                <w:p w14:paraId="23A7934F">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29" w:type="pct"/>
                  <w:vMerge w:val="restart"/>
                  <w:tcBorders>
                    <w:tl2br w:val="nil"/>
                    <w:tr2bl w:val="nil"/>
                  </w:tcBorders>
                  <w:vAlign w:val="center"/>
                </w:tcPr>
                <w:p w14:paraId="0EF79D7D">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93" w:type="pct"/>
                  <w:vMerge w:val="restart"/>
                  <w:tcBorders>
                    <w:tl2br w:val="nil"/>
                    <w:tr2bl w:val="nil"/>
                  </w:tcBorders>
                  <w:vAlign w:val="center"/>
                </w:tcPr>
                <w:p w14:paraId="0EB4C2B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vMerge w:val="restart"/>
                  <w:tcBorders>
                    <w:tl2br w:val="nil"/>
                    <w:tr2bl w:val="nil"/>
                  </w:tcBorders>
                  <w:vAlign w:val="center"/>
                </w:tcPr>
                <w:p w14:paraId="0A5CF44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vMerge w:val="restart"/>
                  <w:tcBorders>
                    <w:tl2br w:val="nil"/>
                    <w:tr2bl w:val="nil"/>
                  </w:tcBorders>
                  <w:vAlign w:val="center"/>
                </w:tcPr>
                <w:p w14:paraId="2DCBFECD">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55" w:type="pct"/>
                  <w:vMerge w:val="restart"/>
                  <w:tcBorders>
                    <w:tl2br w:val="nil"/>
                    <w:tr2bl w:val="nil"/>
                  </w:tcBorders>
                  <w:vAlign w:val="center"/>
                </w:tcPr>
                <w:p w14:paraId="0691C05E">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53" w:type="pct"/>
                  <w:vMerge w:val="restart"/>
                  <w:tcBorders>
                    <w:tl2br w:val="nil"/>
                    <w:tr2bl w:val="nil"/>
                  </w:tcBorders>
                  <w:vAlign w:val="center"/>
                </w:tcPr>
                <w:p w14:paraId="260304E2">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67" w:type="pct"/>
                  <w:vMerge w:val="restart"/>
                  <w:tcBorders>
                    <w:tl2br w:val="nil"/>
                    <w:tr2bl w:val="nil"/>
                  </w:tcBorders>
                  <w:vAlign w:val="center"/>
                </w:tcPr>
                <w:p w14:paraId="2491A930">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61" w:type="pct"/>
                  <w:vMerge w:val="restart"/>
                  <w:tcBorders>
                    <w:tl2br w:val="nil"/>
                    <w:tr2bl w:val="nil"/>
                  </w:tcBorders>
                  <w:vAlign w:val="center"/>
                </w:tcPr>
                <w:p w14:paraId="48FEBBDF">
                  <w:pPr>
                    <w:pStyle w:val="78"/>
                    <w:bidi w:val="0"/>
                    <w:jc w:val="center"/>
                    <w:rPr>
                      <w:rFonts w:hint="default" w:ascii="Times New Roman" w:hAnsi="Times New Roman" w:cs="Times New Roman"/>
                      <w:color w:val="auto"/>
                      <w:highlight w:val="none"/>
                      <w:vertAlign w:val="subscript"/>
                      <w:lang w:val="en-US" w:eastAsia="zh-CN"/>
                    </w:rPr>
                  </w:pPr>
                  <w:r>
                    <w:rPr>
                      <w:rFonts w:hint="eastAsia" w:ascii="Times New Roman" w:hAnsi="Times New Roman" w:cs="Times New Roman"/>
                      <w:color w:val="auto"/>
                      <w:highlight w:val="none"/>
                      <w:vertAlign w:val="baseline"/>
                      <w:lang w:val="en-US" w:eastAsia="zh-CN"/>
                    </w:rPr>
                    <w:t>厂房外</w:t>
                  </w:r>
                </w:p>
              </w:tc>
              <w:tc>
                <w:tcPr>
                  <w:tcW w:w="248" w:type="pct"/>
                  <w:vMerge w:val="restart"/>
                  <w:tcBorders>
                    <w:tl2br w:val="nil"/>
                    <w:tr2bl w:val="nil"/>
                  </w:tcBorders>
                  <w:vAlign w:val="center"/>
                </w:tcPr>
                <w:p w14:paraId="145C727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baseli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S</w:t>
                  </w:r>
                </w:p>
              </w:tc>
              <w:tc>
                <w:tcPr>
                  <w:tcW w:w="215" w:type="pct"/>
                  <w:vMerge w:val="restart"/>
                  <w:tcBorders>
                    <w:tl2br w:val="nil"/>
                    <w:tr2bl w:val="nil"/>
                  </w:tcBorders>
                  <w:vAlign w:val="center"/>
                </w:tcPr>
                <w:p w14:paraId="2F3BA87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1次/半年</w:t>
                  </w:r>
                </w:p>
              </w:tc>
            </w:tr>
            <w:tr w14:paraId="16B3E6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3F1FF44A">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vAlign w:val="center"/>
                </w:tcPr>
                <w:p w14:paraId="5E0A964B">
                  <w:pPr>
                    <w:pStyle w:val="78"/>
                    <w:bidi w:val="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S</w:t>
                  </w:r>
                </w:p>
              </w:tc>
              <w:tc>
                <w:tcPr>
                  <w:tcW w:w="161" w:type="pct"/>
                  <w:vMerge w:val="continue"/>
                  <w:tcBorders>
                    <w:tl2br w:val="nil"/>
                    <w:tr2bl w:val="nil"/>
                  </w:tcBorders>
                  <w:vAlign w:val="center"/>
                </w:tcPr>
                <w:p w14:paraId="324DC664">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vAlign w:val="center"/>
                </w:tcPr>
                <w:p w14:paraId="24D5517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1.099</w:t>
                  </w:r>
                </w:p>
              </w:tc>
              <w:tc>
                <w:tcPr>
                  <w:tcW w:w="309" w:type="pct"/>
                  <w:tcBorders>
                    <w:tl2br w:val="nil"/>
                    <w:tr2bl w:val="nil"/>
                  </w:tcBorders>
                  <w:vAlign w:val="center"/>
                </w:tcPr>
                <w:p w14:paraId="0025717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12.542</w:t>
                  </w:r>
                </w:p>
              </w:tc>
              <w:tc>
                <w:tcPr>
                  <w:tcW w:w="581" w:type="pct"/>
                  <w:vMerge w:val="continue"/>
                  <w:tcBorders>
                    <w:tl2br w:val="nil"/>
                    <w:tr2bl w:val="nil"/>
                  </w:tcBorders>
                  <w:vAlign w:val="center"/>
                </w:tcPr>
                <w:p w14:paraId="4D8E4939">
                  <w:pPr>
                    <w:pStyle w:val="78"/>
                    <w:bidi w:val="0"/>
                    <w:jc w:val="center"/>
                    <w:rPr>
                      <w:rFonts w:hint="default" w:ascii="Times New Roman" w:hAnsi="Times New Roman" w:cs="Times New Roman"/>
                      <w:color w:val="auto"/>
                      <w:highlight w:val="none"/>
                      <w:lang w:val="en-US" w:eastAsia="zh-CN"/>
                    </w:rPr>
                  </w:pPr>
                </w:p>
              </w:tc>
              <w:tc>
                <w:tcPr>
                  <w:tcW w:w="217" w:type="pct"/>
                  <w:vMerge w:val="continue"/>
                  <w:tcBorders>
                    <w:tl2br w:val="nil"/>
                    <w:tr2bl w:val="nil"/>
                  </w:tcBorders>
                  <w:vAlign w:val="center"/>
                </w:tcPr>
                <w:p w14:paraId="31F81993">
                  <w:pPr>
                    <w:pStyle w:val="78"/>
                    <w:bidi w:val="0"/>
                    <w:jc w:val="center"/>
                    <w:rPr>
                      <w:rFonts w:hint="default" w:ascii="Times New Roman" w:hAnsi="Times New Roman" w:cs="Times New Roman"/>
                      <w:color w:val="auto"/>
                      <w:highlight w:val="none"/>
                      <w:lang w:val="en-US" w:eastAsia="zh-CN"/>
                    </w:rPr>
                  </w:pPr>
                </w:p>
              </w:tc>
              <w:tc>
                <w:tcPr>
                  <w:tcW w:w="280" w:type="pct"/>
                  <w:tcBorders>
                    <w:tl2br w:val="nil"/>
                    <w:tr2bl w:val="nil"/>
                  </w:tcBorders>
                  <w:vAlign w:val="center"/>
                </w:tcPr>
                <w:p w14:paraId="78DAEF3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0.899</w:t>
                  </w:r>
                </w:p>
              </w:tc>
              <w:tc>
                <w:tcPr>
                  <w:tcW w:w="301" w:type="pct"/>
                  <w:tcBorders>
                    <w:tl2br w:val="nil"/>
                    <w:tr2bl w:val="nil"/>
                  </w:tcBorders>
                  <w:vAlign w:val="center"/>
                </w:tcPr>
                <w:p w14:paraId="594DB21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10.033</w:t>
                  </w:r>
                </w:p>
              </w:tc>
              <w:tc>
                <w:tcPr>
                  <w:tcW w:w="217" w:type="pct"/>
                  <w:vMerge w:val="continue"/>
                  <w:tcBorders>
                    <w:tl2br w:val="nil"/>
                    <w:tr2bl w:val="nil"/>
                  </w:tcBorders>
                  <w:vAlign w:val="center"/>
                </w:tcPr>
                <w:p w14:paraId="1D43CA79">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23583955">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16878CAC">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43F19FC0">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558CC96D">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6FB53634">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4E79B2F8">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47CF9DAD">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319D9911">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459EB020">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55CA5A2C">
                  <w:pPr>
                    <w:pStyle w:val="78"/>
                    <w:bidi w:val="0"/>
                    <w:jc w:val="center"/>
                    <w:rPr>
                      <w:rFonts w:hint="default" w:ascii="Times New Roman" w:hAnsi="Times New Roman" w:cs="Times New Roman"/>
                      <w:color w:val="auto"/>
                      <w:highlight w:val="none"/>
                      <w:lang w:val="en-US" w:eastAsia="zh-CN"/>
                    </w:rPr>
                  </w:pPr>
                </w:p>
              </w:tc>
            </w:tr>
            <w:tr w14:paraId="3EEE75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restart"/>
                  <w:tcBorders>
                    <w:tl2br w:val="nil"/>
                    <w:tr2bl w:val="nil"/>
                  </w:tcBorders>
                  <w:vAlign w:val="center"/>
                </w:tcPr>
                <w:p w14:paraId="70101F81">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发酵池</w:t>
                  </w:r>
                </w:p>
              </w:tc>
              <w:tc>
                <w:tcPr>
                  <w:tcW w:w="222" w:type="pct"/>
                  <w:tcBorders>
                    <w:tl2br w:val="nil"/>
                    <w:tr2bl w:val="nil"/>
                  </w:tcBorders>
                  <w:shd w:val="clear" w:color="auto" w:fill="auto"/>
                  <w:vAlign w:val="center"/>
                </w:tcPr>
                <w:p w14:paraId="359D7909">
                  <w:pPr>
                    <w:pStyle w:val="78"/>
                    <w:bidi w:val="0"/>
                    <w:jc w:val="center"/>
                    <w:rPr>
                      <w:rFonts w:hint="default" w:ascii="Times New Roman" w:hAnsi="Times New Roman" w:eastAsia="Times New Roman" w:cs="Times New Roman"/>
                      <w:color w:val="auto"/>
                      <w:kern w:val="2"/>
                      <w:sz w:val="21"/>
                      <w:szCs w:val="21"/>
                      <w:highlight w:val="none"/>
                      <w:vertAlign w:val="subscript"/>
                      <w:lang w:val="en-US" w:eastAsia="zh-CN" w:bidi="ar-SA"/>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p>
              </w:tc>
              <w:tc>
                <w:tcPr>
                  <w:tcW w:w="161" w:type="pct"/>
                  <w:vMerge w:val="restart"/>
                  <w:tcBorders>
                    <w:tl2br w:val="nil"/>
                    <w:tr2bl w:val="nil"/>
                  </w:tcBorders>
                  <w:vAlign w:val="center"/>
                </w:tcPr>
                <w:p w14:paraId="4E075E9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有组织</w:t>
                  </w:r>
                </w:p>
              </w:tc>
              <w:tc>
                <w:tcPr>
                  <w:tcW w:w="250" w:type="pct"/>
                  <w:tcBorders>
                    <w:tl2br w:val="nil"/>
                    <w:tr2bl w:val="nil"/>
                  </w:tcBorders>
                  <w:vAlign w:val="center"/>
                </w:tcPr>
                <w:p w14:paraId="60A1B9B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10.512</w:t>
                  </w:r>
                </w:p>
              </w:tc>
              <w:tc>
                <w:tcPr>
                  <w:tcW w:w="309" w:type="pct"/>
                  <w:tcBorders>
                    <w:tl2br w:val="nil"/>
                    <w:tr2bl w:val="nil"/>
                  </w:tcBorders>
                  <w:vAlign w:val="center"/>
                </w:tcPr>
                <w:p w14:paraId="4C77BE7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120</w:t>
                  </w:r>
                </w:p>
              </w:tc>
              <w:tc>
                <w:tcPr>
                  <w:tcW w:w="581" w:type="pct"/>
                  <w:vMerge w:val="restart"/>
                  <w:tcBorders>
                    <w:tl2br w:val="nil"/>
                    <w:tr2bl w:val="nil"/>
                  </w:tcBorders>
                  <w:vAlign w:val="center"/>
                </w:tcPr>
                <w:p w14:paraId="68E4B47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车间收集+雾化喷淋除臭</w:t>
                  </w:r>
                </w:p>
              </w:tc>
              <w:tc>
                <w:tcPr>
                  <w:tcW w:w="217" w:type="pct"/>
                  <w:vMerge w:val="restart"/>
                  <w:tcBorders>
                    <w:tl2br w:val="nil"/>
                    <w:tr2bl w:val="nil"/>
                  </w:tcBorders>
                  <w:vAlign w:val="center"/>
                </w:tcPr>
                <w:p w14:paraId="3385462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是</w:t>
                  </w:r>
                </w:p>
              </w:tc>
              <w:tc>
                <w:tcPr>
                  <w:tcW w:w="280" w:type="pct"/>
                  <w:tcBorders>
                    <w:tl2br w:val="nil"/>
                    <w:tr2bl w:val="nil"/>
                  </w:tcBorders>
                  <w:vAlign w:val="center"/>
                </w:tcPr>
                <w:p w14:paraId="1671B13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8.41</w:t>
                  </w:r>
                </w:p>
              </w:tc>
              <w:tc>
                <w:tcPr>
                  <w:tcW w:w="301" w:type="pct"/>
                  <w:tcBorders>
                    <w:tl2br w:val="nil"/>
                    <w:tr2bl w:val="nil"/>
                  </w:tcBorders>
                  <w:vAlign w:val="center"/>
                </w:tcPr>
                <w:p w14:paraId="2778DB6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96</w:t>
                  </w:r>
                </w:p>
              </w:tc>
              <w:tc>
                <w:tcPr>
                  <w:tcW w:w="217" w:type="pct"/>
                  <w:vMerge w:val="restart"/>
                  <w:tcBorders>
                    <w:tl2br w:val="nil"/>
                    <w:tr2bl w:val="nil"/>
                  </w:tcBorders>
                  <w:vAlign w:val="center"/>
                </w:tcPr>
                <w:p w14:paraId="05F9277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DA002</w:t>
                  </w:r>
                </w:p>
              </w:tc>
              <w:tc>
                <w:tcPr>
                  <w:tcW w:w="329" w:type="pct"/>
                  <w:vMerge w:val="restart"/>
                  <w:tcBorders>
                    <w:tl2br w:val="nil"/>
                    <w:tr2bl w:val="nil"/>
                  </w:tcBorders>
                  <w:vAlign w:val="center"/>
                </w:tcPr>
                <w:p w14:paraId="10874B8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沼气系统废气排放口</w:t>
                  </w:r>
                </w:p>
              </w:tc>
              <w:tc>
                <w:tcPr>
                  <w:tcW w:w="193" w:type="pct"/>
                  <w:vMerge w:val="restart"/>
                  <w:tcBorders>
                    <w:tl2br w:val="nil"/>
                    <w:tr2bl w:val="nil"/>
                  </w:tcBorders>
                  <w:vAlign w:val="center"/>
                </w:tcPr>
                <w:p w14:paraId="00B053E2">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vMerge w:val="restart"/>
                  <w:tcBorders>
                    <w:tl2br w:val="nil"/>
                    <w:tr2bl w:val="nil"/>
                  </w:tcBorders>
                  <w:vAlign w:val="center"/>
                </w:tcPr>
                <w:p w14:paraId="51E5311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vMerge w:val="restart"/>
                  <w:tcBorders>
                    <w:tl2br w:val="nil"/>
                    <w:tr2bl w:val="nil"/>
                  </w:tcBorders>
                  <w:vAlign w:val="center"/>
                </w:tcPr>
                <w:p w14:paraId="0275EDC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255" w:type="pct"/>
                  <w:vMerge w:val="restart"/>
                  <w:tcBorders>
                    <w:tl2br w:val="nil"/>
                    <w:tr2bl w:val="nil"/>
                  </w:tcBorders>
                  <w:vAlign w:val="center"/>
                </w:tcPr>
                <w:p w14:paraId="09AC6EE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w:t>
                  </w:r>
                </w:p>
              </w:tc>
              <w:tc>
                <w:tcPr>
                  <w:tcW w:w="253" w:type="pct"/>
                  <w:vMerge w:val="restart"/>
                  <w:tcBorders>
                    <w:tl2br w:val="nil"/>
                    <w:tr2bl w:val="nil"/>
                  </w:tcBorders>
                  <w:vAlign w:val="center"/>
                </w:tcPr>
                <w:p w14:paraId="536B1C0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常温</w:t>
                  </w:r>
                </w:p>
              </w:tc>
              <w:tc>
                <w:tcPr>
                  <w:tcW w:w="167" w:type="pct"/>
                  <w:vMerge w:val="restart"/>
                  <w:tcBorders>
                    <w:tl2br w:val="nil"/>
                    <w:tr2bl w:val="nil"/>
                  </w:tcBorders>
                  <w:vAlign w:val="center"/>
                </w:tcPr>
                <w:p w14:paraId="196D89D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一般排放口</w:t>
                  </w:r>
                </w:p>
              </w:tc>
              <w:tc>
                <w:tcPr>
                  <w:tcW w:w="161" w:type="pct"/>
                  <w:vMerge w:val="restart"/>
                  <w:tcBorders>
                    <w:tl2br w:val="nil"/>
                    <w:tr2bl w:val="nil"/>
                  </w:tcBorders>
                  <w:vAlign w:val="center"/>
                </w:tcPr>
                <w:p w14:paraId="66E83CA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vertAlign w:val="baseline"/>
                      <w:lang w:val="en-US" w:eastAsia="zh-CN"/>
                    </w:rPr>
                    <w:t>排气筒出口</w:t>
                  </w:r>
                </w:p>
              </w:tc>
              <w:tc>
                <w:tcPr>
                  <w:tcW w:w="248" w:type="pct"/>
                  <w:vMerge w:val="restart"/>
                  <w:tcBorders>
                    <w:tl2br w:val="nil"/>
                    <w:tr2bl w:val="nil"/>
                  </w:tcBorders>
                  <w:vAlign w:val="center"/>
                </w:tcPr>
                <w:p w14:paraId="6055495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baseli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S</w:t>
                  </w:r>
                </w:p>
              </w:tc>
              <w:tc>
                <w:tcPr>
                  <w:tcW w:w="215" w:type="pct"/>
                  <w:vMerge w:val="restart"/>
                  <w:tcBorders>
                    <w:tl2br w:val="nil"/>
                    <w:tr2bl w:val="nil"/>
                  </w:tcBorders>
                  <w:vAlign w:val="center"/>
                </w:tcPr>
                <w:p w14:paraId="2F11892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1次/半年</w:t>
                  </w:r>
                </w:p>
              </w:tc>
            </w:tr>
            <w:tr w14:paraId="35CD5A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7438FC12">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shd w:val="clear" w:color="auto" w:fill="auto"/>
                  <w:vAlign w:val="center"/>
                </w:tcPr>
                <w:p w14:paraId="369759BD">
                  <w:pPr>
                    <w:pStyle w:val="78"/>
                    <w:bidi w:val="0"/>
                    <w:jc w:val="center"/>
                    <w:rPr>
                      <w:rFonts w:hint="default" w:ascii="Times New Roman" w:hAnsi="Times New Roman" w:eastAsia="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S</w:t>
                  </w:r>
                </w:p>
              </w:tc>
              <w:tc>
                <w:tcPr>
                  <w:tcW w:w="161" w:type="pct"/>
                  <w:vMerge w:val="continue"/>
                  <w:tcBorders>
                    <w:tl2br w:val="nil"/>
                    <w:tr2bl w:val="nil"/>
                  </w:tcBorders>
                  <w:vAlign w:val="center"/>
                </w:tcPr>
                <w:p w14:paraId="1E939FA1">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vAlign w:val="center"/>
                </w:tcPr>
                <w:p w14:paraId="2073A92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0.628</w:t>
                  </w:r>
                </w:p>
              </w:tc>
              <w:tc>
                <w:tcPr>
                  <w:tcW w:w="309" w:type="pct"/>
                  <w:tcBorders>
                    <w:tl2br w:val="nil"/>
                    <w:tr2bl w:val="nil"/>
                  </w:tcBorders>
                  <w:vAlign w:val="center"/>
                </w:tcPr>
                <w:p w14:paraId="3A4F682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7.167</w:t>
                  </w:r>
                </w:p>
              </w:tc>
              <w:tc>
                <w:tcPr>
                  <w:tcW w:w="581" w:type="pct"/>
                  <w:vMerge w:val="continue"/>
                  <w:tcBorders>
                    <w:tl2br w:val="nil"/>
                    <w:tr2bl w:val="nil"/>
                  </w:tcBorders>
                  <w:vAlign w:val="center"/>
                </w:tcPr>
                <w:p w14:paraId="7D9542B1">
                  <w:pPr>
                    <w:pStyle w:val="78"/>
                    <w:bidi w:val="0"/>
                    <w:jc w:val="center"/>
                    <w:rPr>
                      <w:rFonts w:hint="default" w:ascii="Times New Roman" w:hAnsi="Times New Roman" w:cs="Times New Roman"/>
                      <w:color w:val="auto"/>
                      <w:highlight w:val="none"/>
                      <w:lang w:val="en-US" w:eastAsia="zh-CN"/>
                    </w:rPr>
                  </w:pPr>
                </w:p>
              </w:tc>
              <w:tc>
                <w:tcPr>
                  <w:tcW w:w="217" w:type="pct"/>
                  <w:vMerge w:val="continue"/>
                  <w:tcBorders>
                    <w:tl2br w:val="nil"/>
                    <w:tr2bl w:val="nil"/>
                  </w:tcBorders>
                  <w:vAlign w:val="center"/>
                </w:tcPr>
                <w:p w14:paraId="452A5A94">
                  <w:pPr>
                    <w:pStyle w:val="78"/>
                    <w:bidi w:val="0"/>
                    <w:jc w:val="center"/>
                    <w:rPr>
                      <w:rFonts w:hint="default" w:ascii="Times New Roman" w:hAnsi="Times New Roman" w:cs="Times New Roman"/>
                      <w:color w:val="auto"/>
                      <w:highlight w:val="none"/>
                      <w:lang w:val="en-US" w:eastAsia="zh-CN"/>
                    </w:rPr>
                  </w:pPr>
                </w:p>
              </w:tc>
              <w:tc>
                <w:tcPr>
                  <w:tcW w:w="280" w:type="pct"/>
                  <w:tcBorders>
                    <w:tl2br w:val="nil"/>
                    <w:tr2bl w:val="nil"/>
                  </w:tcBorders>
                  <w:vAlign w:val="center"/>
                </w:tcPr>
                <w:p w14:paraId="4C02A03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0.502</w:t>
                  </w:r>
                </w:p>
              </w:tc>
              <w:tc>
                <w:tcPr>
                  <w:tcW w:w="301" w:type="pct"/>
                  <w:tcBorders>
                    <w:tl2br w:val="nil"/>
                    <w:tr2bl w:val="nil"/>
                  </w:tcBorders>
                  <w:vAlign w:val="center"/>
                </w:tcPr>
                <w:p w14:paraId="4EB7502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5.733</w:t>
                  </w:r>
                </w:p>
              </w:tc>
              <w:tc>
                <w:tcPr>
                  <w:tcW w:w="217" w:type="pct"/>
                  <w:vMerge w:val="continue"/>
                  <w:tcBorders>
                    <w:tl2br w:val="nil"/>
                    <w:tr2bl w:val="nil"/>
                  </w:tcBorders>
                  <w:vAlign w:val="center"/>
                </w:tcPr>
                <w:p w14:paraId="64574D71">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7960541A">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2D205306">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59849036">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009B5544">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30404733">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1EC348C8">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677B4A6F">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2BAF0363">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67A8FBEF">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106FC747">
                  <w:pPr>
                    <w:pStyle w:val="78"/>
                    <w:bidi w:val="0"/>
                    <w:jc w:val="center"/>
                    <w:rPr>
                      <w:rFonts w:hint="default" w:ascii="Times New Roman" w:hAnsi="Times New Roman" w:cs="Times New Roman"/>
                      <w:color w:val="auto"/>
                      <w:highlight w:val="none"/>
                      <w:lang w:val="en-US" w:eastAsia="zh-CN"/>
                    </w:rPr>
                  </w:pPr>
                </w:p>
              </w:tc>
            </w:tr>
            <w:tr w14:paraId="28CACB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restart"/>
                  <w:tcBorders>
                    <w:tl2br w:val="nil"/>
                    <w:tr2bl w:val="nil"/>
                  </w:tcBorders>
                  <w:vAlign w:val="center"/>
                </w:tcPr>
                <w:p w14:paraId="1DE23FB1">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发电机组废气</w:t>
                  </w:r>
                </w:p>
              </w:tc>
              <w:tc>
                <w:tcPr>
                  <w:tcW w:w="222" w:type="pct"/>
                  <w:tcBorders>
                    <w:tl2br w:val="nil"/>
                    <w:tr2bl w:val="nil"/>
                  </w:tcBorders>
                  <w:shd w:val="clear" w:color="auto" w:fill="auto"/>
                  <w:vAlign w:val="center"/>
                </w:tcPr>
                <w:p w14:paraId="68344CA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61" w:type="pct"/>
                  <w:vMerge w:val="restart"/>
                  <w:tcBorders>
                    <w:tl2br w:val="nil"/>
                    <w:tr2bl w:val="nil"/>
                  </w:tcBorders>
                  <w:vAlign w:val="center"/>
                </w:tcPr>
                <w:p w14:paraId="13F2F6C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有组织</w:t>
                  </w:r>
                </w:p>
              </w:tc>
              <w:tc>
                <w:tcPr>
                  <w:tcW w:w="250" w:type="pct"/>
                  <w:tcBorders>
                    <w:tl2br w:val="nil"/>
                    <w:tr2bl w:val="nil"/>
                  </w:tcBorders>
                  <w:vAlign w:val="center"/>
                </w:tcPr>
                <w:p w14:paraId="621E7CC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0.024</w:t>
                  </w:r>
                </w:p>
              </w:tc>
              <w:tc>
                <w:tcPr>
                  <w:tcW w:w="309" w:type="pct"/>
                  <w:tcBorders>
                    <w:tl2br w:val="nil"/>
                    <w:tr2bl w:val="nil"/>
                  </w:tcBorders>
                  <w:vAlign w:val="center"/>
                </w:tcPr>
                <w:p w14:paraId="7351587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2.27</w:t>
                  </w:r>
                </w:p>
              </w:tc>
              <w:tc>
                <w:tcPr>
                  <w:tcW w:w="581" w:type="pct"/>
                  <w:vMerge w:val="restart"/>
                  <w:tcBorders>
                    <w:tl2br w:val="nil"/>
                    <w:tr2bl w:val="nil"/>
                  </w:tcBorders>
                  <w:vAlign w:val="center"/>
                </w:tcPr>
                <w:p w14:paraId="7271070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低氮燃烧25%</w:t>
                  </w:r>
                </w:p>
              </w:tc>
              <w:tc>
                <w:tcPr>
                  <w:tcW w:w="217" w:type="pct"/>
                  <w:vMerge w:val="restart"/>
                  <w:tcBorders>
                    <w:tl2br w:val="nil"/>
                    <w:tr2bl w:val="nil"/>
                  </w:tcBorders>
                  <w:vAlign w:val="center"/>
                </w:tcPr>
                <w:p w14:paraId="4F8C7FB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是</w:t>
                  </w:r>
                </w:p>
              </w:tc>
              <w:tc>
                <w:tcPr>
                  <w:tcW w:w="280" w:type="pct"/>
                  <w:tcBorders>
                    <w:tl2br w:val="nil"/>
                    <w:tr2bl w:val="nil"/>
                  </w:tcBorders>
                  <w:shd w:val="clear" w:color="auto" w:fill="auto"/>
                  <w:vAlign w:val="center"/>
                </w:tcPr>
                <w:p w14:paraId="06356B31">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0.024</w:t>
                  </w:r>
                </w:p>
              </w:tc>
              <w:tc>
                <w:tcPr>
                  <w:tcW w:w="301" w:type="pct"/>
                  <w:tcBorders>
                    <w:tl2br w:val="nil"/>
                    <w:tr2bl w:val="nil"/>
                  </w:tcBorders>
                  <w:shd w:val="clear" w:color="auto" w:fill="auto"/>
                  <w:vAlign w:val="center"/>
                </w:tcPr>
                <w:p w14:paraId="0BF8DDC8">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2.27</w:t>
                  </w:r>
                </w:p>
              </w:tc>
              <w:tc>
                <w:tcPr>
                  <w:tcW w:w="217" w:type="pct"/>
                  <w:vMerge w:val="restart"/>
                  <w:tcBorders>
                    <w:tl2br w:val="nil"/>
                    <w:tr2bl w:val="nil"/>
                  </w:tcBorders>
                  <w:vAlign w:val="center"/>
                </w:tcPr>
                <w:p w14:paraId="20BD0C4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DA003</w:t>
                  </w:r>
                </w:p>
              </w:tc>
              <w:tc>
                <w:tcPr>
                  <w:tcW w:w="329" w:type="pct"/>
                  <w:vMerge w:val="restart"/>
                  <w:tcBorders>
                    <w:tl2br w:val="nil"/>
                    <w:tr2bl w:val="nil"/>
                  </w:tcBorders>
                  <w:vAlign w:val="center"/>
                </w:tcPr>
                <w:p w14:paraId="1601014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发电机组废气排放口</w:t>
                  </w:r>
                </w:p>
              </w:tc>
              <w:tc>
                <w:tcPr>
                  <w:tcW w:w="193" w:type="pct"/>
                  <w:vMerge w:val="restart"/>
                  <w:tcBorders>
                    <w:tl2br w:val="nil"/>
                    <w:tr2bl w:val="nil"/>
                  </w:tcBorders>
                  <w:vAlign w:val="center"/>
                </w:tcPr>
                <w:p w14:paraId="0F3289C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vMerge w:val="restart"/>
                  <w:tcBorders>
                    <w:tl2br w:val="nil"/>
                    <w:tr2bl w:val="nil"/>
                  </w:tcBorders>
                  <w:vAlign w:val="center"/>
                </w:tcPr>
                <w:p w14:paraId="5F1651C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vMerge w:val="restart"/>
                  <w:tcBorders>
                    <w:tl2br w:val="nil"/>
                    <w:tr2bl w:val="nil"/>
                  </w:tcBorders>
                  <w:shd w:val="clear" w:color="auto" w:fill="auto"/>
                  <w:vAlign w:val="center"/>
                </w:tcPr>
                <w:p w14:paraId="114350C2">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8</w:t>
                  </w:r>
                </w:p>
              </w:tc>
              <w:tc>
                <w:tcPr>
                  <w:tcW w:w="255" w:type="pct"/>
                  <w:vMerge w:val="restart"/>
                  <w:tcBorders>
                    <w:tl2br w:val="nil"/>
                    <w:tr2bl w:val="nil"/>
                  </w:tcBorders>
                  <w:shd w:val="clear" w:color="auto" w:fill="auto"/>
                  <w:vAlign w:val="center"/>
                </w:tcPr>
                <w:p w14:paraId="0D9DE026">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0.2</w:t>
                  </w:r>
                </w:p>
              </w:tc>
              <w:tc>
                <w:tcPr>
                  <w:tcW w:w="253" w:type="pct"/>
                  <w:vMerge w:val="restart"/>
                  <w:tcBorders>
                    <w:tl2br w:val="nil"/>
                    <w:tr2bl w:val="nil"/>
                  </w:tcBorders>
                  <w:shd w:val="clear" w:color="auto" w:fill="auto"/>
                  <w:vAlign w:val="center"/>
                </w:tcPr>
                <w:p w14:paraId="56E68454">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常温</w:t>
                  </w:r>
                </w:p>
              </w:tc>
              <w:tc>
                <w:tcPr>
                  <w:tcW w:w="167" w:type="pct"/>
                  <w:vMerge w:val="restart"/>
                  <w:tcBorders>
                    <w:tl2br w:val="nil"/>
                    <w:tr2bl w:val="nil"/>
                  </w:tcBorders>
                  <w:shd w:val="clear" w:color="auto" w:fill="auto"/>
                  <w:vAlign w:val="center"/>
                </w:tcPr>
                <w:p w14:paraId="3337F596">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一般排放口</w:t>
                  </w:r>
                </w:p>
              </w:tc>
              <w:tc>
                <w:tcPr>
                  <w:tcW w:w="161" w:type="pct"/>
                  <w:vMerge w:val="restart"/>
                  <w:tcBorders>
                    <w:tl2br w:val="nil"/>
                    <w:tr2bl w:val="nil"/>
                  </w:tcBorders>
                  <w:shd w:val="clear" w:color="auto" w:fill="auto"/>
                  <w:vAlign w:val="center"/>
                </w:tcPr>
                <w:p w14:paraId="3A0A9D62">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vertAlign w:val="baseline"/>
                      <w:lang w:val="en-US" w:eastAsia="zh-CN"/>
                    </w:rPr>
                    <w:t>排气筒出口</w:t>
                  </w:r>
                </w:p>
              </w:tc>
              <w:tc>
                <w:tcPr>
                  <w:tcW w:w="248" w:type="pct"/>
                  <w:vMerge w:val="restart"/>
                  <w:tcBorders>
                    <w:tl2br w:val="nil"/>
                    <w:tr2bl w:val="nil"/>
                  </w:tcBorders>
                  <w:shd w:val="clear" w:color="auto" w:fill="auto"/>
                  <w:vAlign w:val="center"/>
                </w:tcPr>
                <w:p w14:paraId="434D945F">
                  <w:pPr>
                    <w:pStyle w:val="78"/>
                    <w:bidi w:val="0"/>
                    <w:jc w:val="center"/>
                    <w:rPr>
                      <w:rFonts w:hint="default" w:ascii="Times New Roman" w:hAnsi="Times New Roman" w:eastAsia="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颗粒物、SO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、NO</w:t>
                  </w:r>
                  <w:r>
                    <w:rPr>
                      <w:rFonts w:hint="default" w:ascii="Times New Roman" w:hAnsi="Times New Roman" w:cs="Times New Roman"/>
                      <w:color w:val="auto"/>
                      <w:highlight w:val="none"/>
                      <w:vertAlign w:val="subscript"/>
                      <w:lang w:val="en-US" w:eastAsia="zh-CN"/>
                    </w:rPr>
                    <w:t>x</w:t>
                  </w:r>
                </w:p>
              </w:tc>
              <w:tc>
                <w:tcPr>
                  <w:tcW w:w="215" w:type="pct"/>
                  <w:vMerge w:val="restart"/>
                  <w:tcBorders>
                    <w:tl2br w:val="nil"/>
                    <w:tr2bl w:val="nil"/>
                  </w:tcBorders>
                  <w:shd w:val="clear" w:color="auto" w:fill="auto"/>
                  <w:vAlign w:val="center"/>
                </w:tcPr>
                <w:p w14:paraId="665F8279">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1次/年</w:t>
                  </w:r>
                </w:p>
              </w:tc>
            </w:tr>
            <w:tr w14:paraId="546C1F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40B738FA">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shd w:val="clear" w:color="auto" w:fill="auto"/>
                  <w:vAlign w:val="center"/>
                </w:tcPr>
                <w:p w14:paraId="71D797F5">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p>
              </w:tc>
              <w:tc>
                <w:tcPr>
                  <w:tcW w:w="161" w:type="pct"/>
                  <w:vMerge w:val="continue"/>
                  <w:tcBorders>
                    <w:tl2br w:val="nil"/>
                    <w:tr2bl w:val="nil"/>
                  </w:tcBorders>
                  <w:vAlign w:val="center"/>
                </w:tcPr>
                <w:p w14:paraId="4070D8C9">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shd w:val="clear" w:color="auto" w:fill="auto"/>
                  <w:vAlign w:val="center"/>
                </w:tcPr>
                <w:p w14:paraId="7F930F58">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0.036</w:t>
                  </w:r>
                </w:p>
              </w:tc>
              <w:tc>
                <w:tcPr>
                  <w:tcW w:w="309" w:type="pct"/>
                  <w:tcBorders>
                    <w:tl2br w:val="nil"/>
                    <w:tr2bl w:val="nil"/>
                  </w:tcBorders>
                  <w:shd w:val="clear" w:color="auto" w:fill="auto"/>
                  <w:vAlign w:val="center"/>
                </w:tcPr>
                <w:p w14:paraId="53AA4263">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3.41</w:t>
                  </w:r>
                </w:p>
              </w:tc>
              <w:tc>
                <w:tcPr>
                  <w:tcW w:w="581" w:type="pct"/>
                  <w:vMerge w:val="continue"/>
                  <w:tcBorders>
                    <w:tl2br w:val="nil"/>
                    <w:tr2bl w:val="nil"/>
                  </w:tcBorders>
                  <w:shd w:val="clear" w:color="auto" w:fill="auto"/>
                  <w:vAlign w:val="center"/>
                </w:tcPr>
                <w:p w14:paraId="5B37D318">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p>
              </w:tc>
              <w:tc>
                <w:tcPr>
                  <w:tcW w:w="217" w:type="pct"/>
                  <w:vMerge w:val="continue"/>
                  <w:tcBorders>
                    <w:tl2br w:val="nil"/>
                    <w:tr2bl w:val="nil"/>
                  </w:tcBorders>
                  <w:shd w:val="clear" w:color="auto" w:fill="auto"/>
                  <w:vAlign w:val="center"/>
                </w:tcPr>
                <w:p w14:paraId="4750ECC2">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p>
              </w:tc>
              <w:tc>
                <w:tcPr>
                  <w:tcW w:w="280" w:type="pct"/>
                  <w:tcBorders>
                    <w:tl2br w:val="nil"/>
                    <w:tr2bl w:val="nil"/>
                  </w:tcBorders>
                  <w:shd w:val="clear" w:color="auto" w:fill="auto"/>
                  <w:vAlign w:val="center"/>
                </w:tcPr>
                <w:p w14:paraId="3032E87A">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0.036</w:t>
                  </w:r>
                </w:p>
              </w:tc>
              <w:tc>
                <w:tcPr>
                  <w:tcW w:w="301" w:type="pct"/>
                  <w:tcBorders>
                    <w:tl2br w:val="nil"/>
                    <w:tr2bl w:val="nil"/>
                  </w:tcBorders>
                  <w:shd w:val="clear" w:color="auto" w:fill="auto"/>
                  <w:vAlign w:val="center"/>
                </w:tcPr>
                <w:p w14:paraId="0909EAD2">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3.41</w:t>
                  </w:r>
                </w:p>
              </w:tc>
              <w:tc>
                <w:tcPr>
                  <w:tcW w:w="217" w:type="pct"/>
                  <w:vMerge w:val="continue"/>
                  <w:tcBorders>
                    <w:tl2br w:val="nil"/>
                    <w:tr2bl w:val="nil"/>
                  </w:tcBorders>
                  <w:vAlign w:val="center"/>
                </w:tcPr>
                <w:p w14:paraId="56419D0A">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4603B6DD">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1E399E04">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32919C9B">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5946297E">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18553BEC">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0FF3A892">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0252AC24">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496A2302">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5CF6B7C7">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72E1EF9D">
                  <w:pPr>
                    <w:pStyle w:val="78"/>
                    <w:bidi w:val="0"/>
                    <w:jc w:val="center"/>
                    <w:rPr>
                      <w:rFonts w:hint="default" w:ascii="Times New Roman" w:hAnsi="Times New Roman" w:cs="Times New Roman"/>
                      <w:color w:val="auto"/>
                      <w:highlight w:val="none"/>
                      <w:lang w:val="en-US" w:eastAsia="zh-CN"/>
                    </w:rPr>
                  </w:pPr>
                </w:p>
              </w:tc>
            </w:tr>
            <w:tr w14:paraId="209EED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7803A7C7">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shd w:val="clear" w:color="auto" w:fill="auto"/>
                  <w:vAlign w:val="center"/>
                </w:tcPr>
                <w:p w14:paraId="1EE28511">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p>
              </w:tc>
              <w:tc>
                <w:tcPr>
                  <w:tcW w:w="161" w:type="pct"/>
                  <w:vMerge w:val="continue"/>
                  <w:tcBorders>
                    <w:tl2br w:val="nil"/>
                    <w:tr2bl w:val="nil"/>
                  </w:tcBorders>
                  <w:vAlign w:val="center"/>
                </w:tcPr>
                <w:p w14:paraId="1AE164B2">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shd w:val="clear" w:color="auto" w:fill="auto"/>
                  <w:vAlign w:val="center"/>
                </w:tcPr>
                <w:p w14:paraId="4F05F0A2">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1.2</w:t>
                  </w:r>
                </w:p>
              </w:tc>
              <w:tc>
                <w:tcPr>
                  <w:tcW w:w="309" w:type="pct"/>
                  <w:tcBorders>
                    <w:tl2br w:val="nil"/>
                    <w:tr2bl w:val="nil"/>
                  </w:tcBorders>
                  <w:shd w:val="clear" w:color="auto" w:fill="auto"/>
                  <w:vAlign w:val="center"/>
                </w:tcPr>
                <w:p w14:paraId="0F4332A4">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111.61</w:t>
                  </w:r>
                </w:p>
              </w:tc>
              <w:tc>
                <w:tcPr>
                  <w:tcW w:w="581" w:type="pct"/>
                  <w:vMerge w:val="continue"/>
                  <w:tcBorders>
                    <w:tl2br w:val="nil"/>
                    <w:tr2bl w:val="nil"/>
                  </w:tcBorders>
                  <w:vAlign w:val="center"/>
                </w:tcPr>
                <w:p w14:paraId="5CD24AAC">
                  <w:pPr>
                    <w:pStyle w:val="78"/>
                    <w:bidi w:val="0"/>
                    <w:jc w:val="center"/>
                    <w:rPr>
                      <w:rFonts w:hint="default" w:ascii="Times New Roman" w:hAnsi="Times New Roman" w:cs="Times New Roman"/>
                      <w:color w:val="auto"/>
                      <w:highlight w:val="none"/>
                      <w:lang w:val="en-US" w:eastAsia="zh-CN"/>
                    </w:rPr>
                  </w:pPr>
                </w:p>
              </w:tc>
              <w:tc>
                <w:tcPr>
                  <w:tcW w:w="217" w:type="pct"/>
                  <w:vMerge w:val="continue"/>
                  <w:tcBorders>
                    <w:tl2br w:val="nil"/>
                    <w:tr2bl w:val="nil"/>
                  </w:tcBorders>
                  <w:vAlign w:val="center"/>
                </w:tcPr>
                <w:p w14:paraId="3DEFB684">
                  <w:pPr>
                    <w:pStyle w:val="78"/>
                    <w:bidi w:val="0"/>
                    <w:jc w:val="center"/>
                    <w:rPr>
                      <w:rFonts w:hint="default" w:ascii="Times New Roman" w:hAnsi="Times New Roman" w:cs="Times New Roman"/>
                      <w:color w:val="auto"/>
                      <w:highlight w:val="none"/>
                      <w:lang w:val="en-US" w:eastAsia="zh-CN"/>
                    </w:rPr>
                  </w:pPr>
                </w:p>
              </w:tc>
              <w:tc>
                <w:tcPr>
                  <w:tcW w:w="280" w:type="pct"/>
                  <w:tcBorders>
                    <w:tl2br w:val="nil"/>
                    <w:tr2bl w:val="nil"/>
                  </w:tcBorders>
                  <w:vAlign w:val="center"/>
                </w:tcPr>
                <w:p w14:paraId="37394E5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0.9</w:t>
                  </w:r>
                </w:p>
              </w:tc>
              <w:tc>
                <w:tcPr>
                  <w:tcW w:w="301" w:type="pct"/>
                  <w:tcBorders>
                    <w:tl2br w:val="nil"/>
                    <w:tr2bl w:val="nil"/>
                  </w:tcBorders>
                  <w:vAlign w:val="center"/>
                </w:tcPr>
                <w:p w14:paraId="59B5910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83.71</w:t>
                  </w:r>
                </w:p>
              </w:tc>
              <w:tc>
                <w:tcPr>
                  <w:tcW w:w="217" w:type="pct"/>
                  <w:vMerge w:val="continue"/>
                  <w:tcBorders>
                    <w:tl2br w:val="nil"/>
                    <w:tr2bl w:val="nil"/>
                  </w:tcBorders>
                  <w:vAlign w:val="center"/>
                </w:tcPr>
                <w:p w14:paraId="620447B1">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60F279B7">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7EEA8A0D">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457A480C">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2B71543F">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07FABBC3">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5053B434">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33D1AFF7">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46BB5B32">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0E9F35A0">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129DFA81">
                  <w:pPr>
                    <w:pStyle w:val="78"/>
                    <w:bidi w:val="0"/>
                    <w:jc w:val="center"/>
                    <w:rPr>
                      <w:rFonts w:hint="default" w:ascii="Times New Roman" w:hAnsi="Times New Roman" w:cs="Times New Roman"/>
                      <w:color w:val="auto"/>
                      <w:highlight w:val="none"/>
                      <w:lang w:val="en-US" w:eastAsia="zh-CN"/>
                    </w:rPr>
                  </w:pPr>
                </w:p>
              </w:tc>
            </w:tr>
            <w:tr w14:paraId="324C2B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restart"/>
                  <w:tcBorders>
                    <w:tl2br w:val="nil"/>
                    <w:tr2bl w:val="nil"/>
                  </w:tcBorders>
                  <w:vAlign w:val="center"/>
                </w:tcPr>
                <w:p w14:paraId="35C90455">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沼气锅炉废气</w:t>
                  </w:r>
                </w:p>
              </w:tc>
              <w:tc>
                <w:tcPr>
                  <w:tcW w:w="222" w:type="pct"/>
                  <w:tcBorders>
                    <w:tl2br w:val="nil"/>
                    <w:tr2bl w:val="nil"/>
                  </w:tcBorders>
                  <w:shd w:val="clear" w:color="auto" w:fill="auto"/>
                  <w:vAlign w:val="center"/>
                </w:tcPr>
                <w:p w14:paraId="1AB89F1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61" w:type="pct"/>
                  <w:vMerge w:val="restart"/>
                  <w:tcBorders>
                    <w:tl2br w:val="nil"/>
                    <w:tr2bl w:val="nil"/>
                  </w:tcBorders>
                  <w:vAlign w:val="center"/>
                </w:tcPr>
                <w:p w14:paraId="7D4ED4E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有组织</w:t>
                  </w:r>
                </w:p>
              </w:tc>
              <w:tc>
                <w:tcPr>
                  <w:tcW w:w="250" w:type="pct"/>
                  <w:tcBorders>
                    <w:tl2br w:val="nil"/>
                    <w:tr2bl w:val="nil"/>
                  </w:tcBorders>
                  <w:vAlign w:val="center"/>
                </w:tcPr>
                <w:p w14:paraId="4A8433E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0.084</w:t>
                  </w:r>
                </w:p>
              </w:tc>
              <w:tc>
                <w:tcPr>
                  <w:tcW w:w="309" w:type="pct"/>
                  <w:tcBorders>
                    <w:tl2br w:val="nil"/>
                    <w:tr2bl w:val="nil"/>
                  </w:tcBorders>
                  <w:vAlign w:val="center"/>
                </w:tcPr>
                <w:p w14:paraId="0BEC29A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19.3</w:t>
                  </w:r>
                </w:p>
              </w:tc>
              <w:tc>
                <w:tcPr>
                  <w:tcW w:w="581" w:type="pct"/>
                  <w:vMerge w:val="restart"/>
                  <w:tcBorders>
                    <w:tl2br w:val="nil"/>
                    <w:tr2bl w:val="nil"/>
                  </w:tcBorders>
                  <w:vAlign w:val="center"/>
                </w:tcPr>
                <w:p w14:paraId="7371324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低氮燃烧25%</w:t>
                  </w:r>
                </w:p>
              </w:tc>
              <w:tc>
                <w:tcPr>
                  <w:tcW w:w="217" w:type="pct"/>
                  <w:vMerge w:val="restart"/>
                  <w:tcBorders>
                    <w:tl2br w:val="nil"/>
                    <w:tr2bl w:val="nil"/>
                  </w:tcBorders>
                  <w:vAlign w:val="center"/>
                </w:tcPr>
                <w:p w14:paraId="7C01E61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是</w:t>
                  </w:r>
                </w:p>
              </w:tc>
              <w:tc>
                <w:tcPr>
                  <w:tcW w:w="280" w:type="pct"/>
                  <w:tcBorders>
                    <w:tl2br w:val="nil"/>
                    <w:tr2bl w:val="nil"/>
                  </w:tcBorders>
                  <w:shd w:val="clear" w:color="auto" w:fill="auto"/>
                  <w:vAlign w:val="center"/>
                </w:tcPr>
                <w:p w14:paraId="61AF7986">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0.084</w:t>
                  </w:r>
                </w:p>
              </w:tc>
              <w:tc>
                <w:tcPr>
                  <w:tcW w:w="301" w:type="pct"/>
                  <w:tcBorders>
                    <w:tl2br w:val="nil"/>
                    <w:tr2bl w:val="nil"/>
                  </w:tcBorders>
                  <w:shd w:val="clear" w:color="auto" w:fill="auto"/>
                  <w:vAlign w:val="center"/>
                </w:tcPr>
                <w:p w14:paraId="5AEC6EA6">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19.3</w:t>
                  </w:r>
                </w:p>
              </w:tc>
              <w:tc>
                <w:tcPr>
                  <w:tcW w:w="217" w:type="pct"/>
                  <w:vMerge w:val="restart"/>
                  <w:tcBorders>
                    <w:tl2br w:val="nil"/>
                    <w:tr2bl w:val="nil"/>
                  </w:tcBorders>
                  <w:vAlign w:val="center"/>
                </w:tcPr>
                <w:p w14:paraId="5A9BF21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DA003</w:t>
                  </w:r>
                </w:p>
              </w:tc>
              <w:tc>
                <w:tcPr>
                  <w:tcW w:w="329" w:type="pct"/>
                  <w:vMerge w:val="restart"/>
                  <w:tcBorders>
                    <w:tl2br w:val="nil"/>
                    <w:tr2bl w:val="nil"/>
                  </w:tcBorders>
                  <w:vAlign w:val="center"/>
                </w:tcPr>
                <w:p w14:paraId="0A7B838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发电机组废气排放口</w:t>
                  </w:r>
                </w:p>
              </w:tc>
              <w:tc>
                <w:tcPr>
                  <w:tcW w:w="193" w:type="pct"/>
                  <w:vMerge w:val="restart"/>
                  <w:tcBorders>
                    <w:tl2br w:val="nil"/>
                    <w:tr2bl w:val="nil"/>
                  </w:tcBorders>
                  <w:vAlign w:val="center"/>
                </w:tcPr>
                <w:p w14:paraId="25023C0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vMerge w:val="restart"/>
                  <w:tcBorders>
                    <w:tl2br w:val="nil"/>
                    <w:tr2bl w:val="nil"/>
                  </w:tcBorders>
                  <w:vAlign w:val="center"/>
                </w:tcPr>
                <w:p w14:paraId="1D1CE73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vMerge w:val="restart"/>
                  <w:tcBorders>
                    <w:tl2br w:val="nil"/>
                    <w:tr2bl w:val="nil"/>
                  </w:tcBorders>
                  <w:shd w:val="clear" w:color="auto" w:fill="auto"/>
                  <w:vAlign w:val="center"/>
                </w:tcPr>
                <w:p w14:paraId="31EBCC49">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8</w:t>
                  </w:r>
                </w:p>
              </w:tc>
              <w:tc>
                <w:tcPr>
                  <w:tcW w:w="255" w:type="pct"/>
                  <w:vMerge w:val="restart"/>
                  <w:tcBorders>
                    <w:tl2br w:val="nil"/>
                    <w:tr2bl w:val="nil"/>
                  </w:tcBorders>
                  <w:shd w:val="clear" w:color="auto" w:fill="auto"/>
                  <w:vAlign w:val="center"/>
                </w:tcPr>
                <w:p w14:paraId="438DBE18">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0.2</w:t>
                  </w:r>
                </w:p>
              </w:tc>
              <w:tc>
                <w:tcPr>
                  <w:tcW w:w="253" w:type="pct"/>
                  <w:vMerge w:val="restart"/>
                  <w:tcBorders>
                    <w:tl2br w:val="nil"/>
                    <w:tr2bl w:val="nil"/>
                  </w:tcBorders>
                  <w:shd w:val="clear" w:color="auto" w:fill="auto"/>
                  <w:vAlign w:val="center"/>
                </w:tcPr>
                <w:p w14:paraId="79BDE5C5">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常温</w:t>
                  </w:r>
                </w:p>
              </w:tc>
              <w:tc>
                <w:tcPr>
                  <w:tcW w:w="167" w:type="pct"/>
                  <w:vMerge w:val="restart"/>
                  <w:tcBorders>
                    <w:tl2br w:val="nil"/>
                    <w:tr2bl w:val="nil"/>
                  </w:tcBorders>
                  <w:shd w:val="clear" w:color="auto" w:fill="auto"/>
                  <w:vAlign w:val="center"/>
                </w:tcPr>
                <w:p w14:paraId="45CCCD92">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一般排放口</w:t>
                  </w:r>
                </w:p>
              </w:tc>
              <w:tc>
                <w:tcPr>
                  <w:tcW w:w="161" w:type="pct"/>
                  <w:vMerge w:val="restart"/>
                  <w:tcBorders>
                    <w:tl2br w:val="nil"/>
                    <w:tr2bl w:val="nil"/>
                  </w:tcBorders>
                  <w:shd w:val="clear" w:color="auto" w:fill="auto"/>
                  <w:vAlign w:val="center"/>
                </w:tcPr>
                <w:p w14:paraId="11AD4E8F">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vertAlign w:val="baseline"/>
                      <w:lang w:val="en-US" w:eastAsia="zh-CN"/>
                    </w:rPr>
                    <w:t>排气筒出口</w:t>
                  </w:r>
                </w:p>
              </w:tc>
              <w:tc>
                <w:tcPr>
                  <w:tcW w:w="248" w:type="pct"/>
                  <w:vMerge w:val="restart"/>
                  <w:tcBorders>
                    <w:tl2br w:val="nil"/>
                    <w:tr2bl w:val="nil"/>
                  </w:tcBorders>
                  <w:shd w:val="clear" w:color="auto" w:fill="auto"/>
                  <w:vAlign w:val="center"/>
                </w:tcPr>
                <w:p w14:paraId="6FA732F2">
                  <w:pPr>
                    <w:pStyle w:val="78"/>
                    <w:bidi w:val="0"/>
                    <w:jc w:val="center"/>
                    <w:rPr>
                      <w:rFonts w:hint="default" w:ascii="Times New Roman" w:hAnsi="Times New Roman" w:eastAsia="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颗粒物、SO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、NO</w:t>
                  </w:r>
                  <w:r>
                    <w:rPr>
                      <w:rFonts w:hint="default" w:ascii="Times New Roman" w:hAnsi="Times New Roman" w:cs="Times New Roman"/>
                      <w:color w:val="auto"/>
                      <w:highlight w:val="none"/>
                      <w:vertAlign w:val="subscript"/>
                      <w:lang w:val="en-US" w:eastAsia="zh-CN"/>
                    </w:rPr>
                    <w:t>x</w:t>
                  </w:r>
                </w:p>
              </w:tc>
              <w:tc>
                <w:tcPr>
                  <w:tcW w:w="215" w:type="pct"/>
                  <w:vMerge w:val="restart"/>
                  <w:tcBorders>
                    <w:tl2br w:val="nil"/>
                    <w:tr2bl w:val="nil"/>
                  </w:tcBorders>
                  <w:shd w:val="clear" w:color="auto" w:fill="auto"/>
                  <w:vAlign w:val="center"/>
                </w:tcPr>
                <w:p w14:paraId="73FF2A51">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1次/年</w:t>
                  </w:r>
                </w:p>
              </w:tc>
            </w:tr>
            <w:tr w14:paraId="4515C5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5B80887C">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shd w:val="clear" w:color="auto" w:fill="auto"/>
                  <w:vAlign w:val="center"/>
                </w:tcPr>
                <w:p w14:paraId="6B3E6BBF">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p>
              </w:tc>
              <w:tc>
                <w:tcPr>
                  <w:tcW w:w="161" w:type="pct"/>
                  <w:vMerge w:val="continue"/>
                  <w:tcBorders>
                    <w:tl2br w:val="nil"/>
                    <w:tr2bl w:val="nil"/>
                  </w:tcBorders>
                  <w:vAlign w:val="center"/>
                </w:tcPr>
                <w:p w14:paraId="12DA82FB">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shd w:val="clear" w:color="auto" w:fill="auto"/>
                  <w:vAlign w:val="center"/>
                </w:tcPr>
                <w:p w14:paraId="519CE6E6">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0.068</w:t>
                  </w:r>
                </w:p>
              </w:tc>
              <w:tc>
                <w:tcPr>
                  <w:tcW w:w="309" w:type="pct"/>
                  <w:tcBorders>
                    <w:tl2br w:val="nil"/>
                    <w:tr2bl w:val="nil"/>
                  </w:tcBorders>
                  <w:shd w:val="clear" w:color="auto" w:fill="auto"/>
                  <w:vAlign w:val="center"/>
                </w:tcPr>
                <w:p w14:paraId="3748A06B">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13.53</w:t>
                  </w:r>
                </w:p>
              </w:tc>
              <w:tc>
                <w:tcPr>
                  <w:tcW w:w="581" w:type="pct"/>
                  <w:vMerge w:val="continue"/>
                  <w:tcBorders>
                    <w:tl2br w:val="nil"/>
                    <w:tr2bl w:val="nil"/>
                  </w:tcBorders>
                  <w:shd w:val="clear" w:color="auto" w:fill="auto"/>
                  <w:vAlign w:val="center"/>
                </w:tcPr>
                <w:p w14:paraId="39564544">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p>
              </w:tc>
              <w:tc>
                <w:tcPr>
                  <w:tcW w:w="217" w:type="pct"/>
                  <w:vMerge w:val="continue"/>
                  <w:tcBorders>
                    <w:tl2br w:val="nil"/>
                    <w:tr2bl w:val="nil"/>
                  </w:tcBorders>
                  <w:shd w:val="clear" w:color="auto" w:fill="auto"/>
                  <w:vAlign w:val="center"/>
                </w:tcPr>
                <w:p w14:paraId="1CA50732">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p>
              </w:tc>
              <w:tc>
                <w:tcPr>
                  <w:tcW w:w="280" w:type="pct"/>
                  <w:tcBorders>
                    <w:tl2br w:val="nil"/>
                    <w:tr2bl w:val="nil"/>
                  </w:tcBorders>
                  <w:shd w:val="clear" w:color="auto" w:fill="auto"/>
                  <w:vAlign w:val="center"/>
                </w:tcPr>
                <w:p w14:paraId="0949ADF2">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0.068</w:t>
                  </w:r>
                </w:p>
              </w:tc>
              <w:tc>
                <w:tcPr>
                  <w:tcW w:w="301" w:type="pct"/>
                  <w:tcBorders>
                    <w:tl2br w:val="nil"/>
                    <w:tr2bl w:val="nil"/>
                  </w:tcBorders>
                  <w:shd w:val="clear" w:color="auto" w:fill="auto"/>
                  <w:vAlign w:val="center"/>
                </w:tcPr>
                <w:p w14:paraId="42C57C8E">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13.53</w:t>
                  </w:r>
                </w:p>
              </w:tc>
              <w:tc>
                <w:tcPr>
                  <w:tcW w:w="217" w:type="pct"/>
                  <w:vMerge w:val="continue"/>
                  <w:tcBorders>
                    <w:tl2br w:val="nil"/>
                    <w:tr2bl w:val="nil"/>
                  </w:tcBorders>
                  <w:vAlign w:val="center"/>
                </w:tcPr>
                <w:p w14:paraId="14489214">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47E81262">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75C574BE">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1F0B8E58">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3C80C671">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3D4496DE">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15A92C4C">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001FCEE7">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096C7936">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24E8C789">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67F925D1">
                  <w:pPr>
                    <w:pStyle w:val="78"/>
                    <w:bidi w:val="0"/>
                    <w:jc w:val="center"/>
                    <w:rPr>
                      <w:rFonts w:hint="default" w:ascii="Times New Roman" w:hAnsi="Times New Roman" w:cs="Times New Roman"/>
                      <w:color w:val="auto"/>
                      <w:highlight w:val="none"/>
                      <w:lang w:val="en-US" w:eastAsia="zh-CN"/>
                    </w:rPr>
                  </w:pPr>
                </w:p>
              </w:tc>
            </w:tr>
            <w:tr w14:paraId="5B5EE3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5C9971E0">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shd w:val="clear" w:color="auto" w:fill="auto"/>
                  <w:vAlign w:val="center"/>
                </w:tcPr>
                <w:p w14:paraId="2FEE1081">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p>
              </w:tc>
              <w:tc>
                <w:tcPr>
                  <w:tcW w:w="161" w:type="pct"/>
                  <w:vMerge w:val="continue"/>
                  <w:tcBorders>
                    <w:tl2br w:val="nil"/>
                    <w:tr2bl w:val="nil"/>
                  </w:tcBorders>
                  <w:vAlign w:val="center"/>
                </w:tcPr>
                <w:p w14:paraId="649442F8">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shd w:val="clear" w:color="auto" w:fill="auto"/>
                  <w:vAlign w:val="center"/>
                </w:tcPr>
                <w:p w14:paraId="0666C634">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0.27</w:t>
                  </w:r>
                </w:p>
              </w:tc>
              <w:tc>
                <w:tcPr>
                  <w:tcW w:w="309" w:type="pct"/>
                  <w:tcBorders>
                    <w:tl2br w:val="nil"/>
                    <w:tr2bl w:val="nil"/>
                  </w:tcBorders>
                  <w:shd w:val="clear" w:color="auto" w:fill="auto"/>
                  <w:vAlign w:val="center"/>
                </w:tcPr>
                <w:p w14:paraId="351D28F1">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63.33</w:t>
                  </w:r>
                </w:p>
              </w:tc>
              <w:tc>
                <w:tcPr>
                  <w:tcW w:w="581" w:type="pct"/>
                  <w:vMerge w:val="continue"/>
                  <w:tcBorders>
                    <w:tl2br w:val="nil"/>
                    <w:tr2bl w:val="nil"/>
                  </w:tcBorders>
                  <w:vAlign w:val="center"/>
                </w:tcPr>
                <w:p w14:paraId="4438576F">
                  <w:pPr>
                    <w:pStyle w:val="78"/>
                    <w:bidi w:val="0"/>
                    <w:jc w:val="center"/>
                    <w:rPr>
                      <w:rFonts w:hint="default" w:ascii="Times New Roman" w:hAnsi="Times New Roman" w:cs="Times New Roman"/>
                      <w:color w:val="auto"/>
                      <w:highlight w:val="none"/>
                      <w:lang w:val="en-US" w:eastAsia="zh-CN"/>
                    </w:rPr>
                  </w:pPr>
                </w:p>
              </w:tc>
              <w:tc>
                <w:tcPr>
                  <w:tcW w:w="217" w:type="pct"/>
                  <w:vMerge w:val="continue"/>
                  <w:tcBorders>
                    <w:tl2br w:val="nil"/>
                    <w:tr2bl w:val="nil"/>
                  </w:tcBorders>
                  <w:vAlign w:val="center"/>
                </w:tcPr>
                <w:p w14:paraId="588B152D">
                  <w:pPr>
                    <w:pStyle w:val="78"/>
                    <w:bidi w:val="0"/>
                    <w:jc w:val="center"/>
                    <w:rPr>
                      <w:rFonts w:hint="default" w:ascii="Times New Roman" w:hAnsi="Times New Roman" w:cs="Times New Roman"/>
                      <w:color w:val="auto"/>
                      <w:highlight w:val="none"/>
                      <w:lang w:val="en-US" w:eastAsia="zh-CN"/>
                    </w:rPr>
                  </w:pPr>
                </w:p>
              </w:tc>
              <w:tc>
                <w:tcPr>
                  <w:tcW w:w="280" w:type="pct"/>
                  <w:tcBorders>
                    <w:tl2br w:val="nil"/>
                    <w:tr2bl w:val="nil"/>
                  </w:tcBorders>
                  <w:shd w:val="clear" w:color="auto" w:fill="auto"/>
                  <w:vAlign w:val="center"/>
                </w:tcPr>
                <w:p w14:paraId="786745AF">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0.2</w:t>
                  </w:r>
                </w:p>
              </w:tc>
              <w:tc>
                <w:tcPr>
                  <w:tcW w:w="301" w:type="pct"/>
                  <w:tcBorders>
                    <w:tl2br w:val="nil"/>
                    <w:tr2bl w:val="nil"/>
                  </w:tcBorders>
                  <w:shd w:val="clear" w:color="auto" w:fill="auto"/>
                  <w:vAlign w:val="center"/>
                </w:tcPr>
                <w:p w14:paraId="57258B4C">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47.5</w:t>
                  </w:r>
                </w:p>
              </w:tc>
              <w:tc>
                <w:tcPr>
                  <w:tcW w:w="217" w:type="pct"/>
                  <w:vMerge w:val="continue"/>
                  <w:tcBorders>
                    <w:tl2br w:val="nil"/>
                    <w:tr2bl w:val="nil"/>
                  </w:tcBorders>
                  <w:vAlign w:val="center"/>
                </w:tcPr>
                <w:p w14:paraId="126B06CE">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2B8CEED3">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6CEB456D">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12000284">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760C9EC3">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3F25621E">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520E9F94">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4B7F8160">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18918492">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09FE409B">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41EDB766">
                  <w:pPr>
                    <w:pStyle w:val="78"/>
                    <w:bidi w:val="0"/>
                    <w:jc w:val="center"/>
                    <w:rPr>
                      <w:rFonts w:hint="default" w:ascii="Times New Roman" w:hAnsi="Times New Roman" w:cs="Times New Roman"/>
                      <w:color w:val="auto"/>
                      <w:highlight w:val="none"/>
                      <w:lang w:val="en-US" w:eastAsia="zh-CN"/>
                    </w:rPr>
                  </w:pPr>
                </w:p>
              </w:tc>
            </w:tr>
            <w:tr w14:paraId="7913B5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60" w:type="pct"/>
                  <w:vMerge w:val="restart"/>
                  <w:tcBorders>
                    <w:tl2br w:val="nil"/>
                    <w:tr2bl w:val="nil"/>
                  </w:tcBorders>
                  <w:vAlign w:val="center"/>
                </w:tcPr>
                <w:p w14:paraId="029206CD">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生产车间</w:t>
                  </w:r>
                </w:p>
              </w:tc>
              <w:tc>
                <w:tcPr>
                  <w:tcW w:w="222" w:type="pct"/>
                  <w:tcBorders>
                    <w:tl2br w:val="nil"/>
                    <w:tr2bl w:val="nil"/>
                  </w:tcBorders>
                  <w:shd w:val="clear" w:color="auto" w:fill="auto"/>
                  <w:vAlign w:val="center"/>
                </w:tcPr>
                <w:p w14:paraId="35203605">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161" w:type="pct"/>
                  <w:vMerge w:val="restart"/>
                  <w:tcBorders>
                    <w:tl2br w:val="nil"/>
                    <w:tr2bl w:val="nil"/>
                  </w:tcBorders>
                  <w:vAlign w:val="center"/>
                </w:tcPr>
                <w:p w14:paraId="0A4074E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无组织</w:t>
                  </w:r>
                </w:p>
              </w:tc>
              <w:tc>
                <w:tcPr>
                  <w:tcW w:w="250" w:type="pct"/>
                  <w:tcBorders>
                    <w:tl2br w:val="nil"/>
                    <w:tr2bl w:val="nil"/>
                  </w:tcBorders>
                  <w:shd w:val="clear" w:color="auto" w:fill="auto"/>
                  <w:vAlign w:val="center"/>
                </w:tcPr>
                <w:p w14:paraId="3597381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0.3</w:t>
                  </w:r>
                  <w:r>
                    <w:rPr>
                      <w:rFonts w:hint="eastAsia" w:ascii="Times New Roman" w:hAnsi="Times New Roman" w:cs="Times New Roman"/>
                      <w:color w:val="auto"/>
                      <w:highlight w:val="none"/>
                      <w:lang w:val="en-US" w:eastAsia="zh-CN"/>
                    </w:rPr>
                    <w:t>8</w:t>
                  </w:r>
                </w:p>
              </w:tc>
              <w:tc>
                <w:tcPr>
                  <w:tcW w:w="309" w:type="pct"/>
                  <w:tcBorders>
                    <w:tl2br w:val="nil"/>
                    <w:tr2bl w:val="nil"/>
                  </w:tcBorders>
                  <w:shd w:val="clear" w:color="auto" w:fill="auto"/>
                  <w:vAlign w:val="center"/>
                </w:tcPr>
                <w:p w14:paraId="7FF164E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81" w:type="pct"/>
                  <w:vMerge w:val="restart"/>
                  <w:tcBorders>
                    <w:tl2br w:val="nil"/>
                    <w:tr2bl w:val="nil"/>
                  </w:tcBorders>
                  <w:vAlign w:val="center"/>
                </w:tcPr>
                <w:p w14:paraId="680F1B4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车间全封闭式结构</w:t>
                  </w:r>
                  <w:r>
                    <w:rPr>
                      <w:rFonts w:hint="eastAsia" w:ascii="Times New Roman" w:hAnsi="Times New Roman" w:cs="Times New Roman"/>
                      <w:color w:val="auto"/>
                      <w:highlight w:val="none"/>
                      <w:lang w:val="en-US" w:eastAsia="zh-CN"/>
                    </w:rPr>
                    <w:t>，厂房外输送皮带廊道封闭，厂区西侧设置2.5m高防尘网</w:t>
                  </w:r>
                </w:p>
              </w:tc>
              <w:tc>
                <w:tcPr>
                  <w:tcW w:w="217" w:type="pct"/>
                  <w:vMerge w:val="restart"/>
                  <w:tcBorders>
                    <w:tl2br w:val="nil"/>
                    <w:tr2bl w:val="nil"/>
                  </w:tcBorders>
                  <w:vAlign w:val="center"/>
                </w:tcPr>
                <w:p w14:paraId="05A3CA8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是</w:t>
                  </w:r>
                </w:p>
              </w:tc>
              <w:tc>
                <w:tcPr>
                  <w:tcW w:w="280" w:type="pct"/>
                  <w:tcBorders>
                    <w:tl2br w:val="nil"/>
                    <w:tr2bl w:val="nil"/>
                  </w:tcBorders>
                  <w:vAlign w:val="center"/>
                </w:tcPr>
                <w:p w14:paraId="166A473A">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0.38</w:t>
                  </w:r>
                </w:p>
              </w:tc>
              <w:tc>
                <w:tcPr>
                  <w:tcW w:w="301" w:type="pct"/>
                  <w:tcBorders>
                    <w:tl2br w:val="nil"/>
                    <w:tr2bl w:val="nil"/>
                  </w:tcBorders>
                  <w:vAlign w:val="center"/>
                </w:tcPr>
                <w:p w14:paraId="7DBBAAD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17" w:type="pct"/>
                  <w:vMerge w:val="restart"/>
                  <w:tcBorders>
                    <w:tl2br w:val="nil"/>
                    <w:tr2bl w:val="nil"/>
                  </w:tcBorders>
                  <w:vAlign w:val="center"/>
                </w:tcPr>
                <w:p w14:paraId="23DD80A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29" w:type="pct"/>
                  <w:vMerge w:val="restart"/>
                  <w:tcBorders>
                    <w:tl2br w:val="nil"/>
                    <w:tr2bl w:val="nil"/>
                  </w:tcBorders>
                  <w:vAlign w:val="center"/>
                </w:tcPr>
                <w:p w14:paraId="7996ABD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93" w:type="pct"/>
                  <w:vMerge w:val="restart"/>
                  <w:tcBorders>
                    <w:tl2br w:val="nil"/>
                    <w:tr2bl w:val="nil"/>
                  </w:tcBorders>
                  <w:vAlign w:val="center"/>
                </w:tcPr>
                <w:p w14:paraId="20CE02B2">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vMerge w:val="restart"/>
                  <w:tcBorders>
                    <w:tl2br w:val="nil"/>
                    <w:tr2bl w:val="nil"/>
                  </w:tcBorders>
                  <w:vAlign w:val="center"/>
                </w:tcPr>
                <w:p w14:paraId="2981D37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vMerge w:val="restart"/>
                  <w:tcBorders>
                    <w:tl2br w:val="nil"/>
                    <w:tr2bl w:val="nil"/>
                  </w:tcBorders>
                  <w:vAlign w:val="center"/>
                </w:tcPr>
                <w:p w14:paraId="50B3DE6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55" w:type="pct"/>
                  <w:vMerge w:val="restart"/>
                  <w:tcBorders>
                    <w:tl2br w:val="nil"/>
                    <w:tr2bl w:val="nil"/>
                  </w:tcBorders>
                  <w:vAlign w:val="center"/>
                </w:tcPr>
                <w:p w14:paraId="64B1640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53" w:type="pct"/>
                  <w:vMerge w:val="restart"/>
                  <w:tcBorders>
                    <w:tl2br w:val="nil"/>
                    <w:tr2bl w:val="nil"/>
                  </w:tcBorders>
                  <w:vAlign w:val="center"/>
                </w:tcPr>
                <w:p w14:paraId="25EF17C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7" w:type="pct"/>
                  <w:vMerge w:val="restart"/>
                  <w:tcBorders>
                    <w:tl2br w:val="nil"/>
                    <w:tr2bl w:val="nil"/>
                  </w:tcBorders>
                  <w:vAlign w:val="center"/>
                </w:tcPr>
                <w:p w14:paraId="373BB08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1" w:type="pct"/>
                  <w:vMerge w:val="restart"/>
                  <w:tcBorders>
                    <w:tl2br w:val="nil"/>
                    <w:tr2bl w:val="nil"/>
                  </w:tcBorders>
                  <w:vAlign w:val="center"/>
                </w:tcPr>
                <w:p w14:paraId="627CE7C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厂界</w:t>
                  </w:r>
                </w:p>
              </w:tc>
              <w:tc>
                <w:tcPr>
                  <w:tcW w:w="248" w:type="pct"/>
                  <w:vMerge w:val="restart"/>
                  <w:tcBorders>
                    <w:tl2br w:val="nil"/>
                    <w:tr2bl w:val="nil"/>
                  </w:tcBorders>
                  <w:vAlign w:val="center"/>
                </w:tcPr>
                <w:p w14:paraId="5AABFF5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215" w:type="pct"/>
                  <w:vMerge w:val="restart"/>
                  <w:tcBorders>
                    <w:tl2br w:val="nil"/>
                    <w:tr2bl w:val="nil"/>
                  </w:tcBorders>
                  <w:vAlign w:val="center"/>
                </w:tcPr>
                <w:p w14:paraId="37F3706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1次/半年</w:t>
                  </w:r>
                </w:p>
              </w:tc>
            </w:tr>
            <w:tr w14:paraId="452FB6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restart"/>
                  <w:tcBorders>
                    <w:tl2br w:val="nil"/>
                    <w:tr2bl w:val="nil"/>
                  </w:tcBorders>
                  <w:vAlign w:val="center"/>
                </w:tcPr>
                <w:p w14:paraId="2B0F8060">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生物质热风炉废气</w:t>
                  </w:r>
                </w:p>
              </w:tc>
              <w:tc>
                <w:tcPr>
                  <w:tcW w:w="222" w:type="pct"/>
                  <w:tcBorders>
                    <w:tl2br w:val="nil"/>
                    <w:tr2bl w:val="nil"/>
                  </w:tcBorders>
                  <w:shd w:val="clear" w:color="auto" w:fill="auto"/>
                  <w:vAlign w:val="center"/>
                </w:tcPr>
                <w:p w14:paraId="64B163B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61" w:type="pct"/>
                  <w:vMerge w:val="restart"/>
                  <w:tcBorders>
                    <w:tl2br w:val="nil"/>
                    <w:tr2bl w:val="nil"/>
                  </w:tcBorders>
                  <w:vAlign w:val="center"/>
                </w:tcPr>
                <w:p w14:paraId="4A19587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有组织</w:t>
                  </w:r>
                </w:p>
              </w:tc>
              <w:tc>
                <w:tcPr>
                  <w:tcW w:w="250" w:type="pct"/>
                  <w:tcBorders>
                    <w:tl2br w:val="nil"/>
                    <w:tr2bl w:val="nil"/>
                  </w:tcBorders>
                  <w:vAlign w:val="center"/>
                </w:tcPr>
                <w:p w14:paraId="15984A5D">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1.008 </w:t>
                  </w:r>
                </w:p>
              </w:tc>
              <w:tc>
                <w:tcPr>
                  <w:tcW w:w="309" w:type="pct"/>
                  <w:tcBorders>
                    <w:tl2br w:val="nil"/>
                    <w:tr2bl w:val="nil"/>
                  </w:tcBorders>
                  <w:vAlign w:val="center"/>
                </w:tcPr>
                <w:p w14:paraId="1FC5F0B8">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28.000 </w:t>
                  </w:r>
                </w:p>
              </w:tc>
              <w:tc>
                <w:tcPr>
                  <w:tcW w:w="581" w:type="pct"/>
                  <w:vMerge w:val="restart"/>
                  <w:tcBorders>
                    <w:tl2br w:val="nil"/>
                    <w:tr2bl w:val="nil"/>
                  </w:tcBorders>
                  <w:vAlign w:val="center"/>
                </w:tcPr>
                <w:p w14:paraId="0351CCE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迷宫式重力除尘室+水洗涤喷淋塔，风量为25000m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p>
              </w:tc>
              <w:tc>
                <w:tcPr>
                  <w:tcW w:w="217" w:type="pct"/>
                  <w:vMerge w:val="restart"/>
                  <w:tcBorders>
                    <w:tl2br w:val="nil"/>
                    <w:tr2bl w:val="nil"/>
                  </w:tcBorders>
                  <w:vAlign w:val="center"/>
                </w:tcPr>
                <w:p w14:paraId="69DD1C9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是</w:t>
                  </w:r>
                </w:p>
              </w:tc>
              <w:tc>
                <w:tcPr>
                  <w:tcW w:w="280" w:type="pct"/>
                  <w:tcBorders>
                    <w:tl2br w:val="nil"/>
                    <w:tr2bl w:val="nil"/>
                  </w:tcBorders>
                  <w:shd w:val="clear" w:color="auto" w:fill="auto"/>
                  <w:vAlign w:val="center"/>
                </w:tcPr>
                <w:p w14:paraId="4D7B9C12">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0.101 </w:t>
                  </w:r>
                </w:p>
              </w:tc>
              <w:tc>
                <w:tcPr>
                  <w:tcW w:w="301" w:type="pct"/>
                  <w:tcBorders>
                    <w:tl2br w:val="nil"/>
                    <w:tr2bl w:val="nil"/>
                  </w:tcBorders>
                  <w:shd w:val="clear" w:color="auto" w:fill="auto"/>
                  <w:vAlign w:val="center"/>
                </w:tcPr>
                <w:p w14:paraId="7D58D5F3">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2.800 </w:t>
                  </w:r>
                </w:p>
              </w:tc>
              <w:tc>
                <w:tcPr>
                  <w:tcW w:w="217" w:type="pct"/>
                  <w:vMerge w:val="restart"/>
                  <w:tcBorders>
                    <w:tl2br w:val="nil"/>
                    <w:tr2bl w:val="nil"/>
                  </w:tcBorders>
                  <w:vAlign w:val="center"/>
                </w:tcPr>
                <w:p w14:paraId="2EA5679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w:t>
                  </w:r>
                  <w:r>
                    <w:rPr>
                      <w:rFonts w:hint="eastAsia" w:ascii="Times New Roman" w:hAnsi="Times New Roman" w:cs="Times New Roman"/>
                      <w:color w:val="auto"/>
                      <w:sz w:val="24"/>
                      <w:szCs w:val="24"/>
                      <w:highlight w:val="none"/>
                      <w:lang w:val="en-US" w:eastAsia="zh-CN"/>
                    </w:rPr>
                    <w:t>3</w:t>
                  </w:r>
                </w:p>
              </w:tc>
              <w:tc>
                <w:tcPr>
                  <w:tcW w:w="329" w:type="pct"/>
                  <w:vMerge w:val="restart"/>
                  <w:tcBorders>
                    <w:tl2br w:val="nil"/>
                    <w:tr2bl w:val="nil"/>
                  </w:tcBorders>
                  <w:vAlign w:val="center"/>
                </w:tcPr>
                <w:p w14:paraId="6FFFAC7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生物质热风炉废气排放口</w:t>
                  </w:r>
                </w:p>
              </w:tc>
              <w:tc>
                <w:tcPr>
                  <w:tcW w:w="193" w:type="pct"/>
                  <w:vMerge w:val="restart"/>
                  <w:tcBorders>
                    <w:tl2br w:val="nil"/>
                    <w:tr2bl w:val="nil"/>
                  </w:tcBorders>
                  <w:vAlign w:val="center"/>
                </w:tcPr>
                <w:p w14:paraId="6DE74EF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vMerge w:val="restart"/>
                  <w:tcBorders>
                    <w:tl2br w:val="nil"/>
                    <w:tr2bl w:val="nil"/>
                  </w:tcBorders>
                  <w:vAlign w:val="center"/>
                </w:tcPr>
                <w:p w14:paraId="5D7973D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vMerge w:val="restart"/>
                  <w:tcBorders>
                    <w:tl2br w:val="nil"/>
                    <w:tr2bl w:val="nil"/>
                  </w:tcBorders>
                  <w:shd w:val="clear" w:color="auto" w:fill="auto"/>
                  <w:vAlign w:val="center"/>
                </w:tcPr>
                <w:p w14:paraId="32F4FD03">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15</w:t>
                  </w:r>
                </w:p>
              </w:tc>
              <w:tc>
                <w:tcPr>
                  <w:tcW w:w="255" w:type="pct"/>
                  <w:vMerge w:val="restart"/>
                  <w:tcBorders>
                    <w:tl2br w:val="nil"/>
                    <w:tr2bl w:val="nil"/>
                  </w:tcBorders>
                  <w:shd w:val="clear" w:color="auto" w:fill="auto"/>
                  <w:vAlign w:val="center"/>
                </w:tcPr>
                <w:p w14:paraId="67BD5AA1">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0.2</w:t>
                  </w:r>
                </w:p>
              </w:tc>
              <w:tc>
                <w:tcPr>
                  <w:tcW w:w="253" w:type="pct"/>
                  <w:vMerge w:val="restart"/>
                  <w:tcBorders>
                    <w:tl2br w:val="nil"/>
                    <w:tr2bl w:val="nil"/>
                  </w:tcBorders>
                  <w:shd w:val="clear" w:color="auto" w:fill="auto"/>
                  <w:vAlign w:val="center"/>
                </w:tcPr>
                <w:p w14:paraId="17EAD150">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常温</w:t>
                  </w:r>
                </w:p>
              </w:tc>
              <w:tc>
                <w:tcPr>
                  <w:tcW w:w="167" w:type="pct"/>
                  <w:vMerge w:val="restart"/>
                  <w:tcBorders>
                    <w:tl2br w:val="nil"/>
                    <w:tr2bl w:val="nil"/>
                  </w:tcBorders>
                  <w:shd w:val="clear" w:color="auto" w:fill="auto"/>
                  <w:vAlign w:val="center"/>
                </w:tcPr>
                <w:p w14:paraId="5E430C0E">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一般排放口</w:t>
                  </w:r>
                </w:p>
              </w:tc>
              <w:tc>
                <w:tcPr>
                  <w:tcW w:w="161" w:type="pct"/>
                  <w:vMerge w:val="restart"/>
                  <w:tcBorders>
                    <w:tl2br w:val="nil"/>
                    <w:tr2bl w:val="nil"/>
                  </w:tcBorders>
                  <w:shd w:val="clear" w:color="auto" w:fill="auto"/>
                  <w:vAlign w:val="center"/>
                </w:tcPr>
                <w:p w14:paraId="41D5B4A3">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vertAlign w:val="baseline"/>
                      <w:lang w:val="en-US" w:eastAsia="zh-CN"/>
                    </w:rPr>
                    <w:t>排气筒出口</w:t>
                  </w:r>
                </w:p>
              </w:tc>
              <w:tc>
                <w:tcPr>
                  <w:tcW w:w="248" w:type="pct"/>
                  <w:vMerge w:val="restart"/>
                  <w:tcBorders>
                    <w:tl2br w:val="nil"/>
                    <w:tr2bl w:val="nil"/>
                  </w:tcBorders>
                  <w:shd w:val="clear" w:color="auto" w:fill="auto"/>
                  <w:vAlign w:val="center"/>
                </w:tcPr>
                <w:p w14:paraId="7EF4AE76">
                  <w:pPr>
                    <w:pStyle w:val="78"/>
                    <w:bidi w:val="0"/>
                    <w:jc w:val="center"/>
                    <w:rPr>
                      <w:rFonts w:hint="default" w:ascii="Times New Roman" w:hAnsi="Times New Roman" w:eastAsia="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颗粒物、SO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、NO</w:t>
                  </w:r>
                  <w:r>
                    <w:rPr>
                      <w:rFonts w:hint="default" w:ascii="Times New Roman" w:hAnsi="Times New Roman" w:cs="Times New Roman"/>
                      <w:color w:val="auto"/>
                      <w:highlight w:val="none"/>
                      <w:vertAlign w:val="subscript"/>
                      <w:lang w:val="en-US" w:eastAsia="zh-CN"/>
                    </w:rPr>
                    <w:t>x</w:t>
                  </w:r>
                </w:p>
              </w:tc>
              <w:tc>
                <w:tcPr>
                  <w:tcW w:w="215" w:type="pct"/>
                  <w:vMerge w:val="restart"/>
                  <w:tcBorders>
                    <w:tl2br w:val="nil"/>
                    <w:tr2bl w:val="nil"/>
                  </w:tcBorders>
                  <w:shd w:val="clear" w:color="auto" w:fill="auto"/>
                  <w:vAlign w:val="center"/>
                </w:tcPr>
                <w:p w14:paraId="28C3DA14">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1次/半年</w:t>
                  </w:r>
                </w:p>
              </w:tc>
            </w:tr>
            <w:tr w14:paraId="0D9D7A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4143FDCC">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shd w:val="clear" w:color="auto" w:fill="auto"/>
                  <w:vAlign w:val="center"/>
                </w:tcPr>
                <w:p w14:paraId="1FAF3016">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p>
              </w:tc>
              <w:tc>
                <w:tcPr>
                  <w:tcW w:w="161" w:type="pct"/>
                  <w:vMerge w:val="continue"/>
                  <w:tcBorders>
                    <w:tl2br w:val="nil"/>
                    <w:tr2bl w:val="nil"/>
                  </w:tcBorders>
                  <w:vAlign w:val="center"/>
                </w:tcPr>
                <w:p w14:paraId="76D6191A">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shd w:val="clear" w:color="auto" w:fill="auto"/>
                  <w:vAlign w:val="center"/>
                </w:tcPr>
                <w:p w14:paraId="783213E1">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3.356 </w:t>
                  </w:r>
                </w:p>
              </w:tc>
              <w:tc>
                <w:tcPr>
                  <w:tcW w:w="309" w:type="pct"/>
                  <w:tcBorders>
                    <w:tl2br w:val="nil"/>
                    <w:tr2bl w:val="nil"/>
                  </w:tcBorders>
                  <w:shd w:val="clear" w:color="auto" w:fill="auto"/>
                  <w:vAlign w:val="center"/>
                </w:tcPr>
                <w:p w14:paraId="0410C4CE">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93.222 </w:t>
                  </w:r>
                </w:p>
              </w:tc>
              <w:tc>
                <w:tcPr>
                  <w:tcW w:w="581" w:type="pct"/>
                  <w:vMerge w:val="continue"/>
                  <w:tcBorders>
                    <w:tl2br w:val="nil"/>
                    <w:tr2bl w:val="nil"/>
                  </w:tcBorders>
                  <w:shd w:val="clear" w:color="auto" w:fill="auto"/>
                  <w:vAlign w:val="center"/>
                </w:tcPr>
                <w:p w14:paraId="23D53CA6">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p>
              </w:tc>
              <w:tc>
                <w:tcPr>
                  <w:tcW w:w="217" w:type="pct"/>
                  <w:vMerge w:val="continue"/>
                  <w:tcBorders>
                    <w:tl2br w:val="nil"/>
                    <w:tr2bl w:val="nil"/>
                  </w:tcBorders>
                  <w:shd w:val="clear" w:color="auto" w:fill="auto"/>
                  <w:vAlign w:val="center"/>
                </w:tcPr>
                <w:p w14:paraId="25E1C7B3">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p>
              </w:tc>
              <w:tc>
                <w:tcPr>
                  <w:tcW w:w="280" w:type="pct"/>
                  <w:tcBorders>
                    <w:tl2br w:val="nil"/>
                    <w:tr2bl w:val="nil"/>
                  </w:tcBorders>
                  <w:shd w:val="clear" w:color="auto" w:fill="auto"/>
                  <w:vAlign w:val="center"/>
                </w:tcPr>
                <w:p w14:paraId="1740D250">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3.356 </w:t>
                  </w:r>
                </w:p>
              </w:tc>
              <w:tc>
                <w:tcPr>
                  <w:tcW w:w="301" w:type="pct"/>
                  <w:tcBorders>
                    <w:tl2br w:val="nil"/>
                    <w:tr2bl w:val="nil"/>
                  </w:tcBorders>
                  <w:shd w:val="clear" w:color="auto" w:fill="auto"/>
                  <w:vAlign w:val="center"/>
                </w:tcPr>
                <w:p w14:paraId="414563AD">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93.222 </w:t>
                  </w:r>
                </w:p>
              </w:tc>
              <w:tc>
                <w:tcPr>
                  <w:tcW w:w="217" w:type="pct"/>
                  <w:vMerge w:val="continue"/>
                  <w:tcBorders>
                    <w:tl2br w:val="nil"/>
                    <w:tr2bl w:val="nil"/>
                  </w:tcBorders>
                  <w:vAlign w:val="center"/>
                </w:tcPr>
                <w:p w14:paraId="34DE6443">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70021803">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19029375">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1C09A0F6">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4E40C43E">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1070AD98">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5D4400DA">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4F47F1AF">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3A46728C">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43DF15A0">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358A7A12">
                  <w:pPr>
                    <w:pStyle w:val="78"/>
                    <w:bidi w:val="0"/>
                    <w:jc w:val="center"/>
                    <w:rPr>
                      <w:rFonts w:hint="default" w:ascii="Times New Roman" w:hAnsi="Times New Roman" w:cs="Times New Roman"/>
                      <w:color w:val="auto"/>
                      <w:highlight w:val="none"/>
                      <w:lang w:val="en-US" w:eastAsia="zh-CN"/>
                    </w:rPr>
                  </w:pPr>
                </w:p>
              </w:tc>
            </w:tr>
            <w:tr w14:paraId="2B030C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5D6F46AA">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shd w:val="clear" w:color="auto" w:fill="auto"/>
                  <w:vAlign w:val="center"/>
                </w:tcPr>
                <w:p w14:paraId="60BE1B24">
                  <w:pPr>
                    <w:pStyle w:val="78"/>
                    <w:bidi w:val="0"/>
                    <w:jc w:val="center"/>
                    <w:rPr>
                      <w:rFonts w:hint="default" w:ascii="Times New Roman" w:hAnsi="Times New Roman" w:cs="Times New Roman"/>
                      <w:color w:val="auto"/>
                      <w:highlight w:val="none"/>
                      <w:vertAlign w:val="subscript"/>
                      <w:lang w:val="en-US" w:eastAsia="zh-CN"/>
                    </w:rPr>
                  </w:pP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p>
              </w:tc>
              <w:tc>
                <w:tcPr>
                  <w:tcW w:w="161" w:type="pct"/>
                  <w:vMerge w:val="continue"/>
                  <w:tcBorders>
                    <w:tl2br w:val="nil"/>
                    <w:tr2bl w:val="nil"/>
                  </w:tcBorders>
                  <w:vAlign w:val="center"/>
                </w:tcPr>
                <w:p w14:paraId="7DB8990D">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shd w:val="clear" w:color="auto" w:fill="auto"/>
                  <w:vAlign w:val="center"/>
                </w:tcPr>
                <w:p w14:paraId="7C772AC3">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10.064 </w:t>
                  </w:r>
                </w:p>
              </w:tc>
              <w:tc>
                <w:tcPr>
                  <w:tcW w:w="309" w:type="pct"/>
                  <w:tcBorders>
                    <w:tl2br w:val="nil"/>
                    <w:tr2bl w:val="nil"/>
                  </w:tcBorders>
                  <w:shd w:val="clear" w:color="auto" w:fill="auto"/>
                  <w:vAlign w:val="center"/>
                </w:tcPr>
                <w:p w14:paraId="6D288467">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279.556 </w:t>
                  </w:r>
                </w:p>
              </w:tc>
              <w:tc>
                <w:tcPr>
                  <w:tcW w:w="581" w:type="pct"/>
                  <w:vMerge w:val="continue"/>
                  <w:tcBorders>
                    <w:tl2br w:val="nil"/>
                    <w:tr2bl w:val="nil"/>
                  </w:tcBorders>
                  <w:vAlign w:val="center"/>
                </w:tcPr>
                <w:p w14:paraId="0426C69C">
                  <w:pPr>
                    <w:pStyle w:val="78"/>
                    <w:bidi w:val="0"/>
                    <w:jc w:val="center"/>
                    <w:rPr>
                      <w:rFonts w:hint="default" w:ascii="Times New Roman" w:hAnsi="Times New Roman" w:cs="Times New Roman"/>
                      <w:color w:val="auto"/>
                      <w:highlight w:val="none"/>
                      <w:lang w:val="en-US" w:eastAsia="zh-CN"/>
                    </w:rPr>
                  </w:pPr>
                </w:p>
              </w:tc>
              <w:tc>
                <w:tcPr>
                  <w:tcW w:w="217" w:type="pct"/>
                  <w:vMerge w:val="continue"/>
                  <w:tcBorders>
                    <w:tl2br w:val="nil"/>
                    <w:tr2bl w:val="nil"/>
                  </w:tcBorders>
                  <w:vAlign w:val="center"/>
                </w:tcPr>
                <w:p w14:paraId="254D7D26">
                  <w:pPr>
                    <w:pStyle w:val="78"/>
                    <w:bidi w:val="0"/>
                    <w:jc w:val="center"/>
                    <w:rPr>
                      <w:rFonts w:hint="default" w:ascii="Times New Roman" w:hAnsi="Times New Roman" w:cs="Times New Roman"/>
                      <w:color w:val="auto"/>
                      <w:highlight w:val="none"/>
                      <w:lang w:val="en-US" w:eastAsia="zh-CN"/>
                    </w:rPr>
                  </w:pPr>
                </w:p>
              </w:tc>
              <w:tc>
                <w:tcPr>
                  <w:tcW w:w="280" w:type="pct"/>
                  <w:tcBorders>
                    <w:tl2br w:val="nil"/>
                    <w:tr2bl w:val="nil"/>
                  </w:tcBorders>
                  <w:shd w:val="clear" w:color="auto" w:fill="auto"/>
                  <w:vAlign w:val="center"/>
                </w:tcPr>
                <w:p w14:paraId="394771CA">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10.064 </w:t>
                  </w:r>
                </w:p>
              </w:tc>
              <w:tc>
                <w:tcPr>
                  <w:tcW w:w="301" w:type="pct"/>
                  <w:tcBorders>
                    <w:tl2br w:val="nil"/>
                    <w:tr2bl w:val="nil"/>
                  </w:tcBorders>
                  <w:shd w:val="clear" w:color="auto" w:fill="auto"/>
                  <w:vAlign w:val="center"/>
                </w:tcPr>
                <w:p w14:paraId="7B715A02">
                  <w:pPr>
                    <w:pStyle w:val="78"/>
                    <w:bidi w:val="0"/>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 xml:space="preserve">279.556 </w:t>
                  </w:r>
                </w:p>
              </w:tc>
              <w:tc>
                <w:tcPr>
                  <w:tcW w:w="217" w:type="pct"/>
                  <w:vMerge w:val="continue"/>
                  <w:tcBorders>
                    <w:tl2br w:val="nil"/>
                    <w:tr2bl w:val="nil"/>
                  </w:tcBorders>
                  <w:vAlign w:val="center"/>
                </w:tcPr>
                <w:p w14:paraId="6654CCE4">
                  <w:pPr>
                    <w:pStyle w:val="78"/>
                    <w:bidi w:val="0"/>
                    <w:jc w:val="center"/>
                    <w:rPr>
                      <w:rFonts w:hint="default" w:ascii="Times New Roman" w:hAnsi="Times New Roman" w:cs="Times New Roman"/>
                      <w:color w:val="auto"/>
                      <w:highlight w:val="none"/>
                      <w:lang w:val="en-US" w:eastAsia="zh-CN"/>
                    </w:rPr>
                  </w:pPr>
                </w:p>
              </w:tc>
              <w:tc>
                <w:tcPr>
                  <w:tcW w:w="329" w:type="pct"/>
                  <w:vMerge w:val="continue"/>
                  <w:tcBorders>
                    <w:tl2br w:val="nil"/>
                    <w:tr2bl w:val="nil"/>
                  </w:tcBorders>
                  <w:vAlign w:val="center"/>
                </w:tcPr>
                <w:p w14:paraId="6C3A2242">
                  <w:pPr>
                    <w:pStyle w:val="78"/>
                    <w:bidi w:val="0"/>
                    <w:jc w:val="center"/>
                    <w:rPr>
                      <w:rFonts w:hint="default" w:ascii="Times New Roman" w:hAnsi="Times New Roman" w:cs="Times New Roman"/>
                      <w:color w:val="auto"/>
                      <w:highlight w:val="none"/>
                      <w:lang w:val="en-US" w:eastAsia="zh-CN"/>
                    </w:rPr>
                  </w:pPr>
                </w:p>
              </w:tc>
              <w:tc>
                <w:tcPr>
                  <w:tcW w:w="193" w:type="pct"/>
                  <w:vMerge w:val="continue"/>
                  <w:tcBorders>
                    <w:tl2br w:val="nil"/>
                    <w:tr2bl w:val="nil"/>
                  </w:tcBorders>
                  <w:vAlign w:val="center"/>
                </w:tcPr>
                <w:p w14:paraId="161016D4">
                  <w:pPr>
                    <w:pStyle w:val="78"/>
                    <w:bidi w:val="0"/>
                    <w:jc w:val="center"/>
                    <w:rPr>
                      <w:rFonts w:hint="default" w:ascii="Times New Roman" w:hAnsi="Times New Roman" w:cs="Times New Roman"/>
                      <w:color w:val="auto"/>
                      <w:highlight w:val="none"/>
                      <w:lang w:val="en-US" w:eastAsia="zh-CN"/>
                    </w:rPr>
                  </w:pPr>
                </w:p>
              </w:tc>
              <w:tc>
                <w:tcPr>
                  <w:tcW w:w="176" w:type="pct"/>
                  <w:vMerge w:val="continue"/>
                  <w:tcBorders>
                    <w:tl2br w:val="nil"/>
                    <w:tr2bl w:val="nil"/>
                  </w:tcBorders>
                  <w:vAlign w:val="center"/>
                </w:tcPr>
                <w:p w14:paraId="7841F735">
                  <w:pPr>
                    <w:pStyle w:val="78"/>
                    <w:bidi w:val="0"/>
                    <w:jc w:val="center"/>
                    <w:rPr>
                      <w:rFonts w:hint="default" w:ascii="Times New Roman" w:hAnsi="Times New Roman" w:cs="Times New Roman"/>
                      <w:color w:val="auto"/>
                      <w:highlight w:val="none"/>
                      <w:lang w:val="en-US" w:eastAsia="zh-CN"/>
                    </w:rPr>
                  </w:pPr>
                </w:p>
              </w:tc>
              <w:tc>
                <w:tcPr>
                  <w:tcW w:w="297" w:type="pct"/>
                  <w:vMerge w:val="continue"/>
                  <w:tcBorders>
                    <w:tl2br w:val="nil"/>
                    <w:tr2bl w:val="nil"/>
                  </w:tcBorders>
                  <w:vAlign w:val="center"/>
                </w:tcPr>
                <w:p w14:paraId="4FF9BBD5">
                  <w:pPr>
                    <w:pStyle w:val="78"/>
                    <w:bidi w:val="0"/>
                    <w:jc w:val="center"/>
                    <w:rPr>
                      <w:rFonts w:hint="default" w:ascii="Times New Roman" w:hAnsi="Times New Roman" w:cs="Times New Roman"/>
                      <w:color w:val="auto"/>
                      <w:highlight w:val="none"/>
                      <w:lang w:val="en-US" w:eastAsia="zh-CN"/>
                    </w:rPr>
                  </w:pPr>
                </w:p>
              </w:tc>
              <w:tc>
                <w:tcPr>
                  <w:tcW w:w="255" w:type="pct"/>
                  <w:vMerge w:val="continue"/>
                  <w:tcBorders>
                    <w:tl2br w:val="nil"/>
                    <w:tr2bl w:val="nil"/>
                  </w:tcBorders>
                  <w:vAlign w:val="center"/>
                </w:tcPr>
                <w:p w14:paraId="1926BAC3">
                  <w:pPr>
                    <w:pStyle w:val="78"/>
                    <w:bidi w:val="0"/>
                    <w:jc w:val="center"/>
                    <w:rPr>
                      <w:rFonts w:hint="default" w:ascii="Times New Roman" w:hAnsi="Times New Roman" w:cs="Times New Roman"/>
                      <w:color w:val="auto"/>
                      <w:highlight w:val="none"/>
                      <w:lang w:val="en-US" w:eastAsia="zh-CN"/>
                    </w:rPr>
                  </w:pPr>
                </w:p>
              </w:tc>
              <w:tc>
                <w:tcPr>
                  <w:tcW w:w="253" w:type="pct"/>
                  <w:vMerge w:val="continue"/>
                  <w:tcBorders>
                    <w:tl2br w:val="nil"/>
                    <w:tr2bl w:val="nil"/>
                  </w:tcBorders>
                  <w:vAlign w:val="center"/>
                </w:tcPr>
                <w:p w14:paraId="45CFC2A7">
                  <w:pPr>
                    <w:pStyle w:val="78"/>
                    <w:bidi w:val="0"/>
                    <w:jc w:val="center"/>
                    <w:rPr>
                      <w:rFonts w:hint="default" w:ascii="Times New Roman" w:hAnsi="Times New Roman" w:cs="Times New Roman"/>
                      <w:color w:val="auto"/>
                      <w:highlight w:val="none"/>
                      <w:lang w:val="en-US" w:eastAsia="zh-CN"/>
                    </w:rPr>
                  </w:pPr>
                </w:p>
              </w:tc>
              <w:tc>
                <w:tcPr>
                  <w:tcW w:w="167" w:type="pct"/>
                  <w:vMerge w:val="continue"/>
                  <w:tcBorders>
                    <w:tl2br w:val="nil"/>
                    <w:tr2bl w:val="nil"/>
                  </w:tcBorders>
                  <w:vAlign w:val="center"/>
                </w:tcPr>
                <w:p w14:paraId="63FCC474">
                  <w:pPr>
                    <w:pStyle w:val="78"/>
                    <w:bidi w:val="0"/>
                    <w:jc w:val="center"/>
                    <w:rPr>
                      <w:rFonts w:hint="default" w:ascii="Times New Roman" w:hAnsi="Times New Roman" w:cs="Times New Roman"/>
                      <w:color w:val="auto"/>
                      <w:highlight w:val="none"/>
                      <w:lang w:val="en-US" w:eastAsia="zh-CN"/>
                    </w:rPr>
                  </w:pPr>
                </w:p>
              </w:tc>
              <w:tc>
                <w:tcPr>
                  <w:tcW w:w="161" w:type="pct"/>
                  <w:vMerge w:val="continue"/>
                  <w:tcBorders>
                    <w:tl2br w:val="nil"/>
                    <w:tr2bl w:val="nil"/>
                  </w:tcBorders>
                  <w:vAlign w:val="center"/>
                </w:tcPr>
                <w:p w14:paraId="6246CAF0">
                  <w:pPr>
                    <w:pStyle w:val="78"/>
                    <w:bidi w:val="0"/>
                    <w:jc w:val="center"/>
                    <w:rPr>
                      <w:rFonts w:hint="default" w:ascii="Times New Roman" w:hAnsi="Times New Roman" w:cs="Times New Roman"/>
                      <w:color w:val="auto"/>
                      <w:highlight w:val="none"/>
                      <w:lang w:val="en-US" w:eastAsia="zh-CN"/>
                    </w:rPr>
                  </w:pPr>
                </w:p>
              </w:tc>
              <w:tc>
                <w:tcPr>
                  <w:tcW w:w="248" w:type="pct"/>
                  <w:vMerge w:val="continue"/>
                  <w:tcBorders>
                    <w:tl2br w:val="nil"/>
                    <w:tr2bl w:val="nil"/>
                  </w:tcBorders>
                  <w:vAlign w:val="center"/>
                </w:tcPr>
                <w:p w14:paraId="01E29C44">
                  <w:pPr>
                    <w:pStyle w:val="78"/>
                    <w:bidi w:val="0"/>
                    <w:jc w:val="center"/>
                    <w:rPr>
                      <w:rFonts w:hint="default" w:ascii="Times New Roman" w:hAnsi="Times New Roman" w:cs="Times New Roman"/>
                      <w:color w:val="auto"/>
                      <w:highlight w:val="none"/>
                      <w:lang w:val="en-US" w:eastAsia="zh-CN"/>
                    </w:rPr>
                  </w:pPr>
                </w:p>
              </w:tc>
              <w:tc>
                <w:tcPr>
                  <w:tcW w:w="215" w:type="pct"/>
                  <w:vMerge w:val="continue"/>
                  <w:tcBorders>
                    <w:tl2br w:val="nil"/>
                    <w:tr2bl w:val="nil"/>
                  </w:tcBorders>
                  <w:vAlign w:val="center"/>
                </w:tcPr>
                <w:p w14:paraId="3AAADE38">
                  <w:pPr>
                    <w:pStyle w:val="78"/>
                    <w:bidi w:val="0"/>
                    <w:jc w:val="center"/>
                    <w:rPr>
                      <w:rFonts w:hint="default" w:ascii="Times New Roman" w:hAnsi="Times New Roman" w:cs="Times New Roman"/>
                      <w:color w:val="auto"/>
                      <w:highlight w:val="none"/>
                      <w:lang w:val="en-US" w:eastAsia="zh-CN"/>
                    </w:rPr>
                  </w:pPr>
                </w:p>
              </w:tc>
            </w:tr>
            <w:tr w14:paraId="7D5EF1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restart"/>
                  <w:tcBorders>
                    <w:tl2br w:val="nil"/>
                    <w:tr2bl w:val="nil"/>
                  </w:tcBorders>
                  <w:vAlign w:val="center"/>
                </w:tcPr>
                <w:p w14:paraId="3F531E2C">
                  <w:pPr>
                    <w:pStyle w:val="78"/>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厂房外</w:t>
                  </w:r>
                </w:p>
              </w:tc>
              <w:tc>
                <w:tcPr>
                  <w:tcW w:w="222" w:type="pct"/>
                  <w:tcBorders>
                    <w:tl2br w:val="nil"/>
                    <w:tr2bl w:val="nil"/>
                  </w:tcBorders>
                  <w:shd w:val="clear" w:color="auto" w:fill="auto"/>
                  <w:vAlign w:val="center"/>
                </w:tcPr>
                <w:p w14:paraId="3B2EF37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p>
              </w:tc>
              <w:tc>
                <w:tcPr>
                  <w:tcW w:w="161" w:type="pct"/>
                  <w:vMerge w:val="restart"/>
                  <w:tcBorders>
                    <w:tl2br w:val="nil"/>
                    <w:tr2bl w:val="nil"/>
                  </w:tcBorders>
                  <w:vAlign w:val="center"/>
                </w:tcPr>
                <w:p w14:paraId="38FD3A0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无组织</w:t>
                  </w:r>
                </w:p>
              </w:tc>
              <w:tc>
                <w:tcPr>
                  <w:tcW w:w="250" w:type="pct"/>
                  <w:tcBorders>
                    <w:tl2br w:val="nil"/>
                    <w:tr2bl w:val="nil"/>
                  </w:tcBorders>
                  <w:shd w:val="clear" w:color="auto" w:fill="auto"/>
                  <w:vAlign w:val="center"/>
                </w:tcPr>
                <w:p w14:paraId="0FCD2A1E">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09" w:type="pct"/>
                  <w:tcBorders>
                    <w:tl2br w:val="nil"/>
                    <w:tr2bl w:val="nil"/>
                  </w:tcBorders>
                  <w:shd w:val="clear" w:color="auto" w:fill="auto"/>
                  <w:vAlign w:val="center"/>
                </w:tcPr>
                <w:p w14:paraId="2BD687B6">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0.012kg/h</w:t>
                  </w:r>
                </w:p>
              </w:tc>
              <w:tc>
                <w:tcPr>
                  <w:tcW w:w="581" w:type="pct"/>
                  <w:vMerge w:val="restart"/>
                  <w:tcBorders>
                    <w:tl2br w:val="nil"/>
                    <w:tr2bl w:val="nil"/>
                  </w:tcBorders>
                  <w:vAlign w:val="center"/>
                </w:tcPr>
                <w:p w14:paraId="5AAAFBD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绿化，</w:t>
                  </w:r>
                  <w:r>
                    <w:rPr>
                      <w:rFonts w:hint="eastAsia" w:ascii="Times New Roman" w:hAnsi="Times New Roman" w:cs="Times New Roman"/>
                      <w:color w:val="auto"/>
                      <w:highlight w:val="none"/>
                      <w:lang w:val="en-US" w:eastAsia="zh-CN"/>
                    </w:rPr>
                    <w:t>厂区西侧设置2.5m高</w:t>
                  </w:r>
                  <w:r>
                    <w:rPr>
                      <w:rFonts w:hint="default" w:ascii="Times New Roman" w:hAnsi="Times New Roman" w:cs="Times New Roman"/>
                      <w:color w:val="auto"/>
                      <w:highlight w:val="none"/>
                      <w:lang w:val="en-US" w:eastAsia="zh-CN"/>
                    </w:rPr>
                    <w:t>围挡。</w:t>
                  </w:r>
                </w:p>
              </w:tc>
              <w:tc>
                <w:tcPr>
                  <w:tcW w:w="217" w:type="pct"/>
                  <w:vMerge w:val="restart"/>
                  <w:tcBorders>
                    <w:tl2br w:val="nil"/>
                    <w:tr2bl w:val="nil"/>
                  </w:tcBorders>
                  <w:vAlign w:val="center"/>
                </w:tcPr>
                <w:p w14:paraId="74EA881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是</w:t>
                  </w:r>
                </w:p>
              </w:tc>
              <w:tc>
                <w:tcPr>
                  <w:tcW w:w="280" w:type="pct"/>
                  <w:tcBorders>
                    <w:tl2br w:val="nil"/>
                    <w:tr2bl w:val="nil"/>
                  </w:tcBorders>
                  <w:shd w:val="clear" w:color="auto" w:fill="auto"/>
                  <w:vAlign w:val="center"/>
                </w:tcPr>
                <w:p w14:paraId="0FF1A167">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01" w:type="pct"/>
                  <w:tcBorders>
                    <w:tl2br w:val="nil"/>
                    <w:tr2bl w:val="nil"/>
                  </w:tcBorders>
                  <w:shd w:val="clear" w:color="auto" w:fill="auto"/>
                  <w:vAlign w:val="center"/>
                </w:tcPr>
                <w:p w14:paraId="102A1E2D">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17" w:type="pct"/>
                  <w:tcBorders>
                    <w:tl2br w:val="nil"/>
                    <w:tr2bl w:val="nil"/>
                  </w:tcBorders>
                  <w:vAlign w:val="center"/>
                </w:tcPr>
                <w:p w14:paraId="7C34CB5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29" w:type="pct"/>
                  <w:tcBorders>
                    <w:tl2br w:val="nil"/>
                    <w:tr2bl w:val="nil"/>
                  </w:tcBorders>
                  <w:vAlign w:val="center"/>
                </w:tcPr>
                <w:p w14:paraId="06F3E8F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93" w:type="pct"/>
                  <w:tcBorders>
                    <w:tl2br w:val="nil"/>
                    <w:tr2bl w:val="nil"/>
                  </w:tcBorders>
                  <w:vAlign w:val="center"/>
                </w:tcPr>
                <w:p w14:paraId="78F7ED8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tcBorders>
                    <w:tl2br w:val="nil"/>
                    <w:tr2bl w:val="nil"/>
                  </w:tcBorders>
                  <w:vAlign w:val="center"/>
                </w:tcPr>
                <w:p w14:paraId="3A186F0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tcBorders>
                    <w:tl2br w:val="nil"/>
                    <w:tr2bl w:val="nil"/>
                  </w:tcBorders>
                  <w:vAlign w:val="center"/>
                </w:tcPr>
                <w:p w14:paraId="2E8C05B6">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55" w:type="pct"/>
                  <w:tcBorders>
                    <w:tl2br w:val="nil"/>
                    <w:tr2bl w:val="nil"/>
                  </w:tcBorders>
                  <w:vAlign w:val="center"/>
                </w:tcPr>
                <w:p w14:paraId="437995B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53" w:type="pct"/>
                  <w:tcBorders>
                    <w:tl2br w:val="nil"/>
                    <w:tr2bl w:val="nil"/>
                  </w:tcBorders>
                  <w:vAlign w:val="center"/>
                </w:tcPr>
                <w:p w14:paraId="553B9CE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7" w:type="pct"/>
                  <w:tcBorders>
                    <w:tl2br w:val="nil"/>
                    <w:tr2bl w:val="nil"/>
                  </w:tcBorders>
                  <w:vAlign w:val="center"/>
                </w:tcPr>
                <w:p w14:paraId="1B52019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1" w:type="pct"/>
                  <w:vMerge w:val="restart"/>
                  <w:tcBorders>
                    <w:tl2br w:val="nil"/>
                    <w:tr2bl w:val="nil"/>
                  </w:tcBorders>
                  <w:vAlign w:val="center"/>
                </w:tcPr>
                <w:p w14:paraId="1BCA38D5">
                  <w:pPr>
                    <w:pStyle w:val="78"/>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厂界</w:t>
                  </w:r>
                </w:p>
              </w:tc>
              <w:tc>
                <w:tcPr>
                  <w:tcW w:w="248" w:type="pct"/>
                  <w:tcBorders>
                    <w:tl2br w:val="nil"/>
                    <w:tr2bl w:val="nil"/>
                  </w:tcBorders>
                  <w:vAlign w:val="center"/>
                </w:tcPr>
                <w:p w14:paraId="4C5DAA1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15" w:type="pct"/>
                  <w:tcBorders>
                    <w:tl2br w:val="nil"/>
                    <w:tr2bl w:val="nil"/>
                  </w:tcBorders>
                  <w:vAlign w:val="center"/>
                </w:tcPr>
                <w:p w14:paraId="4C0C0A4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1次/半年</w:t>
                  </w:r>
                </w:p>
              </w:tc>
            </w:tr>
            <w:tr w14:paraId="400F53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 w:type="pct"/>
                  <w:vMerge w:val="continue"/>
                  <w:tcBorders>
                    <w:tl2br w:val="nil"/>
                    <w:tr2bl w:val="nil"/>
                  </w:tcBorders>
                  <w:vAlign w:val="center"/>
                </w:tcPr>
                <w:p w14:paraId="0F8AEDF4">
                  <w:pPr>
                    <w:pStyle w:val="78"/>
                    <w:bidi w:val="0"/>
                    <w:jc w:val="center"/>
                    <w:rPr>
                      <w:rFonts w:hint="default" w:ascii="Times New Roman" w:hAnsi="Times New Roman" w:cs="Times New Roman"/>
                      <w:b/>
                      <w:bCs/>
                      <w:color w:val="auto"/>
                      <w:highlight w:val="none"/>
                      <w:lang w:val="en-US" w:eastAsia="zh-CN"/>
                    </w:rPr>
                  </w:pPr>
                </w:p>
              </w:tc>
              <w:tc>
                <w:tcPr>
                  <w:tcW w:w="222" w:type="pct"/>
                  <w:tcBorders>
                    <w:tl2br w:val="nil"/>
                    <w:tr2bl w:val="nil"/>
                  </w:tcBorders>
                  <w:shd w:val="clear" w:color="auto" w:fill="auto"/>
                  <w:vAlign w:val="center"/>
                </w:tcPr>
                <w:p w14:paraId="66BA7E5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S</w:t>
                  </w:r>
                </w:p>
              </w:tc>
              <w:tc>
                <w:tcPr>
                  <w:tcW w:w="161" w:type="pct"/>
                  <w:vMerge w:val="continue"/>
                  <w:tcBorders>
                    <w:tl2br w:val="nil"/>
                    <w:tr2bl w:val="nil"/>
                  </w:tcBorders>
                  <w:vAlign w:val="center"/>
                </w:tcPr>
                <w:p w14:paraId="2D0517F2">
                  <w:pPr>
                    <w:pStyle w:val="78"/>
                    <w:bidi w:val="0"/>
                    <w:jc w:val="center"/>
                    <w:rPr>
                      <w:rFonts w:hint="default" w:ascii="Times New Roman" w:hAnsi="Times New Roman" w:cs="Times New Roman"/>
                      <w:color w:val="auto"/>
                      <w:highlight w:val="none"/>
                      <w:lang w:val="en-US" w:eastAsia="zh-CN"/>
                    </w:rPr>
                  </w:pPr>
                </w:p>
              </w:tc>
              <w:tc>
                <w:tcPr>
                  <w:tcW w:w="250" w:type="pct"/>
                  <w:tcBorders>
                    <w:tl2br w:val="nil"/>
                    <w:tr2bl w:val="nil"/>
                  </w:tcBorders>
                  <w:shd w:val="clear" w:color="auto" w:fill="auto"/>
                  <w:vAlign w:val="center"/>
                </w:tcPr>
                <w:p w14:paraId="2E0BC280">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09" w:type="pct"/>
                  <w:tcBorders>
                    <w:tl2br w:val="nil"/>
                    <w:tr2bl w:val="nil"/>
                  </w:tcBorders>
                  <w:shd w:val="clear" w:color="auto" w:fill="auto"/>
                  <w:vAlign w:val="center"/>
                </w:tcPr>
                <w:p w14:paraId="441AD61F">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0.0013kg/h</w:t>
                  </w:r>
                </w:p>
              </w:tc>
              <w:tc>
                <w:tcPr>
                  <w:tcW w:w="581" w:type="pct"/>
                  <w:vMerge w:val="continue"/>
                  <w:tcBorders>
                    <w:tl2br w:val="nil"/>
                    <w:tr2bl w:val="nil"/>
                  </w:tcBorders>
                  <w:vAlign w:val="center"/>
                </w:tcPr>
                <w:p w14:paraId="2398B343">
                  <w:pPr>
                    <w:pStyle w:val="78"/>
                    <w:bidi w:val="0"/>
                    <w:jc w:val="center"/>
                    <w:rPr>
                      <w:rFonts w:hint="default" w:ascii="Times New Roman" w:hAnsi="Times New Roman" w:cs="Times New Roman"/>
                      <w:color w:val="auto"/>
                      <w:highlight w:val="none"/>
                      <w:lang w:val="en-US" w:eastAsia="zh-CN"/>
                    </w:rPr>
                  </w:pPr>
                </w:p>
              </w:tc>
              <w:tc>
                <w:tcPr>
                  <w:tcW w:w="217" w:type="pct"/>
                  <w:vMerge w:val="continue"/>
                  <w:tcBorders>
                    <w:tl2br w:val="nil"/>
                    <w:tr2bl w:val="nil"/>
                  </w:tcBorders>
                  <w:vAlign w:val="center"/>
                </w:tcPr>
                <w:p w14:paraId="22E761D0">
                  <w:pPr>
                    <w:pStyle w:val="78"/>
                    <w:bidi w:val="0"/>
                    <w:jc w:val="center"/>
                    <w:rPr>
                      <w:rFonts w:hint="default" w:ascii="Times New Roman" w:hAnsi="Times New Roman" w:cs="Times New Roman"/>
                      <w:color w:val="auto"/>
                      <w:highlight w:val="none"/>
                      <w:lang w:val="en-US" w:eastAsia="zh-CN"/>
                    </w:rPr>
                  </w:pPr>
                </w:p>
              </w:tc>
              <w:tc>
                <w:tcPr>
                  <w:tcW w:w="280" w:type="pct"/>
                  <w:tcBorders>
                    <w:tl2br w:val="nil"/>
                    <w:tr2bl w:val="nil"/>
                  </w:tcBorders>
                  <w:shd w:val="clear" w:color="auto" w:fill="auto"/>
                  <w:vAlign w:val="center"/>
                </w:tcPr>
                <w:p w14:paraId="1DE66C5D">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01" w:type="pct"/>
                  <w:tcBorders>
                    <w:tl2br w:val="nil"/>
                    <w:tr2bl w:val="nil"/>
                  </w:tcBorders>
                  <w:shd w:val="clear" w:color="auto" w:fill="auto"/>
                  <w:vAlign w:val="center"/>
                </w:tcPr>
                <w:p w14:paraId="2BDD025A">
                  <w:pPr>
                    <w:pStyle w:val="7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17" w:type="pct"/>
                  <w:tcBorders>
                    <w:tl2br w:val="nil"/>
                    <w:tr2bl w:val="nil"/>
                  </w:tcBorders>
                  <w:vAlign w:val="center"/>
                </w:tcPr>
                <w:p w14:paraId="3DB79EC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29" w:type="pct"/>
                  <w:tcBorders>
                    <w:tl2br w:val="nil"/>
                    <w:tr2bl w:val="nil"/>
                  </w:tcBorders>
                  <w:vAlign w:val="center"/>
                </w:tcPr>
                <w:p w14:paraId="78AD03A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93" w:type="pct"/>
                  <w:tcBorders>
                    <w:tl2br w:val="nil"/>
                    <w:tr2bl w:val="nil"/>
                  </w:tcBorders>
                  <w:vAlign w:val="center"/>
                </w:tcPr>
                <w:p w14:paraId="5CA2599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6" w:type="pct"/>
                  <w:tcBorders>
                    <w:tl2br w:val="nil"/>
                    <w:tr2bl w:val="nil"/>
                  </w:tcBorders>
                  <w:vAlign w:val="center"/>
                </w:tcPr>
                <w:p w14:paraId="08FB3FF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7" w:type="pct"/>
                  <w:tcBorders>
                    <w:tl2br w:val="nil"/>
                    <w:tr2bl w:val="nil"/>
                  </w:tcBorders>
                  <w:vAlign w:val="center"/>
                </w:tcPr>
                <w:p w14:paraId="4808EF7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55" w:type="pct"/>
                  <w:tcBorders>
                    <w:tl2br w:val="nil"/>
                    <w:tr2bl w:val="nil"/>
                  </w:tcBorders>
                  <w:vAlign w:val="center"/>
                </w:tcPr>
                <w:p w14:paraId="721FE5A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53" w:type="pct"/>
                  <w:tcBorders>
                    <w:tl2br w:val="nil"/>
                    <w:tr2bl w:val="nil"/>
                  </w:tcBorders>
                  <w:vAlign w:val="center"/>
                </w:tcPr>
                <w:p w14:paraId="429295B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7" w:type="pct"/>
                  <w:tcBorders>
                    <w:tl2br w:val="nil"/>
                    <w:tr2bl w:val="nil"/>
                  </w:tcBorders>
                  <w:vAlign w:val="center"/>
                </w:tcPr>
                <w:p w14:paraId="00773D4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1" w:type="pct"/>
                  <w:vMerge w:val="continue"/>
                  <w:tcBorders>
                    <w:tl2br w:val="nil"/>
                    <w:tr2bl w:val="nil"/>
                  </w:tcBorders>
                  <w:vAlign w:val="center"/>
                </w:tcPr>
                <w:p w14:paraId="3298F518">
                  <w:pPr>
                    <w:pStyle w:val="78"/>
                    <w:bidi w:val="0"/>
                    <w:jc w:val="center"/>
                    <w:rPr>
                      <w:rFonts w:hint="default" w:ascii="Times New Roman" w:hAnsi="Times New Roman" w:cs="Times New Roman"/>
                      <w:color w:val="auto"/>
                      <w:highlight w:val="none"/>
                      <w:lang w:val="en-US" w:eastAsia="zh-CN"/>
                    </w:rPr>
                  </w:pPr>
                </w:p>
              </w:tc>
              <w:tc>
                <w:tcPr>
                  <w:tcW w:w="248" w:type="pct"/>
                  <w:tcBorders>
                    <w:tl2br w:val="nil"/>
                    <w:tr2bl w:val="nil"/>
                  </w:tcBorders>
                  <w:vAlign w:val="center"/>
                </w:tcPr>
                <w:p w14:paraId="6804364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15" w:type="pct"/>
                  <w:tcBorders>
                    <w:tl2br w:val="nil"/>
                    <w:tr2bl w:val="nil"/>
                  </w:tcBorders>
                  <w:vAlign w:val="center"/>
                </w:tcPr>
                <w:p w14:paraId="0162B62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1次/半年</w:t>
                  </w:r>
                </w:p>
              </w:tc>
            </w:tr>
          </w:tbl>
          <w:p w14:paraId="4F1F8DBA">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p>
          <w:p w14:paraId="6E22DD3E">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p>
        </w:tc>
      </w:tr>
    </w:tbl>
    <w:p w14:paraId="1444BC12">
      <w:pPr>
        <w:pStyle w:val="31"/>
        <w:adjustRightInd w:val="0"/>
        <w:snapToGrid w:val="0"/>
        <w:spacing w:before="0" w:beforeAutospacing="0" w:after="0" w:afterAutospacing="0"/>
        <w:jc w:val="center"/>
        <w:rPr>
          <w:rFonts w:hint="default" w:ascii="Times New Roman" w:hAnsi="Times New Roman" w:eastAsia="宋体" w:cs="Times New Roman"/>
          <w:b/>
          <w:bCs/>
          <w:color w:val="auto"/>
          <w:sz w:val="24"/>
        </w:rPr>
      </w:pPr>
    </w:p>
    <w:p w14:paraId="02633490">
      <w:pPr>
        <w:pStyle w:val="31"/>
        <w:adjustRightInd w:val="0"/>
        <w:snapToGrid w:val="0"/>
        <w:spacing w:before="0" w:beforeAutospacing="0" w:after="0" w:afterAutospacing="0"/>
        <w:jc w:val="center"/>
        <w:rPr>
          <w:rFonts w:hint="default" w:ascii="Times New Roman" w:hAnsi="Times New Roman" w:eastAsia="宋体" w:cs="Times New Roman"/>
          <w:b/>
          <w:bCs/>
          <w:color w:val="auto"/>
          <w:sz w:val="24"/>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4"/>
        <w:gridCol w:w="8687"/>
      </w:tblGrid>
      <w:tr w14:paraId="6F71A8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296" w:type="dxa"/>
            <w:noWrap w:val="0"/>
            <w:tcMar>
              <w:left w:w="28" w:type="dxa"/>
              <w:right w:w="28" w:type="dxa"/>
            </w:tcMar>
            <w:vAlign w:val="center"/>
          </w:tcPr>
          <w:p w14:paraId="09E85809">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运营</w:t>
            </w:r>
          </w:p>
          <w:p w14:paraId="78CE8CBB">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期环</w:t>
            </w:r>
          </w:p>
          <w:p w14:paraId="7E691521">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境影</w:t>
            </w:r>
          </w:p>
          <w:p w14:paraId="5896C9B9">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响和</w:t>
            </w:r>
          </w:p>
          <w:p w14:paraId="2635C119">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保护</w:t>
            </w:r>
          </w:p>
          <w:p w14:paraId="093B0092">
            <w:pPr>
              <w:pStyle w:val="31"/>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
                <w:bCs/>
                <w:color w:val="auto"/>
                <w:sz w:val="24"/>
              </w:rPr>
              <w:t>措施</w:t>
            </w:r>
          </w:p>
        </w:tc>
        <w:tc>
          <w:tcPr>
            <w:tcW w:w="8685" w:type="dxa"/>
            <w:noWrap w:val="0"/>
            <w:vAlign w:val="center"/>
          </w:tcPr>
          <w:p w14:paraId="6415EC3E">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lang w:val="en-US" w:eastAsia="zh-CN" w:bidi="ar"/>
              </w:rPr>
            </w:pPr>
            <w:r>
              <w:rPr>
                <w:rFonts w:hint="default" w:ascii="Times New Roman" w:hAnsi="Times New Roman" w:eastAsia="宋体" w:cs="Times New Roman"/>
                <w:b/>
                <w:bCs/>
                <w:color w:val="auto"/>
                <w:sz w:val="24"/>
                <w:lang w:val="en-US" w:eastAsia="zh-CN" w:bidi="ar"/>
              </w:rPr>
              <w:t>1.7达标排放性分析</w:t>
            </w:r>
          </w:p>
          <w:p w14:paraId="69D40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根据《环境影响评价技术导则一大气环境》(HJ2.2-2018)中推荐的AERSCREEN(不考虑地形)模型对正常工况下废气排放浓度进行估算，本项目各废气最大落地浓度值见表4-</w:t>
            </w:r>
            <w:r>
              <w:rPr>
                <w:rFonts w:hint="default" w:ascii="Times New Roman" w:hAnsi="Times New Roman" w:cs="Times New Roman"/>
                <w:color w:val="auto"/>
                <w:sz w:val="24"/>
                <w:lang w:val="en-US" w:eastAsia="zh-CN" w:bidi="ar"/>
              </w:rPr>
              <w:t>4</w:t>
            </w:r>
            <w:r>
              <w:rPr>
                <w:rFonts w:hint="default" w:ascii="Times New Roman" w:hAnsi="Times New Roman" w:eastAsia="宋体" w:cs="Times New Roman"/>
                <w:color w:val="auto"/>
                <w:sz w:val="24"/>
                <w:lang w:val="en-US" w:eastAsia="zh-CN" w:bidi="ar"/>
              </w:rPr>
              <w:t>。</w:t>
            </w:r>
          </w:p>
          <w:p w14:paraId="1F805BBD">
            <w:pPr>
              <w:bidi w:val="0"/>
              <w:jc w:val="center"/>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表4-4  废气排放估算结果汇总表</w:t>
            </w:r>
          </w:p>
          <w:tbl>
            <w:tblPr>
              <w:tblStyle w:val="34"/>
              <w:tblW w:w="4998" w:type="pct"/>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14"/>
              <w:gridCol w:w="2118"/>
              <w:gridCol w:w="2118"/>
              <w:gridCol w:w="2118"/>
            </w:tblGrid>
            <w:tr w14:paraId="3F14DA6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14D57D4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污染源名称</w:t>
                  </w:r>
                </w:p>
              </w:tc>
              <w:tc>
                <w:tcPr>
                  <w:tcW w:w="1250" w:type="pct"/>
                  <w:tcBorders>
                    <w:tl2br w:val="nil"/>
                    <w:tr2bl w:val="nil"/>
                  </w:tcBorders>
                  <w:vAlign w:val="center"/>
                </w:tcPr>
                <w:p w14:paraId="4594A51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评价因子</w:t>
                  </w:r>
                </w:p>
              </w:tc>
              <w:tc>
                <w:tcPr>
                  <w:tcW w:w="1250" w:type="pct"/>
                  <w:tcBorders>
                    <w:tl2br w:val="nil"/>
                    <w:tr2bl w:val="nil"/>
                  </w:tcBorders>
                  <w:vAlign w:val="center"/>
                </w:tcPr>
                <w:p w14:paraId="48B61E9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评价标准(μg/m³)</w:t>
                  </w:r>
                </w:p>
              </w:tc>
              <w:tc>
                <w:tcPr>
                  <w:tcW w:w="1250" w:type="pct"/>
                  <w:tcBorders>
                    <w:tl2br w:val="nil"/>
                    <w:tr2bl w:val="nil"/>
                  </w:tcBorders>
                  <w:vAlign w:val="center"/>
                </w:tcPr>
                <w:p w14:paraId="752C945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Cmax(μg/m³)</w:t>
                  </w:r>
                </w:p>
              </w:tc>
            </w:tr>
            <w:tr w14:paraId="2FDE818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637BD06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生物质</w:t>
                  </w:r>
                </w:p>
              </w:tc>
              <w:tc>
                <w:tcPr>
                  <w:tcW w:w="1250" w:type="pct"/>
                  <w:tcBorders>
                    <w:tl2br w:val="nil"/>
                    <w:tr2bl w:val="nil"/>
                  </w:tcBorders>
                  <w:vAlign w:val="center"/>
                </w:tcPr>
                <w:p w14:paraId="14D6D0D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TSP</w:t>
                  </w:r>
                </w:p>
              </w:tc>
              <w:tc>
                <w:tcPr>
                  <w:tcW w:w="1250" w:type="pct"/>
                  <w:tcBorders>
                    <w:tl2br w:val="nil"/>
                    <w:tr2bl w:val="nil"/>
                  </w:tcBorders>
                  <w:vAlign w:val="center"/>
                </w:tcPr>
                <w:p w14:paraId="2058D77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900.0</w:t>
                  </w:r>
                </w:p>
              </w:tc>
              <w:tc>
                <w:tcPr>
                  <w:tcW w:w="1250" w:type="pct"/>
                  <w:tcBorders>
                    <w:tl2br w:val="nil"/>
                    <w:tr2bl w:val="nil"/>
                  </w:tcBorders>
                  <w:vAlign w:val="center"/>
                </w:tcPr>
                <w:p w14:paraId="5339CDC2">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4.3082</w:t>
                  </w:r>
                </w:p>
              </w:tc>
            </w:tr>
            <w:tr w14:paraId="5098449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614CFCF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生物质</w:t>
                  </w:r>
                </w:p>
              </w:tc>
              <w:tc>
                <w:tcPr>
                  <w:tcW w:w="1250" w:type="pct"/>
                  <w:tcBorders>
                    <w:tl2br w:val="nil"/>
                    <w:tr2bl w:val="nil"/>
                  </w:tcBorders>
                  <w:vAlign w:val="center"/>
                </w:tcPr>
                <w:p w14:paraId="616E6D8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p>
              </w:tc>
              <w:tc>
                <w:tcPr>
                  <w:tcW w:w="1250" w:type="pct"/>
                  <w:tcBorders>
                    <w:tl2br w:val="nil"/>
                    <w:tr2bl w:val="nil"/>
                  </w:tcBorders>
                  <w:vAlign w:val="center"/>
                </w:tcPr>
                <w:p w14:paraId="5F36299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500.0</w:t>
                  </w:r>
                </w:p>
              </w:tc>
              <w:tc>
                <w:tcPr>
                  <w:tcW w:w="1250" w:type="pct"/>
                  <w:tcBorders>
                    <w:tl2br w:val="nil"/>
                    <w:tr2bl w:val="nil"/>
                  </w:tcBorders>
                  <w:vAlign w:val="center"/>
                </w:tcPr>
                <w:p w14:paraId="65739C5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19.0792</w:t>
                  </w:r>
                </w:p>
              </w:tc>
            </w:tr>
            <w:tr w14:paraId="4E09AE1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6E70200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生物质</w:t>
                  </w:r>
                </w:p>
              </w:tc>
              <w:tc>
                <w:tcPr>
                  <w:tcW w:w="1250" w:type="pct"/>
                  <w:tcBorders>
                    <w:tl2br w:val="nil"/>
                    <w:tr2bl w:val="nil"/>
                  </w:tcBorders>
                  <w:vAlign w:val="center"/>
                </w:tcPr>
                <w:p w14:paraId="742E337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NOx</w:t>
                  </w:r>
                </w:p>
              </w:tc>
              <w:tc>
                <w:tcPr>
                  <w:tcW w:w="1250" w:type="pct"/>
                  <w:tcBorders>
                    <w:tl2br w:val="nil"/>
                    <w:tr2bl w:val="nil"/>
                  </w:tcBorders>
                  <w:vAlign w:val="center"/>
                </w:tcPr>
                <w:p w14:paraId="7B616FB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250.0</w:t>
                  </w:r>
                </w:p>
              </w:tc>
              <w:tc>
                <w:tcPr>
                  <w:tcW w:w="1250" w:type="pct"/>
                  <w:tcBorders>
                    <w:tl2br w:val="nil"/>
                    <w:tr2bl w:val="nil"/>
                  </w:tcBorders>
                  <w:vAlign w:val="center"/>
                </w:tcPr>
                <w:p w14:paraId="1448108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30.7729</w:t>
                  </w:r>
                </w:p>
              </w:tc>
            </w:tr>
            <w:tr w14:paraId="375A19A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36E2B97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发电机组排放口</w:t>
                  </w:r>
                </w:p>
              </w:tc>
              <w:tc>
                <w:tcPr>
                  <w:tcW w:w="1250" w:type="pct"/>
                  <w:tcBorders>
                    <w:tl2br w:val="nil"/>
                    <w:tr2bl w:val="nil"/>
                  </w:tcBorders>
                  <w:vAlign w:val="center"/>
                </w:tcPr>
                <w:p w14:paraId="7B32A19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TSP</w:t>
                  </w:r>
                </w:p>
              </w:tc>
              <w:tc>
                <w:tcPr>
                  <w:tcW w:w="1250" w:type="pct"/>
                  <w:tcBorders>
                    <w:tl2br w:val="nil"/>
                    <w:tr2bl w:val="nil"/>
                  </w:tcBorders>
                  <w:vAlign w:val="center"/>
                </w:tcPr>
                <w:p w14:paraId="174B1A1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900.0</w:t>
                  </w:r>
                </w:p>
              </w:tc>
              <w:tc>
                <w:tcPr>
                  <w:tcW w:w="1250" w:type="pct"/>
                  <w:tcBorders>
                    <w:tl2br w:val="nil"/>
                    <w:tr2bl w:val="nil"/>
                  </w:tcBorders>
                  <w:vAlign w:val="center"/>
                </w:tcPr>
                <w:p w14:paraId="2411E87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1.4016</w:t>
                  </w:r>
                </w:p>
              </w:tc>
            </w:tr>
            <w:tr w14:paraId="17F97D9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58CDE75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发电机组排放口</w:t>
                  </w:r>
                </w:p>
              </w:tc>
              <w:tc>
                <w:tcPr>
                  <w:tcW w:w="1250" w:type="pct"/>
                  <w:tcBorders>
                    <w:tl2br w:val="nil"/>
                    <w:tr2bl w:val="nil"/>
                  </w:tcBorders>
                  <w:vAlign w:val="center"/>
                </w:tcPr>
                <w:p w14:paraId="4B124C7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p>
              </w:tc>
              <w:tc>
                <w:tcPr>
                  <w:tcW w:w="1250" w:type="pct"/>
                  <w:tcBorders>
                    <w:tl2br w:val="nil"/>
                    <w:tr2bl w:val="nil"/>
                  </w:tcBorders>
                  <w:vAlign w:val="center"/>
                </w:tcPr>
                <w:p w14:paraId="606727D3">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500.0</w:t>
                  </w:r>
                </w:p>
              </w:tc>
              <w:tc>
                <w:tcPr>
                  <w:tcW w:w="1250" w:type="pct"/>
                  <w:tcBorders>
                    <w:tl2br w:val="nil"/>
                    <w:tr2bl w:val="nil"/>
                  </w:tcBorders>
                  <w:vAlign w:val="center"/>
                </w:tcPr>
                <w:p w14:paraId="53E7448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1.8688</w:t>
                  </w:r>
                </w:p>
              </w:tc>
            </w:tr>
            <w:tr w14:paraId="21BDB85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523F487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发电机组排放口</w:t>
                  </w:r>
                </w:p>
              </w:tc>
              <w:tc>
                <w:tcPr>
                  <w:tcW w:w="1250" w:type="pct"/>
                  <w:tcBorders>
                    <w:tl2br w:val="nil"/>
                    <w:tr2bl w:val="nil"/>
                  </w:tcBorders>
                  <w:vAlign w:val="center"/>
                </w:tcPr>
                <w:p w14:paraId="694F39C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NOx</w:t>
                  </w:r>
                </w:p>
              </w:tc>
              <w:tc>
                <w:tcPr>
                  <w:tcW w:w="1250" w:type="pct"/>
                  <w:tcBorders>
                    <w:tl2br w:val="nil"/>
                    <w:tr2bl w:val="nil"/>
                  </w:tcBorders>
                  <w:vAlign w:val="center"/>
                </w:tcPr>
                <w:p w14:paraId="4A3FD6B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250.0</w:t>
                  </w:r>
                </w:p>
              </w:tc>
              <w:tc>
                <w:tcPr>
                  <w:tcW w:w="1250" w:type="pct"/>
                  <w:tcBorders>
                    <w:tl2br w:val="nil"/>
                    <w:tr2bl w:val="nil"/>
                  </w:tcBorders>
                  <w:vAlign w:val="center"/>
                </w:tcPr>
                <w:p w14:paraId="6C9E825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6.0736</w:t>
                  </w:r>
                </w:p>
              </w:tc>
            </w:tr>
            <w:tr w14:paraId="630EDFA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3B2A1D9E">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发酵</w:t>
                  </w:r>
                </w:p>
              </w:tc>
              <w:tc>
                <w:tcPr>
                  <w:tcW w:w="1250" w:type="pct"/>
                  <w:tcBorders>
                    <w:tl2br w:val="nil"/>
                    <w:tr2bl w:val="nil"/>
                  </w:tcBorders>
                  <w:vAlign w:val="center"/>
                </w:tcPr>
                <w:p w14:paraId="11AF70B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p>
              </w:tc>
              <w:tc>
                <w:tcPr>
                  <w:tcW w:w="1250" w:type="pct"/>
                  <w:tcBorders>
                    <w:tl2br w:val="nil"/>
                    <w:tr2bl w:val="nil"/>
                  </w:tcBorders>
                  <w:vAlign w:val="center"/>
                </w:tcPr>
                <w:p w14:paraId="6349838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200.0</w:t>
                  </w:r>
                </w:p>
              </w:tc>
              <w:tc>
                <w:tcPr>
                  <w:tcW w:w="1250" w:type="pct"/>
                  <w:tcBorders>
                    <w:tl2br w:val="nil"/>
                    <w:tr2bl w:val="nil"/>
                  </w:tcBorders>
                  <w:vAlign w:val="center"/>
                </w:tcPr>
                <w:p w14:paraId="37C8D0D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22.2100</w:t>
                  </w:r>
                </w:p>
              </w:tc>
            </w:tr>
            <w:tr w14:paraId="35EF09D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5B5309D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发酵</w:t>
                  </w:r>
                </w:p>
              </w:tc>
              <w:tc>
                <w:tcPr>
                  <w:tcW w:w="1250" w:type="pct"/>
                  <w:tcBorders>
                    <w:tl2br w:val="nil"/>
                    <w:tr2bl w:val="nil"/>
                  </w:tcBorders>
                  <w:vAlign w:val="center"/>
                </w:tcPr>
                <w:p w14:paraId="2FB74C9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S</w:t>
                  </w:r>
                </w:p>
              </w:tc>
              <w:tc>
                <w:tcPr>
                  <w:tcW w:w="1250" w:type="pct"/>
                  <w:tcBorders>
                    <w:tl2br w:val="nil"/>
                    <w:tr2bl w:val="nil"/>
                  </w:tcBorders>
                  <w:vAlign w:val="center"/>
                </w:tcPr>
                <w:p w14:paraId="5407445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c>
                <w:tcPr>
                  <w:tcW w:w="1250" w:type="pct"/>
                  <w:tcBorders>
                    <w:tl2br w:val="nil"/>
                    <w:tr2bl w:val="nil"/>
                  </w:tcBorders>
                  <w:vAlign w:val="center"/>
                </w:tcPr>
                <w:p w14:paraId="49A23330">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2.4986</w:t>
                  </w:r>
                </w:p>
              </w:tc>
            </w:tr>
            <w:tr w14:paraId="4147F50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69546E92">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进料沼液</w:t>
                  </w:r>
                </w:p>
              </w:tc>
              <w:tc>
                <w:tcPr>
                  <w:tcW w:w="1250" w:type="pct"/>
                  <w:tcBorders>
                    <w:tl2br w:val="nil"/>
                    <w:tr2bl w:val="nil"/>
                  </w:tcBorders>
                  <w:vAlign w:val="center"/>
                </w:tcPr>
                <w:p w14:paraId="74A498B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p>
              </w:tc>
              <w:tc>
                <w:tcPr>
                  <w:tcW w:w="1250" w:type="pct"/>
                  <w:tcBorders>
                    <w:tl2br w:val="nil"/>
                    <w:tr2bl w:val="nil"/>
                  </w:tcBorders>
                  <w:vAlign w:val="center"/>
                </w:tcPr>
                <w:p w14:paraId="2680ACA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200.0</w:t>
                  </w:r>
                </w:p>
              </w:tc>
              <w:tc>
                <w:tcPr>
                  <w:tcW w:w="1250" w:type="pct"/>
                  <w:tcBorders>
                    <w:tl2br w:val="nil"/>
                    <w:tr2bl w:val="nil"/>
                  </w:tcBorders>
                  <w:vAlign w:val="center"/>
                </w:tcPr>
                <w:p w14:paraId="60377B17">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9.3256</w:t>
                  </w:r>
                </w:p>
              </w:tc>
            </w:tr>
            <w:tr w14:paraId="151445C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3243E08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进料沼液</w:t>
                  </w:r>
                </w:p>
              </w:tc>
              <w:tc>
                <w:tcPr>
                  <w:tcW w:w="1250" w:type="pct"/>
                  <w:tcBorders>
                    <w:tl2br w:val="nil"/>
                    <w:tr2bl w:val="nil"/>
                  </w:tcBorders>
                  <w:vAlign w:val="center"/>
                </w:tcPr>
                <w:p w14:paraId="6500E4C2">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S</w:t>
                  </w:r>
                </w:p>
              </w:tc>
              <w:tc>
                <w:tcPr>
                  <w:tcW w:w="1250" w:type="pct"/>
                  <w:tcBorders>
                    <w:tl2br w:val="nil"/>
                    <w:tr2bl w:val="nil"/>
                  </w:tcBorders>
                  <w:vAlign w:val="center"/>
                </w:tcPr>
                <w:p w14:paraId="07F4EABB">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c>
                <w:tcPr>
                  <w:tcW w:w="1250" w:type="pct"/>
                  <w:tcBorders>
                    <w:tl2br w:val="nil"/>
                    <w:tr2bl w:val="nil"/>
                  </w:tcBorders>
                  <w:vAlign w:val="center"/>
                </w:tcPr>
                <w:p w14:paraId="7078B06D">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0.4055</w:t>
                  </w:r>
                </w:p>
              </w:tc>
            </w:tr>
            <w:tr w14:paraId="5D01ACE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13B0F048">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沼气锅炉</w:t>
                  </w:r>
                </w:p>
              </w:tc>
              <w:tc>
                <w:tcPr>
                  <w:tcW w:w="1250" w:type="pct"/>
                  <w:tcBorders>
                    <w:tl2br w:val="nil"/>
                    <w:tr2bl w:val="nil"/>
                  </w:tcBorders>
                  <w:vAlign w:val="center"/>
                </w:tcPr>
                <w:p w14:paraId="76E3CFE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TSP</w:t>
                  </w:r>
                </w:p>
              </w:tc>
              <w:tc>
                <w:tcPr>
                  <w:tcW w:w="1250" w:type="pct"/>
                  <w:tcBorders>
                    <w:tl2br w:val="nil"/>
                    <w:tr2bl w:val="nil"/>
                  </w:tcBorders>
                  <w:vAlign w:val="center"/>
                </w:tcPr>
                <w:p w14:paraId="2B111C1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900.0</w:t>
                  </w:r>
                </w:p>
              </w:tc>
              <w:tc>
                <w:tcPr>
                  <w:tcW w:w="1250" w:type="pct"/>
                  <w:tcBorders>
                    <w:tl2br w:val="nil"/>
                    <w:tr2bl w:val="nil"/>
                  </w:tcBorders>
                  <w:vAlign w:val="center"/>
                </w:tcPr>
                <w:p w14:paraId="252F8C6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1.3514</w:t>
                  </w:r>
                </w:p>
              </w:tc>
            </w:tr>
            <w:tr w14:paraId="2AE95BE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59E8549A">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沼气锅炉</w:t>
                  </w:r>
                </w:p>
              </w:tc>
              <w:tc>
                <w:tcPr>
                  <w:tcW w:w="1250" w:type="pct"/>
                  <w:tcBorders>
                    <w:tl2br w:val="nil"/>
                    <w:tr2bl w:val="nil"/>
                  </w:tcBorders>
                  <w:vAlign w:val="center"/>
                </w:tcPr>
                <w:p w14:paraId="7A2B6BC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p>
              </w:tc>
              <w:tc>
                <w:tcPr>
                  <w:tcW w:w="1250" w:type="pct"/>
                  <w:tcBorders>
                    <w:tl2br w:val="nil"/>
                    <w:tr2bl w:val="nil"/>
                  </w:tcBorders>
                  <w:vAlign w:val="center"/>
                </w:tcPr>
                <w:p w14:paraId="2C3C3B4C">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500.0</w:t>
                  </w:r>
                </w:p>
              </w:tc>
              <w:tc>
                <w:tcPr>
                  <w:tcW w:w="1250" w:type="pct"/>
                  <w:tcBorders>
                    <w:tl2br w:val="nil"/>
                    <w:tr2bl w:val="nil"/>
                  </w:tcBorders>
                  <w:vAlign w:val="center"/>
                </w:tcPr>
                <w:p w14:paraId="3B99B989">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1.0811</w:t>
                  </w:r>
                </w:p>
              </w:tc>
            </w:tr>
            <w:tr w14:paraId="66CFFA8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48" w:type="pct"/>
                  <w:tcBorders>
                    <w:tl2br w:val="nil"/>
                    <w:tr2bl w:val="nil"/>
                  </w:tcBorders>
                  <w:vAlign w:val="center"/>
                </w:tcPr>
                <w:p w14:paraId="191AECE1">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沼气锅炉</w:t>
                  </w:r>
                </w:p>
              </w:tc>
              <w:tc>
                <w:tcPr>
                  <w:tcW w:w="1250" w:type="pct"/>
                  <w:tcBorders>
                    <w:tl2br w:val="nil"/>
                    <w:tr2bl w:val="nil"/>
                  </w:tcBorders>
                  <w:vAlign w:val="center"/>
                </w:tcPr>
                <w:p w14:paraId="46071C44">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NOx</w:t>
                  </w:r>
                </w:p>
              </w:tc>
              <w:tc>
                <w:tcPr>
                  <w:tcW w:w="1250" w:type="pct"/>
                  <w:tcBorders>
                    <w:tl2br w:val="nil"/>
                    <w:tr2bl w:val="nil"/>
                  </w:tcBorders>
                  <w:vAlign w:val="center"/>
                </w:tcPr>
                <w:p w14:paraId="4ABD259F">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250.0</w:t>
                  </w:r>
                </w:p>
              </w:tc>
              <w:tc>
                <w:tcPr>
                  <w:tcW w:w="1250" w:type="pct"/>
                  <w:tcBorders>
                    <w:tl2br w:val="nil"/>
                    <w:tr2bl w:val="nil"/>
                  </w:tcBorders>
                  <w:vAlign w:val="center"/>
                </w:tcPr>
                <w:p w14:paraId="5B0C2BD5">
                  <w:pPr>
                    <w:pStyle w:val="7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4.1893</w:t>
                  </w:r>
                </w:p>
              </w:tc>
            </w:tr>
          </w:tbl>
          <w:p w14:paraId="5B3052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根据上述废气污染物计算及估算模式估算，本项目进料池排气筒恶臭气体满足《恶臭污染物排放标准》(GB14554-93)中表2中污染物有组织排放标准要求；各污染物最大落地浓度均满足《环境影响评价技术导则大气环 境》(HJ2.2-2018)附录D中其他污染物空气质量浓度参考限值。</w:t>
            </w:r>
          </w:p>
          <w:p w14:paraId="6C133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发电机组排气筒污染物排放速率满足《锅炉大气污染物排放标准》(GB13271-2014)表2燃气锅炉大气污染物排放限值要求；各污染物最大落地浓度满足《环境空气质量标准》(GB3095-2012)中二级标准。</w:t>
            </w:r>
          </w:p>
          <w:p w14:paraId="4EAAAE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沼气锅炉排气筒污染物排放浓度均满足《锅炉大气污染物排放标准》(GB13271-2014)表2燃气锅炉大气污染物排放限值要求；各污染物最大落地浓度满足《环境空气质量标准》(GB3095-2012)中二级标准。</w:t>
            </w:r>
          </w:p>
          <w:p w14:paraId="7EA5B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沼液池恶臭气体排放浓度均满足《恶臭污染物排放标准》(GB14554-93)中表2中污染物无组织排放标准要求，各污染物最大落地浓度均可满足《环境影响评价技术导则大气环境》(HJ2.2-2018)附录D中其他污染物空气质量浓度参考限值。</w:t>
            </w:r>
          </w:p>
          <w:p w14:paraId="60FA2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综上所述，各污染物未出现超标点，对周围环境影响较小。</w:t>
            </w:r>
          </w:p>
          <w:p w14:paraId="2C35EF1B">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lang w:val="en-US" w:eastAsia="zh-CN" w:bidi="ar"/>
              </w:rPr>
            </w:pPr>
            <w:r>
              <w:rPr>
                <w:rFonts w:hint="default" w:ascii="Times New Roman" w:hAnsi="Times New Roman" w:cs="Times New Roman"/>
                <w:b/>
                <w:bCs/>
                <w:color w:val="auto"/>
                <w:sz w:val="24"/>
                <w:lang w:val="en-US" w:eastAsia="zh-CN" w:bidi="ar"/>
              </w:rPr>
              <w:t>1.8、措施可行性分析</w:t>
            </w:r>
          </w:p>
          <w:p w14:paraId="37C87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对照《排污许可证申请与核发技术规范 磷肥、钾肥、复混肥料、有机肥料及微生物肥料工业》（HJ864-2018）及《排污许可证申请与核发技术规范工业炉窑》（HJ1121-2020）中推荐的可行技术，本项目采取的环保措施可行，排污单位废气治理可行技术参照表4-</w:t>
            </w:r>
            <w:r>
              <w:rPr>
                <w:rFonts w:hint="default" w:ascii="Times New Roman" w:hAnsi="Times New Roman" w:cs="Times New Roman"/>
                <w:color w:val="auto"/>
                <w:sz w:val="24"/>
                <w:lang w:val="en-US" w:eastAsia="zh-CN" w:bidi="ar"/>
              </w:rPr>
              <w:t>5</w:t>
            </w:r>
            <w:r>
              <w:rPr>
                <w:rFonts w:hint="default" w:ascii="Times New Roman" w:hAnsi="Times New Roman" w:eastAsia="宋体" w:cs="Times New Roman"/>
                <w:color w:val="auto"/>
                <w:sz w:val="24"/>
                <w:lang w:val="en-US" w:eastAsia="zh-CN" w:bidi="ar"/>
              </w:rPr>
              <w:t>。</w:t>
            </w:r>
          </w:p>
          <w:p w14:paraId="337FF257">
            <w:pPr>
              <w:bidi w:val="0"/>
              <w:jc w:val="center"/>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表4-10  排污单位废气治理可行技术参照表</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2"/>
              <w:gridCol w:w="1162"/>
              <w:gridCol w:w="2332"/>
              <w:gridCol w:w="3033"/>
              <w:gridCol w:w="777"/>
            </w:tblGrid>
            <w:tr w14:paraId="3A2FD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E18EB">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生产设施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415883">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污染物名称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2BFE2">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技术规范推荐的治</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理设施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104BF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本项目采取的治理设施</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6290E9CE">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可行性</w:t>
                  </w:r>
                </w:p>
              </w:tc>
            </w:tr>
            <w:tr w14:paraId="05A17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0" w:type="auto"/>
                  <w:tcBorders>
                    <w:top w:val="single" w:color="000000" w:sz="4" w:space="0"/>
                    <w:left w:val="nil"/>
                    <w:bottom w:val="single" w:color="000000" w:sz="4" w:space="0"/>
                    <w:right w:val="single" w:color="000000" w:sz="4" w:space="0"/>
                  </w:tcBorders>
                  <w:shd w:val="clear" w:color="auto" w:fill="auto"/>
                  <w:vAlign w:val="center"/>
                </w:tcPr>
                <w:p w14:paraId="2DA70617">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发酵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E371D8">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氨、硫化氢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4938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生物除臭(滴滤法、过滤法)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B498F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全封闭车间，生物除臭装置(过滤法)</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45C937F3">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可行</w:t>
                  </w:r>
                </w:p>
              </w:tc>
            </w:tr>
            <w:tr w14:paraId="33081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0" w:type="auto"/>
                  <w:tcBorders>
                    <w:top w:val="single" w:color="000000" w:sz="4" w:space="0"/>
                    <w:left w:val="nil"/>
                    <w:bottom w:val="single" w:color="000000" w:sz="4" w:space="0"/>
                    <w:right w:val="single" w:color="000000" w:sz="4" w:space="0"/>
                  </w:tcBorders>
                  <w:shd w:val="clear" w:color="auto" w:fill="auto"/>
                  <w:vAlign w:val="center"/>
                </w:tcPr>
                <w:p w14:paraId="1474E8AA">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烘干、冷却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7E557">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颗粒物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17F05">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湿式除尘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3FCBF">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迷宫式重力除尘室+水洗涤喷淋塔</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3F6EBBC0">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可行</w:t>
                  </w:r>
                </w:p>
              </w:tc>
            </w:tr>
          </w:tbl>
          <w:p w14:paraId="38FDE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综上所述，通过采取以上措施后，项目废气对周围环境影响较小，措施可行。</w:t>
            </w:r>
          </w:p>
          <w:p w14:paraId="6DE5D549">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lang w:val="en-US" w:eastAsia="zh-CN" w:bidi="ar"/>
              </w:rPr>
            </w:pPr>
            <w:r>
              <w:rPr>
                <w:rFonts w:hint="default" w:ascii="Times New Roman" w:hAnsi="Times New Roman" w:cs="Times New Roman"/>
                <w:b/>
                <w:bCs/>
                <w:color w:val="auto"/>
                <w:sz w:val="24"/>
                <w:lang w:val="en-US" w:eastAsia="zh-CN" w:bidi="ar"/>
              </w:rPr>
              <w:t>1</w:t>
            </w:r>
            <w:r>
              <w:rPr>
                <w:rFonts w:hint="eastAsia" w:cs="Times New Roman"/>
                <w:b/>
                <w:bCs/>
                <w:color w:val="auto"/>
                <w:sz w:val="24"/>
                <w:lang w:val="en-US" w:eastAsia="zh-CN" w:bidi="ar"/>
              </w:rPr>
              <w:t>.</w:t>
            </w:r>
            <w:r>
              <w:rPr>
                <w:rFonts w:hint="default" w:ascii="Times New Roman" w:hAnsi="Times New Roman" w:cs="Times New Roman"/>
                <w:b/>
                <w:bCs/>
                <w:color w:val="auto"/>
                <w:sz w:val="24"/>
                <w:lang w:val="en-US" w:eastAsia="zh-CN" w:bidi="ar"/>
              </w:rPr>
              <w:t>9</w:t>
            </w:r>
            <w:r>
              <w:rPr>
                <w:rFonts w:hint="eastAsia" w:cs="Times New Roman"/>
                <w:b/>
                <w:bCs/>
                <w:color w:val="auto"/>
                <w:sz w:val="24"/>
                <w:lang w:val="en-US" w:eastAsia="zh-CN" w:bidi="ar"/>
              </w:rPr>
              <w:t>、</w:t>
            </w:r>
            <w:r>
              <w:rPr>
                <w:rFonts w:hint="default" w:ascii="Times New Roman" w:hAnsi="Times New Roman" w:cs="Times New Roman"/>
                <w:b/>
                <w:bCs/>
                <w:color w:val="auto"/>
                <w:sz w:val="24"/>
                <w:lang w:val="en-US" w:eastAsia="zh-CN" w:bidi="ar"/>
              </w:rPr>
              <w:t>监测计划要求</w:t>
            </w:r>
          </w:p>
          <w:p w14:paraId="4EEC45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根据《排污单位自行监测技术指南 磷肥、钾肥、复混肥料、有机肥料及微生物肥料》（HJ1088-2020）要求，结合本项目特点，评价提出本项目投产后废气污染源监测计划。本项目运营期污染物监控计划如下表4-6。</w:t>
            </w:r>
          </w:p>
          <w:p w14:paraId="32A1F543">
            <w:pPr>
              <w:bidi w:val="0"/>
              <w:jc w:val="center"/>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表4-6  项目运营期大气污染物监测计划表</w:t>
            </w:r>
          </w:p>
          <w:tbl>
            <w:tblPr>
              <w:tblStyle w:val="34"/>
              <w:tblW w:w="0" w:type="auto"/>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16"/>
              <w:gridCol w:w="504"/>
              <w:gridCol w:w="1363"/>
              <w:gridCol w:w="2153"/>
              <w:gridCol w:w="2530"/>
              <w:gridCol w:w="701"/>
              <w:gridCol w:w="699"/>
            </w:tblGrid>
            <w:tr w14:paraId="441936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5" w:hRule="atLeast"/>
              </w:trPr>
              <w:tc>
                <w:tcPr>
                  <w:tcW w:w="0" w:type="auto"/>
                  <w:tcBorders>
                    <w:tl2br w:val="nil"/>
                    <w:tr2bl w:val="nil"/>
                  </w:tcBorders>
                  <w:shd w:val="clear" w:color="auto" w:fill="auto"/>
                  <w:vAlign w:val="center"/>
                </w:tcPr>
                <w:p w14:paraId="624B4BBF">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序号</w:t>
                  </w:r>
                </w:p>
              </w:tc>
              <w:tc>
                <w:tcPr>
                  <w:tcW w:w="0" w:type="auto"/>
                  <w:gridSpan w:val="2"/>
                  <w:tcBorders>
                    <w:tl2br w:val="nil"/>
                    <w:tr2bl w:val="nil"/>
                  </w:tcBorders>
                  <w:shd w:val="clear" w:color="auto" w:fill="auto"/>
                  <w:vAlign w:val="center"/>
                </w:tcPr>
                <w:p w14:paraId="67302BC8">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监测项目</w:t>
                  </w:r>
                </w:p>
              </w:tc>
              <w:tc>
                <w:tcPr>
                  <w:tcW w:w="0" w:type="auto"/>
                  <w:tcBorders>
                    <w:tl2br w:val="nil"/>
                    <w:tr2bl w:val="nil"/>
                  </w:tcBorders>
                  <w:shd w:val="clear" w:color="auto" w:fill="auto"/>
                  <w:vAlign w:val="center"/>
                </w:tcPr>
                <w:p w14:paraId="40370344">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监控点</w:t>
                  </w:r>
                </w:p>
              </w:tc>
              <w:tc>
                <w:tcPr>
                  <w:tcW w:w="0" w:type="auto"/>
                  <w:tcBorders>
                    <w:tl2br w:val="nil"/>
                    <w:tr2bl w:val="nil"/>
                  </w:tcBorders>
                  <w:shd w:val="clear" w:color="auto" w:fill="auto"/>
                  <w:vAlign w:val="center"/>
                </w:tcPr>
                <w:p w14:paraId="15B5359A">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监测内容</w:t>
                  </w:r>
                </w:p>
              </w:tc>
              <w:tc>
                <w:tcPr>
                  <w:tcW w:w="0" w:type="auto"/>
                  <w:tcBorders>
                    <w:tl2br w:val="nil"/>
                    <w:tr2bl w:val="nil"/>
                  </w:tcBorders>
                  <w:shd w:val="clear" w:color="auto" w:fill="auto"/>
                  <w:vAlign w:val="center"/>
                </w:tcPr>
                <w:p w14:paraId="56FD32FF">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监测频次</w:t>
                  </w:r>
                </w:p>
              </w:tc>
              <w:tc>
                <w:tcPr>
                  <w:tcW w:w="0" w:type="auto"/>
                  <w:tcBorders>
                    <w:tl2br w:val="nil"/>
                    <w:tr2bl w:val="nil"/>
                  </w:tcBorders>
                  <w:shd w:val="clear" w:color="auto" w:fill="auto"/>
                  <w:vAlign w:val="center"/>
                </w:tcPr>
                <w:p w14:paraId="6B39ADD1">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监测单位</w:t>
                  </w:r>
                </w:p>
              </w:tc>
            </w:tr>
            <w:tr w14:paraId="176BF5F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0" w:hRule="atLeast"/>
              </w:trPr>
              <w:tc>
                <w:tcPr>
                  <w:tcW w:w="0" w:type="auto"/>
                  <w:vMerge w:val="restart"/>
                  <w:tcBorders>
                    <w:tl2br w:val="nil"/>
                    <w:tr2bl w:val="nil"/>
                  </w:tcBorders>
                  <w:shd w:val="clear" w:color="auto" w:fill="auto"/>
                  <w:vAlign w:val="center"/>
                </w:tcPr>
                <w:p w14:paraId="7A176061">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w:t>
                  </w:r>
                </w:p>
              </w:tc>
              <w:tc>
                <w:tcPr>
                  <w:tcW w:w="0" w:type="auto"/>
                  <w:vMerge w:val="restart"/>
                  <w:tcBorders>
                    <w:tl2br w:val="nil"/>
                    <w:tr2bl w:val="nil"/>
                  </w:tcBorders>
                  <w:shd w:val="clear" w:color="auto" w:fill="auto"/>
                  <w:textDirection w:val="tbRlV"/>
                  <w:vAlign w:val="center"/>
                </w:tcPr>
                <w:p w14:paraId="5EF69952">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有组织废气</w:t>
                  </w:r>
                </w:p>
              </w:tc>
              <w:tc>
                <w:tcPr>
                  <w:tcW w:w="0" w:type="auto"/>
                  <w:tcBorders>
                    <w:tl2br w:val="nil"/>
                    <w:tr2bl w:val="nil"/>
                  </w:tcBorders>
                  <w:shd w:val="clear" w:color="auto" w:fill="auto"/>
                  <w:vAlign w:val="center"/>
                </w:tcPr>
                <w:p w14:paraId="35005EEE">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沼气进料、沼液池</w:t>
                  </w:r>
                </w:p>
              </w:tc>
              <w:tc>
                <w:tcPr>
                  <w:tcW w:w="0" w:type="auto"/>
                  <w:tcBorders>
                    <w:tl2br w:val="nil"/>
                    <w:tr2bl w:val="nil"/>
                  </w:tcBorders>
                  <w:shd w:val="clear" w:color="auto" w:fill="auto"/>
                  <w:vAlign w:val="center"/>
                </w:tcPr>
                <w:p w14:paraId="7D9D8A13">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雾化喷淋除臭剂+UV光催化氧化DA001</w:t>
                  </w:r>
                </w:p>
              </w:tc>
              <w:tc>
                <w:tcPr>
                  <w:tcW w:w="0" w:type="auto"/>
                  <w:tcBorders>
                    <w:tl2br w:val="nil"/>
                    <w:tr2bl w:val="nil"/>
                  </w:tcBorders>
                  <w:shd w:val="clear" w:color="auto" w:fill="auto"/>
                  <w:vAlign w:val="center"/>
                </w:tcPr>
                <w:p w14:paraId="17039D05">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H₂S、NH₃</w:t>
                  </w:r>
                </w:p>
              </w:tc>
              <w:tc>
                <w:tcPr>
                  <w:tcW w:w="0" w:type="auto"/>
                  <w:tcBorders>
                    <w:tl2br w:val="nil"/>
                    <w:tr2bl w:val="nil"/>
                  </w:tcBorders>
                  <w:shd w:val="clear" w:color="auto" w:fill="auto"/>
                  <w:vAlign w:val="center"/>
                </w:tcPr>
                <w:p w14:paraId="5D437BD1">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1次/半年</w:t>
                  </w:r>
                </w:p>
              </w:tc>
              <w:tc>
                <w:tcPr>
                  <w:tcW w:w="0" w:type="auto"/>
                  <w:vMerge w:val="restart"/>
                  <w:tcBorders>
                    <w:tl2br w:val="nil"/>
                    <w:tr2bl w:val="nil"/>
                  </w:tcBorders>
                  <w:shd w:val="clear" w:color="auto" w:fill="auto"/>
                  <w:vAlign w:val="center"/>
                </w:tcPr>
                <w:p w14:paraId="78543018">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委托监测</w:t>
                  </w:r>
                </w:p>
              </w:tc>
            </w:tr>
            <w:tr w14:paraId="08D1CCF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0" w:hRule="atLeast"/>
              </w:trPr>
              <w:tc>
                <w:tcPr>
                  <w:tcW w:w="0" w:type="auto"/>
                  <w:vMerge w:val="continue"/>
                  <w:tcBorders>
                    <w:tl2br w:val="nil"/>
                    <w:tr2bl w:val="nil"/>
                  </w:tcBorders>
                  <w:shd w:val="clear" w:color="auto" w:fill="auto"/>
                  <w:vAlign w:val="center"/>
                </w:tcPr>
                <w:p w14:paraId="546BF840">
                  <w:pPr>
                    <w:pStyle w:val="78"/>
                    <w:bidi w:val="0"/>
                    <w:jc w:val="center"/>
                    <w:rPr>
                      <w:rFonts w:hint="default" w:ascii="Times New Roman" w:hAnsi="Times New Roman" w:eastAsia="Times New Roman" w:cs="Times New Roman"/>
                      <w:color w:val="auto"/>
                      <w:highlight w:val="none"/>
                      <w:lang w:val="en-US" w:eastAsia="zh-CN"/>
                    </w:rPr>
                  </w:pPr>
                </w:p>
              </w:tc>
              <w:tc>
                <w:tcPr>
                  <w:tcW w:w="0" w:type="auto"/>
                  <w:vMerge w:val="continue"/>
                  <w:tcBorders>
                    <w:tl2br w:val="nil"/>
                    <w:tr2bl w:val="nil"/>
                  </w:tcBorders>
                  <w:shd w:val="clear" w:color="auto" w:fill="auto"/>
                  <w:textDirection w:val="tbRlV"/>
                  <w:vAlign w:val="center"/>
                </w:tcPr>
                <w:p w14:paraId="2B1D7BEC">
                  <w:pPr>
                    <w:pStyle w:val="78"/>
                    <w:bidi w:val="0"/>
                    <w:jc w:val="center"/>
                    <w:rPr>
                      <w:rFonts w:hint="default" w:ascii="Times New Roman" w:hAnsi="Times New Roman" w:eastAsia="Times New Roman" w:cs="Times New Roman"/>
                      <w:color w:val="auto"/>
                      <w:highlight w:val="none"/>
                      <w:lang w:val="en-US" w:eastAsia="zh-CN"/>
                    </w:rPr>
                  </w:pPr>
                </w:p>
              </w:tc>
              <w:tc>
                <w:tcPr>
                  <w:tcW w:w="0" w:type="auto"/>
                  <w:tcBorders>
                    <w:tl2br w:val="nil"/>
                    <w:tr2bl w:val="nil"/>
                  </w:tcBorders>
                  <w:shd w:val="clear" w:color="auto" w:fill="auto"/>
                  <w:vAlign w:val="center"/>
                </w:tcPr>
                <w:p w14:paraId="372725B0">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highlight w:val="none"/>
                      <w:lang w:val="en-US" w:eastAsia="zh-CN"/>
                    </w:rPr>
                    <w:t>发酵恶臭气体</w:t>
                  </w:r>
                </w:p>
              </w:tc>
              <w:tc>
                <w:tcPr>
                  <w:tcW w:w="0" w:type="auto"/>
                  <w:tcBorders>
                    <w:tl2br w:val="nil"/>
                    <w:tr2bl w:val="nil"/>
                  </w:tcBorders>
                  <w:shd w:val="clear" w:color="auto" w:fill="auto"/>
                  <w:vAlign w:val="center"/>
                </w:tcPr>
                <w:p w14:paraId="5D8C536D">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highlight w:val="none"/>
                      <w:lang w:val="en-US" w:eastAsia="zh-CN"/>
                    </w:rPr>
                    <w:t>生物除臭装置(过滤法)排放口DA002</w:t>
                  </w:r>
                </w:p>
              </w:tc>
              <w:tc>
                <w:tcPr>
                  <w:tcW w:w="0" w:type="auto"/>
                  <w:tcBorders>
                    <w:tl2br w:val="nil"/>
                    <w:tr2bl w:val="nil"/>
                  </w:tcBorders>
                  <w:shd w:val="clear" w:color="auto" w:fill="auto"/>
                  <w:vAlign w:val="center"/>
                </w:tcPr>
                <w:p w14:paraId="26168FEA">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highlight w:val="none"/>
                      <w:lang w:val="en-US" w:eastAsia="zh-CN"/>
                    </w:rPr>
                    <w:t>H₂S、NH₃</w:t>
                  </w:r>
                </w:p>
              </w:tc>
              <w:tc>
                <w:tcPr>
                  <w:tcW w:w="0" w:type="auto"/>
                  <w:tcBorders>
                    <w:tl2br w:val="nil"/>
                    <w:tr2bl w:val="nil"/>
                  </w:tcBorders>
                  <w:shd w:val="clear" w:color="auto" w:fill="auto"/>
                  <w:vAlign w:val="center"/>
                </w:tcPr>
                <w:p w14:paraId="49F24F15">
                  <w:pPr>
                    <w:pStyle w:val="78"/>
                    <w:bidi w:val="0"/>
                    <w:jc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highlight w:val="none"/>
                      <w:lang w:val="en-US" w:eastAsia="zh-CN"/>
                    </w:rPr>
                    <w:t>1次/半年</w:t>
                  </w:r>
                </w:p>
              </w:tc>
              <w:tc>
                <w:tcPr>
                  <w:tcW w:w="0" w:type="auto"/>
                  <w:vMerge w:val="continue"/>
                  <w:tcBorders>
                    <w:tl2br w:val="nil"/>
                    <w:tr2bl w:val="nil"/>
                  </w:tcBorders>
                  <w:shd w:val="clear" w:color="auto" w:fill="auto"/>
                  <w:vAlign w:val="center"/>
                </w:tcPr>
                <w:p w14:paraId="394A207E">
                  <w:pPr>
                    <w:pStyle w:val="78"/>
                    <w:bidi w:val="0"/>
                    <w:jc w:val="center"/>
                    <w:rPr>
                      <w:rFonts w:hint="default" w:ascii="Times New Roman" w:hAnsi="Times New Roman" w:eastAsia="Times New Roman" w:cs="Times New Roman"/>
                      <w:color w:val="auto"/>
                      <w:highlight w:val="none"/>
                      <w:lang w:val="en-US" w:eastAsia="zh-CN"/>
                    </w:rPr>
                  </w:pPr>
                </w:p>
              </w:tc>
            </w:tr>
            <w:tr w14:paraId="51F1753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14" w:hRule="atLeast"/>
              </w:trPr>
              <w:tc>
                <w:tcPr>
                  <w:tcW w:w="0" w:type="auto"/>
                  <w:vMerge w:val="continue"/>
                  <w:tcBorders>
                    <w:tl2br w:val="nil"/>
                    <w:tr2bl w:val="nil"/>
                  </w:tcBorders>
                  <w:shd w:val="clear" w:color="auto" w:fill="auto"/>
                  <w:vAlign w:val="center"/>
                </w:tcPr>
                <w:p w14:paraId="233EAE5B">
                  <w:pPr>
                    <w:pStyle w:val="78"/>
                    <w:bidi w:val="0"/>
                    <w:jc w:val="center"/>
                    <w:rPr>
                      <w:rFonts w:hint="default" w:ascii="Times New Roman" w:hAnsi="Times New Roman" w:eastAsia="Times New Roman" w:cs="Times New Roman"/>
                      <w:color w:val="auto"/>
                      <w:highlight w:val="none"/>
                      <w:lang w:val="en-US" w:eastAsia="zh-CN"/>
                    </w:rPr>
                  </w:pPr>
                </w:p>
              </w:tc>
              <w:tc>
                <w:tcPr>
                  <w:tcW w:w="0" w:type="auto"/>
                  <w:vMerge w:val="continue"/>
                  <w:tcBorders>
                    <w:tl2br w:val="nil"/>
                    <w:tr2bl w:val="nil"/>
                  </w:tcBorders>
                  <w:shd w:val="clear" w:color="auto" w:fill="auto"/>
                  <w:textDirection w:val="tbRlV"/>
                  <w:vAlign w:val="center"/>
                </w:tcPr>
                <w:p w14:paraId="18C7A6EE">
                  <w:pPr>
                    <w:pStyle w:val="78"/>
                    <w:bidi w:val="0"/>
                    <w:jc w:val="center"/>
                    <w:rPr>
                      <w:rFonts w:hint="default" w:ascii="Times New Roman" w:hAnsi="Times New Roman" w:eastAsia="Times New Roman" w:cs="Times New Roman"/>
                      <w:color w:val="auto"/>
                      <w:highlight w:val="none"/>
                      <w:lang w:val="en-US" w:eastAsia="zh-CN"/>
                    </w:rPr>
                  </w:pPr>
                </w:p>
              </w:tc>
              <w:tc>
                <w:tcPr>
                  <w:tcW w:w="0" w:type="auto"/>
                  <w:tcBorders>
                    <w:tl2br w:val="nil"/>
                    <w:tr2bl w:val="nil"/>
                  </w:tcBorders>
                  <w:shd w:val="clear" w:color="auto" w:fill="auto"/>
                  <w:vAlign w:val="center"/>
                </w:tcPr>
                <w:p w14:paraId="08DA93F9">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发电机废气和锅炉废气</w:t>
                  </w:r>
                </w:p>
              </w:tc>
              <w:tc>
                <w:tcPr>
                  <w:tcW w:w="0" w:type="auto"/>
                  <w:tcBorders>
                    <w:tl2br w:val="nil"/>
                    <w:tr2bl w:val="nil"/>
                  </w:tcBorders>
                  <w:shd w:val="clear" w:color="auto" w:fill="auto"/>
                  <w:vAlign w:val="center"/>
                </w:tcPr>
                <w:p w14:paraId="277B0298">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DA003</w:t>
                  </w:r>
                </w:p>
              </w:tc>
              <w:tc>
                <w:tcPr>
                  <w:tcW w:w="0" w:type="auto"/>
                  <w:tcBorders>
                    <w:tl2br w:val="nil"/>
                    <w:tr2bl w:val="nil"/>
                  </w:tcBorders>
                  <w:shd w:val="clear" w:color="auto" w:fill="auto"/>
                  <w:vAlign w:val="center"/>
                </w:tcPr>
                <w:p w14:paraId="75EE0DCF">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颗粒物、SO₂、NOx</w:t>
                  </w:r>
                </w:p>
              </w:tc>
              <w:tc>
                <w:tcPr>
                  <w:tcW w:w="0" w:type="auto"/>
                  <w:tcBorders>
                    <w:tl2br w:val="nil"/>
                    <w:tr2bl w:val="nil"/>
                  </w:tcBorders>
                  <w:shd w:val="clear" w:color="auto" w:fill="auto"/>
                  <w:vAlign w:val="center"/>
                </w:tcPr>
                <w:p w14:paraId="023FCF09">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1次/年</w:t>
                  </w:r>
                </w:p>
              </w:tc>
              <w:tc>
                <w:tcPr>
                  <w:tcW w:w="0" w:type="auto"/>
                  <w:vMerge w:val="continue"/>
                  <w:tcBorders>
                    <w:tl2br w:val="nil"/>
                    <w:tr2bl w:val="nil"/>
                  </w:tcBorders>
                  <w:shd w:val="clear" w:color="auto" w:fill="auto"/>
                  <w:vAlign w:val="center"/>
                </w:tcPr>
                <w:p w14:paraId="15738FB3">
                  <w:pPr>
                    <w:pStyle w:val="78"/>
                    <w:bidi w:val="0"/>
                    <w:jc w:val="center"/>
                    <w:rPr>
                      <w:rFonts w:hint="default" w:ascii="Times New Roman" w:hAnsi="Times New Roman" w:eastAsia="Times New Roman" w:cs="Times New Roman"/>
                      <w:color w:val="auto"/>
                      <w:highlight w:val="none"/>
                      <w:lang w:val="en-US" w:eastAsia="zh-CN"/>
                    </w:rPr>
                  </w:pPr>
                </w:p>
              </w:tc>
            </w:tr>
            <w:tr w14:paraId="309A917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0" w:type="auto"/>
                  <w:vMerge w:val="continue"/>
                  <w:tcBorders>
                    <w:tl2br w:val="nil"/>
                    <w:tr2bl w:val="nil"/>
                  </w:tcBorders>
                  <w:shd w:val="clear" w:color="auto" w:fill="auto"/>
                  <w:vAlign w:val="center"/>
                </w:tcPr>
                <w:p w14:paraId="4D1C0345">
                  <w:pPr>
                    <w:pStyle w:val="78"/>
                    <w:bidi w:val="0"/>
                    <w:jc w:val="center"/>
                    <w:rPr>
                      <w:rFonts w:hint="default" w:ascii="Times New Roman" w:hAnsi="Times New Roman" w:eastAsia="Times New Roman" w:cs="Times New Roman"/>
                      <w:color w:val="auto"/>
                      <w:highlight w:val="none"/>
                      <w:lang w:val="en-US" w:eastAsia="zh-CN"/>
                    </w:rPr>
                  </w:pPr>
                </w:p>
              </w:tc>
              <w:tc>
                <w:tcPr>
                  <w:tcW w:w="0" w:type="auto"/>
                  <w:vMerge w:val="continue"/>
                  <w:tcBorders>
                    <w:tl2br w:val="nil"/>
                    <w:tr2bl w:val="nil"/>
                  </w:tcBorders>
                  <w:shd w:val="clear" w:color="auto" w:fill="auto"/>
                  <w:textDirection w:val="tbRlV"/>
                  <w:vAlign w:val="center"/>
                </w:tcPr>
                <w:p w14:paraId="2C0D6581">
                  <w:pPr>
                    <w:pStyle w:val="78"/>
                    <w:bidi w:val="0"/>
                    <w:jc w:val="center"/>
                    <w:rPr>
                      <w:rFonts w:hint="default" w:ascii="Times New Roman" w:hAnsi="Times New Roman" w:eastAsia="Times New Roman" w:cs="Times New Roman"/>
                      <w:color w:val="auto"/>
                      <w:highlight w:val="none"/>
                      <w:lang w:val="en-US" w:eastAsia="zh-CN"/>
                    </w:rPr>
                  </w:pPr>
                </w:p>
              </w:tc>
              <w:tc>
                <w:tcPr>
                  <w:tcW w:w="0" w:type="auto"/>
                  <w:tcBorders>
                    <w:tl2br w:val="nil"/>
                    <w:tr2bl w:val="nil"/>
                  </w:tcBorders>
                  <w:shd w:val="clear" w:color="auto" w:fill="auto"/>
                  <w:vAlign w:val="center"/>
                </w:tcPr>
                <w:p w14:paraId="490F6EC9">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烘干、冷却</w:t>
                  </w:r>
                </w:p>
              </w:tc>
              <w:tc>
                <w:tcPr>
                  <w:tcW w:w="0" w:type="auto"/>
                  <w:tcBorders>
                    <w:tl2br w:val="nil"/>
                    <w:tr2bl w:val="nil"/>
                  </w:tcBorders>
                  <w:shd w:val="clear" w:color="auto" w:fill="auto"/>
                  <w:vAlign w:val="center"/>
                </w:tcPr>
                <w:p w14:paraId="706C1EEA">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水洗涤喷淋塔</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DA00</w:t>
                  </w:r>
                  <w:r>
                    <w:rPr>
                      <w:rFonts w:hint="eastAsia" w:ascii="Times New Roman" w:hAnsi="Times New Roman" w:cs="Times New Roman"/>
                      <w:color w:val="auto"/>
                      <w:highlight w:val="none"/>
                      <w:lang w:val="en-US" w:eastAsia="zh-CN"/>
                    </w:rPr>
                    <w:t>4</w:t>
                  </w:r>
                </w:p>
              </w:tc>
              <w:tc>
                <w:tcPr>
                  <w:tcW w:w="0" w:type="auto"/>
                  <w:tcBorders>
                    <w:tl2br w:val="nil"/>
                    <w:tr2bl w:val="nil"/>
                  </w:tcBorders>
                  <w:shd w:val="clear" w:color="auto" w:fill="auto"/>
                  <w:vAlign w:val="center"/>
                </w:tcPr>
                <w:p w14:paraId="24DF5628">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颗粒物、SO₂、NOx</w:t>
                  </w:r>
                </w:p>
              </w:tc>
              <w:tc>
                <w:tcPr>
                  <w:tcW w:w="0" w:type="auto"/>
                  <w:tcBorders>
                    <w:tl2br w:val="nil"/>
                    <w:tr2bl w:val="nil"/>
                  </w:tcBorders>
                  <w:shd w:val="clear" w:color="auto" w:fill="auto"/>
                  <w:vAlign w:val="center"/>
                </w:tcPr>
                <w:p w14:paraId="15E44DB0">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1次/半年</w:t>
                  </w:r>
                </w:p>
              </w:tc>
              <w:tc>
                <w:tcPr>
                  <w:tcW w:w="0" w:type="auto"/>
                  <w:vMerge w:val="continue"/>
                  <w:tcBorders>
                    <w:tl2br w:val="nil"/>
                    <w:tr2bl w:val="nil"/>
                  </w:tcBorders>
                  <w:shd w:val="clear" w:color="auto" w:fill="auto"/>
                  <w:vAlign w:val="center"/>
                </w:tcPr>
                <w:p w14:paraId="6CBF634D">
                  <w:pPr>
                    <w:jc w:val="center"/>
                    <w:rPr>
                      <w:rFonts w:hint="default" w:ascii="Times New Roman" w:hAnsi="Times New Roman" w:eastAsia="宋体" w:cs="Times New Roman"/>
                      <w:i w:val="0"/>
                      <w:iCs w:val="0"/>
                      <w:color w:val="auto"/>
                      <w:sz w:val="26"/>
                      <w:szCs w:val="26"/>
                      <w:u w:val="none"/>
                    </w:rPr>
                  </w:pPr>
                </w:p>
              </w:tc>
            </w:tr>
            <w:tr w14:paraId="31D2F0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15" w:hRule="atLeast"/>
              </w:trPr>
              <w:tc>
                <w:tcPr>
                  <w:tcW w:w="0" w:type="auto"/>
                  <w:tcBorders>
                    <w:tl2br w:val="nil"/>
                    <w:tr2bl w:val="nil"/>
                  </w:tcBorders>
                  <w:shd w:val="clear" w:color="auto" w:fill="auto"/>
                  <w:vAlign w:val="center"/>
                </w:tcPr>
                <w:p w14:paraId="0AAA6967">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2</w:t>
                  </w:r>
                </w:p>
              </w:tc>
              <w:tc>
                <w:tcPr>
                  <w:tcW w:w="0" w:type="auto"/>
                  <w:gridSpan w:val="2"/>
                  <w:tcBorders>
                    <w:tl2br w:val="nil"/>
                    <w:tr2bl w:val="nil"/>
                  </w:tcBorders>
                  <w:shd w:val="clear" w:color="auto" w:fill="auto"/>
                  <w:vAlign w:val="center"/>
                </w:tcPr>
                <w:p w14:paraId="7C123D54">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无组织排放废气</w:t>
                  </w:r>
                </w:p>
              </w:tc>
              <w:tc>
                <w:tcPr>
                  <w:tcW w:w="0" w:type="auto"/>
                  <w:tcBorders>
                    <w:tl2br w:val="nil"/>
                    <w:tr2bl w:val="nil"/>
                  </w:tcBorders>
                  <w:shd w:val="clear" w:color="auto" w:fill="auto"/>
                  <w:vAlign w:val="center"/>
                </w:tcPr>
                <w:p w14:paraId="10449045">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厂界</w:t>
                  </w:r>
                </w:p>
              </w:tc>
              <w:tc>
                <w:tcPr>
                  <w:tcW w:w="0" w:type="auto"/>
                  <w:tcBorders>
                    <w:tl2br w:val="nil"/>
                    <w:tr2bl w:val="nil"/>
                  </w:tcBorders>
                  <w:shd w:val="clear" w:color="auto" w:fill="auto"/>
                  <w:vAlign w:val="center"/>
                </w:tcPr>
                <w:p w14:paraId="02212131">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H₂S、NH₃、臭气浓度、颗粒物</w:t>
                  </w:r>
                </w:p>
              </w:tc>
              <w:tc>
                <w:tcPr>
                  <w:tcW w:w="0" w:type="auto"/>
                  <w:tcBorders>
                    <w:tl2br w:val="nil"/>
                    <w:tr2bl w:val="nil"/>
                  </w:tcBorders>
                  <w:shd w:val="clear" w:color="auto" w:fill="auto"/>
                  <w:vAlign w:val="center"/>
                </w:tcPr>
                <w:p w14:paraId="210BB3CD">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1次/半年</w:t>
                  </w:r>
                </w:p>
              </w:tc>
              <w:tc>
                <w:tcPr>
                  <w:tcW w:w="0" w:type="auto"/>
                  <w:vMerge w:val="continue"/>
                  <w:tcBorders>
                    <w:tl2br w:val="nil"/>
                    <w:tr2bl w:val="nil"/>
                  </w:tcBorders>
                  <w:shd w:val="clear" w:color="auto" w:fill="auto"/>
                  <w:vAlign w:val="center"/>
                </w:tcPr>
                <w:p w14:paraId="6AD2A658">
                  <w:pPr>
                    <w:jc w:val="center"/>
                    <w:rPr>
                      <w:rFonts w:hint="default" w:ascii="Times New Roman" w:hAnsi="Times New Roman" w:eastAsia="宋体" w:cs="Times New Roman"/>
                      <w:i w:val="0"/>
                      <w:iCs w:val="0"/>
                      <w:color w:val="auto"/>
                      <w:sz w:val="26"/>
                      <w:szCs w:val="26"/>
                      <w:u w:val="none"/>
                    </w:rPr>
                  </w:pPr>
                </w:p>
              </w:tc>
            </w:tr>
            <w:tr w14:paraId="042F04D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15" w:hRule="atLeast"/>
              </w:trPr>
              <w:tc>
                <w:tcPr>
                  <w:tcW w:w="0" w:type="auto"/>
                  <w:tcBorders>
                    <w:tl2br w:val="nil"/>
                    <w:tr2bl w:val="nil"/>
                  </w:tcBorders>
                  <w:shd w:val="clear" w:color="auto" w:fill="auto"/>
                  <w:vAlign w:val="center"/>
                </w:tcPr>
                <w:p w14:paraId="5C9DFF54">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3</w:t>
                  </w:r>
                </w:p>
              </w:tc>
              <w:tc>
                <w:tcPr>
                  <w:tcW w:w="0" w:type="auto"/>
                  <w:gridSpan w:val="2"/>
                  <w:tcBorders>
                    <w:tl2br w:val="nil"/>
                    <w:tr2bl w:val="nil"/>
                  </w:tcBorders>
                  <w:shd w:val="clear" w:color="auto" w:fill="auto"/>
                  <w:vAlign w:val="center"/>
                </w:tcPr>
                <w:p w14:paraId="1CF58ED5">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西侧敏感点</w:t>
                  </w:r>
                </w:p>
              </w:tc>
              <w:tc>
                <w:tcPr>
                  <w:tcW w:w="0" w:type="auto"/>
                  <w:tcBorders>
                    <w:tl2br w:val="nil"/>
                    <w:tr2bl w:val="nil"/>
                  </w:tcBorders>
                  <w:shd w:val="clear" w:color="auto" w:fill="auto"/>
                  <w:vAlign w:val="center"/>
                </w:tcPr>
                <w:p w14:paraId="648A260B">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敏感点</w:t>
                  </w:r>
                </w:p>
              </w:tc>
              <w:tc>
                <w:tcPr>
                  <w:tcW w:w="0" w:type="auto"/>
                  <w:tcBorders>
                    <w:tl2br w:val="nil"/>
                    <w:tr2bl w:val="nil"/>
                  </w:tcBorders>
                  <w:shd w:val="clear" w:color="auto" w:fill="auto"/>
                  <w:vAlign w:val="center"/>
                </w:tcPr>
                <w:p w14:paraId="7337E630">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H₂S、NH₃、臭气浓度、颗粒物、SO₂、NOx</w:t>
                  </w:r>
                </w:p>
              </w:tc>
              <w:tc>
                <w:tcPr>
                  <w:tcW w:w="0" w:type="auto"/>
                  <w:tcBorders>
                    <w:tl2br w:val="nil"/>
                    <w:tr2bl w:val="nil"/>
                  </w:tcBorders>
                  <w:shd w:val="clear" w:color="auto" w:fill="auto"/>
                  <w:vAlign w:val="center"/>
                </w:tcPr>
                <w:p w14:paraId="09A5A10F">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1次/半年</w:t>
                  </w:r>
                </w:p>
              </w:tc>
              <w:tc>
                <w:tcPr>
                  <w:tcW w:w="0" w:type="auto"/>
                  <w:vMerge w:val="continue"/>
                  <w:tcBorders>
                    <w:tl2br w:val="nil"/>
                    <w:tr2bl w:val="nil"/>
                  </w:tcBorders>
                  <w:shd w:val="clear" w:color="auto" w:fill="auto"/>
                  <w:vAlign w:val="center"/>
                </w:tcPr>
                <w:p w14:paraId="4921F002">
                  <w:pPr>
                    <w:jc w:val="center"/>
                    <w:rPr>
                      <w:rFonts w:hint="default" w:ascii="Times New Roman" w:hAnsi="Times New Roman" w:eastAsia="宋体" w:cs="Times New Roman"/>
                      <w:i w:val="0"/>
                      <w:iCs w:val="0"/>
                      <w:color w:val="auto"/>
                      <w:sz w:val="26"/>
                      <w:szCs w:val="26"/>
                      <w:u w:val="none"/>
                    </w:rPr>
                  </w:pPr>
                </w:p>
              </w:tc>
            </w:tr>
          </w:tbl>
          <w:p w14:paraId="590C612F">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lang w:val="en-US" w:eastAsia="zh-CN" w:bidi="ar"/>
              </w:rPr>
            </w:pPr>
            <w:r>
              <w:rPr>
                <w:rFonts w:hint="default" w:ascii="Times New Roman" w:hAnsi="Times New Roman" w:cs="Times New Roman"/>
                <w:b/>
                <w:bCs/>
                <w:color w:val="auto"/>
                <w:sz w:val="24"/>
                <w:lang w:val="en-US" w:eastAsia="zh-CN" w:bidi="ar"/>
              </w:rPr>
              <w:t>1.10卫生防护距离</w:t>
            </w:r>
          </w:p>
          <w:p w14:paraId="6CC1DE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本项目卫生防护距离的计算方法采用《大气有害物质无组织排放卫生防护距离推导技术导则》GB/T39499-2020指定的计算方法，</w:t>
            </w:r>
          </w:p>
          <w:p w14:paraId="11ED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rPr>
              <w:drawing>
                <wp:inline distT="0" distB="0" distL="114300" distR="114300">
                  <wp:extent cx="5416550" cy="1835785"/>
                  <wp:effectExtent l="0" t="0" r="12700" b="1206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5"/>
                          <a:stretch>
                            <a:fillRect/>
                          </a:stretch>
                        </pic:blipFill>
                        <pic:spPr>
                          <a:xfrm>
                            <a:off x="0" y="0"/>
                            <a:ext cx="5416550" cy="1835785"/>
                          </a:xfrm>
                          <a:prstGeom prst="rect">
                            <a:avLst/>
                          </a:prstGeom>
                          <a:noFill/>
                          <a:ln>
                            <a:noFill/>
                          </a:ln>
                        </pic:spPr>
                      </pic:pic>
                    </a:graphicData>
                  </a:graphic>
                </wp:inline>
              </w:drawing>
            </w:r>
          </w:p>
          <w:p w14:paraId="274D8F7B">
            <w:pPr>
              <w:bidi w:val="0"/>
              <w:jc w:val="center"/>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表4-7  卫生防护距离计算系数</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9"/>
              <w:gridCol w:w="1817"/>
              <w:gridCol w:w="603"/>
              <w:gridCol w:w="603"/>
              <w:gridCol w:w="603"/>
              <w:gridCol w:w="603"/>
              <w:gridCol w:w="603"/>
              <w:gridCol w:w="603"/>
              <w:gridCol w:w="604"/>
              <w:gridCol w:w="604"/>
              <w:gridCol w:w="604"/>
            </w:tblGrid>
            <w:tr w14:paraId="1EFB6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996C4">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卫生防护距离初值计算系数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8F991">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工业企业所在地区近5年平均风速/(m/s)</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4718C48">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卫生防护距离L/m</w:t>
                  </w:r>
                </w:p>
              </w:tc>
            </w:tr>
            <w:tr w14:paraId="31379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E30A6">
                  <w:pPr>
                    <w:pStyle w:val="78"/>
                    <w:bidi w:val="0"/>
                    <w:jc w:val="center"/>
                    <w:rPr>
                      <w:rFonts w:hint="default" w:ascii="Times New Roman" w:hAnsi="Times New Roman" w:eastAsia="Times New Roman" w:cs="Times New Roman"/>
                      <w:color w:val="auto"/>
                      <w:highlight w:val="none"/>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C0674">
                  <w:pPr>
                    <w:pStyle w:val="78"/>
                    <w:bidi w:val="0"/>
                    <w:jc w:val="center"/>
                    <w:rPr>
                      <w:rFonts w:hint="default" w:ascii="Times New Roman" w:hAnsi="Times New Roman" w:eastAsia="Times New Roman" w:cs="Times New Roman"/>
                      <w:color w:val="auto"/>
                      <w:highlight w:val="none"/>
                      <w:lang w:val="en-US" w:eastAsia="zh-CN"/>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84EBDC">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L≤1000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F9D2F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1000&lt;L≤2000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22AF1">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L&gt;2000</w:t>
                  </w:r>
                </w:p>
              </w:tc>
            </w:tr>
            <w:tr w14:paraId="7EBE5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242A2">
                  <w:pPr>
                    <w:pStyle w:val="78"/>
                    <w:bidi w:val="0"/>
                    <w:jc w:val="center"/>
                    <w:rPr>
                      <w:rFonts w:hint="default" w:ascii="Times New Roman" w:hAnsi="Times New Roman" w:eastAsia="Times New Roman" w:cs="Times New Roman"/>
                      <w:color w:val="auto"/>
                      <w:highlight w:val="none"/>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C65A2">
                  <w:pPr>
                    <w:pStyle w:val="78"/>
                    <w:bidi w:val="0"/>
                    <w:jc w:val="center"/>
                    <w:rPr>
                      <w:rFonts w:hint="default" w:ascii="Times New Roman" w:hAnsi="Times New Roman" w:eastAsia="Times New Roman" w:cs="Times New Roman"/>
                      <w:color w:val="auto"/>
                      <w:highlight w:val="none"/>
                      <w:lang w:val="en-US" w:eastAsia="zh-CN"/>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B4BF52">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工业企业大气污染源构成类型</w:t>
                  </w:r>
                </w:p>
              </w:tc>
            </w:tr>
            <w:tr w14:paraId="7F44B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26973">
                  <w:pPr>
                    <w:pStyle w:val="78"/>
                    <w:bidi w:val="0"/>
                    <w:jc w:val="center"/>
                    <w:rPr>
                      <w:rFonts w:hint="default" w:ascii="Times New Roman" w:hAnsi="Times New Roman" w:eastAsia="Times New Roman" w:cs="Times New Roman"/>
                      <w:color w:val="auto"/>
                      <w:highlight w:val="none"/>
                      <w:lang w:val="en-US" w:eastAsia="zh-CN"/>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F089D">
                  <w:pPr>
                    <w:pStyle w:val="78"/>
                    <w:bidi w:val="0"/>
                    <w:jc w:val="center"/>
                    <w:rPr>
                      <w:rFonts w:hint="default" w:ascii="Times New Roman" w:hAnsi="Times New Roman" w:eastAsia="Times New Roman" w:cs="Times New Roman"/>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A62E95">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I</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E5EF2">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C470D">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D3D7A8">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I</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38A43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A3BDC">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EEB1E">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I</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18A7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CF266F">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Ⅲ</w:t>
                  </w:r>
                </w:p>
              </w:tc>
            </w:tr>
            <w:tr w14:paraId="43591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028CB">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70C0E4CC">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&lt;2</w:t>
                  </w:r>
                </w:p>
                <w:p w14:paraId="20E9F7D3">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2～4</w:t>
                  </w:r>
                </w:p>
                <w:p w14:paraId="07C6404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&gt;4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25C7C597">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400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700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530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0E3A2AF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400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470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05CDF4B4">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400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350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708B2B4E">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400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700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530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5B8FB5DC">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400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470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79C95BDD">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400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350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31FF1E7B">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80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380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290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0B2DE3F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80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250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5D20853F">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80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190</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110</w:t>
                  </w:r>
                </w:p>
              </w:tc>
            </w:tr>
            <w:tr w14:paraId="6D929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620BB8">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A1E89">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2</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&gt;2</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8389014">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0.01</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0.021</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7F9886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0.015</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0.036</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79135D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0.015</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0.036</w:t>
                  </w:r>
                </w:p>
              </w:tc>
            </w:tr>
            <w:tr w14:paraId="2F222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B6152">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A81A1">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&lt;2</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&gt;2</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18780B44">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1.85</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1.85</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89D340">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1.79</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1.77</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7DF9F8B">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1.79</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1.77</w:t>
                  </w:r>
                </w:p>
              </w:tc>
            </w:tr>
            <w:tr w14:paraId="7FADF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23E99D">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7ED8C">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&lt;2</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&gt;2</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B253ED">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0.78</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0.84</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812C1F">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0.78</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0.84</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234511">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0.57</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0.76</w:t>
                  </w:r>
                </w:p>
              </w:tc>
            </w:tr>
            <w:tr w14:paraId="7D15D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3256816">
                  <w:pPr>
                    <w:pStyle w:val="78"/>
                    <w:bidi w:val="0"/>
                    <w:jc w:val="center"/>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注 ：I类：与无组织排放源共存的排放同种有害气体的排气筒的排放量，大于或等于标准规定的允许排放量的1/3者。</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Ⅱ类：与无组织排放源共存的排放同种有害气体的</w:t>
                  </w:r>
                  <w:r>
                    <w:rPr>
                      <w:rFonts w:hint="default" w:ascii="Times New Roman" w:hAnsi="Times New Roman" w:cs="Times New Roman"/>
                      <w:color w:val="auto"/>
                      <w:highlight w:val="none"/>
                      <w:lang w:val="en-US" w:eastAsia="zh-CN"/>
                    </w:rPr>
                    <w:t>排气筒</w:t>
                  </w:r>
                  <w:r>
                    <w:rPr>
                      <w:rFonts w:hint="default" w:ascii="Times New Roman" w:hAnsi="Times New Roman" w:eastAsia="Times New Roman" w:cs="Times New Roman"/>
                      <w:color w:val="auto"/>
                      <w:highlight w:val="none"/>
                      <w:lang w:val="en-US" w:eastAsia="zh-CN"/>
                    </w:rPr>
                    <w:t>的排放量，小于标准规定的允许排放量的1/3,或虽无排放同种大气污染物之排气筒共存，但无组织排放的有害物质的容许浓度指标是按急性反应指标确定者。</w:t>
                  </w:r>
                  <w:r>
                    <w:rPr>
                      <w:rFonts w:hint="default" w:ascii="Times New Roman" w:hAnsi="Times New Roman" w:eastAsia="Times New Roman" w:cs="Times New Roman"/>
                      <w:color w:val="auto"/>
                      <w:highlight w:val="none"/>
                      <w:lang w:val="en-US" w:eastAsia="zh-CN"/>
                    </w:rPr>
                    <w:br w:type="textWrapping"/>
                  </w:r>
                  <w:r>
                    <w:rPr>
                      <w:rFonts w:hint="default" w:ascii="Times New Roman" w:hAnsi="Times New Roman" w:eastAsia="Times New Roman" w:cs="Times New Roman"/>
                      <w:color w:val="auto"/>
                      <w:highlight w:val="none"/>
                      <w:lang w:val="en-US" w:eastAsia="zh-CN"/>
                    </w:rPr>
                    <w:t>Ⅲ类：无排放同种有害物质的排气筒与无组织排放源共存，但无组织排放的有害物质的容许浓度是按慢性反应指标确定者。</w:t>
                  </w:r>
                </w:p>
              </w:tc>
            </w:tr>
          </w:tbl>
          <w:p w14:paraId="5B102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本项目无组织NH</w:t>
            </w:r>
            <w:r>
              <w:rPr>
                <w:rFonts w:hint="default" w:ascii="Times New Roman" w:hAnsi="Times New Roman" w:cs="Times New Roman"/>
                <w:color w:val="auto"/>
                <w:sz w:val="24"/>
                <w:vertAlign w:val="subscript"/>
                <w:lang w:val="en-US" w:eastAsia="zh-CN" w:bidi="ar"/>
              </w:rPr>
              <w:t>3</w:t>
            </w:r>
            <w:r>
              <w:rPr>
                <w:rFonts w:hint="default" w:ascii="Times New Roman" w:hAnsi="Times New Roman" w:cs="Times New Roman"/>
                <w:color w:val="auto"/>
                <w:sz w:val="24"/>
                <w:vertAlign w:val="baseline"/>
                <w:lang w:val="en-US" w:eastAsia="zh-CN" w:bidi="ar"/>
              </w:rPr>
              <w:t>、H</w:t>
            </w:r>
            <w:r>
              <w:rPr>
                <w:rFonts w:hint="default" w:ascii="Times New Roman" w:hAnsi="Times New Roman" w:cs="Times New Roman"/>
                <w:color w:val="auto"/>
                <w:sz w:val="24"/>
                <w:vertAlign w:val="subscript"/>
                <w:lang w:val="en-US" w:eastAsia="zh-CN" w:bidi="ar"/>
              </w:rPr>
              <w:t>2</w:t>
            </w:r>
            <w:r>
              <w:rPr>
                <w:rFonts w:hint="default" w:ascii="Times New Roman" w:hAnsi="Times New Roman" w:cs="Times New Roman"/>
                <w:color w:val="auto"/>
                <w:sz w:val="24"/>
                <w:vertAlign w:val="baseline"/>
                <w:lang w:val="en-US" w:eastAsia="zh-CN" w:bidi="ar"/>
              </w:rPr>
              <w:t>S无组织排放量分别为0.012kg/h、0.0013kg/h，平均分数2.3m/s。经计算，</w:t>
            </w:r>
            <w:r>
              <w:rPr>
                <w:rFonts w:hint="default" w:ascii="Times New Roman" w:hAnsi="Times New Roman" w:cs="Times New Roman"/>
                <w:color w:val="auto"/>
                <w:sz w:val="24"/>
                <w:lang w:val="en-US" w:eastAsia="zh-CN" w:bidi="ar"/>
              </w:rPr>
              <w:t>NH</w:t>
            </w:r>
            <w:r>
              <w:rPr>
                <w:rFonts w:hint="default" w:ascii="Times New Roman" w:hAnsi="Times New Roman" w:cs="Times New Roman"/>
                <w:color w:val="auto"/>
                <w:sz w:val="24"/>
                <w:vertAlign w:val="subscript"/>
                <w:lang w:val="en-US" w:eastAsia="zh-CN" w:bidi="ar"/>
              </w:rPr>
              <w:t>3</w:t>
            </w:r>
            <w:r>
              <w:rPr>
                <w:rFonts w:hint="default" w:ascii="Times New Roman" w:hAnsi="Times New Roman" w:cs="Times New Roman"/>
                <w:color w:val="auto"/>
                <w:sz w:val="24"/>
                <w:vertAlign w:val="baseline"/>
                <w:lang w:val="en-US" w:eastAsia="zh-CN" w:bidi="ar"/>
              </w:rPr>
              <w:t>、H</w:t>
            </w:r>
            <w:r>
              <w:rPr>
                <w:rFonts w:hint="default" w:ascii="Times New Roman" w:hAnsi="Times New Roman" w:cs="Times New Roman"/>
                <w:color w:val="auto"/>
                <w:sz w:val="24"/>
                <w:vertAlign w:val="subscript"/>
                <w:lang w:val="en-US" w:eastAsia="zh-CN" w:bidi="ar"/>
              </w:rPr>
              <w:t>2</w:t>
            </w:r>
            <w:r>
              <w:rPr>
                <w:rFonts w:hint="default" w:ascii="Times New Roman" w:hAnsi="Times New Roman" w:cs="Times New Roman"/>
                <w:color w:val="auto"/>
                <w:sz w:val="24"/>
                <w:vertAlign w:val="baseline"/>
                <w:lang w:val="en-US" w:eastAsia="zh-CN" w:bidi="ar"/>
              </w:rPr>
              <w:t>S的卫生防护距离分别为1.3m、3.3289m，根据</w:t>
            </w:r>
            <w:r>
              <w:rPr>
                <w:rFonts w:hint="default" w:ascii="Times New Roman" w:hAnsi="Times New Roman" w:cs="Times New Roman"/>
                <w:color w:val="auto"/>
                <w:sz w:val="24"/>
                <w:lang w:val="en-US" w:eastAsia="zh-CN" w:bidi="ar"/>
              </w:rPr>
              <w:t>《大气有害物质无组织排放卫生防护距离推导技术导则》GB/T39499-2020规定，卫生防护距离初值小于50m时，级差为50m，卫生防护距离终值取50m。</w:t>
            </w:r>
          </w:p>
          <w:p w14:paraId="1AD7F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vertAlign w:val="baseline"/>
                <w:lang w:val="en-US" w:eastAsia="zh-CN" w:bidi="ar"/>
              </w:rPr>
            </w:pPr>
            <w:r>
              <w:rPr>
                <w:rFonts w:hint="default" w:ascii="Times New Roman" w:hAnsi="Times New Roman" w:cs="Times New Roman"/>
                <w:color w:val="auto"/>
                <w:sz w:val="24"/>
                <w:vertAlign w:val="baseline"/>
                <w:lang w:val="en-US" w:eastAsia="zh-CN" w:bidi="ar"/>
              </w:rPr>
              <w:t>根据现场调查，项目发酵棚西侧有2户居民，距离为38m，</w:t>
            </w:r>
            <w:r>
              <w:rPr>
                <w:rFonts w:hint="eastAsia" w:cs="Times New Roman"/>
                <w:color w:val="auto"/>
                <w:sz w:val="24"/>
                <w:vertAlign w:val="baseline"/>
                <w:lang w:val="en-US" w:eastAsia="zh-CN" w:bidi="ar"/>
              </w:rPr>
              <w:t>环评要求建设单位在厂界西侧建设2.5m高防尘网，车间全封闭运行，车间外皮带输送全部采用廊道封闭，并且保证各污染治理措施正常运行。企业承诺在项目建设及运营期间通过优化平面布局、加强各污染源环保措施、严格执行环境影响评价文件要求，确保建设及运营过程中污染物达标排放；若影响厂界西侧两户居民正常生活，镇政府将督促宁县源之生农业科技有限公司对该民宅进行搬迁或租用。</w:t>
            </w:r>
          </w:p>
          <w:p w14:paraId="4666016E">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lang w:val="en-US" w:eastAsia="zh-CN" w:bidi="ar"/>
              </w:rPr>
            </w:pPr>
            <w:r>
              <w:rPr>
                <w:rFonts w:hint="default" w:ascii="Times New Roman" w:hAnsi="Times New Roman" w:eastAsia="宋体" w:cs="Times New Roman"/>
                <w:b/>
                <w:bCs/>
                <w:color w:val="auto"/>
                <w:sz w:val="24"/>
                <w:lang w:val="en-US" w:eastAsia="zh-CN" w:bidi="ar"/>
              </w:rPr>
              <w:t>1.</w:t>
            </w:r>
            <w:r>
              <w:rPr>
                <w:rFonts w:hint="default" w:ascii="Times New Roman" w:hAnsi="Times New Roman" w:cs="Times New Roman"/>
                <w:b/>
                <w:bCs/>
                <w:color w:val="auto"/>
                <w:sz w:val="24"/>
                <w:lang w:val="en-US" w:eastAsia="zh-CN" w:bidi="ar"/>
              </w:rPr>
              <w:t>11</w:t>
            </w:r>
            <w:r>
              <w:rPr>
                <w:rFonts w:hint="default" w:ascii="Times New Roman" w:hAnsi="Times New Roman" w:eastAsia="宋体" w:cs="Times New Roman"/>
                <w:b/>
                <w:bCs/>
                <w:color w:val="auto"/>
                <w:sz w:val="24"/>
                <w:lang w:val="en-US" w:eastAsia="zh-CN" w:bidi="ar"/>
              </w:rPr>
              <w:t>收运线路沿线影响分析</w:t>
            </w:r>
          </w:p>
          <w:p w14:paraId="55B6F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cs="Times New Roman"/>
                <w:color w:val="auto"/>
                <w:sz w:val="24"/>
                <w:lang w:val="en-US" w:eastAsia="zh-CN" w:bidi="ar"/>
              </w:rPr>
              <w:t>物料</w:t>
            </w:r>
            <w:r>
              <w:rPr>
                <w:rFonts w:hint="default" w:ascii="Times New Roman" w:hAnsi="Times New Roman" w:eastAsia="宋体" w:cs="Times New Roman"/>
                <w:color w:val="auto"/>
                <w:sz w:val="24"/>
                <w:lang w:val="en-US" w:eastAsia="zh-CN" w:bidi="ar"/>
              </w:rPr>
              <w:t>运输主要集中在农村至厂区之间，沿线分布少量村庄及学校，其主要影响为道路扬尘。</w:t>
            </w:r>
          </w:p>
          <w:p w14:paraId="18F5A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为减少项目收运系统扬尘等污染物对沿线居民等造成的影响，本项目拟采取以下措施:</w:t>
            </w:r>
          </w:p>
          <w:p w14:paraId="60EAF5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1)项目收集运输路线应严格按照规定路线进行，严禁私自改线</w:t>
            </w:r>
            <w:r>
              <w:rPr>
                <w:rFonts w:hint="default" w:ascii="Times New Roman" w:hAnsi="Times New Roman" w:cs="Times New Roman"/>
                <w:color w:val="auto"/>
                <w:sz w:val="24"/>
                <w:lang w:val="en-US" w:eastAsia="zh-CN" w:bidi="ar"/>
              </w:rPr>
              <w:t>；</w:t>
            </w:r>
          </w:p>
          <w:p w14:paraId="7486CD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2)加强管理，对项目运输车辆加强维护与清洗，减少恶臭污染；</w:t>
            </w:r>
          </w:p>
          <w:p w14:paraId="38B30B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3)限定车速，严禁运输车辆超速超载。</w:t>
            </w:r>
          </w:p>
          <w:p w14:paraId="44F2E266">
            <w:pPr>
              <w:adjustRightInd w:val="0"/>
              <w:snapToGrid w:val="0"/>
              <w:spacing w:line="360" w:lineRule="auto"/>
              <w:ind w:firstLine="482" w:firstLineChars="200"/>
              <w:rPr>
                <w:rFonts w:hint="default" w:ascii="Times New Roman" w:hAnsi="Times New Roman" w:eastAsia="宋体" w:cs="Times New Roman"/>
                <w:b/>
                <w:bCs/>
                <w:color w:val="auto"/>
                <w:kern w:val="0"/>
                <w:sz w:val="24"/>
                <w:lang w:bidi="ar"/>
              </w:rPr>
            </w:pPr>
            <w:r>
              <w:rPr>
                <w:rFonts w:hint="default" w:ascii="Times New Roman" w:hAnsi="Times New Roman" w:eastAsia="宋体" w:cs="Times New Roman"/>
                <w:b/>
                <w:bCs/>
                <w:color w:val="auto"/>
                <w:kern w:val="0"/>
                <w:sz w:val="24"/>
                <w:lang w:val="en-US" w:eastAsia="zh-CN" w:bidi="ar"/>
              </w:rPr>
              <w:t>2.</w:t>
            </w:r>
            <w:r>
              <w:rPr>
                <w:rFonts w:hint="default" w:ascii="Times New Roman" w:hAnsi="Times New Roman" w:eastAsia="宋体" w:cs="Times New Roman"/>
                <w:b/>
                <w:bCs/>
                <w:color w:val="auto"/>
                <w:kern w:val="0"/>
                <w:sz w:val="24"/>
                <w:lang w:bidi="ar"/>
              </w:rPr>
              <w:t>水环境影响和保护措施</w:t>
            </w:r>
          </w:p>
          <w:p w14:paraId="688B64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建设单位提供的项目实施方案，本项目发酵后的沼液满足《农用沼液》(GB/T40750-2021)中浓缩沼液废料标准，直接外售，项目运营期废水主要为工作人员生活污水和生产废水，两部分废水均可收集后进入厌氧发酵系统。</w:t>
            </w:r>
          </w:p>
          <w:p w14:paraId="0603BE5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2.1、生活污水</w:t>
            </w:r>
          </w:p>
          <w:p w14:paraId="715367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生活污水主要来自员工日常生活用水，本项目劳动定员10人，根据《甘肃省行业用水定额标准》(2017年版)，生活用水按60L/人·d计，年工作365天，项目职工生活污水产污系数按0.8，则生活污水产生量为0.48t/d（175.2t/a），生活污水中主要污染物为COD300mg/L、BOD₅200mg/L、SS200mg/L、氨氮30mg/L、动植物油25mg/L。生活污水经化粪池收集后进入项目厌氧发酵系统处理。</w:t>
            </w:r>
          </w:p>
          <w:p w14:paraId="55D93B5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2.2、生产废水</w:t>
            </w:r>
          </w:p>
          <w:p w14:paraId="477420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本项目生产废水主要包括锅炉制软化水排水、初期雨水。全部与生活污水一并进入厌氧发酵系统进行发酵，初期雨水、生活污水等具有可生化性，可直接进行厌氧发酵，项目废水进入厌氧发酵系统可行。</w:t>
            </w:r>
          </w:p>
          <w:p w14:paraId="04A5DCF6">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①软化水排水系统</w:t>
            </w:r>
          </w:p>
          <w:p w14:paraId="6F480A37">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软水制备环节废水产生量按30%计算，排水量为0.216m³/d；</w:t>
            </w:r>
          </w:p>
          <w:p w14:paraId="475E60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lang w:val="en-US" w:eastAsia="zh-CN"/>
              </w:rPr>
              <w:t>项目产生废水经收集后全部进入项目厌氧发酵系统，无外排。初期雨水经初期雨水收集池收集后，排入项目厌氧发酵系统，无外排。</w:t>
            </w:r>
          </w:p>
          <w:p w14:paraId="5FE5C8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lang w:val="en-US" w:eastAsia="zh-CN"/>
              </w:rPr>
              <w:t>②</w:t>
            </w:r>
            <w:r>
              <w:rPr>
                <w:rFonts w:hint="default" w:ascii="Times New Roman" w:hAnsi="Times New Roman" w:cs="Times New Roman"/>
                <w:color w:val="auto"/>
                <w:sz w:val="24"/>
                <w:szCs w:val="24"/>
                <w:highlight w:val="none"/>
                <w:lang w:eastAsia="zh-CN"/>
              </w:rPr>
              <w:t>初期雨水</w:t>
            </w:r>
          </w:p>
          <w:p w14:paraId="158F5E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初期雨水是指降雨初始5分钟内的雨水，本项目所有生产过程均在室内厂房进行，生产区不受雨季影响。本项目非生区在降雨时会产生一定的雨水径流。垃圾运输车辆采用全封闭、具有自动装卸结构的车型，能防止垃圾运输车辆渗滤液沿路流失；垃圾运输车卸料完毕，立即驶入洗车平台经高压水清洗干净后才能通过厂区道路驶出厂区，故厂区道路基本不受有机垃圾的污染，因而对初期雨水的影响较小。</w:t>
            </w:r>
          </w:p>
          <w:p w14:paraId="14FFE0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依据项目实施方案中相关要求确定建设项目初期雨水收集时间t为5min。雨水设计流量采用如下公式：</w:t>
            </w:r>
          </w:p>
          <w:p w14:paraId="20EDBB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Q=VqF</w:t>
            </w:r>
          </w:p>
          <w:p w14:paraId="2A59BE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式中：Q-雨水设计流量，L/s;</w:t>
            </w:r>
          </w:p>
          <w:p w14:paraId="34AA78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V-径流系数，本项目综合径流系数取0.5;</w:t>
            </w:r>
          </w:p>
          <w:p w14:paraId="1EA2A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q-设计暴雨强度L/s.ha;</w:t>
            </w:r>
          </w:p>
          <w:p w14:paraId="38FD0F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F-区域面积，ha。</w:t>
            </w:r>
          </w:p>
          <w:p w14:paraId="11750E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eastAsia="zh-CN"/>
              </w:rPr>
              <w:t>设计暴雨强度：q=2.22L/(s·100m²)，拟建项目厂区实际用地面积约为33333.33m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eastAsia="zh-CN"/>
              </w:rPr>
              <w:t>经计算雨水设计流量为</w:t>
            </w:r>
            <w:r>
              <w:rPr>
                <w:rFonts w:hint="default" w:ascii="Times New Roman" w:hAnsi="Times New Roman" w:cs="Times New Roman"/>
                <w:color w:val="auto"/>
                <w:sz w:val="24"/>
                <w:szCs w:val="24"/>
                <w:highlight w:val="none"/>
                <w:lang w:val="en-US" w:eastAsia="zh-CN"/>
              </w:rPr>
              <w:t>369.99</w:t>
            </w:r>
            <w:r>
              <w:rPr>
                <w:rFonts w:hint="default" w:ascii="Times New Roman" w:hAnsi="Times New Roman" w:cs="Times New Roman"/>
                <w:color w:val="auto"/>
                <w:sz w:val="24"/>
                <w:szCs w:val="24"/>
                <w:highlight w:val="none"/>
                <w:lang w:eastAsia="zh-CN"/>
              </w:rPr>
              <w:t>L/s。前5min初期雨水量为</w:t>
            </w:r>
            <w:r>
              <w:rPr>
                <w:rFonts w:hint="default" w:ascii="Times New Roman" w:hAnsi="Times New Roman" w:cs="Times New Roman"/>
                <w:color w:val="auto"/>
                <w:sz w:val="24"/>
                <w:szCs w:val="24"/>
                <w:highlight w:val="none"/>
                <w:lang w:val="en-US" w:eastAsia="zh-CN"/>
              </w:rPr>
              <w:t>110.997</w:t>
            </w:r>
            <w:r>
              <w:rPr>
                <w:rFonts w:hint="default" w:ascii="Times New Roman" w:hAnsi="Times New Roman" w:cs="Times New Roman"/>
                <w:color w:val="auto"/>
                <w:sz w:val="24"/>
                <w:szCs w:val="24"/>
                <w:highlight w:val="none"/>
                <w:lang w:eastAsia="zh-CN"/>
              </w:rPr>
              <w:t>m³。</w:t>
            </w:r>
            <w:r>
              <w:rPr>
                <w:rFonts w:hint="default" w:ascii="Times New Roman" w:hAnsi="Times New Roman" w:cs="Times New Roman"/>
                <w:color w:val="auto"/>
                <w:sz w:val="24"/>
                <w:szCs w:val="24"/>
                <w:highlight w:val="none"/>
                <w:lang w:val="en-US" w:eastAsia="zh-CN"/>
              </w:rPr>
              <w:t>项目建设一座150m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雨水收集池，并在厂区设置雨水导流渠，雨水导流至西侧排水渠，东侧设置挡水墙，防止雨水外流。</w:t>
            </w:r>
          </w:p>
          <w:p w14:paraId="1A240E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宁县</w:t>
            </w:r>
            <w:r>
              <w:rPr>
                <w:rFonts w:hint="default" w:ascii="Times New Roman" w:hAnsi="Times New Roman" w:cs="Times New Roman"/>
                <w:color w:val="auto"/>
                <w:sz w:val="24"/>
                <w:szCs w:val="24"/>
                <w:highlight w:val="none"/>
                <w:lang w:eastAsia="zh-CN"/>
              </w:rPr>
              <w:t>属温带大陆性气候，年平均气温7℃(最高气温34.6℃，最低气温-29.5℃),年平均降雨量317-760mm之间，蒸发量1400mm以上，70%以上的降水集中在7、8、9三个月，而能形成径流的降雨天数按1天估算，则估算本项目初期雨水收集池池容为</w:t>
            </w:r>
            <w:r>
              <w:rPr>
                <w:rFonts w:hint="default" w:ascii="Times New Roman" w:hAnsi="Times New Roman" w:cs="Times New Roman"/>
                <w:color w:val="auto"/>
                <w:sz w:val="24"/>
                <w:szCs w:val="24"/>
                <w:highlight w:val="none"/>
                <w:lang w:val="en-US" w:eastAsia="zh-CN"/>
              </w:rPr>
              <w:t>150</w:t>
            </w:r>
            <w:r>
              <w:rPr>
                <w:rFonts w:hint="default" w:ascii="Times New Roman" w:hAnsi="Times New Roman" w:cs="Times New Roman"/>
                <w:color w:val="auto"/>
                <w:sz w:val="24"/>
                <w:szCs w:val="24"/>
                <w:highlight w:val="none"/>
                <w:lang w:eastAsia="zh-CN"/>
              </w:rPr>
              <w:t>m³。收集的初期雨水排入厌氧发酵系统处置。</w:t>
            </w:r>
          </w:p>
          <w:p w14:paraId="4B3B65C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黑体" w:cs="Times New Roman"/>
                <w:b w:val="0"/>
                <w:bCs w:val="0"/>
                <w:color w:val="auto"/>
                <w:lang w:val="en-US" w:eastAsia="zh-CN"/>
              </w:rPr>
              <w:t>表4-5本项目废水源强一览表</w:t>
            </w:r>
          </w:p>
          <w:tbl>
            <w:tblPr>
              <w:tblStyle w:val="34"/>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751"/>
              <w:gridCol w:w="1042"/>
              <w:gridCol w:w="1247"/>
              <w:gridCol w:w="1352"/>
              <w:gridCol w:w="1032"/>
              <w:gridCol w:w="1012"/>
              <w:gridCol w:w="1032"/>
            </w:tblGrid>
            <w:tr w14:paraId="1D2D41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5" w:hRule="atLeast"/>
              </w:trPr>
              <w:tc>
                <w:tcPr>
                  <w:tcW w:w="1033" w:type="pct"/>
                  <w:vMerge w:val="restart"/>
                  <w:tcBorders>
                    <w:tl2br w:val="nil"/>
                    <w:tr2bl w:val="nil"/>
                  </w:tcBorders>
                  <w:shd w:val="clear" w:color="auto" w:fill="auto"/>
                  <w:vAlign w:val="center"/>
                </w:tcPr>
                <w:p w14:paraId="6E9325DF">
                  <w:pPr>
                    <w:pStyle w:val="77"/>
                    <w:bidi w:val="0"/>
                    <w:rPr>
                      <w:rFonts w:hint="default" w:ascii="Times New Roman" w:hAnsi="Times New Roman" w:cs="Times New Roman"/>
                      <w:color w:val="auto"/>
                    </w:rPr>
                  </w:pPr>
                  <w:r>
                    <w:rPr>
                      <w:rFonts w:hint="default" w:ascii="Times New Roman" w:hAnsi="Times New Roman" w:cs="Times New Roman"/>
                      <w:color w:val="auto"/>
                      <w:lang w:val="en-US" w:eastAsia="zh-CN"/>
                    </w:rPr>
                    <w:t>污染源名称</w:t>
                  </w:r>
                </w:p>
              </w:tc>
              <w:tc>
                <w:tcPr>
                  <w:tcW w:w="615" w:type="pct"/>
                  <w:vMerge w:val="restart"/>
                  <w:tcBorders>
                    <w:tl2br w:val="nil"/>
                    <w:tr2bl w:val="nil"/>
                  </w:tcBorders>
                  <w:shd w:val="clear" w:color="auto" w:fill="auto"/>
                  <w:vAlign w:val="center"/>
                </w:tcPr>
                <w:p w14:paraId="33BB6017">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废水量</w:t>
                  </w:r>
                </w:p>
                <w:p w14:paraId="4B9DF793">
                  <w:pPr>
                    <w:pStyle w:val="77"/>
                    <w:bidi w:val="0"/>
                    <w:rPr>
                      <w:rFonts w:hint="default" w:ascii="Times New Roman" w:hAnsi="Times New Roman" w:cs="Times New Roman"/>
                      <w:color w:val="auto"/>
                    </w:rPr>
                  </w:pPr>
                  <w:r>
                    <w:rPr>
                      <w:rFonts w:hint="default" w:ascii="Times New Roman" w:hAnsi="Times New Roman" w:cs="Times New Roman"/>
                      <w:color w:val="auto"/>
                      <w:lang w:val="en-US" w:eastAsia="zh-CN"/>
                    </w:rPr>
                    <w:t>m³/a</w:t>
                  </w:r>
                </w:p>
              </w:tc>
              <w:tc>
                <w:tcPr>
                  <w:tcW w:w="736" w:type="pct"/>
                  <w:vMerge w:val="restart"/>
                  <w:tcBorders>
                    <w:tl2br w:val="nil"/>
                    <w:tr2bl w:val="nil"/>
                  </w:tcBorders>
                  <w:shd w:val="clear" w:color="auto" w:fill="auto"/>
                  <w:vAlign w:val="center"/>
                </w:tcPr>
                <w:p w14:paraId="57C6C32A">
                  <w:pPr>
                    <w:pStyle w:val="77"/>
                    <w:bidi w:val="0"/>
                    <w:rPr>
                      <w:rFonts w:hint="default" w:ascii="Times New Roman" w:hAnsi="Times New Roman" w:cs="Times New Roman"/>
                      <w:color w:val="auto"/>
                    </w:rPr>
                  </w:pPr>
                  <w:r>
                    <w:rPr>
                      <w:rFonts w:hint="default" w:ascii="Times New Roman" w:hAnsi="Times New Roman" w:cs="Times New Roman"/>
                      <w:color w:val="auto"/>
                      <w:lang w:val="en-US" w:eastAsia="zh-CN"/>
                    </w:rPr>
                    <w:t>处理措施</w:t>
                  </w:r>
                </w:p>
              </w:tc>
              <w:tc>
                <w:tcPr>
                  <w:tcW w:w="798" w:type="pct"/>
                  <w:vMerge w:val="restart"/>
                  <w:tcBorders>
                    <w:tl2br w:val="nil"/>
                    <w:tr2bl w:val="nil"/>
                  </w:tcBorders>
                  <w:shd w:val="clear" w:color="auto" w:fill="auto"/>
                  <w:vAlign w:val="center"/>
                </w:tcPr>
                <w:p w14:paraId="6E409C28">
                  <w:pPr>
                    <w:pStyle w:val="77"/>
                    <w:bidi w:val="0"/>
                    <w:rPr>
                      <w:rFonts w:hint="default" w:ascii="Times New Roman" w:hAnsi="Times New Roman" w:cs="Times New Roman"/>
                      <w:color w:val="auto"/>
                    </w:rPr>
                  </w:pPr>
                  <w:r>
                    <w:rPr>
                      <w:rFonts w:hint="default" w:ascii="Times New Roman" w:hAnsi="Times New Roman" w:cs="Times New Roman"/>
                      <w:color w:val="auto"/>
                      <w:lang w:val="en-US" w:eastAsia="zh-CN"/>
                    </w:rPr>
                    <w:t>污染物</w:t>
                  </w:r>
                </w:p>
              </w:tc>
              <w:tc>
                <w:tcPr>
                  <w:tcW w:w="1206" w:type="pct"/>
                  <w:gridSpan w:val="2"/>
                  <w:tcBorders>
                    <w:tl2br w:val="nil"/>
                    <w:tr2bl w:val="nil"/>
                  </w:tcBorders>
                  <w:shd w:val="clear" w:color="auto" w:fill="auto"/>
                  <w:vAlign w:val="center"/>
                </w:tcPr>
                <w:p w14:paraId="4A52CD5E">
                  <w:pPr>
                    <w:pStyle w:val="77"/>
                    <w:bidi w:val="0"/>
                    <w:rPr>
                      <w:rFonts w:hint="default" w:ascii="Times New Roman" w:hAnsi="Times New Roman" w:cs="Times New Roman"/>
                      <w:color w:val="auto"/>
                    </w:rPr>
                  </w:pPr>
                  <w:r>
                    <w:rPr>
                      <w:rFonts w:hint="default" w:ascii="Times New Roman" w:hAnsi="Times New Roman" w:cs="Times New Roman"/>
                      <w:color w:val="auto"/>
                      <w:lang w:val="en-US" w:eastAsia="zh-CN"/>
                    </w:rPr>
                    <w:t>污染物产生量</w:t>
                  </w:r>
                </w:p>
              </w:tc>
              <w:tc>
                <w:tcPr>
                  <w:tcW w:w="609" w:type="pct"/>
                  <w:vMerge w:val="restart"/>
                  <w:tcBorders>
                    <w:tl2br w:val="nil"/>
                    <w:tr2bl w:val="nil"/>
                  </w:tcBorders>
                  <w:shd w:val="clear" w:color="auto" w:fill="auto"/>
                  <w:vAlign w:val="center"/>
                </w:tcPr>
                <w:p w14:paraId="3AC0F851">
                  <w:pPr>
                    <w:pStyle w:val="77"/>
                    <w:bidi w:val="0"/>
                    <w:rPr>
                      <w:rFonts w:hint="default" w:ascii="Times New Roman" w:hAnsi="Times New Roman" w:cs="Times New Roman"/>
                      <w:color w:val="auto"/>
                    </w:rPr>
                  </w:pPr>
                  <w:r>
                    <w:rPr>
                      <w:rFonts w:hint="default" w:ascii="Times New Roman" w:hAnsi="Times New Roman" w:cs="Times New Roman"/>
                      <w:color w:val="auto"/>
                      <w:lang w:val="en-US" w:eastAsia="zh-CN"/>
                    </w:rPr>
                    <w:t>去向</w:t>
                  </w:r>
                </w:p>
              </w:tc>
            </w:tr>
            <w:tr w14:paraId="6C47EC4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033" w:type="pct"/>
                  <w:vMerge w:val="continue"/>
                  <w:tcBorders>
                    <w:tl2br w:val="nil"/>
                    <w:tr2bl w:val="nil"/>
                  </w:tcBorders>
                  <w:shd w:val="clear" w:color="auto" w:fill="auto"/>
                  <w:vAlign w:val="center"/>
                </w:tcPr>
                <w:p w14:paraId="72DA6DB4">
                  <w:pPr>
                    <w:pStyle w:val="77"/>
                    <w:bidi w:val="0"/>
                    <w:rPr>
                      <w:rFonts w:hint="default" w:ascii="Times New Roman" w:hAnsi="Times New Roman" w:cs="Times New Roman"/>
                      <w:color w:val="auto"/>
                    </w:rPr>
                  </w:pPr>
                </w:p>
              </w:tc>
              <w:tc>
                <w:tcPr>
                  <w:tcW w:w="615" w:type="pct"/>
                  <w:vMerge w:val="continue"/>
                  <w:tcBorders>
                    <w:tl2br w:val="nil"/>
                    <w:tr2bl w:val="nil"/>
                  </w:tcBorders>
                  <w:shd w:val="clear" w:color="auto" w:fill="auto"/>
                  <w:vAlign w:val="center"/>
                </w:tcPr>
                <w:p w14:paraId="5DAB75B1">
                  <w:pPr>
                    <w:pStyle w:val="77"/>
                    <w:bidi w:val="0"/>
                    <w:rPr>
                      <w:rFonts w:hint="default" w:ascii="Times New Roman" w:hAnsi="Times New Roman" w:cs="Times New Roman"/>
                      <w:color w:val="auto"/>
                    </w:rPr>
                  </w:pPr>
                </w:p>
              </w:tc>
              <w:tc>
                <w:tcPr>
                  <w:tcW w:w="736" w:type="pct"/>
                  <w:vMerge w:val="continue"/>
                  <w:tcBorders>
                    <w:tl2br w:val="nil"/>
                    <w:tr2bl w:val="nil"/>
                  </w:tcBorders>
                  <w:shd w:val="clear" w:color="auto" w:fill="auto"/>
                  <w:vAlign w:val="center"/>
                </w:tcPr>
                <w:p w14:paraId="4AD45169">
                  <w:pPr>
                    <w:pStyle w:val="77"/>
                    <w:bidi w:val="0"/>
                    <w:rPr>
                      <w:rFonts w:hint="default" w:ascii="Times New Roman" w:hAnsi="Times New Roman" w:cs="Times New Roman"/>
                      <w:color w:val="auto"/>
                    </w:rPr>
                  </w:pPr>
                </w:p>
              </w:tc>
              <w:tc>
                <w:tcPr>
                  <w:tcW w:w="798" w:type="pct"/>
                  <w:vMerge w:val="continue"/>
                  <w:tcBorders>
                    <w:tl2br w:val="nil"/>
                    <w:tr2bl w:val="nil"/>
                  </w:tcBorders>
                  <w:shd w:val="clear" w:color="auto" w:fill="auto"/>
                  <w:vAlign w:val="center"/>
                </w:tcPr>
                <w:p w14:paraId="3540DE0C">
                  <w:pPr>
                    <w:pStyle w:val="77"/>
                    <w:bidi w:val="0"/>
                    <w:rPr>
                      <w:rFonts w:hint="default" w:ascii="Times New Roman" w:hAnsi="Times New Roman" w:cs="Times New Roman"/>
                      <w:color w:val="auto"/>
                    </w:rPr>
                  </w:pPr>
                </w:p>
              </w:tc>
              <w:tc>
                <w:tcPr>
                  <w:tcW w:w="609" w:type="pct"/>
                  <w:tcBorders>
                    <w:tl2br w:val="nil"/>
                    <w:tr2bl w:val="nil"/>
                  </w:tcBorders>
                  <w:shd w:val="clear" w:color="auto" w:fill="auto"/>
                  <w:vAlign w:val="center"/>
                </w:tcPr>
                <w:p w14:paraId="158EB35A">
                  <w:pPr>
                    <w:pStyle w:val="77"/>
                    <w:bidi w:val="0"/>
                    <w:rPr>
                      <w:rFonts w:hint="default" w:ascii="Times New Roman" w:hAnsi="Times New Roman" w:cs="Times New Roman"/>
                      <w:color w:val="auto"/>
                    </w:rPr>
                  </w:pPr>
                  <w:r>
                    <w:rPr>
                      <w:rFonts w:hint="default" w:ascii="Times New Roman" w:hAnsi="Times New Roman" w:cs="Times New Roman"/>
                      <w:color w:val="auto"/>
                      <w:lang w:val="en-US" w:eastAsia="zh-CN"/>
                    </w:rPr>
                    <w:t>浓度mg/L</w:t>
                  </w:r>
                </w:p>
              </w:tc>
              <w:tc>
                <w:tcPr>
                  <w:tcW w:w="597" w:type="pct"/>
                  <w:tcBorders>
                    <w:tl2br w:val="nil"/>
                    <w:tr2bl w:val="nil"/>
                  </w:tcBorders>
                  <w:shd w:val="clear" w:color="auto" w:fill="auto"/>
                  <w:vAlign w:val="center"/>
                </w:tcPr>
                <w:p w14:paraId="617E757B">
                  <w:pPr>
                    <w:pStyle w:val="77"/>
                    <w:bidi w:val="0"/>
                    <w:rPr>
                      <w:rFonts w:hint="default" w:ascii="Times New Roman" w:hAnsi="Times New Roman" w:cs="Times New Roman"/>
                      <w:color w:val="auto"/>
                    </w:rPr>
                  </w:pPr>
                  <w:r>
                    <w:rPr>
                      <w:rFonts w:hint="default" w:ascii="Times New Roman" w:hAnsi="Times New Roman" w:cs="Times New Roman"/>
                      <w:color w:val="auto"/>
                      <w:lang w:val="en-US" w:eastAsia="zh-CN"/>
                    </w:rPr>
                    <w:t>kg/a</w:t>
                  </w:r>
                </w:p>
              </w:tc>
              <w:tc>
                <w:tcPr>
                  <w:tcW w:w="609" w:type="pct"/>
                  <w:vMerge w:val="continue"/>
                  <w:tcBorders>
                    <w:tl2br w:val="nil"/>
                    <w:tr2bl w:val="nil"/>
                  </w:tcBorders>
                  <w:shd w:val="clear" w:color="auto" w:fill="auto"/>
                  <w:vAlign w:val="center"/>
                </w:tcPr>
                <w:p w14:paraId="081D4728">
                  <w:pPr>
                    <w:pStyle w:val="77"/>
                    <w:bidi w:val="0"/>
                    <w:rPr>
                      <w:rFonts w:hint="default" w:ascii="Times New Roman" w:hAnsi="Times New Roman" w:cs="Times New Roman"/>
                      <w:color w:val="auto"/>
                    </w:rPr>
                  </w:pPr>
                </w:p>
              </w:tc>
            </w:tr>
            <w:tr w14:paraId="70937F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33" w:type="pct"/>
                  <w:tcBorders>
                    <w:tl2br w:val="nil"/>
                    <w:tr2bl w:val="nil"/>
                  </w:tcBorders>
                  <w:shd w:val="clear" w:color="auto" w:fill="auto"/>
                  <w:vAlign w:val="center"/>
                </w:tcPr>
                <w:p w14:paraId="7C7F6216">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锅炉软化水废水</w:t>
                  </w:r>
                </w:p>
              </w:tc>
              <w:tc>
                <w:tcPr>
                  <w:tcW w:w="615" w:type="pct"/>
                  <w:tcBorders>
                    <w:tl2br w:val="nil"/>
                    <w:tr2bl w:val="nil"/>
                  </w:tcBorders>
                  <w:shd w:val="clear" w:color="auto" w:fill="auto"/>
                  <w:vAlign w:val="center"/>
                </w:tcPr>
                <w:p w14:paraId="7E83BD8F">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78.84</w:t>
                  </w:r>
                </w:p>
              </w:tc>
              <w:tc>
                <w:tcPr>
                  <w:tcW w:w="736" w:type="pct"/>
                  <w:tcBorders>
                    <w:tl2br w:val="nil"/>
                    <w:tr2bl w:val="nil"/>
                  </w:tcBorders>
                  <w:shd w:val="clear" w:color="auto" w:fill="auto"/>
                  <w:vAlign w:val="center"/>
                </w:tcPr>
                <w:p w14:paraId="45A90A35">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98" w:type="pct"/>
                  <w:tcBorders>
                    <w:tl2br w:val="nil"/>
                    <w:tr2bl w:val="nil"/>
                  </w:tcBorders>
                  <w:shd w:val="clear" w:color="auto" w:fill="auto"/>
                  <w:vAlign w:val="center"/>
                </w:tcPr>
                <w:p w14:paraId="38039631">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盐类</w:t>
                  </w:r>
                </w:p>
              </w:tc>
              <w:tc>
                <w:tcPr>
                  <w:tcW w:w="609" w:type="pct"/>
                  <w:tcBorders>
                    <w:tl2br w:val="nil"/>
                    <w:tr2bl w:val="nil"/>
                  </w:tcBorders>
                  <w:shd w:val="clear" w:color="auto" w:fill="auto"/>
                  <w:vAlign w:val="center"/>
                </w:tcPr>
                <w:p w14:paraId="768A06F6">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1600</w:t>
                  </w:r>
                </w:p>
              </w:tc>
              <w:tc>
                <w:tcPr>
                  <w:tcW w:w="597" w:type="pct"/>
                  <w:tcBorders>
                    <w:tl2br w:val="nil"/>
                    <w:tr2bl w:val="nil"/>
                  </w:tcBorders>
                  <w:shd w:val="clear" w:color="auto" w:fill="auto"/>
                  <w:vAlign w:val="center"/>
                </w:tcPr>
                <w:p w14:paraId="2F877D4A">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126.144</w:t>
                  </w:r>
                </w:p>
              </w:tc>
              <w:tc>
                <w:tcPr>
                  <w:tcW w:w="609" w:type="pct"/>
                  <w:tcBorders>
                    <w:tl2br w:val="nil"/>
                    <w:tr2bl w:val="nil"/>
                  </w:tcBorders>
                  <w:shd w:val="clear" w:color="auto" w:fill="auto"/>
                  <w:vAlign w:val="center"/>
                </w:tcPr>
                <w:p w14:paraId="0BCE0C89">
                  <w:pPr>
                    <w:pStyle w:val="7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除尘用水</w:t>
                  </w:r>
                </w:p>
              </w:tc>
            </w:tr>
            <w:tr w14:paraId="58BE27A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33" w:type="pct"/>
                  <w:vMerge w:val="restart"/>
                  <w:tcBorders>
                    <w:tl2br w:val="nil"/>
                    <w:tr2bl w:val="nil"/>
                  </w:tcBorders>
                  <w:shd w:val="clear" w:color="auto" w:fill="auto"/>
                  <w:vAlign w:val="center"/>
                </w:tcPr>
                <w:p w14:paraId="0FB6EA04">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生活废水</w:t>
                  </w:r>
                </w:p>
              </w:tc>
              <w:tc>
                <w:tcPr>
                  <w:tcW w:w="615" w:type="pct"/>
                  <w:vMerge w:val="restart"/>
                  <w:tcBorders>
                    <w:tl2br w:val="nil"/>
                    <w:tr2bl w:val="nil"/>
                  </w:tcBorders>
                  <w:shd w:val="clear" w:color="auto" w:fill="auto"/>
                  <w:vAlign w:val="center"/>
                </w:tcPr>
                <w:p w14:paraId="62DE681B">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175.2</w:t>
                  </w:r>
                </w:p>
              </w:tc>
              <w:tc>
                <w:tcPr>
                  <w:tcW w:w="736" w:type="pct"/>
                  <w:vMerge w:val="restart"/>
                  <w:tcBorders>
                    <w:tl2br w:val="nil"/>
                    <w:tr2bl w:val="nil"/>
                  </w:tcBorders>
                  <w:shd w:val="clear" w:color="auto" w:fill="auto"/>
                  <w:vAlign w:val="center"/>
                </w:tcPr>
                <w:p w14:paraId="4321872D">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化粪池</w:t>
                  </w:r>
                </w:p>
              </w:tc>
              <w:tc>
                <w:tcPr>
                  <w:tcW w:w="798" w:type="pct"/>
                  <w:tcBorders>
                    <w:tl2br w:val="nil"/>
                    <w:tr2bl w:val="nil"/>
                  </w:tcBorders>
                  <w:shd w:val="clear" w:color="auto" w:fill="auto"/>
                  <w:vAlign w:val="top"/>
                </w:tcPr>
                <w:p w14:paraId="636E9340">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w:t>
                  </w:r>
                </w:p>
              </w:tc>
              <w:tc>
                <w:tcPr>
                  <w:tcW w:w="609" w:type="pct"/>
                  <w:tcBorders>
                    <w:tl2br w:val="nil"/>
                    <w:tr2bl w:val="nil"/>
                  </w:tcBorders>
                  <w:shd w:val="clear" w:color="auto" w:fill="auto"/>
                  <w:vAlign w:val="top"/>
                </w:tcPr>
                <w:p w14:paraId="5864908A">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460 </w:t>
                  </w:r>
                </w:p>
              </w:tc>
              <w:tc>
                <w:tcPr>
                  <w:tcW w:w="597" w:type="pct"/>
                  <w:tcBorders>
                    <w:tl2br w:val="nil"/>
                    <w:tr2bl w:val="nil"/>
                  </w:tcBorders>
                  <w:shd w:val="clear" w:color="auto" w:fill="auto"/>
                  <w:vAlign w:val="top"/>
                </w:tcPr>
                <w:p w14:paraId="13C0382A">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80.592</w:t>
                  </w:r>
                </w:p>
              </w:tc>
              <w:tc>
                <w:tcPr>
                  <w:tcW w:w="609" w:type="pct"/>
                  <w:vMerge w:val="restart"/>
                  <w:tcBorders>
                    <w:tl2br w:val="nil"/>
                    <w:tr2bl w:val="nil"/>
                  </w:tcBorders>
                  <w:shd w:val="clear" w:color="auto" w:fill="auto"/>
                  <w:vAlign w:val="center"/>
                </w:tcPr>
                <w:p w14:paraId="650474B2">
                  <w:pPr>
                    <w:pStyle w:val="7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厌氧发酵系统</w:t>
                  </w:r>
                </w:p>
              </w:tc>
            </w:tr>
            <w:tr w14:paraId="65F09E5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33" w:type="pct"/>
                  <w:vMerge w:val="continue"/>
                  <w:tcBorders>
                    <w:tl2br w:val="nil"/>
                    <w:tr2bl w:val="nil"/>
                  </w:tcBorders>
                  <w:shd w:val="clear" w:color="auto" w:fill="auto"/>
                  <w:vAlign w:val="center"/>
                </w:tcPr>
                <w:p w14:paraId="7A41275E">
                  <w:pPr>
                    <w:pStyle w:val="77"/>
                    <w:bidi w:val="0"/>
                    <w:rPr>
                      <w:rFonts w:hint="default" w:ascii="Times New Roman" w:hAnsi="Times New Roman" w:cs="Times New Roman"/>
                      <w:color w:val="auto"/>
                      <w:lang w:val="en-US" w:eastAsia="zh-CN"/>
                    </w:rPr>
                  </w:pPr>
                </w:p>
              </w:tc>
              <w:tc>
                <w:tcPr>
                  <w:tcW w:w="615" w:type="pct"/>
                  <w:vMerge w:val="continue"/>
                  <w:tcBorders>
                    <w:tl2br w:val="nil"/>
                    <w:tr2bl w:val="nil"/>
                  </w:tcBorders>
                  <w:shd w:val="clear" w:color="auto" w:fill="auto"/>
                  <w:vAlign w:val="center"/>
                </w:tcPr>
                <w:p w14:paraId="530C6C3E">
                  <w:pPr>
                    <w:pStyle w:val="77"/>
                    <w:bidi w:val="0"/>
                    <w:rPr>
                      <w:rFonts w:hint="default" w:ascii="Times New Roman" w:hAnsi="Times New Roman" w:cs="Times New Roman"/>
                      <w:color w:val="auto"/>
                      <w:lang w:val="en-US" w:eastAsia="zh-CN"/>
                    </w:rPr>
                  </w:pPr>
                </w:p>
              </w:tc>
              <w:tc>
                <w:tcPr>
                  <w:tcW w:w="736" w:type="pct"/>
                  <w:vMerge w:val="continue"/>
                  <w:tcBorders>
                    <w:tl2br w:val="nil"/>
                    <w:tr2bl w:val="nil"/>
                  </w:tcBorders>
                  <w:shd w:val="clear" w:color="auto" w:fill="auto"/>
                  <w:vAlign w:val="center"/>
                </w:tcPr>
                <w:p w14:paraId="6B8E26B6">
                  <w:pPr>
                    <w:pStyle w:val="77"/>
                    <w:bidi w:val="0"/>
                    <w:rPr>
                      <w:rFonts w:hint="default" w:ascii="Times New Roman" w:hAnsi="Times New Roman" w:cs="Times New Roman"/>
                      <w:color w:val="auto"/>
                      <w:lang w:val="en-US" w:eastAsia="zh-CN"/>
                    </w:rPr>
                  </w:pPr>
                </w:p>
              </w:tc>
              <w:tc>
                <w:tcPr>
                  <w:tcW w:w="798" w:type="pct"/>
                  <w:tcBorders>
                    <w:tl2br w:val="nil"/>
                    <w:tr2bl w:val="nil"/>
                  </w:tcBorders>
                  <w:shd w:val="clear" w:color="auto" w:fill="auto"/>
                  <w:vAlign w:val="top"/>
                </w:tcPr>
                <w:p w14:paraId="4423CEB5">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BOD</w:t>
                  </w:r>
                </w:p>
              </w:tc>
              <w:tc>
                <w:tcPr>
                  <w:tcW w:w="609" w:type="pct"/>
                  <w:tcBorders>
                    <w:tl2br w:val="nil"/>
                    <w:tr2bl w:val="nil"/>
                  </w:tcBorders>
                  <w:shd w:val="clear" w:color="auto" w:fill="auto"/>
                  <w:vAlign w:val="top"/>
                </w:tcPr>
                <w:p w14:paraId="0A7483D5">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200 </w:t>
                  </w:r>
                </w:p>
              </w:tc>
              <w:tc>
                <w:tcPr>
                  <w:tcW w:w="597" w:type="pct"/>
                  <w:tcBorders>
                    <w:tl2br w:val="nil"/>
                    <w:tr2bl w:val="nil"/>
                  </w:tcBorders>
                  <w:shd w:val="clear" w:color="auto" w:fill="auto"/>
                  <w:vAlign w:val="top"/>
                </w:tcPr>
                <w:p w14:paraId="060E32FD">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35.04</w:t>
                  </w:r>
                </w:p>
              </w:tc>
              <w:tc>
                <w:tcPr>
                  <w:tcW w:w="609" w:type="pct"/>
                  <w:vMerge w:val="continue"/>
                  <w:tcBorders>
                    <w:tl2br w:val="nil"/>
                    <w:tr2bl w:val="nil"/>
                  </w:tcBorders>
                  <w:shd w:val="clear" w:color="auto" w:fill="auto"/>
                  <w:vAlign w:val="center"/>
                </w:tcPr>
                <w:p w14:paraId="57C7CB8F">
                  <w:pPr>
                    <w:pStyle w:val="77"/>
                    <w:bidi w:val="0"/>
                    <w:rPr>
                      <w:rFonts w:hint="default" w:ascii="Times New Roman" w:hAnsi="Times New Roman" w:cs="Times New Roman"/>
                      <w:color w:val="auto"/>
                    </w:rPr>
                  </w:pPr>
                </w:p>
              </w:tc>
            </w:tr>
            <w:tr w14:paraId="400B80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33" w:type="pct"/>
                  <w:vMerge w:val="continue"/>
                  <w:tcBorders>
                    <w:tl2br w:val="nil"/>
                    <w:tr2bl w:val="nil"/>
                  </w:tcBorders>
                  <w:shd w:val="clear" w:color="auto" w:fill="auto"/>
                  <w:vAlign w:val="center"/>
                </w:tcPr>
                <w:p w14:paraId="29ABAD4A">
                  <w:pPr>
                    <w:pStyle w:val="77"/>
                    <w:bidi w:val="0"/>
                    <w:rPr>
                      <w:rFonts w:hint="default" w:ascii="Times New Roman" w:hAnsi="Times New Roman" w:cs="Times New Roman"/>
                      <w:color w:val="auto"/>
                      <w:lang w:val="en-US" w:eastAsia="zh-CN"/>
                    </w:rPr>
                  </w:pPr>
                </w:p>
              </w:tc>
              <w:tc>
                <w:tcPr>
                  <w:tcW w:w="615" w:type="pct"/>
                  <w:vMerge w:val="continue"/>
                  <w:tcBorders>
                    <w:tl2br w:val="nil"/>
                    <w:tr2bl w:val="nil"/>
                  </w:tcBorders>
                  <w:shd w:val="clear" w:color="auto" w:fill="auto"/>
                  <w:vAlign w:val="center"/>
                </w:tcPr>
                <w:p w14:paraId="2419BFB4">
                  <w:pPr>
                    <w:pStyle w:val="77"/>
                    <w:bidi w:val="0"/>
                    <w:rPr>
                      <w:rFonts w:hint="default" w:ascii="Times New Roman" w:hAnsi="Times New Roman" w:cs="Times New Roman"/>
                      <w:color w:val="auto"/>
                      <w:lang w:val="en-US" w:eastAsia="zh-CN"/>
                    </w:rPr>
                  </w:pPr>
                </w:p>
              </w:tc>
              <w:tc>
                <w:tcPr>
                  <w:tcW w:w="736" w:type="pct"/>
                  <w:vMerge w:val="continue"/>
                  <w:tcBorders>
                    <w:tl2br w:val="nil"/>
                    <w:tr2bl w:val="nil"/>
                  </w:tcBorders>
                  <w:shd w:val="clear" w:color="auto" w:fill="auto"/>
                  <w:vAlign w:val="center"/>
                </w:tcPr>
                <w:p w14:paraId="2C11A4AE">
                  <w:pPr>
                    <w:pStyle w:val="77"/>
                    <w:bidi w:val="0"/>
                    <w:rPr>
                      <w:rFonts w:hint="default" w:ascii="Times New Roman" w:hAnsi="Times New Roman" w:cs="Times New Roman"/>
                      <w:color w:val="auto"/>
                      <w:lang w:val="en-US" w:eastAsia="zh-CN"/>
                    </w:rPr>
                  </w:pPr>
                </w:p>
              </w:tc>
              <w:tc>
                <w:tcPr>
                  <w:tcW w:w="798" w:type="pct"/>
                  <w:tcBorders>
                    <w:tl2br w:val="nil"/>
                    <w:tr2bl w:val="nil"/>
                  </w:tcBorders>
                  <w:shd w:val="clear" w:color="auto" w:fill="auto"/>
                  <w:vAlign w:val="top"/>
                </w:tcPr>
                <w:p w14:paraId="4D037A00">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SS</w:t>
                  </w:r>
                </w:p>
              </w:tc>
              <w:tc>
                <w:tcPr>
                  <w:tcW w:w="609" w:type="pct"/>
                  <w:tcBorders>
                    <w:tl2br w:val="nil"/>
                    <w:tr2bl w:val="nil"/>
                  </w:tcBorders>
                  <w:shd w:val="clear" w:color="auto" w:fill="auto"/>
                  <w:vAlign w:val="top"/>
                </w:tcPr>
                <w:p w14:paraId="3FE6F3CF">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200 </w:t>
                  </w:r>
                </w:p>
              </w:tc>
              <w:tc>
                <w:tcPr>
                  <w:tcW w:w="597" w:type="pct"/>
                  <w:tcBorders>
                    <w:tl2br w:val="nil"/>
                    <w:tr2bl w:val="nil"/>
                  </w:tcBorders>
                  <w:shd w:val="clear" w:color="auto" w:fill="auto"/>
                  <w:vAlign w:val="top"/>
                </w:tcPr>
                <w:p w14:paraId="6F713B41">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35.04</w:t>
                  </w:r>
                </w:p>
              </w:tc>
              <w:tc>
                <w:tcPr>
                  <w:tcW w:w="609" w:type="pct"/>
                  <w:vMerge w:val="continue"/>
                  <w:tcBorders>
                    <w:tl2br w:val="nil"/>
                    <w:tr2bl w:val="nil"/>
                  </w:tcBorders>
                  <w:shd w:val="clear" w:color="auto" w:fill="auto"/>
                  <w:vAlign w:val="center"/>
                </w:tcPr>
                <w:p w14:paraId="2FA1CBA1">
                  <w:pPr>
                    <w:pStyle w:val="77"/>
                    <w:bidi w:val="0"/>
                    <w:rPr>
                      <w:rFonts w:hint="default" w:ascii="Times New Roman" w:hAnsi="Times New Roman" w:cs="Times New Roman"/>
                      <w:color w:val="auto"/>
                    </w:rPr>
                  </w:pPr>
                </w:p>
              </w:tc>
            </w:tr>
            <w:tr w14:paraId="4A3BF52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33" w:type="pct"/>
                  <w:vMerge w:val="continue"/>
                  <w:tcBorders>
                    <w:tl2br w:val="nil"/>
                    <w:tr2bl w:val="nil"/>
                  </w:tcBorders>
                  <w:shd w:val="clear" w:color="auto" w:fill="auto"/>
                  <w:vAlign w:val="center"/>
                </w:tcPr>
                <w:p w14:paraId="285E9ADB">
                  <w:pPr>
                    <w:pStyle w:val="77"/>
                    <w:bidi w:val="0"/>
                    <w:rPr>
                      <w:rFonts w:hint="default" w:ascii="Times New Roman" w:hAnsi="Times New Roman" w:cs="Times New Roman"/>
                      <w:color w:val="auto"/>
                      <w:lang w:val="en-US" w:eastAsia="zh-CN"/>
                    </w:rPr>
                  </w:pPr>
                </w:p>
              </w:tc>
              <w:tc>
                <w:tcPr>
                  <w:tcW w:w="615" w:type="pct"/>
                  <w:vMerge w:val="continue"/>
                  <w:tcBorders>
                    <w:tl2br w:val="nil"/>
                    <w:tr2bl w:val="nil"/>
                  </w:tcBorders>
                  <w:shd w:val="clear" w:color="auto" w:fill="auto"/>
                  <w:vAlign w:val="center"/>
                </w:tcPr>
                <w:p w14:paraId="10E9E930">
                  <w:pPr>
                    <w:pStyle w:val="77"/>
                    <w:bidi w:val="0"/>
                    <w:rPr>
                      <w:rFonts w:hint="default" w:ascii="Times New Roman" w:hAnsi="Times New Roman" w:cs="Times New Roman"/>
                      <w:color w:val="auto"/>
                      <w:lang w:val="en-US" w:eastAsia="zh-CN"/>
                    </w:rPr>
                  </w:pPr>
                </w:p>
              </w:tc>
              <w:tc>
                <w:tcPr>
                  <w:tcW w:w="736" w:type="pct"/>
                  <w:vMerge w:val="continue"/>
                  <w:tcBorders>
                    <w:tl2br w:val="nil"/>
                    <w:tr2bl w:val="nil"/>
                  </w:tcBorders>
                  <w:shd w:val="clear" w:color="auto" w:fill="auto"/>
                  <w:vAlign w:val="center"/>
                </w:tcPr>
                <w:p w14:paraId="6A8F5B34">
                  <w:pPr>
                    <w:pStyle w:val="77"/>
                    <w:bidi w:val="0"/>
                    <w:rPr>
                      <w:rFonts w:hint="default" w:ascii="Times New Roman" w:hAnsi="Times New Roman" w:cs="Times New Roman"/>
                      <w:color w:val="auto"/>
                      <w:lang w:val="en-US" w:eastAsia="zh-CN"/>
                    </w:rPr>
                  </w:pPr>
                </w:p>
              </w:tc>
              <w:tc>
                <w:tcPr>
                  <w:tcW w:w="798" w:type="pct"/>
                  <w:tcBorders>
                    <w:tl2br w:val="nil"/>
                    <w:tr2bl w:val="nil"/>
                  </w:tcBorders>
                  <w:shd w:val="clear" w:color="auto" w:fill="auto"/>
                  <w:vAlign w:val="top"/>
                </w:tcPr>
                <w:p w14:paraId="7E6A2FA4">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氨氮</w:t>
                  </w:r>
                </w:p>
              </w:tc>
              <w:tc>
                <w:tcPr>
                  <w:tcW w:w="609" w:type="pct"/>
                  <w:tcBorders>
                    <w:tl2br w:val="nil"/>
                    <w:tr2bl w:val="nil"/>
                  </w:tcBorders>
                  <w:shd w:val="clear" w:color="auto" w:fill="auto"/>
                  <w:vAlign w:val="top"/>
                </w:tcPr>
                <w:p w14:paraId="18DA68F3">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52 </w:t>
                  </w:r>
                </w:p>
              </w:tc>
              <w:tc>
                <w:tcPr>
                  <w:tcW w:w="597" w:type="pct"/>
                  <w:tcBorders>
                    <w:tl2br w:val="nil"/>
                    <w:tr2bl w:val="nil"/>
                  </w:tcBorders>
                  <w:shd w:val="clear" w:color="auto" w:fill="auto"/>
                  <w:vAlign w:val="top"/>
                </w:tcPr>
                <w:p w14:paraId="76429C0E">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9.1104</w:t>
                  </w:r>
                </w:p>
              </w:tc>
              <w:tc>
                <w:tcPr>
                  <w:tcW w:w="609" w:type="pct"/>
                  <w:vMerge w:val="continue"/>
                  <w:tcBorders>
                    <w:tl2br w:val="nil"/>
                    <w:tr2bl w:val="nil"/>
                  </w:tcBorders>
                  <w:shd w:val="clear" w:color="auto" w:fill="auto"/>
                  <w:vAlign w:val="center"/>
                </w:tcPr>
                <w:p w14:paraId="4007A706">
                  <w:pPr>
                    <w:pStyle w:val="77"/>
                    <w:bidi w:val="0"/>
                    <w:rPr>
                      <w:rFonts w:hint="default" w:ascii="Times New Roman" w:hAnsi="Times New Roman" w:cs="Times New Roman"/>
                      <w:color w:val="auto"/>
                    </w:rPr>
                  </w:pPr>
                </w:p>
              </w:tc>
            </w:tr>
            <w:tr w14:paraId="1F2D119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1033" w:type="pct"/>
                  <w:vMerge w:val="continue"/>
                  <w:tcBorders>
                    <w:tl2br w:val="nil"/>
                    <w:tr2bl w:val="nil"/>
                  </w:tcBorders>
                  <w:shd w:val="clear" w:color="auto" w:fill="auto"/>
                  <w:vAlign w:val="center"/>
                </w:tcPr>
                <w:p w14:paraId="105B0E4B">
                  <w:pPr>
                    <w:pStyle w:val="77"/>
                    <w:bidi w:val="0"/>
                    <w:rPr>
                      <w:rFonts w:hint="default" w:ascii="Times New Roman" w:hAnsi="Times New Roman" w:cs="Times New Roman"/>
                      <w:color w:val="auto"/>
                      <w:lang w:val="en-US" w:eastAsia="zh-CN"/>
                    </w:rPr>
                  </w:pPr>
                </w:p>
              </w:tc>
              <w:tc>
                <w:tcPr>
                  <w:tcW w:w="615" w:type="pct"/>
                  <w:vMerge w:val="continue"/>
                  <w:tcBorders>
                    <w:tl2br w:val="nil"/>
                    <w:tr2bl w:val="nil"/>
                  </w:tcBorders>
                  <w:shd w:val="clear" w:color="auto" w:fill="auto"/>
                  <w:vAlign w:val="center"/>
                </w:tcPr>
                <w:p w14:paraId="57D09E09">
                  <w:pPr>
                    <w:pStyle w:val="77"/>
                    <w:bidi w:val="0"/>
                    <w:rPr>
                      <w:rFonts w:hint="default" w:ascii="Times New Roman" w:hAnsi="Times New Roman" w:cs="Times New Roman"/>
                      <w:color w:val="auto"/>
                      <w:lang w:val="en-US" w:eastAsia="zh-CN"/>
                    </w:rPr>
                  </w:pPr>
                </w:p>
              </w:tc>
              <w:tc>
                <w:tcPr>
                  <w:tcW w:w="736" w:type="pct"/>
                  <w:vMerge w:val="continue"/>
                  <w:tcBorders>
                    <w:tl2br w:val="nil"/>
                    <w:tr2bl w:val="nil"/>
                  </w:tcBorders>
                  <w:shd w:val="clear" w:color="auto" w:fill="auto"/>
                  <w:vAlign w:val="center"/>
                </w:tcPr>
                <w:p w14:paraId="774184F1">
                  <w:pPr>
                    <w:pStyle w:val="77"/>
                    <w:bidi w:val="0"/>
                    <w:rPr>
                      <w:rFonts w:hint="default" w:ascii="Times New Roman" w:hAnsi="Times New Roman" w:cs="Times New Roman"/>
                      <w:color w:val="auto"/>
                      <w:lang w:val="en-US" w:eastAsia="zh-CN"/>
                    </w:rPr>
                  </w:pPr>
                </w:p>
              </w:tc>
              <w:tc>
                <w:tcPr>
                  <w:tcW w:w="798" w:type="pct"/>
                  <w:tcBorders>
                    <w:tl2br w:val="nil"/>
                    <w:tr2bl w:val="nil"/>
                  </w:tcBorders>
                  <w:shd w:val="clear" w:color="auto" w:fill="auto"/>
                  <w:vAlign w:val="top"/>
                </w:tcPr>
                <w:p w14:paraId="262609A8">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动植物油脂</w:t>
                  </w:r>
                </w:p>
              </w:tc>
              <w:tc>
                <w:tcPr>
                  <w:tcW w:w="609" w:type="pct"/>
                  <w:tcBorders>
                    <w:tl2br w:val="nil"/>
                    <w:tr2bl w:val="nil"/>
                  </w:tcBorders>
                  <w:shd w:val="clear" w:color="auto" w:fill="auto"/>
                  <w:vAlign w:val="top"/>
                </w:tcPr>
                <w:p w14:paraId="2988B48A">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25 </w:t>
                  </w:r>
                </w:p>
              </w:tc>
              <w:tc>
                <w:tcPr>
                  <w:tcW w:w="597" w:type="pct"/>
                  <w:tcBorders>
                    <w:tl2br w:val="nil"/>
                    <w:tr2bl w:val="nil"/>
                  </w:tcBorders>
                  <w:shd w:val="clear" w:color="auto" w:fill="auto"/>
                  <w:vAlign w:val="top"/>
                </w:tcPr>
                <w:p w14:paraId="4257A9CF">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4.38</w:t>
                  </w:r>
                </w:p>
              </w:tc>
              <w:tc>
                <w:tcPr>
                  <w:tcW w:w="609" w:type="pct"/>
                  <w:vMerge w:val="continue"/>
                  <w:tcBorders>
                    <w:tl2br w:val="nil"/>
                    <w:tr2bl w:val="nil"/>
                  </w:tcBorders>
                  <w:shd w:val="clear" w:color="auto" w:fill="auto"/>
                  <w:vAlign w:val="center"/>
                </w:tcPr>
                <w:p w14:paraId="7687F066">
                  <w:pPr>
                    <w:pStyle w:val="77"/>
                    <w:bidi w:val="0"/>
                    <w:rPr>
                      <w:rFonts w:hint="default" w:ascii="Times New Roman" w:hAnsi="Times New Roman" w:cs="Times New Roman"/>
                      <w:color w:val="auto"/>
                    </w:rPr>
                  </w:pPr>
                </w:p>
              </w:tc>
            </w:tr>
          </w:tbl>
          <w:p w14:paraId="7F9D622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3、噪声影响分析和污染防治措施</w:t>
            </w:r>
          </w:p>
          <w:p w14:paraId="04F541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3.1噪声源强</w:t>
            </w:r>
          </w:p>
          <w:p w14:paraId="708031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厂内主要噪声源主要为匀浆池搅拌机、各类水泵、风机、翻堆机、粉碎机、粉碎机、筛分机、输送皮带等设备，运输车辆主要有运料车。噪声级在70-80dB（A）。等机械设备噪声以及垃圾运输车等产生的噪声。设备中以低频噪声为主，一般设备噪声级在60～80dB(A)之间，经隔振、消声等降噪措施后，一般降噪效果可达20-25dB(A)。</w:t>
            </w:r>
          </w:p>
          <w:p w14:paraId="0DBDFC6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黑体" w:cs="Times New Roman"/>
                <w:b w:val="0"/>
                <w:bCs w:val="0"/>
                <w:color w:val="auto"/>
                <w:lang w:val="en-US" w:eastAsia="zh-CN"/>
              </w:rPr>
              <w:t>表4-5  噪声设备一览表</w:t>
            </w:r>
          </w:p>
          <w:tbl>
            <w:tblPr>
              <w:tblStyle w:val="34"/>
              <w:tblW w:w="4997"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30"/>
              <w:gridCol w:w="1554"/>
              <w:gridCol w:w="530"/>
              <w:gridCol w:w="1321"/>
              <w:gridCol w:w="1774"/>
              <w:gridCol w:w="1425"/>
              <w:gridCol w:w="1332"/>
            </w:tblGrid>
            <w:tr w14:paraId="16B22FD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11" w:hRule="atLeast"/>
              </w:trPr>
              <w:tc>
                <w:tcPr>
                  <w:tcW w:w="313" w:type="pct"/>
                  <w:tcBorders>
                    <w:tl2br w:val="nil"/>
                    <w:tr2bl w:val="nil"/>
                  </w:tcBorders>
                  <w:shd w:val="clear" w:color="auto" w:fill="auto"/>
                  <w:textDirection w:val="tbRlV"/>
                  <w:vAlign w:val="center"/>
                </w:tcPr>
                <w:p w14:paraId="5188EA2C">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序号</w:t>
                  </w:r>
                </w:p>
              </w:tc>
              <w:tc>
                <w:tcPr>
                  <w:tcW w:w="917" w:type="pct"/>
                  <w:tcBorders>
                    <w:tl2br w:val="nil"/>
                    <w:tr2bl w:val="nil"/>
                  </w:tcBorders>
                  <w:shd w:val="clear" w:color="auto" w:fill="auto"/>
                  <w:vAlign w:val="center"/>
                </w:tcPr>
                <w:p w14:paraId="73CAB053">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设备名称</w:t>
                  </w:r>
                </w:p>
              </w:tc>
              <w:tc>
                <w:tcPr>
                  <w:tcW w:w="313" w:type="pct"/>
                  <w:tcBorders>
                    <w:tl2br w:val="nil"/>
                    <w:tr2bl w:val="nil"/>
                  </w:tcBorders>
                  <w:shd w:val="clear" w:color="auto" w:fill="auto"/>
                  <w:textDirection w:val="tbRlV"/>
                  <w:vAlign w:val="center"/>
                </w:tcPr>
                <w:p w14:paraId="1A4FF437">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数量</w:t>
                  </w:r>
                </w:p>
              </w:tc>
              <w:tc>
                <w:tcPr>
                  <w:tcW w:w="780" w:type="pct"/>
                  <w:tcBorders>
                    <w:tl2br w:val="nil"/>
                    <w:tr2bl w:val="nil"/>
                  </w:tcBorders>
                  <w:shd w:val="clear" w:color="auto" w:fill="auto"/>
                  <w:vAlign w:val="center"/>
                </w:tcPr>
                <w:p w14:paraId="40C7FFBC">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单机噪声</w:t>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t>级 d B ( A )</w:t>
                  </w:r>
                </w:p>
              </w:tc>
              <w:tc>
                <w:tcPr>
                  <w:tcW w:w="1047" w:type="pct"/>
                  <w:tcBorders>
                    <w:tl2br w:val="nil"/>
                    <w:tr2bl w:val="nil"/>
                  </w:tcBorders>
                  <w:shd w:val="clear" w:color="auto" w:fill="auto"/>
                  <w:vAlign w:val="center"/>
                </w:tcPr>
                <w:p w14:paraId="3002D73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治理措施</w:t>
                  </w:r>
                </w:p>
              </w:tc>
              <w:tc>
                <w:tcPr>
                  <w:tcW w:w="841" w:type="pct"/>
                  <w:tcBorders>
                    <w:tl2br w:val="nil"/>
                    <w:tr2bl w:val="nil"/>
                  </w:tcBorders>
                  <w:shd w:val="clear" w:color="auto" w:fill="auto"/>
                  <w:vAlign w:val="center"/>
                </w:tcPr>
                <w:p w14:paraId="0AA1D1EF">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降噪效果dB</w:t>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t>(A)</w:t>
                  </w:r>
                </w:p>
              </w:tc>
              <w:tc>
                <w:tcPr>
                  <w:tcW w:w="786" w:type="pct"/>
                  <w:tcBorders>
                    <w:tl2br w:val="nil"/>
                    <w:tr2bl w:val="nil"/>
                  </w:tcBorders>
                  <w:shd w:val="clear" w:color="auto" w:fill="auto"/>
                  <w:vAlign w:val="center"/>
                </w:tcPr>
                <w:p w14:paraId="6C871E64">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降噪后噪声</w:t>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t>值dB(A)</w:t>
                  </w:r>
                </w:p>
              </w:tc>
            </w:tr>
            <w:tr w14:paraId="750E59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313" w:type="pct"/>
                  <w:tcBorders>
                    <w:tl2br w:val="nil"/>
                    <w:tr2bl w:val="nil"/>
                  </w:tcBorders>
                  <w:shd w:val="clear" w:color="auto" w:fill="auto"/>
                  <w:vAlign w:val="center"/>
                </w:tcPr>
                <w:p w14:paraId="217F98AC">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917" w:type="pct"/>
                  <w:tcBorders>
                    <w:tl2br w:val="nil"/>
                    <w:tr2bl w:val="nil"/>
                  </w:tcBorders>
                  <w:shd w:val="clear" w:color="auto" w:fill="auto"/>
                  <w:vAlign w:val="center"/>
                </w:tcPr>
                <w:p w14:paraId="45FA1130">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粉碎机</w:t>
                  </w:r>
                </w:p>
              </w:tc>
              <w:tc>
                <w:tcPr>
                  <w:tcW w:w="313" w:type="pct"/>
                  <w:tcBorders>
                    <w:tl2br w:val="nil"/>
                    <w:tr2bl w:val="nil"/>
                  </w:tcBorders>
                  <w:shd w:val="clear" w:color="auto" w:fill="auto"/>
                  <w:vAlign w:val="center"/>
                </w:tcPr>
                <w:p w14:paraId="23BE7C93">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780" w:type="pct"/>
                  <w:tcBorders>
                    <w:tl2br w:val="nil"/>
                    <w:tr2bl w:val="nil"/>
                  </w:tcBorders>
                  <w:shd w:val="clear" w:color="auto" w:fill="auto"/>
                  <w:vAlign w:val="center"/>
                </w:tcPr>
                <w:p w14:paraId="7BA58874">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75~80</w:t>
                  </w:r>
                </w:p>
              </w:tc>
              <w:tc>
                <w:tcPr>
                  <w:tcW w:w="1047" w:type="pct"/>
                  <w:tcBorders>
                    <w:tl2br w:val="nil"/>
                    <w:tr2bl w:val="nil"/>
                  </w:tcBorders>
                  <w:shd w:val="clear" w:color="auto" w:fill="auto"/>
                  <w:vAlign w:val="center"/>
                </w:tcPr>
                <w:p w14:paraId="1EB5D420">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227B6F58">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5E3ED9F3">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65</w:t>
                  </w:r>
                </w:p>
              </w:tc>
            </w:tr>
            <w:tr w14:paraId="67A697E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313" w:type="pct"/>
                  <w:tcBorders>
                    <w:tl2br w:val="nil"/>
                    <w:tr2bl w:val="nil"/>
                  </w:tcBorders>
                  <w:shd w:val="clear" w:color="auto" w:fill="auto"/>
                  <w:vAlign w:val="center"/>
                </w:tcPr>
                <w:p w14:paraId="0C42F80A">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w:t>
                  </w:r>
                </w:p>
              </w:tc>
              <w:tc>
                <w:tcPr>
                  <w:tcW w:w="917" w:type="pct"/>
                  <w:tcBorders>
                    <w:tl2br w:val="nil"/>
                    <w:tr2bl w:val="nil"/>
                  </w:tcBorders>
                  <w:shd w:val="clear" w:color="auto" w:fill="auto"/>
                  <w:vAlign w:val="center"/>
                </w:tcPr>
                <w:p w14:paraId="3B3CB2DA">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振动筛分机</w:t>
                  </w:r>
                </w:p>
              </w:tc>
              <w:tc>
                <w:tcPr>
                  <w:tcW w:w="313" w:type="pct"/>
                  <w:tcBorders>
                    <w:tl2br w:val="nil"/>
                    <w:tr2bl w:val="nil"/>
                  </w:tcBorders>
                  <w:shd w:val="clear" w:color="auto" w:fill="auto"/>
                  <w:vAlign w:val="center"/>
                </w:tcPr>
                <w:p w14:paraId="50F18314">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780" w:type="pct"/>
                  <w:tcBorders>
                    <w:tl2br w:val="nil"/>
                    <w:tr2bl w:val="nil"/>
                  </w:tcBorders>
                  <w:shd w:val="clear" w:color="auto" w:fill="auto"/>
                  <w:vAlign w:val="center"/>
                </w:tcPr>
                <w:p w14:paraId="0A01B4AD">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75~80</w:t>
                  </w:r>
                </w:p>
              </w:tc>
              <w:tc>
                <w:tcPr>
                  <w:tcW w:w="1047" w:type="pct"/>
                  <w:tcBorders>
                    <w:tl2br w:val="nil"/>
                    <w:tr2bl w:val="nil"/>
                  </w:tcBorders>
                  <w:shd w:val="clear" w:color="auto" w:fill="auto"/>
                  <w:vAlign w:val="center"/>
                </w:tcPr>
                <w:p w14:paraId="236BAFB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4131FC01">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360C5524">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65</w:t>
                  </w:r>
                </w:p>
              </w:tc>
            </w:tr>
            <w:tr w14:paraId="49CF274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13" w:type="pct"/>
                  <w:tcBorders>
                    <w:tl2br w:val="nil"/>
                    <w:tr2bl w:val="nil"/>
                  </w:tcBorders>
                  <w:shd w:val="clear" w:color="auto" w:fill="auto"/>
                  <w:vAlign w:val="center"/>
                </w:tcPr>
                <w:p w14:paraId="228078D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917" w:type="pct"/>
                  <w:tcBorders>
                    <w:tl2br w:val="nil"/>
                    <w:tr2bl w:val="nil"/>
                  </w:tcBorders>
                  <w:shd w:val="clear" w:color="auto" w:fill="auto"/>
                  <w:vAlign w:val="center"/>
                </w:tcPr>
                <w:p w14:paraId="3C9AA12A">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混合机</w:t>
                  </w:r>
                </w:p>
              </w:tc>
              <w:tc>
                <w:tcPr>
                  <w:tcW w:w="313" w:type="pct"/>
                  <w:tcBorders>
                    <w:tl2br w:val="nil"/>
                    <w:tr2bl w:val="nil"/>
                  </w:tcBorders>
                  <w:shd w:val="clear" w:color="auto" w:fill="auto"/>
                  <w:vAlign w:val="center"/>
                </w:tcPr>
                <w:p w14:paraId="255ACE86">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780" w:type="pct"/>
                  <w:tcBorders>
                    <w:tl2br w:val="nil"/>
                    <w:tr2bl w:val="nil"/>
                  </w:tcBorders>
                  <w:shd w:val="clear" w:color="auto" w:fill="auto"/>
                  <w:vAlign w:val="center"/>
                </w:tcPr>
                <w:p w14:paraId="67AA31C3">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1047" w:type="pct"/>
                  <w:tcBorders>
                    <w:tl2br w:val="nil"/>
                    <w:tr2bl w:val="nil"/>
                  </w:tcBorders>
                  <w:shd w:val="clear" w:color="auto" w:fill="auto"/>
                  <w:vAlign w:val="center"/>
                </w:tcPr>
                <w:p w14:paraId="12419007">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18BAD01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2CBDC915">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60</w:t>
                  </w:r>
                </w:p>
              </w:tc>
            </w:tr>
            <w:tr w14:paraId="05531D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313" w:type="pct"/>
                  <w:tcBorders>
                    <w:tl2br w:val="nil"/>
                    <w:tr2bl w:val="nil"/>
                  </w:tcBorders>
                  <w:shd w:val="clear" w:color="auto" w:fill="auto"/>
                  <w:vAlign w:val="center"/>
                </w:tcPr>
                <w:p w14:paraId="372C7853">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w:t>
                  </w:r>
                </w:p>
              </w:tc>
              <w:tc>
                <w:tcPr>
                  <w:tcW w:w="917" w:type="pct"/>
                  <w:tcBorders>
                    <w:tl2br w:val="nil"/>
                    <w:tr2bl w:val="nil"/>
                  </w:tcBorders>
                  <w:shd w:val="clear" w:color="auto" w:fill="auto"/>
                  <w:vAlign w:val="center"/>
                </w:tcPr>
                <w:p w14:paraId="3E148AA1">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储料给料机</w:t>
                  </w:r>
                </w:p>
              </w:tc>
              <w:tc>
                <w:tcPr>
                  <w:tcW w:w="313" w:type="pct"/>
                  <w:tcBorders>
                    <w:tl2br w:val="nil"/>
                    <w:tr2bl w:val="nil"/>
                  </w:tcBorders>
                  <w:shd w:val="clear" w:color="auto" w:fill="auto"/>
                  <w:vAlign w:val="center"/>
                </w:tcPr>
                <w:p w14:paraId="077062F1">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780" w:type="pct"/>
                  <w:tcBorders>
                    <w:tl2br w:val="nil"/>
                    <w:tr2bl w:val="nil"/>
                  </w:tcBorders>
                  <w:shd w:val="clear" w:color="auto" w:fill="auto"/>
                  <w:vAlign w:val="center"/>
                </w:tcPr>
                <w:p w14:paraId="249F52D0">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1047" w:type="pct"/>
                  <w:tcBorders>
                    <w:tl2br w:val="nil"/>
                    <w:tr2bl w:val="nil"/>
                  </w:tcBorders>
                  <w:shd w:val="clear" w:color="auto" w:fill="auto"/>
                  <w:vAlign w:val="center"/>
                </w:tcPr>
                <w:p w14:paraId="30EDB4EE">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3D6A3F67">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5C92AE6D">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60</w:t>
                  </w:r>
                </w:p>
              </w:tc>
            </w:tr>
            <w:tr w14:paraId="2A76BB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313" w:type="pct"/>
                  <w:tcBorders>
                    <w:tl2br w:val="nil"/>
                    <w:tr2bl w:val="nil"/>
                  </w:tcBorders>
                  <w:shd w:val="clear" w:color="auto" w:fill="auto"/>
                  <w:vAlign w:val="center"/>
                </w:tcPr>
                <w:p w14:paraId="46928A7D">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c>
                <w:tcPr>
                  <w:tcW w:w="917" w:type="pct"/>
                  <w:tcBorders>
                    <w:tl2br w:val="nil"/>
                    <w:tr2bl w:val="nil"/>
                  </w:tcBorders>
                  <w:shd w:val="clear" w:color="auto" w:fill="auto"/>
                  <w:vAlign w:val="center"/>
                </w:tcPr>
                <w:p w14:paraId="12DB5833">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上料输送机</w:t>
                  </w:r>
                </w:p>
              </w:tc>
              <w:tc>
                <w:tcPr>
                  <w:tcW w:w="313" w:type="pct"/>
                  <w:tcBorders>
                    <w:tl2br w:val="nil"/>
                    <w:tr2bl w:val="nil"/>
                  </w:tcBorders>
                  <w:shd w:val="clear" w:color="auto" w:fill="auto"/>
                  <w:vAlign w:val="center"/>
                </w:tcPr>
                <w:p w14:paraId="025B554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780" w:type="pct"/>
                  <w:tcBorders>
                    <w:tl2br w:val="nil"/>
                    <w:tr2bl w:val="nil"/>
                  </w:tcBorders>
                  <w:shd w:val="clear" w:color="auto" w:fill="auto"/>
                  <w:vAlign w:val="center"/>
                </w:tcPr>
                <w:p w14:paraId="5AEC737E">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1047" w:type="pct"/>
                  <w:tcBorders>
                    <w:tl2br w:val="nil"/>
                    <w:tr2bl w:val="nil"/>
                  </w:tcBorders>
                  <w:shd w:val="clear" w:color="auto" w:fill="auto"/>
                  <w:vAlign w:val="center"/>
                </w:tcPr>
                <w:p w14:paraId="0383DC3B">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2551228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5A9C44F3">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60</w:t>
                  </w:r>
                </w:p>
              </w:tc>
            </w:tr>
            <w:tr w14:paraId="776A8D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313" w:type="pct"/>
                  <w:tcBorders>
                    <w:tl2br w:val="nil"/>
                    <w:tr2bl w:val="nil"/>
                  </w:tcBorders>
                  <w:shd w:val="clear" w:color="auto" w:fill="auto"/>
                  <w:vAlign w:val="center"/>
                </w:tcPr>
                <w:p w14:paraId="5F726B3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w:t>
                  </w:r>
                </w:p>
              </w:tc>
              <w:tc>
                <w:tcPr>
                  <w:tcW w:w="917" w:type="pct"/>
                  <w:tcBorders>
                    <w:tl2br w:val="nil"/>
                    <w:tr2bl w:val="nil"/>
                  </w:tcBorders>
                  <w:shd w:val="clear" w:color="auto" w:fill="auto"/>
                  <w:vAlign w:val="center"/>
                </w:tcPr>
                <w:p w14:paraId="4A71934F">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造粒机</w:t>
                  </w:r>
                </w:p>
              </w:tc>
              <w:tc>
                <w:tcPr>
                  <w:tcW w:w="313" w:type="pct"/>
                  <w:tcBorders>
                    <w:tl2br w:val="nil"/>
                    <w:tr2bl w:val="nil"/>
                  </w:tcBorders>
                  <w:shd w:val="clear" w:color="auto" w:fill="auto"/>
                  <w:vAlign w:val="center"/>
                </w:tcPr>
                <w:p w14:paraId="2A40B6D1">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780" w:type="pct"/>
                  <w:tcBorders>
                    <w:tl2br w:val="nil"/>
                    <w:tr2bl w:val="nil"/>
                  </w:tcBorders>
                  <w:shd w:val="clear" w:color="auto" w:fill="auto"/>
                  <w:vAlign w:val="center"/>
                </w:tcPr>
                <w:p w14:paraId="4D8DD5A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75~80</w:t>
                  </w:r>
                </w:p>
              </w:tc>
              <w:tc>
                <w:tcPr>
                  <w:tcW w:w="1047" w:type="pct"/>
                  <w:tcBorders>
                    <w:tl2br w:val="nil"/>
                    <w:tr2bl w:val="nil"/>
                  </w:tcBorders>
                  <w:shd w:val="clear" w:color="auto" w:fill="auto"/>
                  <w:vAlign w:val="center"/>
                </w:tcPr>
                <w:p w14:paraId="18FBB370">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7AF38855">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2503B3AE">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65</w:t>
                  </w:r>
                </w:p>
              </w:tc>
            </w:tr>
            <w:tr w14:paraId="3BED525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313" w:type="pct"/>
                  <w:tcBorders>
                    <w:tl2br w:val="nil"/>
                    <w:tr2bl w:val="nil"/>
                  </w:tcBorders>
                  <w:shd w:val="clear" w:color="auto" w:fill="auto"/>
                  <w:vAlign w:val="center"/>
                </w:tcPr>
                <w:p w14:paraId="7D671BC4">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w:t>
                  </w:r>
                </w:p>
              </w:tc>
              <w:tc>
                <w:tcPr>
                  <w:tcW w:w="917" w:type="pct"/>
                  <w:tcBorders>
                    <w:tl2br w:val="nil"/>
                    <w:tr2bl w:val="nil"/>
                  </w:tcBorders>
                  <w:shd w:val="clear" w:color="auto" w:fill="auto"/>
                  <w:vAlign w:val="center"/>
                </w:tcPr>
                <w:p w14:paraId="5D1F0DAA">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自动打包秤</w:t>
                  </w:r>
                </w:p>
              </w:tc>
              <w:tc>
                <w:tcPr>
                  <w:tcW w:w="313" w:type="pct"/>
                  <w:tcBorders>
                    <w:tl2br w:val="nil"/>
                    <w:tr2bl w:val="nil"/>
                  </w:tcBorders>
                  <w:shd w:val="clear" w:color="auto" w:fill="auto"/>
                  <w:vAlign w:val="center"/>
                </w:tcPr>
                <w:p w14:paraId="1C9326FD">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780" w:type="pct"/>
                  <w:tcBorders>
                    <w:tl2br w:val="nil"/>
                    <w:tr2bl w:val="nil"/>
                  </w:tcBorders>
                  <w:shd w:val="clear" w:color="auto" w:fill="auto"/>
                  <w:vAlign w:val="center"/>
                </w:tcPr>
                <w:p w14:paraId="0BF06CD6">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1047" w:type="pct"/>
                  <w:tcBorders>
                    <w:tl2br w:val="nil"/>
                    <w:tr2bl w:val="nil"/>
                  </w:tcBorders>
                  <w:shd w:val="clear" w:color="auto" w:fill="auto"/>
                  <w:vAlign w:val="center"/>
                </w:tcPr>
                <w:p w14:paraId="264A5C3D">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0BFD2D9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45057BD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60</w:t>
                  </w:r>
                </w:p>
              </w:tc>
            </w:tr>
            <w:tr w14:paraId="17B201D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313" w:type="pct"/>
                  <w:tcBorders>
                    <w:tl2br w:val="nil"/>
                    <w:tr2bl w:val="nil"/>
                  </w:tcBorders>
                  <w:shd w:val="clear" w:color="auto" w:fill="auto"/>
                  <w:vAlign w:val="center"/>
                </w:tcPr>
                <w:p w14:paraId="21D3BC9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w:t>
                  </w:r>
                </w:p>
              </w:tc>
              <w:tc>
                <w:tcPr>
                  <w:tcW w:w="917" w:type="pct"/>
                  <w:tcBorders>
                    <w:tl2br w:val="nil"/>
                    <w:tr2bl w:val="nil"/>
                  </w:tcBorders>
                  <w:shd w:val="clear" w:color="auto" w:fill="auto"/>
                  <w:vAlign w:val="center"/>
                </w:tcPr>
                <w:p w14:paraId="744E0346">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皮带机</w:t>
                  </w:r>
                </w:p>
              </w:tc>
              <w:tc>
                <w:tcPr>
                  <w:tcW w:w="313" w:type="pct"/>
                  <w:tcBorders>
                    <w:tl2br w:val="nil"/>
                    <w:tr2bl w:val="nil"/>
                  </w:tcBorders>
                  <w:shd w:val="clear" w:color="auto" w:fill="auto"/>
                  <w:vAlign w:val="center"/>
                </w:tcPr>
                <w:p w14:paraId="12DBD558">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w:t>
                  </w:r>
                </w:p>
              </w:tc>
              <w:tc>
                <w:tcPr>
                  <w:tcW w:w="780" w:type="pct"/>
                  <w:tcBorders>
                    <w:tl2br w:val="nil"/>
                    <w:tr2bl w:val="nil"/>
                  </w:tcBorders>
                  <w:shd w:val="clear" w:color="auto" w:fill="auto"/>
                  <w:vAlign w:val="center"/>
                </w:tcPr>
                <w:p w14:paraId="67E819B7">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1047" w:type="pct"/>
                  <w:tcBorders>
                    <w:tl2br w:val="nil"/>
                    <w:tr2bl w:val="nil"/>
                  </w:tcBorders>
                  <w:shd w:val="clear" w:color="auto" w:fill="auto"/>
                  <w:vAlign w:val="center"/>
                </w:tcPr>
                <w:p w14:paraId="26998C4B">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69299DA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5A3AD7DC">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60</w:t>
                  </w:r>
                </w:p>
              </w:tc>
            </w:tr>
            <w:tr w14:paraId="2ABC513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313" w:type="pct"/>
                  <w:tcBorders>
                    <w:tl2br w:val="nil"/>
                    <w:tr2bl w:val="nil"/>
                  </w:tcBorders>
                  <w:shd w:val="clear" w:color="auto" w:fill="auto"/>
                  <w:vAlign w:val="center"/>
                </w:tcPr>
                <w:p w14:paraId="5EB7BA9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w:t>
                  </w:r>
                </w:p>
              </w:tc>
              <w:tc>
                <w:tcPr>
                  <w:tcW w:w="917" w:type="pct"/>
                  <w:tcBorders>
                    <w:tl2br w:val="nil"/>
                    <w:tr2bl w:val="nil"/>
                  </w:tcBorders>
                  <w:shd w:val="clear" w:color="auto" w:fill="auto"/>
                  <w:vAlign w:val="center"/>
                </w:tcPr>
                <w:p w14:paraId="6E60D5C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匀浆池搅拌机</w:t>
                  </w:r>
                </w:p>
              </w:tc>
              <w:tc>
                <w:tcPr>
                  <w:tcW w:w="313" w:type="pct"/>
                  <w:tcBorders>
                    <w:tl2br w:val="nil"/>
                    <w:tr2bl w:val="nil"/>
                  </w:tcBorders>
                  <w:shd w:val="clear" w:color="auto" w:fill="auto"/>
                  <w:vAlign w:val="center"/>
                </w:tcPr>
                <w:p w14:paraId="4E84B5D8">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780" w:type="pct"/>
                  <w:tcBorders>
                    <w:tl2br w:val="nil"/>
                    <w:tr2bl w:val="nil"/>
                  </w:tcBorders>
                  <w:shd w:val="clear" w:color="auto" w:fill="auto"/>
                  <w:vAlign w:val="center"/>
                </w:tcPr>
                <w:p w14:paraId="229DF90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70~75</w:t>
                  </w:r>
                </w:p>
              </w:tc>
              <w:tc>
                <w:tcPr>
                  <w:tcW w:w="1047" w:type="pct"/>
                  <w:tcBorders>
                    <w:tl2br w:val="nil"/>
                    <w:tr2bl w:val="nil"/>
                  </w:tcBorders>
                  <w:shd w:val="clear" w:color="auto" w:fill="auto"/>
                  <w:vAlign w:val="center"/>
                </w:tcPr>
                <w:p w14:paraId="5F84372A">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6F88E7E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3F3B670B">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r>
            <w:tr w14:paraId="69E34EB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313" w:type="pct"/>
                  <w:tcBorders>
                    <w:tl2br w:val="nil"/>
                    <w:tr2bl w:val="nil"/>
                  </w:tcBorders>
                  <w:shd w:val="clear" w:color="auto" w:fill="auto"/>
                  <w:vAlign w:val="center"/>
                </w:tcPr>
                <w:p w14:paraId="0D376E8F">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917" w:type="pct"/>
                  <w:tcBorders>
                    <w:tl2br w:val="nil"/>
                    <w:tr2bl w:val="nil"/>
                  </w:tcBorders>
                  <w:shd w:val="clear" w:color="auto" w:fill="auto"/>
                  <w:vAlign w:val="center"/>
                </w:tcPr>
                <w:p w14:paraId="6D18B9F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风机</w:t>
                  </w:r>
                </w:p>
              </w:tc>
              <w:tc>
                <w:tcPr>
                  <w:tcW w:w="313" w:type="pct"/>
                  <w:tcBorders>
                    <w:tl2br w:val="nil"/>
                    <w:tr2bl w:val="nil"/>
                  </w:tcBorders>
                  <w:shd w:val="clear" w:color="auto" w:fill="auto"/>
                  <w:vAlign w:val="center"/>
                </w:tcPr>
                <w:p w14:paraId="6AEB4F8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780" w:type="pct"/>
                  <w:tcBorders>
                    <w:tl2br w:val="nil"/>
                    <w:tr2bl w:val="nil"/>
                  </w:tcBorders>
                  <w:shd w:val="clear" w:color="auto" w:fill="auto"/>
                  <w:vAlign w:val="center"/>
                </w:tcPr>
                <w:p w14:paraId="396D2156">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75~80</w:t>
                  </w:r>
                </w:p>
              </w:tc>
              <w:tc>
                <w:tcPr>
                  <w:tcW w:w="1047" w:type="pct"/>
                  <w:tcBorders>
                    <w:tl2br w:val="nil"/>
                    <w:tr2bl w:val="nil"/>
                  </w:tcBorders>
                  <w:shd w:val="clear" w:color="auto" w:fill="auto"/>
                  <w:vAlign w:val="center"/>
                </w:tcPr>
                <w:p w14:paraId="27A5C3FB">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127D3306">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6485637E">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r>
            <w:tr w14:paraId="3E70A5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313" w:type="pct"/>
                  <w:tcBorders>
                    <w:tl2br w:val="nil"/>
                    <w:tr2bl w:val="nil"/>
                  </w:tcBorders>
                  <w:shd w:val="clear" w:color="auto" w:fill="auto"/>
                  <w:vAlign w:val="center"/>
                </w:tcPr>
                <w:p w14:paraId="36CAA0FF">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w:t>
                  </w:r>
                </w:p>
              </w:tc>
              <w:tc>
                <w:tcPr>
                  <w:tcW w:w="917" w:type="pct"/>
                  <w:tcBorders>
                    <w:tl2br w:val="nil"/>
                    <w:tr2bl w:val="nil"/>
                  </w:tcBorders>
                  <w:shd w:val="clear" w:color="auto" w:fill="auto"/>
                  <w:vAlign w:val="center"/>
                </w:tcPr>
                <w:p w14:paraId="71016A2B">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离心机</w:t>
                  </w:r>
                </w:p>
              </w:tc>
              <w:tc>
                <w:tcPr>
                  <w:tcW w:w="313" w:type="pct"/>
                  <w:tcBorders>
                    <w:tl2br w:val="nil"/>
                    <w:tr2bl w:val="nil"/>
                  </w:tcBorders>
                  <w:shd w:val="clear" w:color="auto" w:fill="auto"/>
                  <w:vAlign w:val="center"/>
                </w:tcPr>
                <w:p w14:paraId="561076C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780" w:type="pct"/>
                  <w:tcBorders>
                    <w:tl2br w:val="nil"/>
                    <w:tr2bl w:val="nil"/>
                  </w:tcBorders>
                  <w:shd w:val="clear" w:color="auto" w:fill="auto"/>
                  <w:vAlign w:val="center"/>
                </w:tcPr>
                <w:p w14:paraId="41E81811">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70~75</w:t>
                  </w:r>
                </w:p>
              </w:tc>
              <w:tc>
                <w:tcPr>
                  <w:tcW w:w="1047" w:type="pct"/>
                  <w:tcBorders>
                    <w:tl2br w:val="nil"/>
                    <w:tr2bl w:val="nil"/>
                  </w:tcBorders>
                  <w:shd w:val="clear" w:color="auto" w:fill="auto"/>
                  <w:vAlign w:val="center"/>
                </w:tcPr>
                <w:p w14:paraId="4D7152AD">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建筑隔声，减振</w:t>
                  </w:r>
                </w:p>
              </w:tc>
              <w:tc>
                <w:tcPr>
                  <w:tcW w:w="841" w:type="pct"/>
                  <w:tcBorders>
                    <w:tl2br w:val="nil"/>
                    <w:tr2bl w:val="nil"/>
                  </w:tcBorders>
                  <w:shd w:val="clear" w:color="auto" w:fill="auto"/>
                  <w:vAlign w:val="center"/>
                </w:tcPr>
                <w:p w14:paraId="7B4E97BE">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786" w:type="pct"/>
                  <w:tcBorders>
                    <w:tl2br w:val="nil"/>
                    <w:tr2bl w:val="nil"/>
                  </w:tcBorders>
                  <w:shd w:val="clear" w:color="auto" w:fill="auto"/>
                  <w:vAlign w:val="center"/>
                </w:tcPr>
                <w:p w14:paraId="74CF3760">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r>
            <w:tr w14:paraId="6BF80EB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313" w:type="pct"/>
                  <w:tcBorders>
                    <w:tl2br w:val="nil"/>
                    <w:tr2bl w:val="nil"/>
                  </w:tcBorders>
                  <w:shd w:val="clear" w:color="auto" w:fill="auto"/>
                  <w:vAlign w:val="center"/>
                </w:tcPr>
                <w:p w14:paraId="6B80C299">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917" w:type="pct"/>
                  <w:tcBorders>
                    <w:tl2br w:val="nil"/>
                    <w:tr2bl w:val="nil"/>
                  </w:tcBorders>
                  <w:shd w:val="clear" w:color="auto" w:fill="auto"/>
                  <w:vAlign w:val="center"/>
                </w:tcPr>
                <w:p w14:paraId="605F53BC">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运输车辆</w:t>
                  </w:r>
                </w:p>
              </w:tc>
              <w:tc>
                <w:tcPr>
                  <w:tcW w:w="313" w:type="pct"/>
                  <w:tcBorders>
                    <w:tl2br w:val="nil"/>
                    <w:tr2bl w:val="nil"/>
                  </w:tcBorders>
                  <w:shd w:val="clear" w:color="auto" w:fill="auto"/>
                  <w:vAlign w:val="center"/>
                </w:tcPr>
                <w:p w14:paraId="6A713421">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780" w:type="pct"/>
                  <w:tcBorders>
                    <w:tl2br w:val="nil"/>
                    <w:tr2bl w:val="nil"/>
                  </w:tcBorders>
                  <w:shd w:val="clear" w:color="auto" w:fill="auto"/>
                  <w:vAlign w:val="center"/>
                </w:tcPr>
                <w:p w14:paraId="08CC0F54">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70~75</w:t>
                  </w:r>
                </w:p>
              </w:tc>
              <w:tc>
                <w:tcPr>
                  <w:tcW w:w="1047" w:type="pct"/>
                  <w:tcBorders>
                    <w:tl2br w:val="nil"/>
                    <w:tr2bl w:val="nil"/>
                  </w:tcBorders>
                  <w:shd w:val="clear" w:color="auto" w:fill="auto"/>
                  <w:vAlign w:val="center"/>
                </w:tcPr>
                <w:p w14:paraId="2518E8E6">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p>
              </w:tc>
              <w:tc>
                <w:tcPr>
                  <w:tcW w:w="841" w:type="pct"/>
                  <w:tcBorders>
                    <w:tl2br w:val="nil"/>
                    <w:tr2bl w:val="nil"/>
                  </w:tcBorders>
                  <w:shd w:val="clear" w:color="auto" w:fill="auto"/>
                  <w:vAlign w:val="center"/>
                </w:tcPr>
                <w:p w14:paraId="7334DB46">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86" w:type="pct"/>
                  <w:tcBorders>
                    <w:tl2br w:val="nil"/>
                    <w:tr2bl w:val="nil"/>
                  </w:tcBorders>
                  <w:shd w:val="clear" w:color="auto" w:fill="auto"/>
                  <w:vAlign w:val="center"/>
                </w:tcPr>
                <w:p w14:paraId="492DF3C2">
                  <w:pPr>
                    <w:pStyle w:val="77"/>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color w:val="auto"/>
                      <w:lang w:val="en-US" w:eastAsia="zh-CN"/>
                    </w:rPr>
                  </w:pPr>
                </w:p>
              </w:tc>
            </w:tr>
          </w:tbl>
          <w:p w14:paraId="6754392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3.2、噪声治理措施</w:t>
            </w:r>
          </w:p>
          <w:p w14:paraId="03289E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为降低噪声对环境的影响，建设单位在设备选型时应尽量采用低噪声设备，采取基础减振、隔声门窗等措施，并加强设备的日常运行维护与管理，具体如下：</w:t>
            </w:r>
          </w:p>
          <w:p w14:paraId="6E5D4D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(1)从声源上：在噪声较大的设备基础上安装橡胶隔振垫或减振器，并设于车间内，一般可实现10～25dB(A)的降噪量。</w:t>
            </w:r>
          </w:p>
          <w:p w14:paraId="7C358A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(2)从设备布局及围护结构方面：应合理安排设备在车间内的位置；利用墙壁隔声，车间墙壁可加装高效吸声材料。</w:t>
            </w:r>
          </w:p>
          <w:p w14:paraId="3A096D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(3)选用低噪声设备，对设备进行定期维修保养，预防维修不良的机械设 备因部件振动、消声器的损坏而增加其工作噪声。</w:t>
            </w:r>
          </w:p>
          <w:p w14:paraId="6AA841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(4)对高噪声设备采取消声、隔声、减振措施，在运营过程中遵守作业规定，减少碰撞噪声，尽量降低人为噪声。</w:t>
            </w:r>
          </w:p>
          <w:p w14:paraId="770554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(5)对进出厂区的机动车进行严格管理，如进厂区减速、限制鸣笛等。</w:t>
            </w:r>
          </w:p>
          <w:p w14:paraId="1350052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3.3、噪声预测分析</w:t>
            </w:r>
          </w:p>
          <w:p w14:paraId="158FAF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依据《环境影响评价技术导则声环境》(HJ2.4-2021)，项目将按照点声源的几何发散衰减来预测项目噪声对周围环境的影响程度。</w:t>
            </w:r>
          </w:p>
          <w:p w14:paraId="4C20D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预测模式：采用点声源衰减预测模式和声压级叠加模式，预测噪声源对各厂界噪声评价点的贡献值。</w:t>
            </w:r>
          </w:p>
          <w:p w14:paraId="7BAC02B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rPr>
              <w:drawing>
                <wp:inline distT="0" distB="0" distL="114300" distR="114300">
                  <wp:extent cx="5431790" cy="4446270"/>
                  <wp:effectExtent l="0" t="0" r="16510" b="1143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6"/>
                          <a:stretch>
                            <a:fillRect/>
                          </a:stretch>
                        </pic:blipFill>
                        <pic:spPr>
                          <a:xfrm>
                            <a:off x="0" y="0"/>
                            <a:ext cx="5431790" cy="4446270"/>
                          </a:xfrm>
                          <a:prstGeom prst="rect">
                            <a:avLst/>
                          </a:prstGeom>
                          <a:noFill/>
                          <a:ln>
                            <a:noFill/>
                          </a:ln>
                        </pic:spPr>
                      </pic:pic>
                    </a:graphicData>
                  </a:graphic>
                </wp:inline>
              </w:drawing>
            </w:r>
          </w:p>
          <w:p w14:paraId="5DA2DBAD">
            <w:pPr>
              <w:bidi w:val="0"/>
              <w:jc w:val="center"/>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图4-1  噪声预测图</w:t>
            </w:r>
          </w:p>
          <w:p w14:paraId="35ACDAC9">
            <w:pPr>
              <w:bidi w:val="0"/>
              <w:jc w:val="center"/>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表4-6  噪声预测一览表</w:t>
            </w:r>
          </w:p>
          <w:tbl>
            <w:tblPr>
              <w:tblStyle w:val="34"/>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72"/>
              <w:gridCol w:w="2399"/>
              <w:gridCol w:w="2613"/>
              <w:gridCol w:w="2084"/>
            </w:tblGrid>
            <w:tr w14:paraId="37037C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915" w:type="pct"/>
                  <w:tcBorders>
                    <w:tl2br w:val="nil"/>
                    <w:tr2bl w:val="nil"/>
                  </w:tcBorders>
                  <w:shd w:val="clear" w:color="auto" w:fill="auto"/>
                  <w:vAlign w:val="center"/>
                </w:tcPr>
                <w:p w14:paraId="37EB1D34">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1521" w:type="pct"/>
                  <w:tcBorders>
                    <w:tl2br w:val="nil"/>
                    <w:tr2bl w:val="nil"/>
                  </w:tcBorders>
                  <w:shd w:val="clear" w:color="auto" w:fill="auto"/>
                  <w:vAlign w:val="center"/>
                </w:tcPr>
                <w:p w14:paraId="7E5F4A75">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预测点位</w:t>
                  </w:r>
                </w:p>
              </w:tc>
              <w:tc>
                <w:tcPr>
                  <w:tcW w:w="1647" w:type="pct"/>
                  <w:tcBorders>
                    <w:tl2br w:val="nil"/>
                    <w:tr2bl w:val="nil"/>
                  </w:tcBorders>
                  <w:shd w:val="clear" w:color="auto" w:fill="auto"/>
                  <w:vAlign w:val="center"/>
                </w:tcPr>
                <w:p w14:paraId="15DF117B">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贡献值dB</w:t>
                  </w:r>
                </w:p>
              </w:tc>
              <w:tc>
                <w:tcPr>
                  <w:tcW w:w="915" w:type="pct"/>
                  <w:tcBorders>
                    <w:tl2br w:val="nil"/>
                    <w:tr2bl w:val="nil"/>
                  </w:tcBorders>
                  <w:shd w:val="clear" w:color="auto" w:fill="auto"/>
                  <w:vAlign w:val="center"/>
                </w:tcPr>
                <w:p w14:paraId="0FE6B04B">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标准</w:t>
                  </w:r>
                </w:p>
              </w:tc>
            </w:tr>
            <w:tr w14:paraId="2379AFC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15" w:type="pct"/>
                  <w:tcBorders>
                    <w:tl2br w:val="nil"/>
                    <w:tr2bl w:val="nil"/>
                  </w:tcBorders>
                  <w:shd w:val="clear" w:color="auto" w:fill="auto"/>
                  <w:vAlign w:val="center"/>
                </w:tcPr>
                <w:p w14:paraId="2C5DD8E2">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521" w:type="pct"/>
                  <w:tcBorders>
                    <w:tl2br w:val="nil"/>
                    <w:tr2bl w:val="nil"/>
                  </w:tcBorders>
                  <w:shd w:val="clear" w:color="auto" w:fill="auto"/>
                  <w:vAlign w:val="center"/>
                </w:tcPr>
                <w:p w14:paraId="5827BF6D">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厂界东侧</w:t>
                  </w:r>
                </w:p>
              </w:tc>
              <w:tc>
                <w:tcPr>
                  <w:tcW w:w="1647" w:type="pct"/>
                  <w:tcBorders>
                    <w:tl2br w:val="nil"/>
                    <w:tr2bl w:val="nil"/>
                  </w:tcBorders>
                  <w:shd w:val="clear" w:color="auto" w:fill="auto"/>
                  <w:vAlign w:val="center"/>
                </w:tcPr>
                <w:p w14:paraId="576CDAF3">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40.13</w:t>
                  </w:r>
                </w:p>
              </w:tc>
              <w:tc>
                <w:tcPr>
                  <w:tcW w:w="915" w:type="pct"/>
                  <w:vMerge w:val="restart"/>
                  <w:tcBorders>
                    <w:tl2br w:val="nil"/>
                    <w:tr2bl w:val="nil"/>
                  </w:tcBorders>
                  <w:shd w:val="clear" w:color="auto" w:fill="auto"/>
                  <w:vAlign w:val="center"/>
                </w:tcPr>
                <w:p w14:paraId="5890574B">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《工业企业厂界噪声排放标准》（GB12348—2008）2类标准</w:t>
                  </w:r>
                </w:p>
              </w:tc>
            </w:tr>
            <w:tr w14:paraId="33292C4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15" w:type="pct"/>
                  <w:tcBorders>
                    <w:tl2br w:val="nil"/>
                    <w:tr2bl w:val="nil"/>
                  </w:tcBorders>
                  <w:shd w:val="clear" w:color="auto" w:fill="auto"/>
                  <w:vAlign w:val="center"/>
                </w:tcPr>
                <w:p w14:paraId="4DBEF9C3">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521" w:type="pct"/>
                  <w:tcBorders>
                    <w:tl2br w:val="nil"/>
                    <w:tr2bl w:val="nil"/>
                  </w:tcBorders>
                  <w:shd w:val="clear" w:color="auto" w:fill="auto"/>
                  <w:vAlign w:val="center"/>
                </w:tcPr>
                <w:p w14:paraId="7D660D7B">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厂界西侧</w:t>
                  </w:r>
                </w:p>
              </w:tc>
              <w:tc>
                <w:tcPr>
                  <w:tcW w:w="1647" w:type="pct"/>
                  <w:tcBorders>
                    <w:tl2br w:val="nil"/>
                    <w:tr2bl w:val="nil"/>
                  </w:tcBorders>
                  <w:shd w:val="clear" w:color="auto" w:fill="auto"/>
                  <w:vAlign w:val="center"/>
                </w:tcPr>
                <w:p w14:paraId="1C7B3EFC">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40.76</w:t>
                  </w:r>
                </w:p>
              </w:tc>
              <w:tc>
                <w:tcPr>
                  <w:tcW w:w="915" w:type="pct"/>
                  <w:vMerge w:val="continue"/>
                  <w:tcBorders>
                    <w:tl2br w:val="nil"/>
                    <w:tr2bl w:val="nil"/>
                  </w:tcBorders>
                  <w:shd w:val="clear" w:color="auto" w:fill="auto"/>
                  <w:vAlign w:val="center"/>
                </w:tcPr>
                <w:p w14:paraId="25E02098">
                  <w:pPr>
                    <w:pStyle w:val="77"/>
                    <w:bidi w:val="0"/>
                    <w:jc w:val="center"/>
                    <w:rPr>
                      <w:rFonts w:hint="default" w:ascii="Times New Roman" w:hAnsi="Times New Roman" w:cs="Times New Roman"/>
                      <w:color w:val="auto"/>
                      <w:lang w:val="en-US" w:eastAsia="zh-CN"/>
                    </w:rPr>
                  </w:pPr>
                </w:p>
              </w:tc>
            </w:tr>
            <w:tr w14:paraId="536623E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15" w:type="pct"/>
                  <w:tcBorders>
                    <w:tl2br w:val="nil"/>
                    <w:tr2bl w:val="nil"/>
                  </w:tcBorders>
                  <w:shd w:val="clear" w:color="auto" w:fill="auto"/>
                  <w:vAlign w:val="center"/>
                </w:tcPr>
                <w:p w14:paraId="5BF7C1FB">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521" w:type="pct"/>
                  <w:tcBorders>
                    <w:tl2br w:val="nil"/>
                    <w:tr2bl w:val="nil"/>
                  </w:tcBorders>
                  <w:shd w:val="clear" w:color="auto" w:fill="auto"/>
                  <w:vAlign w:val="center"/>
                </w:tcPr>
                <w:p w14:paraId="6AA9DB12">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厂界南侧</w:t>
                  </w:r>
                </w:p>
              </w:tc>
              <w:tc>
                <w:tcPr>
                  <w:tcW w:w="1647" w:type="pct"/>
                  <w:tcBorders>
                    <w:tl2br w:val="nil"/>
                    <w:tr2bl w:val="nil"/>
                  </w:tcBorders>
                  <w:shd w:val="clear" w:color="auto" w:fill="auto"/>
                  <w:vAlign w:val="center"/>
                </w:tcPr>
                <w:p w14:paraId="6D6A6509">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40.71</w:t>
                  </w:r>
                </w:p>
              </w:tc>
              <w:tc>
                <w:tcPr>
                  <w:tcW w:w="915" w:type="pct"/>
                  <w:vMerge w:val="continue"/>
                  <w:tcBorders>
                    <w:tl2br w:val="nil"/>
                    <w:tr2bl w:val="nil"/>
                  </w:tcBorders>
                  <w:shd w:val="clear" w:color="auto" w:fill="auto"/>
                  <w:vAlign w:val="center"/>
                </w:tcPr>
                <w:p w14:paraId="0D6B283F">
                  <w:pPr>
                    <w:pStyle w:val="77"/>
                    <w:bidi w:val="0"/>
                    <w:jc w:val="center"/>
                    <w:rPr>
                      <w:rFonts w:hint="default" w:ascii="Times New Roman" w:hAnsi="Times New Roman" w:cs="Times New Roman"/>
                      <w:color w:val="auto"/>
                      <w:lang w:val="en-US" w:eastAsia="zh-CN"/>
                    </w:rPr>
                  </w:pPr>
                </w:p>
              </w:tc>
            </w:tr>
            <w:tr w14:paraId="331E2CB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15" w:type="pct"/>
                  <w:tcBorders>
                    <w:tl2br w:val="nil"/>
                    <w:tr2bl w:val="nil"/>
                  </w:tcBorders>
                  <w:shd w:val="clear" w:color="auto" w:fill="auto"/>
                  <w:vAlign w:val="center"/>
                </w:tcPr>
                <w:p w14:paraId="4B26405E">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1521" w:type="pct"/>
                  <w:tcBorders>
                    <w:tl2br w:val="nil"/>
                    <w:tr2bl w:val="nil"/>
                  </w:tcBorders>
                  <w:shd w:val="clear" w:color="auto" w:fill="auto"/>
                  <w:vAlign w:val="center"/>
                </w:tcPr>
                <w:p w14:paraId="759284C7">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厂界北侧</w:t>
                  </w:r>
                </w:p>
              </w:tc>
              <w:tc>
                <w:tcPr>
                  <w:tcW w:w="1647" w:type="pct"/>
                  <w:tcBorders>
                    <w:tl2br w:val="nil"/>
                    <w:tr2bl w:val="nil"/>
                  </w:tcBorders>
                  <w:shd w:val="clear" w:color="auto" w:fill="auto"/>
                  <w:vAlign w:val="center"/>
                </w:tcPr>
                <w:p w14:paraId="0CEC2F10">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42.16</w:t>
                  </w:r>
                </w:p>
              </w:tc>
              <w:tc>
                <w:tcPr>
                  <w:tcW w:w="915" w:type="pct"/>
                  <w:vMerge w:val="continue"/>
                  <w:tcBorders>
                    <w:tl2br w:val="nil"/>
                    <w:tr2bl w:val="nil"/>
                  </w:tcBorders>
                  <w:shd w:val="clear" w:color="auto" w:fill="auto"/>
                  <w:vAlign w:val="center"/>
                </w:tcPr>
                <w:p w14:paraId="55F3A5F7">
                  <w:pPr>
                    <w:pStyle w:val="77"/>
                    <w:bidi w:val="0"/>
                    <w:jc w:val="center"/>
                    <w:rPr>
                      <w:rFonts w:hint="default" w:ascii="Times New Roman" w:hAnsi="Times New Roman" w:cs="Times New Roman"/>
                      <w:color w:val="auto"/>
                      <w:lang w:val="en-US" w:eastAsia="zh-CN"/>
                    </w:rPr>
                  </w:pPr>
                </w:p>
              </w:tc>
            </w:tr>
            <w:tr w14:paraId="56BB19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15" w:type="pct"/>
                  <w:tcBorders>
                    <w:tl2br w:val="nil"/>
                    <w:tr2bl w:val="nil"/>
                  </w:tcBorders>
                  <w:shd w:val="clear" w:color="auto" w:fill="auto"/>
                  <w:vAlign w:val="center"/>
                </w:tcPr>
                <w:p w14:paraId="50BCD026">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521" w:type="pct"/>
                  <w:tcBorders>
                    <w:tl2br w:val="nil"/>
                    <w:tr2bl w:val="nil"/>
                  </w:tcBorders>
                  <w:shd w:val="clear" w:color="auto" w:fill="auto"/>
                  <w:vAlign w:val="center"/>
                </w:tcPr>
                <w:p w14:paraId="6F964624">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敏感点1</w:t>
                  </w:r>
                </w:p>
              </w:tc>
              <w:tc>
                <w:tcPr>
                  <w:tcW w:w="1647" w:type="pct"/>
                  <w:tcBorders>
                    <w:tl2br w:val="nil"/>
                    <w:tr2bl w:val="nil"/>
                  </w:tcBorders>
                  <w:shd w:val="clear" w:color="auto" w:fill="auto"/>
                  <w:vAlign w:val="center"/>
                </w:tcPr>
                <w:p w14:paraId="296F953B">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33.59</w:t>
                  </w:r>
                </w:p>
              </w:tc>
              <w:tc>
                <w:tcPr>
                  <w:tcW w:w="915" w:type="pct"/>
                  <w:vMerge w:val="continue"/>
                  <w:tcBorders>
                    <w:tl2br w:val="nil"/>
                    <w:tr2bl w:val="nil"/>
                  </w:tcBorders>
                  <w:shd w:val="clear" w:color="auto" w:fill="auto"/>
                  <w:vAlign w:val="center"/>
                </w:tcPr>
                <w:p w14:paraId="1C055FFE">
                  <w:pPr>
                    <w:pStyle w:val="77"/>
                    <w:bidi w:val="0"/>
                    <w:jc w:val="center"/>
                    <w:rPr>
                      <w:rFonts w:hint="default" w:ascii="Times New Roman" w:hAnsi="Times New Roman" w:cs="Times New Roman"/>
                      <w:color w:val="auto"/>
                      <w:lang w:val="en-US" w:eastAsia="zh-CN"/>
                    </w:rPr>
                  </w:pPr>
                </w:p>
              </w:tc>
            </w:tr>
            <w:tr w14:paraId="12BD4AD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15" w:type="pct"/>
                  <w:tcBorders>
                    <w:tl2br w:val="nil"/>
                    <w:tr2bl w:val="nil"/>
                  </w:tcBorders>
                  <w:shd w:val="clear" w:color="auto" w:fill="auto"/>
                  <w:vAlign w:val="center"/>
                </w:tcPr>
                <w:p w14:paraId="56E9495F">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1521" w:type="pct"/>
                  <w:tcBorders>
                    <w:tl2br w:val="nil"/>
                    <w:tr2bl w:val="nil"/>
                  </w:tcBorders>
                  <w:shd w:val="clear" w:color="auto" w:fill="auto"/>
                  <w:vAlign w:val="center"/>
                </w:tcPr>
                <w:p w14:paraId="76D1007D">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敏感点2</w:t>
                  </w:r>
                </w:p>
              </w:tc>
              <w:tc>
                <w:tcPr>
                  <w:tcW w:w="1647" w:type="pct"/>
                  <w:tcBorders>
                    <w:tl2br w:val="nil"/>
                    <w:tr2bl w:val="nil"/>
                  </w:tcBorders>
                  <w:shd w:val="clear" w:color="auto" w:fill="auto"/>
                  <w:vAlign w:val="center"/>
                </w:tcPr>
                <w:p w14:paraId="3C0DE75A">
                  <w:pPr>
                    <w:pStyle w:val="7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33.34</w:t>
                  </w:r>
                </w:p>
              </w:tc>
              <w:tc>
                <w:tcPr>
                  <w:tcW w:w="915" w:type="pct"/>
                  <w:vMerge w:val="continue"/>
                  <w:tcBorders>
                    <w:tl2br w:val="nil"/>
                    <w:tr2bl w:val="nil"/>
                  </w:tcBorders>
                  <w:shd w:val="clear" w:color="auto" w:fill="auto"/>
                  <w:vAlign w:val="center"/>
                </w:tcPr>
                <w:p w14:paraId="5DFCAF83">
                  <w:pPr>
                    <w:pStyle w:val="77"/>
                    <w:bidi w:val="0"/>
                    <w:jc w:val="center"/>
                    <w:rPr>
                      <w:rFonts w:hint="default" w:ascii="Times New Roman" w:hAnsi="Times New Roman" w:cs="Times New Roman"/>
                      <w:color w:val="auto"/>
                      <w:lang w:val="en-US" w:eastAsia="zh-CN"/>
                    </w:rPr>
                  </w:pPr>
                </w:p>
              </w:tc>
            </w:tr>
          </w:tbl>
          <w:p w14:paraId="042499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由上表可知，项目通过采用选用低噪的设备，固定设备安装减震基座、隔音门窗、减震等方式对噪声进行控制，并且在场地周围种植花草树木，</w:t>
            </w:r>
            <w:r>
              <w:rPr>
                <w:rFonts w:hint="eastAsia" w:cs="Times New Roman"/>
                <w:color w:val="auto"/>
                <w:sz w:val="24"/>
                <w:szCs w:val="24"/>
                <w:highlight w:val="none"/>
                <w:lang w:val="en-US" w:eastAsia="zh-CN"/>
              </w:rPr>
              <w:t>厂界西侧设置2.5m高围挡，</w:t>
            </w:r>
            <w:r>
              <w:rPr>
                <w:rFonts w:hint="default" w:ascii="Times New Roman" w:hAnsi="Times New Roman" w:cs="Times New Roman"/>
                <w:color w:val="auto"/>
                <w:sz w:val="24"/>
                <w:szCs w:val="24"/>
                <w:highlight w:val="none"/>
                <w:lang w:val="en-US" w:eastAsia="zh-CN"/>
              </w:rPr>
              <w:t>厂界噪声的贡献值在40.0~48.5dB（A）之间，厂界噪声贡献值均满足《工业企业厂界环境噪声排放标准》(GB12348-2008)2类标准要求，对周围声环境不会产生明显影响。在原料运输过程中车辆在居民处应减速慢行，禁止鸣笛，避免对沿途居民产生影响。</w:t>
            </w:r>
          </w:p>
          <w:p w14:paraId="46E673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综上所述，噪声治理措施是可行的。</w:t>
            </w:r>
          </w:p>
          <w:p w14:paraId="3548C49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3.4监测计划</w:t>
            </w:r>
          </w:p>
          <w:p w14:paraId="01142495">
            <w:pPr>
              <w:pStyle w:val="193"/>
              <w:bidi w:val="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val="en-US" w:eastAsia="zh-CN"/>
              </w:rPr>
              <w:t>《排污单位自行监测技术指南 总则》（HJ819-2017）和《排污单位自行监测技术指南磷肥、钾肥、复混肥料、有机肥料及微生物肥料》（HJ1088-2020）要求</w:t>
            </w:r>
            <w:r>
              <w:rPr>
                <w:rFonts w:hint="default" w:ascii="Times New Roman" w:hAnsi="Times New Roman" w:cs="Times New Roman"/>
                <w:color w:val="auto"/>
              </w:rPr>
              <w:t>，并结合本项目情况，本项目厂界环境噪声监测计划见表</w:t>
            </w:r>
            <w:r>
              <w:rPr>
                <w:rFonts w:hint="default" w:ascii="Times New Roman" w:hAnsi="Times New Roman" w:cs="Times New Roman"/>
                <w:color w:val="auto"/>
                <w:lang w:val="en-US" w:eastAsia="zh-CN"/>
              </w:rPr>
              <w:t>4-6</w:t>
            </w:r>
            <w:r>
              <w:rPr>
                <w:rFonts w:hint="default" w:ascii="Times New Roman" w:hAnsi="Times New Roman" w:cs="Times New Roman"/>
                <w:color w:val="auto"/>
              </w:rPr>
              <w:t>。</w:t>
            </w:r>
          </w:p>
          <w:p w14:paraId="517DD5D2">
            <w:pPr>
              <w:bidi w:val="0"/>
              <w:jc w:val="center"/>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表4-6  厂界环境噪声监测一览表</w:t>
            </w:r>
          </w:p>
          <w:tbl>
            <w:tblPr>
              <w:tblStyle w:val="34"/>
              <w:tblW w:w="846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2794"/>
              <w:gridCol w:w="2112"/>
              <w:gridCol w:w="2124"/>
            </w:tblGrid>
            <w:tr w14:paraId="3F8781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6" w:type="dxa"/>
                  <w:tcBorders>
                    <w:tl2br w:val="nil"/>
                    <w:tr2bl w:val="nil"/>
                  </w:tcBorders>
                  <w:noWrap w:val="0"/>
                  <w:vAlign w:val="center"/>
                </w:tcPr>
                <w:p w14:paraId="76D10513">
                  <w:pPr>
                    <w:pStyle w:val="77"/>
                    <w:bidi w:val="0"/>
                    <w:rPr>
                      <w:rFonts w:hint="default" w:ascii="Times New Roman" w:hAnsi="Times New Roman" w:cs="Times New Roman"/>
                      <w:color w:val="auto"/>
                    </w:rPr>
                  </w:pPr>
                  <w:r>
                    <w:rPr>
                      <w:rFonts w:hint="default" w:ascii="Times New Roman" w:hAnsi="Times New Roman" w:cs="Times New Roman"/>
                      <w:color w:val="auto"/>
                    </w:rPr>
                    <w:t>项目</w:t>
                  </w:r>
                </w:p>
              </w:tc>
              <w:tc>
                <w:tcPr>
                  <w:tcW w:w="2794" w:type="dxa"/>
                  <w:tcBorders>
                    <w:tl2br w:val="nil"/>
                    <w:tr2bl w:val="nil"/>
                  </w:tcBorders>
                  <w:noWrap w:val="0"/>
                  <w:vAlign w:val="center"/>
                </w:tcPr>
                <w:p w14:paraId="6FEA7CF3">
                  <w:pPr>
                    <w:pStyle w:val="77"/>
                    <w:bidi w:val="0"/>
                    <w:rPr>
                      <w:rFonts w:hint="default" w:ascii="Times New Roman" w:hAnsi="Times New Roman" w:cs="Times New Roman"/>
                      <w:color w:val="auto"/>
                    </w:rPr>
                  </w:pPr>
                  <w:r>
                    <w:rPr>
                      <w:rFonts w:hint="default" w:ascii="Times New Roman" w:hAnsi="Times New Roman" w:cs="Times New Roman"/>
                      <w:color w:val="auto"/>
                    </w:rPr>
                    <w:t>监测点位</w:t>
                  </w:r>
                </w:p>
              </w:tc>
              <w:tc>
                <w:tcPr>
                  <w:tcW w:w="2112" w:type="dxa"/>
                  <w:tcBorders>
                    <w:tl2br w:val="nil"/>
                    <w:tr2bl w:val="nil"/>
                  </w:tcBorders>
                  <w:noWrap w:val="0"/>
                  <w:vAlign w:val="center"/>
                </w:tcPr>
                <w:p w14:paraId="6A81E3ED">
                  <w:pPr>
                    <w:pStyle w:val="77"/>
                    <w:bidi w:val="0"/>
                    <w:rPr>
                      <w:rFonts w:hint="default" w:ascii="Times New Roman" w:hAnsi="Times New Roman" w:cs="Times New Roman"/>
                      <w:color w:val="auto"/>
                    </w:rPr>
                  </w:pPr>
                  <w:r>
                    <w:rPr>
                      <w:rFonts w:hint="default" w:ascii="Times New Roman" w:hAnsi="Times New Roman" w:cs="Times New Roman"/>
                      <w:color w:val="auto"/>
                    </w:rPr>
                    <w:t>监测指标</w:t>
                  </w:r>
                </w:p>
              </w:tc>
              <w:tc>
                <w:tcPr>
                  <w:tcW w:w="2124" w:type="dxa"/>
                  <w:tcBorders>
                    <w:tl2br w:val="nil"/>
                    <w:tr2bl w:val="nil"/>
                  </w:tcBorders>
                  <w:noWrap w:val="0"/>
                  <w:vAlign w:val="center"/>
                </w:tcPr>
                <w:p w14:paraId="0810B242">
                  <w:pPr>
                    <w:pStyle w:val="77"/>
                    <w:bidi w:val="0"/>
                    <w:rPr>
                      <w:rFonts w:hint="default" w:ascii="Times New Roman" w:hAnsi="Times New Roman" w:cs="Times New Roman"/>
                      <w:color w:val="auto"/>
                    </w:rPr>
                  </w:pPr>
                  <w:r>
                    <w:rPr>
                      <w:rFonts w:hint="default" w:ascii="Times New Roman" w:hAnsi="Times New Roman" w:cs="Times New Roman"/>
                      <w:color w:val="auto"/>
                    </w:rPr>
                    <w:t>监测频次</w:t>
                  </w:r>
                </w:p>
              </w:tc>
            </w:tr>
            <w:tr w14:paraId="0840E6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6" w:type="dxa"/>
                  <w:tcBorders>
                    <w:tl2br w:val="nil"/>
                    <w:tr2bl w:val="nil"/>
                  </w:tcBorders>
                  <w:noWrap w:val="0"/>
                  <w:vAlign w:val="center"/>
                </w:tcPr>
                <w:p w14:paraId="694A9200">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厂界噪声</w:t>
                  </w:r>
                </w:p>
              </w:tc>
              <w:tc>
                <w:tcPr>
                  <w:tcW w:w="2794" w:type="dxa"/>
                  <w:tcBorders>
                    <w:tl2br w:val="nil"/>
                    <w:tr2bl w:val="nil"/>
                  </w:tcBorders>
                  <w:noWrap w:val="0"/>
                  <w:vAlign w:val="center"/>
                </w:tcPr>
                <w:p w14:paraId="0125C7C5">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厂界四周</w:t>
                  </w:r>
                </w:p>
              </w:tc>
              <w:tc>
                <w:tcPr>
                  <w:tcW w:w="2112" w:type="dxa"/>
                  <w:tcBorders>
                    <w:tl2br w:val="nil"/>
                    <w:tr2bl w:val="nil"/>
                  </w:tcBorders>
                  <w:noWrap w:val="0"/>
                  <w:vAlign w:val="center"/>
                </w:tcPr>
                <w:p w14:paraId="413BB025">
                  <w:pPr>
                    <w:pStyle w:val="77"/>
                    <w:bidi w:val="0"/>
                    <w:rPr>
                      <w:rFonts w:hint="default" w:ascii="Times New Roman" w:hAnsi="Times New Roman" w:cs="Times New Roman"/>
                      <w:color w:val="auto"/>
                    </w:rPr>
                  </w:pPr>
                  <w:r>
                    <w:rPr>
                      <w:rFonts w:hint="default" w:ascii="Times New Roman" w:hAnsi="Times New Roman" w:cs="Times New Roman"/>
                      <w:color w:val="auto"/>
                    </w:rPr>
                    <w:t>等效</w:t>
                  </w:r>
                  <w:r>
                    <w:rPr>
                      <w:rFonts w:hint="default" w:ascii="Times New Roman" w:hAnsi="Times New Roman" w:cs="Times New Roman"/>
                      <w:color w:val="auto"/>
                      <w:lang w:val="en-US" w:eastAsia="zh-CN"/>
                    </w:rPr>
                    <w:t>连续</w:t>
                  </w:r>
                  <w:r>
                    <w:rPr>
                      <w:rFonts w:hint="default" w:ascii="Times New Roman" w:hAnsi="Times New Roman" w:cs="Times New Roman"/>
                      <w:color w:val="auto"/>
                    </w:rPr>
                    <w:t>A声级</w:t>
                  </w:r>
                </w:p>
              </w:tc>
              <w:tc>
                <w:tcPr>
                  <w:tcW w:w="2124" w:type="dxa"/>
                  <w:tcBorders>
                    <w:tl2br w:val="nil"/>
                    <w:tr2bl w:val="nil"/>
                  </w:tcBorders>
                  <w:noWrap w:val="0"/>
                  <w:vAlign w:val="center"/>
                </w:tcPr>
                <w:p w14:paraId="25AD6C2B">
                  <w:pPr>
                    <w:pStyle w:val="77"/>
                    <w:bidi w:val="0"/>
                    <w:rPr>
                      <w:rFonts w:hint="default" w:ascii="Times New Roman" w:hAnsi="Times New Roman" w:cs="Times New Roman"/>
                      <w:color w:val="auto"/>
                    </w:rPr>
                  </w:pPr>
                  <w:r>
                    <w:rPr>
                      <w:rFonts w:hint="default" w:ascii="Times New Roman" w:hAnsi="Times New Roman" w:cs="Times New Roman"/>
                      <w:color w:val="auto"/>
                    </w:rPr>
                    <w:t>1次/季度</w:t>
                  </w:r>
                </w:p>
              </w:tc>
            </w:tr>
            <w:tr w14:paraId="4F8A69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6" w:type="dxa"/>
                  <w:tcBorders>
                    <w:tl2br w:val="nil"/>
                    <w:tr2bl w:val="nil"/>
                  </w:tcBorders>
                  <w:noWrap w:val="0"/>
                  <w:vAlign w:val="center"/>
                </w:tcPr>
                <w:p w14:paraId="2460E526">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西侧敏感点</w:t>
                  </w:r>
                </w:p>
              </w:tc>
              <w:tc>
                <w:tcPr>
                  <w:tcW w:w="2794" w:type="dxa"/>
                  <w:tcBorders>
                    <w:tl2br w:val="nil"/>
                    <w:tr2bl w:val="nil"/>
                  </w:tcBorders>
                  <w:noWrap w:val="0"/>
                  <w:vAlign w:val="center"/>
                </w:tcPr>
                <w:p w14:paraId="1229C8A9">
                  <w:pPr>
                    <w:pStyle w:val="7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敏感点</w:t>
                  </w:r>
                </w:p>
              </w:tc>
              <w:tc>
                <w:tcPr>
                  <w:tcW w:w="2112" w:type="dxa"/>
                  <w:tcBorders>
                    <w:tl2br w:val="nil"/>
                    <w:tr2bl w:val="nil"/>
                  </w:tcBorders>
                  <w:noWrap w:val="0"/>
                  <w:vAlign w:val="center"/>
                </w:tcPr>
                <w:p w14:paraId="0FEA64FB">
                  <w:pPr>
                    <w:pStyle w:val="77"/>
                    <w:bidi w:val="0"/>
                    <w:rPr>
                      <w:rFonts w:hint="default" w:ascii="Times New Roman" w:hAnsi="Times New Roman" w:cs="Times New Roman"/>
                      <w:color w:val="auto"/>
                    </w:rPr>
                  </w:pPr>
                  <w:r>
                    <w:rPr>
                      <w:rFonts w:hint="default" w:ascii="Times New Roman" w:hAnsi="Times New Roman" w:cs="Times New Roman"/>
                      <w:color w:val="auto"/>
                    </w:rPr>
                    <w:t>等效</w:t>
                  </w:r>
                  <w:r>
                    <w:rPr>
                      <w:rFonts w:hint="default" w:ascii="Times New Roman" w:hAnsi="Times New Roman" w:cs="Times New Roman"/>
                      <w:color w:val="auto"/>
                      <w:lang w:val="en-US" w:eastAsia="zh-CN"/>
                    </w:rPr>
                    <w:t>连续</w:t>
                  </w:r>
                  <w:r>
                    <w:rPr>
                      <w:rFonts w:hint="default" w:ascii="Times New Roman" w:hAnsi="Times New Roman" w:cs="Times New Roman"/>
                      <w:color w:val="auto"/>
                    </w:rPr>
                    <w:t>A声级</w:t>
                  </w:r>
                </w:p>
              </w:tc>
              <w:tc>
                <w:tcPr>
                  <w:tcW w:w="2124" w:type="dxa"/>
                  <w:tcBorders>
                    <w:tl2br w:val="nil"/>
                    <w:tr2bl w:val="nil"/>
                  </w:tcBorders>
                  <w:noWrap w:val="0"/>
                  <w:vAlign w:val="center"/>
                </w:tcPr>
                <w:p w14:paraId="0A6B0DA2">
                  <w:pPr>
                    <w:pStyle w:val="77"/>
                    <w:bidi w:val="0"/>
                    <w:rPr>
                      <w:rFonts w:hint="default" w:ascii="Times New Roman" w:hAnsi="Times New Roman" w:cs="Times New Roman"/>
                      <w:color w:val="auto"/>
                    </w:rPr>
                  </w:pPr>
                  <w:r>
                    <w:rPr>
                      <w:rFonts w:hint="default" w:ascii="Times New Roman" w:hAnsi="Times New Roman" w:cs="Times New Roman"/>
                      <w:color w:val="auto"/>
                    </w:rPr>
                    <w:t>1次/季度</w:t>
                  </w:r>
                </w:p>
              </w:tc>
            </w:tr>
          </w:tbl>
          <w:p w14:paraId="038A27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62058A6A">
            <w:pPr>
              <w:keepNext/>
              <w:keepLines/>
              <w:tabs>
                <w:tab w:val="left" w:pos="7380"/>
              </w:tabs>
              <w:snapToGrid w:val="0"/>
              <w:spacing w:line="360" w:lineRule="auto"/>
              <w:outlineLvl w:val="3"/>
              <w:rPr>
                <w:rFonts w:hint="default" w:ascii="Times New Roman" w:hAnsi="Times New Roman" w:eastAsia="宋体" w:cs="Times New Roman"/>
                <w:b/>
                <w:bCs/>
                <w:color w:val="auto"/>
                <w:sz w:val="24"/>
                <w:lang w:val="en-US"/>
              </w:rPr>
            </w:pPr>
            <w:r>
              <w:rPr>
                <w:rFonts w:hint="default" w:ascii="Times New Roman" w:hAnsi="Times New Roman" w:eastAsia="宋体" w:cs="Times New Roman"/>
                <w:b/>
                <w:bCs/>
                <w:color w:val="auto"/>
                <w:sz w:val="24"/>
                <w:lang w:val="en-US" w:eastAsia="zh-CN"/>
              </w:rPr>
              <w:t>4、固体废物影响分析和</w:t>
            </w:r>
            <w:r>
              <w:rPr>
                <w:rFonts w:hint="default" w:ascii="Times New Roman" w:hAnsi="Times New Roman" w:eastAsia="宋体" w:cs="Times New Roman"/>
                <w:b/>
                <w:bCs/>
                <w:color w:val="auto"/>
                <w:sz w:val="24"/>
                <w:lang w:val="en-US"/>
              </w:rPr>
              <w:t>污染防治措施</w:t>
            </w:r>
          </w:p>
          <w:p w14:paraId="5504F73C">
            <w:pPr>
              <w:keepNext/>
              <w:keepLines/>
              <w:tabs>
                <w:tab w:val="left" w:pos="7380"/>
              </w:tabs>
              <w:snapToGrid w:val="0"/>
              <w:spacing w:line="360" w:lineRule="auto"/>
              <w:outlineLvl w:val="3"/>
              <w:rPr>
                <w:rFonts w:hint="default" w:ascii="Times New Roman" w:hAnsi="Times New Roman" w:eastAsia="宋体" w:cs="Times New Roman"/>
                <w:b/>
                <w:bCs/>
                <w:color w:val="auto"/>
                <w:sz w:val="24"/>
              </w:rPr>
            </w:pPr>
            <w:bookmarkStart w:id="2" w:name="_Toc164673717"/>
            <w:r>
              <w:rPr>
                <w:rFonts w:hint="default" w:ascii="Times New Roman" w:hAnsi="Times New Roman" w:eastAsia="宋体" w:cs="Times New Roman"/>
                <w:b/>
                <w:bCs/>
                <w:color w:val="auto"/>
                <w:sz w:val="24"/>
                <w:lang w:val="en-US" w:eastAsia="zh-CN"/>
              </w:rPr>
              <w:t>4.1</w:t>
            </w:r>
            <w:r>
              <w:rPr>
                <w:rFonts w:hint="default" w:ascii="Times New Roman" w:hAnsi="Times New Roman" w:eastAsia="宋体" w:cs="Times New Roman"/>
                <w:b/>
                <w:bCs/>
                <w:color w:val="auto"/>
                <w:sz w:val="24"/>
                <w:lang w:val="en-GB"/>
              </w:rPr>
              <w:t>固体废物来源、性质分析</w:t>
            </w:r>
          </w:p>
          <w:bookmarkEnd w:id="2"/>
          <w:p w14:paraId="202569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本项目生产过程中产生的固体废物主要包括分拣废料、废砂石、固体废渣、废脱硫剂、发电设备及机械设备维修产生的废机油、废滤材及废树脂、废UV灯管、检验室废液、除尘灰、废弃包装材料及生活垃圾。</w:t>
            </w:r>
          </w:p>
          <w:p w14:paraId="429576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①分拣废料</w:t>
            </w:r>
          </w:p>
          <w:p w14:paraId="795EA4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预处理工段，经生物质分离器分选出的一些塑料、纸张等轻物质，产生量约0.2t/d(73t/a)，收集后</w:t>
            </w:r>
            <w:r>
              <w:rPr>
                <w:rFonts w:hint="eastAsia" w:cs="Times New Roman"/>
                <w:color w:val="auto"/>
                <w:sz w:val="24"/>
                <w:szCs w:val="24"/>
                <w:highlight w:val="none"/>
                <w:lang w:val="en-US" w:eastAsia="zh-CN"/>
              </w:rPr>
              <w:t>可以综合利用的外委进行综合利用，其余与生活垃圾一同处置</w:t>
            </w:r>
            <w:r>
              <w:rPr>
                <w:rFonts w:hint="default" w:ascii="Times New Roman" w:hAnsi="Times New Roman" w:cs="Times New Roman"/>
                <w:color w:val="auto"/>
                <w:sz w:val="24"/>
                <w:szCs w:val="24"/>
                <w:highlight w:val="none"/>
                <w:lang w:eastAsia="zh-CN"/>
              </w:rPr>
              <w:t>。</w:t>
            </w:r>
          </w:p>
          <w:p w14:paraId="47FE45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②废砂石</w:t>
            </w:r>
          </w:p>
          <w:p w14:paraId="393ACB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根据处理工艺，除砂罐年产生废砂石颗粒量约0.1t/d(36.5t/a)，收集后外运至</w:t>
            </w:r>
            <w:r>
              <w:rPr>
                <w:rFonts w:hint="eastAsia" w:cs="Times New Roman"/>
                <w:color w:val="auto"/>
                <w:sz w:val="24"/>
                <w:szCs w:val="24"/>
                <w:highlight w:val="none"/>
                <w:lang w:val="en-US" w:eastAsia="zh-CN"/>
              </w:rPr>
              <w:t>指定地点处理</w:t>
            </w:r>
            <w:r>
              <w:rPr>
                <w:rFonts w:hint="default" w:ascii="Times New Roman" w:hAnsi="Times New Roman" w:cs="Times New Roman"/>
                <w:color w:val="auto"/>
                <w:sz w:val="24"/>
                <w:szCs w:val="24"/>
                <w:highlight w:val="none"/>
                <w:lang w:eastAsia="zh-CN"/>
              </w:rPr>
              <w:t>。</w:t>
            </w:r>
          </w:p>
          <w:p w14:paraId="070EAD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③废脱硫剂</w:t>
            </w:r>
          </w:p>
          <w:p w14:paraId="523F0E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发电机组为内燃式，对沼气纯度有要求；厂区产生的沼气需进行脱硫处理(干法脱硫工艺净化)，项目沼气含硫量为0.3%，厂区脱硫塔年消耗脱硫剂约20,产生废脱硫剂约为26t；废脱硫剂主要成分为S、FeS、Fe₂O₃、FeSO4等，利用致无法再生时，由厂家回收处置。</w:t>
            </w:r>
          </w:p>
          <w:p w14:paraId="4BE6C5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④废机油</w:t>
            </w:r>
          </w:p>
          <w:p w14:paraId="46F1C0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本项目发电设备及机械设备维修过程，会产生废机油。根据建设单位提供的 资料，废机油产生量为0.5t/a，属于危险废物，于危废贮存库收集后交由有资质单位清运处置。</w:t>
            </w:r>
          </w:p>
          <w:p w14:paraId="2F28DD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⑤废滤材及废树脂</w:t>
            </w:r>
          </w:p>
          <w:p w14:paraId="453956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本项目使用锅炉补充水为软化水，采用离子交换树脂作为锅炉软水主体设备，滤材及树脂需定期更换。废滤材及废树脂产生为0.06t/a，更换的废滤材及废树脂交由更换树脂的厂家回收，不在厂区暂存。</w:t>
            </w:r>
          </w:p>
          <w:p w14:paraId="49F6F2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⑥废UV灯管</w:t>
            </w:r>
          </w:p>
          <w:p w14:paraId="42D9B1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卸料区恶臭气体采用“车间收集+雾化喷淋除臭剂+UV光催化氧化”除臭工艺，其中UV灯管需定期进行更换。按照《国家危险废物名录》，项目废UV灯管属于危险废物，危废类别HW29，本项目灯管寿命约8000h，建设单位拟定每三年更换一次，产生量约0.01ta，于危废贮存库收集后交由有资质单位清运处置。</w:t>
            </w:r>
          </w:p>
          <w:p w14:paraId="20B3C5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⑦检验室废液</w:t>
            </w:r>
          </w:p>
          <w:p w14:paraId="6DB80E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检验室废物为化验过程中产生的各种废液，年产生量为0.1ta；作为危险废物处置。</w:t>
            </w:r>
          </w:p>
          <w:p w14:paraId="043A9E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⑧</w:t>
            </w:r>
            <w:r>
              <w:rPr>
                <w:rFonts w:hint="default" w:ascii="Times New Roman" w:hAnsi="Times New Roman" w:cs="Times New Roman"/>
                <w:color w:val="auto"/>
                <w:sz w:val="24"/>
                <w:szCs w:val="24"/>
                <w:highlight w:val="none"/>
                <w:lang w:val="en-US" w:eastAsia="zh-CN"/>
              </w:rPr>
              <w:t>除尘灰</w:t>
            </w:r>
          </w:p>
          <w:p w14:paraId="06A226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项目除尘灰为</w:t>
            </w:r>
            <w:r>
              <w:rPr>
                <w:rFonts w:hint="default" w:ascii="Times New Roman" w:hAnsi="Times New Roman" w:cs="Times New Roman"/>
                <w:color w:val="auto"/>
                <w:sz w:val="24"/>
                <w:szCs w:val="24"/>
                <w:highlight w:val="none"/>
                <w:lang w:val="en-US" w:eastAsia="zh-CN"/>
              </w:rPr>
              <w:t>6.49</w:t>
            </w:r>
            <w:r>
              <w:rPr>
                <w:rFonts w:hint="default" w:ascii="Times New Roman" w:hAnsi="Times New Roman" w:cs="Times New Roman"/>
                <w:color w:val="auto"/>
                <w:sz w:val="24"/>
                <w:szCs w:val="24"/>
                <w:highlight w:val="none"/>
                <w:lang w:eastAsia="zh-CN"/>
              </w:rPr>
              <w:t>t/a，与原材料成分相同，作为原料重新进入生产过程。</w:t>
            </w:r>
          </w:p>
          <w:p w14:paraId="4B2284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⑨</w:t>
            </w:r>
            <w:r>
              <w:rPr>
                <w:rFonts w:hint="default" w:ascii="Times New Roman" w:hAnsi="Times New Roman" w:cs="Times New Roman"/>
                <w:color w:val="auto"/>
                <w:sz w:val="24"/>
                <w:szCs w:val="24"/>
                <w:highlight w:val="none"/>
                <w:lang w:eastAsia="zh-CN"/>
              </w:rPr>
              <w:t>项目烘干、冷却工序生物质颗粒燃烧产生的灰量为0.</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lang w:eastAsia="zh-CN"/>
              </w:rPr>
              <w:t>t/a，集中收集后</w:t>
            </w:r>
            <w:r>
              <w:rPr>
                <w:rFonts w:hint="default" w:ascii="Times New Roman" w:hAnsi="Times New Roman" w:cs="Times New Roman"/>
                <w:color w:val="auto"/>
                <w:sz w:val="24"/>
                <w:szCs w:val="24"/>
                <w:highlight w:val="none"/>
                <w:lang w:val="en-US" w:eastAsia="zh-CN"/>
              </w:rPr>
              <w:t>回用有机肥生产</w:t>
            </w:r>
            <w:r>
              <w:rPr>
                <w:rFonts w:hint="default" w:ascii="Times New Roman" w:hAnsi="Times New Roman" w:cs="Times New Roman"/>
                <w:color w:val="auto"/>
                <w:sz w:val="24"/>
                <w:szCs w:val="24"/>
                <w:highlight w:val="none"/>
                <w:lang w:eastAsia="zh-CN"/>
              </w:rPr>
              <w:t>。</w:t>
            </w:r>
          </w:p>
          <w:p w14:paraId="412A04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⑩</w:t>
            </w:r>
            <w:r>
              <w:rPr>
                <w:rFonts w:hint="default" w:ascii="Times New Roman" w:hAnsi="Times New Roman" w:cs="Times New Roman"/>
                <w:color w:val="auto"/>
                <w:sz w:val="24"/>
                <w:szCs w:val="24"/>
                <w:highlight w:val="none"/>
                <w:lang w:eastAsia="zh-CN"/>
              </w:rPr>
              <w:t>废弃包装材料的产生量为0.</w:t>
            </w:r>
            <w:r>
              <w:rPr>
                <w:rFonts w:hint="default" w:ascii="Times New Roman" w:hAnsi="Times New Roman" w:cs="Times New Roman"/>
                <w:color w:val="auto"/>
                <w:sz w:val="24"/>
                <w:szCs w:val="24"/>
                <w:highlight w:val="none"/>
                <w:lang w:val="en-US" w:eastAsia="zh-CN"/>
              </w:rPr>
              <w:t>82</w:t>
            </w:r>
            <w:r>
              <w:rPr>
                <w:rFonts w:hint="default" w:ascii="Times New Roman" w:hAnsi="Times New Roman" w:cs="Times New Roman"/>
                <w:color w:val="auto"/>
                <w:sz w:val="24"/>
                <w:szCs w:val="24"/>
                <w:highlight w:val="none"/>
                <w:lang w:eastAsia="zh-CN"/>
              </w:rPr>
              <w:t>t/a，收集后</w:t>
            </w:r>
            <w:r>
              <w:rPr>
                <w:rFonts w:hint="eastAsia" w:cs="Times New Roman"/>
                <w:color w:val="auto"/>
                <w:sz w:val="24"/>
                <w:szCs w:val="24"/>
                <w:highlight w:val="none"/>
                <w:lang w:val="en-US" w:eastAsia="zh-CN"/>
              </w:rPr>
              <w:t>可以综合利用的外委进行综合利用，其余与生活垃圾一同处置</w:t>
            </w:r>
            <w:r>
              <w:rPr>
                <w:rFonts w:hint="default" w:ascii="Times New Roman" w:hAnsi="Times New Roman" w:cs="Times New Roman"/>
                <w:color w:val="auto"/>
                <w:sz w:val="24"/>
                <w:szCs w:val="24"/>
                <w:highlight w:val="none"/>
                <w:lang w:eastAsia="zh-CN"/>
              </w:rPr>
              <w:t>。</w:t>
            </w:r>
          </w:p>
          <w:p w14:paraId="24694D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⑾</w:t>
            </w:r>
            <w:r>
              <w:rPr>
                <w:rFonts w:hint="default" w:ascii="Times New Roman" w:hAnsi="Times New Roman" w:cs="Times New Roman"/>
                <w:color w:val="auto"/>
                <w:sz w:val="24"/>
                <w:szCs w:val="24"/>
                <w:highlight w:val="none"/>
                <w:lang w:eastAsia="zh-CN"/>
              </w:rPr>
              <w:t>生活垃圾</w:t>
            </w:r>
          </w:p>
          <w:p w14:paraId="7FF9D9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本项目劳动定员10人，生活垃圾每人每天按1kg/d计，生活垃圾产生量为0.01td(3.65ta)，集中收集后拉运政府指定生活垃圾暂存点处置。</w:t>
            </w:r>
          </w:p>
          <w:p w14:paraId="5B6E8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项目的各种固废产生量见下表</w:t>
            </w:r>
            <w:r>
              <w:rPr>
                <w:rFonts w:hint="default" w:ascii="Times New Roman" w:hAnsi="Times New Roman" w:cs="Times New Roman"/>
                <w:color w:val="auto"/>
                <w:sz w:val="24"/>
                <w:szCs w:val="24"/>
                <w:highlight w:val="none"/>
                <w:lang w:val="en-US" w:eastAsia="zh-CN"/>
              </w:rPr>
              <w:t>4-7</w:t>
            </w:r>
            <w:r>
              <w:rPr>
                <w:rFonts w:hint="default" w:ascii="Times New Roman" w:hAnsi="Times New Roman" w:cs="Times New Roman"/>
                <w:color w:val="auto"/>
                <w:sz w:val="24"/>
                <w:szCs w:val="24"/>
                <w:highlight w:val="none"/>
                <w:lang w:eastAsia="zh-CN"/>
              </w:rPr>
              <w:t>。</w:t>
            </w:r>
          </w:p>
          <w:p w14:paraId="2A2EA2B8">
            <w:pPr>
              <w:ind w:firstLine="482"/>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表4</w:t>
            </w:r>
            <w:r>
              <w:rPr>
                <w:rFonts w:hint="default" w:ascii="Times New Roman" w:hAnsi="Times New Roman" w:cs="Times New Roman"/>
                <w:b/>
                <w:color w:val="auto"/>
                <w:szCs w:val="24"/>
                <w:lang w:val="en-US" w:eastAsia="zh-CN"/>
              </w:rPr>
              <w:t>-7</w:t>
            </w:r>
            <w:r>
              <w:rPr>
                <w:rFonts w:hint="default" w:ascii="Times New Roman" w:hAnsi="Times New Roman" w:cs="Times New Roman"/>
                <w:b/>
                <w:color w:val="auto"/>
                <w:szCs w:val="24"/>
              </w:rPr>
              <w:t xml:space="preserve">  固废产生及处置情况一览表（单位：t/a）</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9"/>
              <w:gridCol w:w="1470"/>
              <w:gridCol w:w="1219"/>
              <w:gridCol w:w="1368"/>
              <w:gridCol w:w="1067"/>
              <w:gridCol w:w="1044"/>
              <w:gridCol w:w="1804"/>
            </w:tblGrid>
            <w:tr w14:paraId="3B5DA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1EE8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序号</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76AA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名称</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DDE5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产生工序</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40A8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主要成分</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6E1A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产生量t/a</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0CDC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固废类别</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41D133C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处置措施</w:t>
                  </w:r>
                </w:p>
              </w:tc>
            </w:tr>
            <w:tr w14:paraId="07DFD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2B9F7D1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1139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分离废料</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90D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预处理工序</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7869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塑料、纸张等轻物质</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C924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73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E0B3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一般固废</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63D17D9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lang w:val="en-US" w:eastAsia="zh-CN"/>
                    </w:rPr>
                    <w:t>综合利用/与生活垃圾一同处置</w:t>
                  </w:r>
                </w:p>
              </w:tc>
            </w:tr>
            <w:tr w14:paraId="7D72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41EB3DF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7DFC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废砂石</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CAF0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预处理工序</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66B5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废砂石颗粒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2B9E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36.5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1691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一般固废</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0B6673C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rPr>
                  </w:pPr>
                  <w:r>
                    <w:rPr>
                      <w:rFonts w:hint="eastAsia" w:ascii="Times New Roman" w:cs="Times New Roman" w:eastAsiaTheme="minorEastAsia"/>
                      <w:color w:val="auto"/>
                      <w:sz w:val="21"/>
                      <w:szCs w:val="21"/>
                      <w:lang w:val="en-US" w:eastAsia="zh-CN"/>
                    </w:rPr>
                    <w:t>指定处置地点</w:t>
                  </w:r>
                </w:p>
              </w:tc>
            </w:tr>
            <w:tr w14:paraId="2099F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34A7B51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65CF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废脱硫剂</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4D3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沼气净化</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3D18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vertAlign w:val="subscript"/>
                      <w:lang w:val="en-US"/>
                    </w:rPr>
                  </w:pPr>
                  <w:r>
                    <w:rPr>
                      <w:rFonts w:hint="default" w:ascii="Times New Roman" w:hAnsi="Times New Roman" w:cs="Times New Roman" w:eastAsiaTheme="minorEastAsia"/>
                      <w:color w:val="auto"/>
                      <w:sz w:val="21"/>
                      <w:szCs w:val="21"/>
                      <w:lang w:val="en-US" w:eastAsia="zh-CN"/>
                    </w:rPr>
                    <w:t>S、FeS、Fe</w:t>
                  </w:r>
                  <w:r>
                    <w:rPr>
                      <w:rFonts w:hint="default" w:ascii="Times New Roman" w:hAnsi="Times New Roman" w:cs="Times New Roman" w:eastAsiaTheme="minorEastAsia"/>
                      <w:color w:val="auto"/>
                      <w:sz w:val="21"/>
                      <w:szCs w:val="21"/>
                      <w:vertAlign w:val="subscript"/>
                      <w:lang w:val="en-US" w:eastAsia="zh-CN"/>
                    </w:rPr>
                    <w:t>2</w:t>
                  </w:r>
                  <w:r>
                    <w:rPr>
                      <w:rFonts w:hint="default" w:ascii="Times New Roman" w:hAnsi="Times New Roman" w:cs="Times New Roman" w:eastAsiaTheme="minorEastAsia"/>
                      <w:color w:val="auto"/>
                      <w:sz w:val="21"/>
                      <w:szCs w:val="21"/>
                      <w:lang w:val="en-US" w:eastAsia="zh-CN"/>
                    </w:rPr>
                    <w:t>O₃、FeSO</w:t>
                  </w:r>
                  <w:r>
                    <w:rPr>
                      <w:rFonts w:hint="default" w:ascii="Times New Roman" w:hAnsi="Times New Roman" w:cs="Times New Roman" w:eastAsiaTheme="minorEastAsia"/>
                      <w:color w:val="auto"/>
                      <w:sz w:val="21"/>
                      <w:szCs w:val="21"/>
                      <w:vertAlign w:val="subscript"/>
                      <w:lang w:val="en-US" w:eastAsia="zh-CN"/>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959E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82C6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鉴别</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068F480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由厂家回收处置</w:t>
                  </w:r>
                </w:p>
              </w:tc>
            </w:tr>
            <w:tr w14:paraId="1132A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105C649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4</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09D0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废机油</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AD79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设备维修</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7874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矿物油等</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689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9A8F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危险废物</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04EB439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委托资质单位处置</w:t>
                  </w:r>
                </w:p>
              </w:tc>
            </w:tr>
            <w:tr w14:paraId="22AE1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41A6AFA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0579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废滤材及废树脂</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95BE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软化水制备</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2281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树脂等</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3FBF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0.006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C1D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一般固废</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4D7A492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由更换厂家回收</w:t>
                  </w:r>
                </w:p>
              </w:tc>
            </w:tr>
            <w:tr w14:paraId="2B2D4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6B51706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6</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D03F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废UV灯管</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9196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除臭系统</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3147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UV灯管</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67B7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C20A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危险废物</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71D01E8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委托资质单位处置</w:t>
                  </w:r>
                </w:p>
              </w:tc>
            </w:tr>
            <w:tr w14:paraId="7FE12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686C0D1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7</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A8EF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检验室废液</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74FF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化验过程</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141A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酸碱等</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DEAA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2FFB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危险废物</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1801B2F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委托资质单位处置</w:t>
                  </w:r>
                </w:p>
              </w:tc>
            </w:tr>
            <w:tr w14:paraId="51158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0046A84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8D99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除尘灰</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B032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除尘</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4AB4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粉尘</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26FD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6.49</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2FD9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一般固废</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7B8BA80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回用有机肥原料</w:t>
                  </w:r>
                </w:p>
              </w:tc>
            </w:tr>
            <w:tr w14:paraId="64EC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31D8108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6091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生物质燃烧灰</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0F01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烘干</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9D30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废渣</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B5F4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6981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一般固废</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01FE4BC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回用有机肥原料</w:t>
                  </w:r>
                </w:p>
              </w:tc>
            </w:tr>
            <w:tr w14:paraId="39DA6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4086F2A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98F0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废包装材料</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4A1F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原料添加</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6906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包装袋</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F5AE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DD7B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一般固废</w:t>
                  </w:r>
                </w:p>
              </w:tc>
              <w:tc>
                <w:tcPr>
                  <w:tcW w:w="1064" w:type="pct"/>
                  <w:tcBorders>
                    <w:top w:val="single" w:color="000000" w:sz="4" w:space="0"/>
                    <w:left w:val="single" w:color="000000" w:sz="4" w:space="0"/>
                    <w:bottom w:val="single" w:color="000000" w:sz="4" w:space="0"/>
                    <w:right w:val="nil"/>
                  </w:tcBorders>
                  <w:shd w:val="clear" w:color="auto" w:fill="auto"/>
                  <w:vAlign w:val="center"/>
                </w:tcPr>
                <w:p w14:paraId="70E38AF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lang w:val="en-US" w:eastAsia="zh-CN"/>
                    </w:rPr>
                    <w:t>综合利用</w:t>
                  </w:r>
                </w:p>
              </w:tc>
            </w:tr>
            <w:tr w14:paraId="1D122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6A90A27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11</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9451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生活垃圾</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C07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办公生活</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491A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生活垃圾</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05AE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3.65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4442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eastAsia" w:ascii="Times New Roman" w:cs="Times New Roman" w:eastAsiaTheme="minorEastAsia"/>
                      <w:color w:val="auto"/>
                      <w:sz w:val="21"/>
                      <w:szCs w:val="21"/>
                      <w:lang w:val="en-US" w:eastAsia="zh-CN"/>
                    </w:rPr>
                    <w:t>一般</w:t>
                  </w:r>
                  <w:r>
                    <w:rPr>
                      <w:rFonts w:hint="default" w:ascii="Times New Roman" w:hAnsi="Times New Roman" w:cs="Times New Roman" w:eastAsiaTheme="minorEastAsia"/>
                      <w:color w:val="auto"/>
                      <w:sz w:val="21"/>
                      <w:szCs w:val="21"/>
                      <w:lang w:val="en-US" w:eastAsia="zh-CN"/>
                    </w:rPr>
                    <w:t>固废</w:t>
                  </w:r>
                </w:p>
              </w:tc>
              <w:tc>
                <w:tcPr>
                  <w:tcW w:w="1064" w:type="pct"/>
                  <w:vMerge w:val="restart"/>
                  <w:tcBorders>
                    <w:top w:val="single" w:color="000000" w:sz="4" w:space="0"/>
                    <w:left w:val="single" w:color="000000" w:sz="4" w:space="0"/>
                    <w:right w:val="nil"/>
                  </w:tcBorders>
                  <w:shd w:val="clear" w:color="auto" w:fill="auto"/>
                  <w:vAlign w:val="center"/>
                </w:tcPr>
                <w:p w14:paraId="64DBB71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rPr>
                    <w:t>集中收集后拉运政府指定生活垃圾暂存点处置</w:t>
                  </w:r>
                </w:p>
              </w:tc>
            </w:tr>
            <w:tr w14:paraId="48255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94" w:type="pct"/>
                  <w:tcBorders>
                    <w:top w:val="single" w:color="000000" w:sz="4" w:space="0"/>
                    <w:left w:val="nil"/>
                    <w:bottom w:val="single" w:color="000000" w:sz="4" w:space="0"/>
                    <w:right w:val="single" w:color="000000" w:sz="4" w:space="0"/>
                  </w:tcBorders>
                  <w:shd w:val="clear" w:color="auto" w:fill="auto"/>
                  <w:vAlign w:val="center"/>
                </w:tcPr>
                <w:p w14:paraId="6EA970F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w:t>
                  </w:r>
                </w:p>
              </w:tc>
              <w:tc>
                <w:tcPr>
                  <w:tcW w:w="8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138A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生物滤材</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F965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生物过滤</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F6BD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废滤材</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C6CC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FB2C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一般固废</w:t>
                  </w:r>
                </w:p>
              </w:tc>
              <w:tc>
                <w:tcPr>
                  <w:tcW w:w="1064" w:type="pct"/>
                  <w:vMerge w:val="continue"/>
                  <w:tcBorders>
                    <w:left w:val="single" w:color="000000" w:sz="4" w:space="0"/>
                    <w:bottom w:val="single" w:color="000000" w:sz="4" w:space="0"/>
                    <w:right w:val="nil"/>
                  </w:tcBorders>
                  <w:shd w:val="clear" w:color="auto" w:fill="auto"/>
                  <w:vAlign w:val="center"/>
                </w:tcPr>
                <w:p w14:paraId="14A3598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p>
              </w:tc>
            </w:tr>
          </w:tbl>
          <w:p w14:paraId="0AFBD2B0">
            <w:pPr>
              <w:ind w:firstLine="482"/>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表4</w:t>
            </w:r>
            <w:r>
              <w:rPr>
                <w:rFonts w:hint="default" w:ascii="Times New Roman" w:hAnsi="Times New Roman" w:cs="Times New Roman"/>
                <w:b/>
                <w:color w:val="auto"/>
                <w:szCs w:val="24"/>
                <w:lang w:val="en-US" w:eastAsia="zh-CN"/>
              </w:rPr>
              <w:t>-8</w:t>
            </w:r>
            <w:r>
              <w:rPr>
                <w:rFonts w:hint="default" w:ascii="Times New Roman" w:hAnsi="Times New Roman" w:cs="Times New Roman"/>
                <w:b/>
                <w:color w:val="auto"/>
                <w:szCs w:val="24"/>
              </w:rPr>
              <w:t xml:space="preserve">  </w:t>
            </w:r>
            <w:r>
              <w:rPr>
                <w:rFonts w:hint="default" w:ascii="Times New Roman" w:hAnsi="Times New Roman" w:cs="Times New Roman"/>
                <w:b/>
                <w:color w:val="auto"/>
                <w:szCs w:val="24"/>
                <w:lang w:val="en-US" w:eastAsia="zh-CN"/>
              </w:rPr>
              <w:t>危险废物</w:t>
            </w:r>
            <w:r>
              <w:rPr>
                <w:rFonts w:hint="default" w:ascii="Times New Roman" w:hAnsi="Times New Roman" w:cs="Times New Roman"/>
                <w:b/>
                <w:color w:val="auto"/>
                <w:szCs w:val="24"/>
              </w:rPr>
              <w:t>产生及处置情况一览表</w:t>
            </w:r>
          </w:p>
          <w:tbl>
            <w:tblPr>
              <w:tblStyle w:val="34"/>
              <w:tblW w:w="4995"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95"/>
              <w:gridCol w:w="710"/>
              <w:gridCol w:w="776"/>
              <w:gridCol w:w="1280"/>
              <w:gridCol w:w="741"/>
              <w:gridCol w:w="587"/>
              <w:gridCol w:w="485"/>
              <w:gridCol w:w="595"/>
              <w:gridCol w:w="489"/>
              <w:gridCol w:w="562"/>
              <w:gridCol w:w="940"/>
              <w:gridCol w:w="703"/>
            </w:tblGrid>
            <w:tr w14:paraId="2E982A0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80" w:hRule="atLeast"/>
              </w:trPr>
              <w:tc>
                <w:tcPr>
                  <w:tcW w:w="359" w:type="pct"/>
                  <w:tcBorders>
                    <w:tl2br w:val="nil"/>
                    <w:tr2bl w:val="nil"/>
                  </w:tcBorders>
                  <w:shd w:val="clear" w:color="auto" w:fill="auto"/>
                  <w:textDirection w:val="tbRlV"/>
                  <w:vAlign w:val="center"/>
                </w:tcPr>
                <w:p w14:paraId="060C70A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序号</w:t>
                  </w:r>
                </w:p>
              </w:tc>
              <w:tc>
                <w:tcPr>
                  <w:tcW w:w="427" w:type="pct"/>
                  <w:tcBorders>
                    <w:tl2br w:val="nil"/>
                    <w:tr2bl w:val="nil"/>
                  </w:tcBorders>
                  <w:shd w:val="clear" w:color="auto" w:fill="auto"/>
                  <w:vAlign w:val="center"/>
                </w:tcPr>
                <w:p w14:paraId="60FA8F1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危险废</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物名称</w:t>
                  </w:r>
                </w:p>
              </w:tc>
              <w:tc>
                <w:tcPr>
                  <w:tcW w:w="375" w:type="pct"/>
                  <w:tcBorders>
                    <w:tl2br w:val="nil"/>
                    <w:tr2bl w:val="nil"/>
                  </w:tcBorders>
                  <w:shd w:val="clear" w:color="auto" w:fill="auto"/>
                  <w:vAlign w:val="center"/>
                </w:tcPr>
                <w:p w14:paraId="79C010E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危险</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废物</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类别</w:t>
                  </w:r>
                </w:p>
              </w:tc>
              <w:tc>
                <w:tcPr>
                  <w:tcW w:w="763" w:type="pct"/>
                  <w:tcBorders>
                    <w:tl2br w:val="nil"/>
                    <w:tr2bl w:val="nil"/>
                  </w:tcBorders>
                  <w:shd w:val="clear" w:color="auto" w:fill="auto"/>
                  <w:vAlign w:val="center"/>
                </w:tcPr>
                <w:p w14:paraId="189F4D2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危险废物</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代码</w:t>
                  </w:r>
                </w:p>
              </w:tc>
              <w:tc>
                <w:tcPr>
                  <w:tcW w:w="445" w:type="pct"/>
                  <w:tcBorders>
                    <w:tl2br w:val="nil"/>
                    <w:tr2bl w:val="nil"/>
                  </w:tcBorders>
                  <w:shd w:val="clear" w:color="auto" w:fill="auto"/>
                  <w:vAlign w:val="center"/>
                </w:tcPr>
                <w:p w14:paraId="6D4D9A9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产生量(t/a)</w:t>
                  </w:r>
                </w:p>
              </w:tc>
              <w:tc>
                <w:tcPr>
                  <w:tcW w:w="354" w:type="pct"/>
                  <w:tcBorders>
                    <w:tl2br w:val="nil"/>
                    <w:tr2bl w:val="nil"/>
                  </w:tcBorders>
                  <w:shd w:val="clear" w:color="auto" w:fill="auto"/>
                  <w:vAlign w:val="center"/>
                </w:tcPr>
                <w:p w14:paraId="66CF03D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产生工序</w:t>
                  </w:r>
                </w:p>
              </w:tc>
              <w:tc>
                <w:tcPr>
                  <w:tcW w:w="294" w:type="pct"/>
                  <w:tcBorders>
                    <w:tl2br w:val="nil"/>
                    <w:tr2bl w:val="nil"/>
                  </w:tcBorders>
                  <w:shd w:val="clear" w:color="auto" w:fill="auto"/>
                  <w:vAlign w:val="center"/>
                </w:tcPr>
                <w:p w14:paraId="6B78508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形态</w:t>
                  </w:r>
                </w:p>
              </w:tc>
              <w:tc>
                <w:tcPr>
                  <w:tcW w:w="359" w:type="pct"/>
                  <w:tcBorders>
                    <w:tl2br w:val="nil"/>
                    <w:tr2bl w:val="nil"/>
                  </w:tcBorders>
                  <w:shd w:val="clear" w:color="auto" w:fill="auto"/>
                  <w:vAlign w:val="center"/>
                </w:tcPr>
                <w:p w14:paraId="71DEB65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主要成分</w:t>
                  </w:r>
                </w:p>
              </w:tc>
              <w:tc>
                <w:tcPr>
                  <w:tcW w:w="296" w:type="pct"/>
                  <w:tcBorders>
                    <w:tl2br w:val="nil"/>
                    <w:tr2bl w:val="nil"/>
                  </w:tcBorders>
                  <w:shd w:val="clear" w:color="auto" w:fill="auto"/>
                  <w:vAlign w:val="center"/>
                </w:tcPr>
                <w:p w14:paraId="3E463B5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有害成分</w:t>
                  </w:r>
                </w:p>
              </w:tc>
              <w:tc>
                <w:tcPr>
                  <w:tcW w:w="339" w:type="pct"/>
                  <w:tcBorders>
                    <w:tl2br w:val="nil"/>
                    <w:tr2bl w:val="nil"/>
                  </w:tcBorders>
                  <w:shd w:val="clear" w:color="auto" w:fill="auto"/>
                  <w:vAlign w:val="center"/>
                </w:tcPr>
                <w:p w14:paraId="0F57750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产废</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周期</w:t>
                  </w:r>
                </w:p>
              </w:tc>
              <w:tc>
                <w:tcPr>
                  <w:tcW w:w="562" w:type="pct"/>
                  <w:tcBorders>
                    <w:tl2br w:val="nil"/>
                    <w:tr2bl w:val="nil"/>
                  </w:tcBorders>
                  <w:shd w:val="clear" w:color="auto" w:fill="auto"/>
                  <w:vAlign w:val="center"/>
                </w:tcPr>
                <w:p w14:paraId="7ECA653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危险特性</w:t>
                  </w:r>
                </w:p>
              </w:tc>
              <w:tc>
                <w:tcPr>
                  <w:tcW w:w="422" w:type="pct"/>
                  <w:tcBorders>
                    <w:tl2br w:val="nil"/>
                    <w:tr2bl w:val="nil"/>
                  </w:tcBorders>
                  <w:shd w:val="clear" w:color="auto" w:fill="auto"/>
                  <w:vAlign w:val="center"/>
                </w:tcPr>
                <w:p w14:paraId="09284B1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污染防治措施</w:t>
                  </w:r>
                </w:p>
              </w:tc>
            </w:tr>
            <w:tr w14:paraId="2272CBB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359" w:type="pct"/>
                  <w:tcBorders>
                    <w:tl2br w:val="nil"/>
                    <w:tr2bl w:val="nil"/>
                  </w:tcBorders>
                  <w:shd w:val="clear" w:color="auto" w:fill="auto"/>
                  <w:vAlign w:val="center"/>
                </w:tcPr>
                <w:p w14:paraId="57A3111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1 </w:t>
                  </w:r>
                </w:p>
              </w:tc>
              <w:tc>
                <w:tcPr>
                  <w:tcW w:w="427" w:type="pct"/>
                  <w:tcBorders>
                    <w:tl2br w:val="nil"/>
                    <w:tr2bl w:val="nil"/>
                  </w:tcBorders>
                  <w:shd w:val="clear" w:color="auto" w:fill="auto"/>
                  <w:vAlign w:val="center"/>
                </w:tcPr>
                <w:p w14:paraId="72D39DF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废机油</w:t>
                  </w:r>
                </w:p>
              </w:tc>
              <w:tc>
                <w:tcPr>
                  <w:tcW w:w="375" w:type="pct"/>
                  <w:tcBorders>
                    <w:tl2br w:val="nil"/>
                    <w:tr2bl w:val="nil"/>
                  </w:tcBorders>
                  <w:shd w:val="clear" w:color="auto" w:fill="auto"/>
                  <w:vAlign w:val="center"/>
                </w:tcPr>
                <w:p w14:paraId="1CF0100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HW08</w:t>
                  </w:r>
                </w:p>
              </w:tc>
              <w:tc>
                <w:tcPr>
                  <w:tcW w:w="763" w:type="pct"/>
                  <w:tcBorders>
                    <w:tl2br w:val="nil"/>
                    <w:tr2bl w:val="nil"/>
                  </w:tcBorders>
                  <w:shd w:val="clear" w:color="auto" w:fill="auto"/>
                  <w:vAlign w:val="center"/>
                </w:tcPr>
                <w:p w14:paraId="04C435C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900-249-08</w:t>
                  </w:r>
                </w:p>
              </w:tc>
              <w:tc>
                <w:tcPr>
                  <w:tcW w:w="445" w:type="pct"/>
                  <w:tcBorders>
                    <w:tl2br w:val="nil"/>
                    <w:tr2bl w:val="nil"/>
                  </w:tcBorders>
                  <w:shd w:val="clear" w:color="auto" w:fill="auto"/>
                  <w:vAlign w:val="center"/>
                </w:tcPr>
                <w:p w14:paraId="689D74E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w:t>
                  </w:r>
                </w:p>
              </w:tc>
              <w:tc>
                <w:tcPr>
                  <w:tcW w:w="354" w:type="pct"/>
                  <w:tcBorders>
                    <w:tl2br w:val="nil"/>
                    <w:tr2bl w:val="nil"/>
                  </w:tcBorders>
                  <w:shd w:val="clear" w:color="auto" w:fill="auto"/>
                  <w:vAlign w:val="center"/>
                </w:tcPr>
                <w:p w14:paraId="4097409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设备维修</w:t>
                  </w:r>
                </w:p>
              </w:tc>
              <w:tc>
                <w:tcPr>
                  <w:tcW w:w="294" w:type="pct"/>
                  <w:tcBorders>
                    <w:tl2br w:val="nil"/>
                    <w:tr2bl w:val="nil"/>
                  </w:tcBorders>
                  <w:shd w:val="clear" w:color="auto" w:fill="auto"/>
                  <w:vAlign w:val="center"/>
                </w:tcPr>
                <w:p w14:paraId="6E5D5C8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液态</w:t>
                  </w:r>
                </w:p>
              </w:tc>
              <w:tc>
                <w:tcPr>
                  <w:tcW w:w="359" w:type="pct"/>
                  <w:tcBorders>
                    <w:tl2br w:val="nil"/>
                    <w:tr2bl w:val="nil"/>
                  </w:tcBorders>
                  <w:shd w:val="clear" w:color="auto" w:fill="auto"/>
                  <w:vAlign w:val="center"/>
                </w:tcPr>
                <w:p w14:paraId="0D490AD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机油</w:t>
                  </w:r>
                </w:p>
              </w:tc>
              <w:tc>
                <w:tcPr>
                  <w:tcW w:w="296" w:type="pct"/>
                  <w:tcBorders>
                    <w:tl2br w:val="nil"/>
                    <w:tr2bl w:val="nil"/>
                  </w:tcBorders>
                  <w:shd w:val="clear" w:color="auto" w:fill="auto"/>
                  <w:vAlign w:val="center"/>
                </w:tcPr>
                <w:p w14:paraId="7C858D2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机油</w:t>
                  </w:r>
                </w:p>
              </w:tc>
              <w:tc>
                <w:tcPr>
                  <w:tcW w:w="339" w:type="pct"/>
                  <w:tcBorders>
                    <w:tl2br w:val="nil"/>
                    <w:tr2bl w:val="nil"/>
                  </w:tcBorders>
                  <w:shd w:val="clear" w:color="auto" w:fill="auto"/>
                  <w:vAlign w:val="center"/>
                </w:tcPr>
                <w:p w14:paraId="07B57CA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每月</w:t>
                  </w:r>
                </w:p>
              </w:tc>
              <w:tc>
                <w:tcPr>
                  <w:tcW w:w="562" w:type="pct"/>
                  <w:tcBorders>
                    <w:tl2br w:val="nil"/>
                    <w:tr2bl w:val="nil"/>
                  </w:tcBorders>
                  <w:shd w:val="clear" w:color="auto" w:fill="auto"/>
                  <w:vAlign w:val="center"/>
                </w:tcPr>
                <w:p w14:paraId="7AA0CD4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T/I</w:t>
                  </w:r>
                </w:p>
              </w:tc>
              <w:tc>
                <w:tcPr>
                  <w:tcW w:w="422" w:type="pct"/>
                  <w:vMerge w:val="restart"/>
                  <w:tcBorders>
                    <w:tl2br w:val="nil"/>
                    <w:tr2bl w:val="nil"/>
                  </w:tcBorders>
                  <w:shd w:val="clear" w:color="auto" w:fill="auto"/>
                  <w:vAlign w:val="center"/>
                </w:tcPr>
                <w:p w14:paraId="6E3FD25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委托资质单位清运处置</w:t>
                  </w:r>
                </w:p>
              </w:tc>
            </w:tr>
            <w:tr w14:paraId="52918E0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359" w:type="pct"/>
                  <w:tcBorders>
                    <w:tl2br w:val="nil"/>
                    <w:tr2bl w:val="nil"/>
                  </w:tcBorders>
                  <w:shd w:val="clear" w:color="auto" w:fill="auto"/>
                  <w:vAlign w:val="center"/>
                </w:tcPr>
                <w:p w14:paraId="6E5CFA1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2 </w:t>
                  </w:r>
                </w:p>
              </w:tc>
              <w:tc>
                <w:tcPr>
                  <w:tcW w:w="427" w:type="pct"/>
                  <w:tcBorders>
                    <w:tl2br w:val="nil"/>
                    <w:tr2bl w:val="nil"/>
                  </w:tcBorders>
                  <w:shd w:val="clear" w:color="auto" w:fill="auto"/>
                  <w:vAlign w:val="center"/>
                </w:tcPr>
                <w:p w14:paraId="013F2DB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废UV灯管</w:t>
                  </w:r>
                </w:p>
              </w:tc>
              <w:tc>
                <w:tcPr>
                  <w:tcW w:w="375" w:type="pct"/>
                  <w:tcBorders>
                    <w:tl2br w:val="nil"/>
                    <w:tr2bl w:val="nil"/>
                  </w:tcBorders>
                  <w:shd w:val="clear" w:color="auto" w:fill="auto"/>
                  <w:vAlign w:val="center"/>
                </w:tcPr>
                <w:p w14:paraId="54AB373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HW29</w:t>
                  </w:r>
                </w:p>
              </w:tc>
              <w:tc>
                <w:tcPr>
                  <w:tcW w:w="763" w:type="pct"/>
                  <w:tcBorders>
                    <w:tl2br w:val="nil"/>
                    <w:tr2bl w:val="nil"/>
                  </w:tcBorders>
                  <w:shd w:val="clear" w:color="auto" w:fill="auto"/>
                  <w:vAlign w:val="center"/>
                </w:tcPr>
                <w:p w14:paraId="4316AF7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900-023-29</w:t>
                  </w:r>
                </w:p>
              </w:tc>
              <w:tc>
                <w:tcPr>
                  <w:tcW w:w="445" w:type="pct"/>
                  <w:tcBorders>
                    <w:tl2br w:val="nil"/>
                    <w:tr2bl w:val="nil"/>
                  </w:tcBorders>
                  <w:shd w:val="clear" w:color="auto" w:fill="auto"/>
                  <w:vAlign w:val="center"/>
                </w:tcPr>
                <w:p w14:paraId="7A18B4F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0.01 </w:t>
                  </w:r>
                </w:p>
              </w:tc>
              <w:tc>
                <w:tcPr>
                  <w:tcW w:w="354" w:type="pct"/>
                  <w:tcBorders>
                    <w:tl2br w:val="nil"/>
                    <w:tr2bl w:val="nil"/>
                  </w:tcBorders>
                  <w:shd w:val="clear" w:color="auto" w:fill="auto"/>
                  <w:vAlign w:val="center"/>
                </w:tcPr>
                <w:p w14:paraId="116C04D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除臭系统</w:t>
                  </w:r>
                </w:p>
              </w:tc>
              <w:tc>
                <w:tcPr>
                  <w:tcW w:w="294" w:type="pct"/>
                  <w:tcBorders>
                    <w:tl2br w:val="nil"/>
                    <w:tr2bl w:val="nil"/>
                  </w:tcBorders>
                  <w:shd w:val="clear" w:color="auto" w:fill="auto"/>
                  <w:vAlign w:val="center"/>
                </w:tcPr>
                <w:p w14:paraId="4DDEDE7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固态</w:t>
                  </w:r>
                </w:p>
              </w:tc>
              <w:tc>
                <w:tcPr>
                  <w:tcW w:w="359" w:type="pct"/>
                  <w:tcBorders>
                    <w:tl2br w:val="nil"/>
                    <w:tr2bl w:val="nil"/>
                  </w:tcBorders>
                  <w:shd w:val="clear" w:color="auto" w:fill="auto"/>
                  <w:vAlign w:val="center"/>
                </w:tcPr>
                <w:p w14:paraId="5F93353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汞</w:t>
                  </w:r>
                </w:p>
              </w:tc>
              <w:tc>
                <w:tcPr>
                  <w:tcW w:w="296" w:type="pct"/>
                  <w:tcBorders>
                    <w:tl2br w:val="nil"/>
                    <w:tr2bl w:val="nil"/>
                  </w:tcBorders>
                  <w:shd w:val="clear" w:color="auto" w:fill="auto"/>
                  <w:vAlign w:val="center"/>
                </w:tcPr>
                <w:p w14:paraId="3842B3E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汞</w:t>
                  </w:r>
                </w:p>
              </w:tc>
              <w:tc>
                <w:tcPr>
                  <w:tcW w:w="339" w:type="pct"/>
                  <w:tcBorders>
                    <w:tl2br w:val="nil"/>
                    <w:tr2bl w:val="nil"/>
                  </w:tcBorders>
                  <w:shd w:val="clear" w:color="auto" w:fill="auto"/>
                  <w:vAlign w:val="center"/>
                </w:tcPr>
                <w:p w14:paraId="715DC6A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每3年</w:t>
                  </w:r>
                </w:p>
              </w:tc>
              <w:tc>
                <w:tcPr>
                  <w:tcW w:w="562" w:type="pct"/>
                  <w:tcBorders>
                    <w:tl2br w:val="nil"/>
                    <w:tr2bl w:val="nil"/>
                  </w:tcBorders>
                  <w:shd w:val="clear" w:color="auto" w:fill="auto"/>
                  <w:vAlign w:val="center"/>
                </w:tcPr>
                <w:p w14:paraId="3C44519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T</w:t>
                  </w:r>
                </w:p>
              </w:tc>
              <w:tc>
                <w:tcPr>
                  <w:tcW w:w="422" w:type="pct"/>
                  <w:vMerge w:val="continue"/>
                  <w:tcBorders>
                    <w:tl2br w:val="nil"/>
                    <w:tr2bl w:val="nil"/>
                  </w:tcBorders>
                  <w:shd w:val="clear" w:color="auto" w:fill="auto"/>
                  <w:vAlign w:val="center"/>
                </w:tcPr>
                <w:p w14:paraId="7B1F483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p>
              </w:tc>
            </w:tr>
            <w:tr w14:paraId="6634EE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359" w:type="pct"/>
                  <w:tcBorders>
                    <w:tl2br w:val="nil"/>
                    <w:tr2bl w:val="nil"/>
                  </w:tcBorders>
                  <w:shd w:val="clear" w:color="auto" w:fill="auto"/>
                  <w:vAlign w:val="center"/>
                </w:tcPr>
                <w:p w14:paraId="780FEEA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3 </w:t>
                  </w:r>
                </w:p>
              </w:tc>
              <w:tc>
                <w:tcPr>
                  <w:tcW w:w="427" w:type="pct"/>
                  <w:tcBorders>
                    <w:tl2br w:val="nil"/>
                    <w:tr2bl w:val="nil"/>
                  </w:tcBorders>
                  <w:shd w:val="clear" w:color="auto" w:fill="auto"/>
                  <w:vAlign w:val="center"/>
                </w:tcPr>
                <w:p w14:paraId="0C9921E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检验室废液</w:t>
                  </w:r>
                </w:p>
              </w:tc>
              <w:tc>
                <w:tcPr>
                  <w:tcW w:w="375" w:type="pct"/>
                  <w:tcBorders>
                    <w:tl2br w:val="nil"/>
                    <w:tr2bl w:val="nil"/>
                  </w:tcBorders>
                  <w:shd w:val="clear" w:color="auto" w:fill="auto"/>
                  <w:vAlign w:val="center"/>
                </w:tcPr>
                <w:p w14:paraId="372385D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HW49</w:t>
                  </w:r>
                </w:p>
              </w:tc>
              <w:tc>
                <w:tcPr>
                  <w:tcW w:w="763" w:type="pct"/>
                  <w:tcBorders>
                    <w:tl2br w:val="nil"/>
                    <w:tr2bl w:val="nil"/>
                  </w:tcBorders>
                  <w:shd w:val="clear" w:color="auto" w:fill="auto"/>
                  <w:vAlign w:val="center"/>
                </w:tcPr>
                <w:p w14:paraId="765C4E2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900-047-49</w:t>
                  </w:r>
                </w:p>
              </w:tc>
              <w:tc>
                <w:tcPr>
                  <w:tcW w:w="445" w:type="pct"/>
                  <w:tcBorders>
                    <w:tl2br w:val="nil"/>
                    <w:tr2bl w:val="nil"/>
                  </w:tcBorders>
                  <w:shd w:val="clear" w:color="auto" w:fill="auto"/>
                  <w:vAlign w:val="center"/>
                </w:tcPr>
                <w:p w14:paraId="2667A52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w:t>
                  </w:r>
                </w:p>
              </w:tc>
              <w:tc>
                <w:tcPr>
                  <w:tcW w:w="354" w:type="pct"/>
                  <w:tcBorders>
                    <w:tl2br w:val="nil"/>
                    <w:tr2bl w:val="nil"/>
                  </w:tcBorders>
                  <w:shd w:val="clear" w:color="auto" w:fill="auto"/>
                  <w:vAlign w:val="center"/>
                </w:tcPr>
                <w:p w14:paraId="3FE6584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检验</w:t>
                  </w:r>
                </w:p>
              </w:tc>
              <w:tc>
                <w:tcPr>
                  <w:tcW w:w="294" w:type="pct"/>
                  <w:tcBorders>
                    <w:tl2br w:val="nil"/>
                    <w:tr2bl w:val="nil"/>
                  </w:tcBorders>
                  <w:shd w:val="clear" w:color="auto" w:fill="auto"/>
                  <w:vAlign w:val="center"/>
                </w:tcPr>
                <w:p w14:paraId="6D235C9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液态</w:t>
                  </w:r>
                </w:p>
              </w:tc>
              <w:tc>
                <w:tcPr>
                  <w:tcW w:w="359" w:type="pct"/>
                  <w:tcBorders>
                    <w:tl2br w:val="nil"/>
                    <w:tr2bl w:val="nil"/>
                  </w:tcBorders>
                  <w:shd w:val="clear" w:color="auto" w:fill="auto"/>
                  <w:vAlign w:val="center"/>
                </w:tcPr>
                <w:p w14:paraId="03F3348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酸碱等</w:t>
                  </w:r>
                </w:p>
              </w:tc>
              <w:tc>
                <w:tcPr>
                  <w:tcW w:w="296" w:type="pct"/>
                  <w:tcBorders>
                    <w:tl2br w:val="nil"/>
                    <w:tr2bl w:val="nil"/>
                  </w:tcBorders>
                  <w:shd w:val="clear" w:color="auto" w:fill="auto"/>
                  <w:vAlign w:val="center"/>
                </w:tcPr>
                <w:p w14:paraId="45E5488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酸碱</w:t>
                  </w:r>
                </w:p>
              </w:tc>
              <w:tc>
                <w:tcPr>
                  <w:tcW w:w="339" w:type="pct"/>
                  <w:tcBorders>
                    <w:tl2br w:val="nil"/>
                    <w:tr2bl w:val="nil"/>
                  </w:tcBorders>
                  <w:shd w:val="clear" w:color="auto" w:fill="auto"/>
                  <w:vAlign w:val="center"/>
                </w:tcPr>
                <w:p w14:paraId="3752874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每天</w:t>
                  </w:r>
                </w:p>
              </w:tc>
              <w:tc>
                <w:tcPr>
                  <w:tcW w:w="562" w:type="pct"/>
                  <w:tcBorders>
                    <w:tl2br w:val="nil"/>
                    <w:tr2bl w:val="nil"/>
                  </w:tcBorders>
                  <w:shd w:val="clear" w:color="auto" w:fill="auto"/>
                  <w:vAlign w:val="center"/>
                </w:tcPr>
                <w:p w14:paraId="03161DB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T/C/I/R</w:t>
                  </w:r>
                </w:p>
              </w:tc>
              <w:tc>
                <w:tcPr>
                  <w:tcW w:w="422" w:type="pct"/>
                  <w:vMerge w:val="continue"/>
                  <w:tcBorders>
                    <w:tl2br w:val="nil"/>
                    <w:tr2bl w:val="nil"/>
                  </w:tcBorders>
                  <w:shd w:val="clear" w:color="auto" w:fill="auto"/>
                  <w:vAlign w:val="center"/>
                </w:tcPr>
                <w:p w14:paraId="0F34D7C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p>
              </w:tc>
            </w:tr>
          </w:tbl>
          <w:p w14:paraId="1F4359CC">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本项目一般固体废物固废应有固定的专门存放场地，分类贮存、规范包装并应防止风吹、日晒、雨淋，不能乱堆乱放，严格执行《一般工业固体废物贮存和填埋污染控制标准》(GB18599-2020)相关要求。</w:t>
            </w:r>
          </w:p>
          <w:p w14:paraId="2E8317C1">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危险废物收集后</w:t>
            </w:r>
            <w:r>
              <w:rPr>
                <w:rFonts w:hint="default" w:ascii="Times New Roman" w:hAnsi="Times New Roman" w:cs="Times New Roman"/>
                <w:color w:val="auto"/>
                <w:sz w:val="24"/>
                <w:lang w:val="en-US" w:eastAsia="zh-CN"/>
              </w:rPr>
              <w:t>暂存于危废暂存库，企业建设20m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危废暂存库，分类暂存后</w:t>
            </w:r>
            <w:r>
              <w:rPr>
                <w:rFonts w:hint="default" w:ascii="Times New Roman" w:hAnsi="Times New Roman" w:eastAsia="宋体" w:cs="Times New Roman"/>
                <w:color w:val="auto"/>
                <w:sz w:val="24"/>
              </w:rPr>
              <w:t>委托有资质单位进行安全处置，建立转移联单制度。严格执行《危险废物贮存污染控制标准》(GB18597-20</w:t>
            </w:r>
            <w:r>
              <w:rPr>
                <w:rFonts w:hint="default" w:ascii="Times New Roman" w:hAnsi="Times New Roman" w:cs="Times New Roman"/>
                <w:color w:val="auto"/>
                <w:sz w:val="24"/>
                <w:lang w:val="en-US" w:eastAsia="zh-CN"/>
              </w:rPr>
              <w:t>23</w:t>
            </w:r>
            <w:r>
              <w:rPr>
                <w:rFonts w:hint="default" w:ascii="Times New Roman" w:hAnsi="Times New Roman" w:eastAsia="宋体" w:cs="Times New Roman"/>
                <w:color w:val="auto"/>
                <w:sz w:val="24"/>
              </w:rPr>
              <w:t>)和《危险废物收集贮存运输技术规范》(HJ2025-2012)等相关标准要求。日常管理中要履行申报的登记制度、建立台账制度，委托利用处置应执行报批和转移联单等</w:t>
            </w:r>
            <w:r>
              <w:rPr>
                <w:rFonts w:hint="default" w:ascii="Times New Roman" w:hAnsi="Times New Roman" w:cs="Times New Roman"/>
                <w:color w:val="auto"/>
                <w:sz w:val="24"/>
                <w:lang w:val="en-US" w:eastAsia="zh-CN"/>
              </w:rPr>
              <w:t>制度。</w:t>
            </w:r>
          </w:p>
          <w:p w14:paraId="5A6A3A42">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对产生的危险废物，企业需建设一座</w:t>
            </w:r>
            <w:r>
              <w:rPr>
                <w:rFonts w:hint="default" w:ascii="Times New Roman" w:hAnsi="Times New Roman" w:cs="Times New Roman"/>
                <w:color w:val="auto"/>
                <w:sz w:val="24"/>
                <w:lang w:eastAsia="zh-CN"/>
              </w:rPr>
              <w:t>危废贮存库</w:t>
            </w:r>
            <w:r>
              <w:rPr>
                <w:rFonts w:hint="default" w:ascii="Times New Roman" w:hAnsi="Times New Roman" w:eastAsia="宋体" w:cs="Times New Roman"/>
                <w:color w:val="auto"/>
                <w:sz w:val="24"/>
              </w:rPr>
              <w:t>进行贮存，禁止将危险废物以任何形式转移给无相应经营许可证的单位，或转移到非危险废物贮存设施中危险废物贮存设施应有相应的配套设施并按有关规定进行管理。危险废物的贮存设施应满足以下要求:</w:t>
            </w:r>
          </w:p>
          <w:p w14:paraId="36DE55F0">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(1)贮存场所应设置在室内，应建有堵截</w:t>
            </w:r>
            <w:r>
              <w:rPr>
                <w:rFonts w:hint="default" w:ascii="Times New Roman" w:hAnsi="Times New Roman" w:cs="Times New Roman"/>
                <w:color w:val="auto"/>
                <w:sz w:val="24"/>
                <w:lang w:eastAsia="zh-CN"/>
              </w:rPr>
              <w:t>泄漏</w:t>
            </w:r>
            <w:r>
              <w:rPr>
                <w:rFonts w:hint="default" w:ascii="Times New Roman" w:hAnsi="Times New Roman" w:eastAsia="宋体" w:cs="Times New Roman"/>
                <w:color w:val="auto"/>
                <w:sz w:val="24"/>
              </w:rPr>
              <w:t>的裙脚;地面与裙脚要用坚固防渗的材料建造;应有隔离设施、报警装置和防风、防晒、防雨设施。(2)基础防渗层为黏土层，其厚度应达1m以上，渗透系数应小于10</w:t>
            </w:r>
            <w:r>
              <w:rPr>
                <w:rFonts w:hint="default" w:ascii="Times New Roman" w:hAnsi="Times New Roman" w:eastAsia="宋体" w:cs="Times New Roman"/>
                <w:color w:val="auto"/>
                <w:sz w:val="24"/>
                <w:vertAlign w:val="superscript"/>
              </w:rPr>
              <w:t>-</w:t>
            </w:r>
            <w:r>
              <w:rPr>
                <w:rFonts w:hint="default" w:ascii="Times New Roman" w:hAnsi="Times New Roman" w:cs="Times New Roman"/>
                <w:color w:val="auto"/>
                <w:sz w:val="24"/>
                <w:vertAlign w:val="superscript"/>
                <w:lang w:val="en-US" w:eastAsia="zh-CN"/>
              </w:rPr>
              <w:t>7</w:t>
            </w:r>
            <w:r>
              <w:rPr>
                <w:rFonts w:hint="default" w:ascii="Times New Roman" w:hAnsi="Times New Roman" w:eastAsia="宋体" w:cs="Times New Roman"/>
                <w:color w:val="auto"/>
                <w:sz w:val="24"/>
              </w:rPr>
              <w:t>cm/s</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基础防渗层可用厚度2mm 以上的高密度聚乙烯和其他人工防渗材料组成，渗透系数应小于10</w:t>
            </w:r>
            <w:r>
              <w:rPr>
                <w:rFonts w:hint="default" w:ascii="Times New Roman" w:hAnsi="Times New Roman" w:eastAsia="宋体" w:cs="Times New Roman"/>
                <w:color w:val="auto"/>
                <w:sz w:val="24"/>
                <w:vertAlign w:val="superscript"/>
              </w:rPr>
              <w:t>-</w:t>
            </w:r>
            <w:r>
              <w:rPr>
                <w:rFonts w:hint="default" w:ascii="Times New Roman" w:hAnsi="Times New Roman" w:cs="Times New Roman"/>
                <w:color w:val="auto"/>
                <w:sz w:val="24"/>
                <w:vertAlign w:val="superscript"/>
                <w:lang w:val="en-US" w:eastAsia="zh-CN"/>
              </w:rPr>
              <w:t>7</w:t>
            </w:r>
            <w:r>
              <w:rPr>
                <w:rFonts w:hint="default" w:ascii="Times New Roman" w:hAnsi="Times New Roman" w:eastAsia="宋体" w:cs="Times New Roman"/>
                <w:color w:val="auto"/>
                <w:sz w:val="24"/>
              </w:rPr>
              <w:t>cm/s。还</w:t>
            </w:r>
            <w:r>
              <w:rPr>
                <w:rFonts w:hint="default" w:ascii="Times New Roman" w:hAnsi="Times New Roman" w:cs="Times New Roman"/>
                <w:color w:val="auto"/>
                <w:sz w:val="24"/>
                <w:lang w:eastAsia="zh-CN"/>
              </w:rPr>
              <w:t>必须</w:t>
            </w:r>
            <w:r>
              <w:rPr>
                <w:rFonts w:hint="default" w:ascii="Times New Roman" w:hAnsi="Times New Roman" w:eastAsia="宋体" w:cs="Times New Roman"/>
                <w:color w:val="auto"/>
                <w:sz w:val="24"/>
              </w:rPr>
              <w:t>有耐腐蚀的硬化地面，地面无裂缝。</w:t>
            </w:r>
          </w:p>
          <w:p w14:paraId="1770D6C4">
            <w:pPr>
              <w:keepNext/>
              <w:keepLines/>
              <w:tabs>
                <w:tab w:val="left" w:pos="7380"/>
              </w:tabs>
              <w:snapToGrid w:val="0"/>
              <w:spacing w:line="360" w:lineRule="auto"/>
              <w:outlineLvl w:val="3"/>
              <w:rPr>
                <w:rFonts w:hint="default" w:ascii="Times New Roman" w:hAnsi="Times New Roman" w:eastAsia="宋体" w:cs="Times New Roman"/>
                <w:b/>
                <w:bCs/>
                <w:color w:val="auto"/>
                <w:sz w:val="24"/>
                <w:lang w:val="en-US"/>
              </w:rPr>
            </w:pPr>
            <w:r>
              <w:rPr>
                <w:rFonts w:hint="default" w:ascii="Times New Roman" w:hAnsi="Times New Roman" w:eastAsia="宋体" w:cs="Times New Roman"/>
                <w:b/>
                <w:bCs/>
                <w:color w:val="auto"/>
                <w:sz w:val="24"/>
                <w:lang w:val="en-US" w:eastAsia="zh-CN"/>
              </w:rPr>
              <w:t>5、地下水及土壤环境</w:t>
            </w:r>
          </w:p>
          <w:p w14:paraId="0627ACFB">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58" w:firstLineChars="200"/>
              <w:jc w:val="both"/>
              <w:textAlignment w:val="auto"/>
              <w:rPr>
                <w:rFonts w:hint="default" w:ascii="Times New Roman" w:hAnsi="Times New Roman" w:eastAsia="宋体" w:cs="Times New Roman"/>
                <w:b/>
                <w:bCs/>
                <w:color w:val="auto"/>
                <w:spacing w:val="-6"/>
                <w:sz w:val="24"/>
                <w:lang w:val="en-US" w:eastAsia="zh-CN"/>
              </w:rPr>
            </w:pPr>
            <w:r>
              <w:rPr>
                <w:rFonts w:hint="default" w:ascii="Times New Roman" w:hAnsi="Times New Roman" w:cs="Times New Roman"/>
                <w:b/>
                <w:bCs/>
                <w:color w:val="auto"/>
                <w:spacing w:val="-6"/>
                <w:sz w:val="24"/>
                <w:lang w:val="en-US" w:eastAsia="zh-CN"/>
              </w:rPr>
              <w:t>5.1、地下水及土壤环境影响分析</w:t>
            </w:r>
          </w:p>
          <w:p w14:paraId="5AC89BFA">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①正常情况下的污染物泄漏对区域地下水及土壤的影响根据拟建项目特点，拟建项目不开采地下水，不会对地下水开采量产生影响项目生产过程不使用任何有毒有害物质，生产废水中主要污染物为COD、SS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BOD</w:t>
            </w:r>
            <w:r>
              <w:rPr>
                <w:rFonts w:hint="default" w:ascii="Times New Roman" w:hAnsi="Times New Roman" w:eastAsia="宋体" w:cs="Times New Roman"/>
                <w:color w:val="auto"/>
                <w:sz w:val="24"/>
                <w:vertAlign w:val="subscript"/>
                <w:lang w:val="en-US" w:eastAsia="zh-CN"/>
              </w:rPr>
              <w:t>5</w:t>
            </w:r>
            <w:r>
              <w:rPr>
                <w:rFonts w:hint="default" w:ascii="Times New Roman" w:hAnsi="Times New Roman" w:eastAsia="宋体" w:cs="Times New Roman"/>
                <w:color w:val="auto"/>
                <w:sz w:val="24"/>
              </w:rPr>
              <w:t>、动植物油等，属于易降解物质，在地下水和土壤的吸附及微生物降解的作用下，废水渗漏对地下水影响小。拟建项目罐体均采用不锈钢罐体，厂区将采用固化防渗处理，各</w:t>
            </w:r>
            <w:r>
              <w:rPr>
                <w:rFonts w:hint="default" w:ascii="Times New Roman" w:hAnsi="Times New Roman" w:cs="Times New Roman"/>
                <w:color w:val="auto"/>
                <w:sz w:val="24"/>
                <w:lang w:eastAsia="zh-CN"/>
              </w:rPr>
              <w:t>区域</w:t>
            </w:r>
            <w:r>
              <w:rPr>
                <w:rFonts w:hint="default" w:ascii="Times New Roman" w:hAnsi="Times New Roman" w:eastAsia="宋体" w:cs="Times New Roman"/>
                <w:color w:val="auto"/>
                <w:sz w:val="24"/>
              </w:rPr>
              <w:t>均按设计要求严格进行防渗处理，所以正常情况下，本</w:t>
            </w:r>
            <w:r>
              <w:rPr>
                <w:rFonts w:hint="default" w:ascii="Times New Roman" w:hAnsi="Times New Roman" w:cs="Times New Roman"/>
                <w:color w:val="auto"/>
                <w:sz w:val="24"/>
                <w:lang w:val="en-US" w:eastAsia="zh-CN"/>
              </w:rPr>
              <w:t>项目</w:t>
            </w:r>
            <w:r>
              <w:rPr>
                <w:rFonts w:hint="default" w:ascii="Times New Roman" w:hAnsi="Times New Roman" w:eastAsia="宋体" w:cs="Times New Roman"/>
                <w:color w:val="auto"/>
                <w:sz w:val="24"/>
              </w:rPr>
              <w:t>建设和运行对区域地下水的影响较小。</w:t>
            </w:r>
          </w:p>
          <w:p w14:paraId="14C0C277">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②非正常情况下的污染物泄漏对区域地下水及土壤的影响本项目在正常生产情况下，对周围地下水环境影响不大。本项目建设对地下水的影响出现在非正常情况，主要有：</w:t>
            </w:r>
            <w:r>
              <w:rPr>
                <w:rFonts w:hint="default" w:ascii="Times New Roman" w:hAnsi="Times New Roman" w:cs="Times New Roman"/>
                <w:color w:val="auto"/>
                <w:sz w:val="24"/>
                <w:lang w:eastAsia="zh-CN"/>
              </w:rPr>
              <w:t>危废贮存库</w:t>
            </w:r>
            <w:r>
              <w:rPr>
                <w:rFonts w:hint="default" w:ascii="Times New Roman" w:hAnsi="Times New Roman" w:eastAsia="宋体" w:cs="Times New Roman"/>
                <w:color w:val="auto"/>
                <w:sz w:val="24"/>
              </w:rPr>
              <w:t>渗漏对地下水及土壤的影响；</w:t>
            </w:r>
            <w:r>
              <w:rPr>
                <w:rFonts w:hint="default" w:ascii="Times New Roman" w:hAnsi="Times New Roman" w:cs="Times New Roman"/>
                <w:color w:val="auto"/>
                <w:sz w:val="24"/>
                <w:lang w:val="en-US" w:eastAsia="zh-CN"/>
              </w:rPr>
              <w:t>发酵池</w:t>
            </w:r>
            <w:r>
              <w:rPr>
                <w:rFonts w:hint="default" w:ascii="Times New Roman" w:hAnsi="Times New Roman" w:eastAsia="宋体" w:cs="Times New Roman"/>
                <w:color w:val="auto"/>
                <w:sz w:val="24"/>
              </w:rPr>
              <w:t>渗漏对地下水及土壤的影响；厌氧罐、沼液池发生泄漏对地下水及土壤的影响。</w:t>
            </w:r>
          </w:p>
          <w:p w14:paraId="2913DFD7">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(1)各污染源情况</w:t>
            </w:r>
          </w:p>
          <w:p w14:paraId="20BDEF00">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泄漏潜在区通常主要集中在</w:t>
            </w:r>
            <w:r>
              <w:rPr>
                <w:rFonts w:hint="default" w:ascii="Times New Roman" w:hAnsi="Times New Roman" w:cs="Times New Roman"/>
                <w:color w:val="auto"/>
                <w:sz w:val="24"/>
                <w:lang w:eastAsia="zh-CN"/>
              </w:rPr>
              <w:t>危废贮存库</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发酵池</w:t>
            </w:r>
            <w:r>
              <w:rPr>
                <w:rFonts w:hint="default" w:ascii="Times New Roman" w:hAnsi="Times New Roman" w:eastAsia="宋体" w:cs="Times New Roman"/>
                <w:color w:val="auto"/>
                <w:sz w:val="24"/>
              </w:rPr>
              <w:t>、厌氧罐、沼液池等处。一般厂区事故排放分为短期大量排放及长期少量排放两类。短期大量排放(如突发性事故引起的管线破裂或管线阻塞而造成</w:t>
            </w:r>
            <w:r>
              <w:rPr>
                <w:rFonts w:hint="default" w:ascii="Times New Roman" w:hAnsi="Times New Roman" w:cs="Times New Roman"/>
                <w:color w:val="auto"/>
                <w:sz w:val="24"/>
                <w:lang w:eastAsia="zh-CN"/>
              </w:rPr>
              <w:t>溢流</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一般能及时发现，并可通过一定方法加以控制。因此，一般短期排放不会造成地下水及土壤污染；而长期较少量排放(如</w:t>
            </w:r>
            <w:r>
              <w:rPr>
                <w:rFonts w:hint="default" w:ascii="Times New Roman" w:hAnsi="Times New Roman" w:cs="Times New Roman"/>
                <w:color w:val="auto"/>
                <w:sz w:val="24"/>
                <w:lang w:val="en-US" w:eastAsia="zh-CN"/>
              </w:rPr>
              <w:t>发酵池</w:t>
            </w:r>
            <w:r>
              <w:rPr>
                <w:rFonts w:hint="default" w:ascii="Times New Roman" w:hAnsi="Times New Roman" w:eastAsia="宋体" w:cs="Times New Roman"/>
                <w:color w:val="auto"/>
                <w:sz w:val="24"/>
              </w:rPr>
              <w:t>、沼液池泄漏等)</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较难发现，长期泄漏可对地下水及土壤产生一定影响。假如厌氧发酵罐等发生泄漏，通过采取相应的应急措施，事故可在短时间内得到控制，在储存场所地面防渗到位的情况下，厌氧发酵罐泄漏等不会对地下水及土壤产生明显影响。</w:t>
            </w:r>
          </w:p>
          <w:p w14:paraId="6A9F5380">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(2)对地下水的影响</w:t>
            </w:r>
          </w:p>
          <w:p w14:paraId="2930E3C8">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如果建设期施工质量差或建成投产后管理不善，都有可能产生厌氧发酵罐、沼液池泄漏，造成地下水及土壤的污染，特别是同一地点的连续泄漏，造成的地下水及土壤污染会更严重。尽管废水下渗过程中，由于填土层的吸附、降解作用，会延长下渗废水进入地下水的时间，且浓度值也会大大降低。拟建项目生产废水中主要污染物为COD、SS、BOD₅、动植物油等，属于易降解物质，能在地下水和土壤的吸附及微生物作用下进行降解，但可能对厂区地下水具有一定的潜在影响，因此必须采取有效措施防止污染事件的发生。</w:t>
            </w:r>
          </w:p>
          <w:p w14:paraId="65772BBE">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在现状地形下，拟建项目若发生泄漏会造成污染地下水及土壤影响，但由于项目规模较小，主要污染物均属于易降解物质，各环节均采取相应的防渗措施，故拟建项目对地下水及土壤影响范围有限、强度较小。</w:t>
            </w:r>
          </w:p>
          <w:p w14:paraId="43BD7B9F">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5.2地下水及土壤污染防治措施</w:t>
            </w:r>
          </w:p>
          <w:p w14:paraId="75366E1D">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根据本项目特点，本次地下水及土壤污染防治措施针对项目</w:t>
            </w:r>
            <w:r>
              <w:rPr>
                <w:rFonts w:hint="default" w:ascii="Times New Roman" w:hAnsi="Times New Roman" w:cs="Times New Roman"/>
                <w:color w:val="auto"/>
                <w:sz w:val="24"/>
                <w:lang w:eastAsia="zh-CN"/>
              </w:rPr>
              <w:t>危废贮存库</w:t>
            </w:r>
            <w:r>
              <w:rPr>
                <w:rFonts w:hint="default" w:ascii="Times New Roman" w:hAnsi="Times New Roman" w:eastAsia="宋体" w:cs="Times New Roman"/>
                <w:color w:val="auto"/>
                <w:sz w:val="24"/>
              </w:rPr>
              <w:t>及主要生产装置。项目</w:t>
            </w:r>
            <w:r>
              <w:rPr>
                <w:rFonts w:hint="default" w:ascii="Times New Roman" w:hAnsi="Times New Roman" w:cs="Times New Roman"/>
                <w:color w:val="auto"/>
                <w:sz w:val="24"/>
                <w:lang w:eastAsia="zh-CN"/>
              </w:rPr>
              <w:t>危废贮存库</w:t>
            </w:r>
            <w:r>
              <w:rPr>
                <w:rFonts w:hint="default" w:ascii="Times New Roman" w:hAnsi="Times New Roman" w:eastAsia="宋体" w:cs="Times New Roman"/>
                <w:color w:val="auto"/>
                <w:sz w:val="24"/>
              </w:rPr>
              <w:t>设置为重点防渗区，</w:t>
            </w:r>
            <w:r>
              <w:rPr>
                <w:rFonts w:hint="default" w:ascii="Times New Roman" w:hAnsi="Times New Roman" w:cs="Times New Roman"/>
                <w:color w:val="auto"/>
                <w:sz w:val="24"/>
                <w:lang w:val="en-US" w:eastAsia="zh-CN"/>
              </w:rPr>
              <w:t>发酵池</w:t>
            </w:r>
            <w:r>
              <w:rPr>
                <w:rFonts w:hint="default" w:ascii="Times New Roman" w:hAnsi="Times New Roman" w:eastAsia="宋体" w:cs="Times New Roman"/>
                <w:color w:val="auto"/>
                <w:sz w:val="24"/>
              </w:rPr>
              <w:t>，厌氧发酵罐区、沼液池等区域设置为</w:t>
            </w:r>
            <w:r>
              <w:rPr>
                <w:rFonts w:hint="default" w:ascii="Times New Roman" w:hAnsi="Times New Roman" w:cs="Times New Roman"/>
                <w:color w:val="auto"/>
                <w:sz w:val="24"/>
                <w:lang w:val="en-US" w:eastAsia="zh-CN"/>
              </w:rPr>
              <w:t>重点</w:t>
            </w:r>
            <w:r>
              <w:rPr>
                <w:rFonts w:hint="default" w:ascii="Times New Roman" w:hAnsi="Times New Roman" w:eastAsia="宋体" w:cs="Times New Roman"/>
                <w:color w:val="auto"/>
                <w:sz w:val="24"/>
              </w:rPr>
              <w:t>防渗区。</w:t>
            </w:r>
            <w:r>
              <w:rPr>
                <w:rFonts w:hint="default" w:ascii="Times New Roman" w:hAnsi="Times New Roman" w:cs="Times New Roman"/>
                <w:color w:val="auto"/>
                <w:sz w:val="24"/>
                <w:lang w:val="en-US" w:eastAsia="zh-CN"/>
              </w:rPr>
              <w:t>初期雨水</w:t>
            </w:r>
            <w:r>
              <w:rPr>
                <w:rFonts w:hint="eastAsia" w:ascii="Times New Roman" w:cs="Times New Roman"/>
                <w:color w:val="auto"/>
                <w:sz w:val="24"/>
                <w:lang w:val="en-US" w:eastAsia="zh-CN"/>
              </w:rPr>
              <w:t>池</w:t>
            </w:r>
            <w:r>
              <w:rPr>
                <w:rFonts w:hint="default" w:ascii="Times New Roman" w:hAnsi="Times New Roman" w:cs="Times New Roman"/>
                <w:color w:val="auto"/>
                <w:sz w:val="24"/>
                <w:lang w:val="en-US" w:eastAsia="zh-CN"/>
              </w:rPr>
              <w:t>一般防渗。</w:t>
            </w:r>
            <w:r>
              <w:rPr>
                <w:rFonts w:hint="default" w:ascii="Times New Roman" w:hAnsi="Times New Roman" w:eastAsia="宋体" w:cs="Times New Roman"/>
                <w:color w:val="auto"/>
                <w:sz w:val="24"/>
              </w:rPr>
              <w:t>锅炉房、发电机房、生活区等其他区域设置为简单防渗区。结合本项目的地下水污染源识别情况，本环评要求采取以下的地下水防治措施：</w:t>
            </w:r>
          </w:p>
          <w:p w14:paraId="2D7361EC">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重点防渗区</w:t>
            </w:r>
          </w:p>
          <w:p w14:paraId="7CB05F26">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地面防渗层要求：采用三层防渗措施，其中，下层采用夯实黏土，中间层采用2mm厚HDPE膜，或至少2mm厚的其他人工材料，性能应与6.0m厚黏土层(渗透系数1.0×10</w:t>
            </w:r>
            <w:r>
              <w:rPr>
                <w:rFonts w:hint="default" w:ascii="Times New Roman" w:hAnsi="Times New Roman" w:cs="Times New Roman"/>
                <w:color w:val="auto"/>
                <w:sz w:val="24"/>
                <w:vertAlign w:val="superscript"/>
                <w:lang w:val="en-US" w:eastAsia="zh-CN"/>
              </w:rPr>
              <w:t>-7</w:t>
            </w:r>
            <w:r>
              <w:rPr>
                <w:rFonts w:hint="default" w:ascii="Times New Roman" w:hAnsi="Times New Roman" w:eastAsia="宋体" w:cs="Times New Roman"/>
                <w:color w:val="auto"/>
                <w:sz w:val="24"/>
              </w:rPr>
              <w:t>cm/s)等效或参照GB18598执行；上层采用200mm厚的耐腐蚀混 凝土层。</w:t>
            </w:r>
          </w:p>
          <w:p w14:paraId="04F59189">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构筑物主体防渗：针对这类工程采用整体式钢筋混凝土结构的基础上，同时采用结构外柔性防水涂料</w:t>
            </w:r>
            <w:r>
              <w:rPr>
                <w:rFonts w:hint="default" w:ascii="Times New Roman" w:hAnsi="Times New Roman" w:cs="Times New Roman"/>
                <w:color w:val="auto"/>
                <w:sz w:val="24"/>
                <w:lang w:eastAsia="zh-CN"/>
              </w:rPr>
              <w:t>更进一步</w:t>
            </w:r>
            <w:r>
              <w:rPr>
                <w:rFonts w:hint="default" w:ascii="Times New Roman" w:hAnsi="Times New Roman" w:eastAsia="宋体" w:cs="Times New Roman"/>
                <w:color w:val="auto"/>
                <w:sz w:val="24"/>
              </w:rPr>
              <w:t>做防渗处理，防水涂料建议采用防渗性能好、适应性强的高分子防水涂料，性能应与6.0m厚黏土层(渗透系数1.0×10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cm/s)等效或参照GB18598执行。采用抗渗钢筋混凝土结构，混凝土强度等级不宜小于C30</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钢筋混凝土水池的抗渗等级不应小于P8</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生产污水和雨水的管道宜采用柔性防渗结构，渗透系数均不宜大于10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w:t>
            </w:r>
          </w:p>
          <w:p w14:paraId="765BDD96">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一般防渗区</w:t>
            </w:r>
          </w:p>
          <w:p w14:paraId="3F871409">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一般防渗区采用刚性防渗结构，混凝土防渗层的强度等级不应小于C20</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水灰比不宜大于0.50</w:t>
            </w:r>
            <w:r>
              <w:rPr>
                <w:rFonts w:hint="default" w:ascii="Times New Roman" w:hAnsi="Times New Roman" w:cs="Times New Roman"/>
                <w:color w:val="auto"/>
                <w:sz w:val="24"/>
                <w:lang w:val="en-US" w:eastAsia="zh-CN"/>
              </w:rPr>
              <w:t>；一般污染防治区</w:t>
            </w:r>
            <w:r>
              <w:rPr>
                <w:rFonts w:hint="default" w:ascii="Times New Roman" w:hAnsi="Times New Roman" w:eastAsia="宋体" w:cs="Times New Roman"/>
                <w:color w:val="auto"/>
                <w:sz w:val="24"/>
              </w:rPr>
              <w:t>抗混凝土的抗渗系数等级不宜小于P8</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rPr>
              <w:t>其厚度不宜小于100mm</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rPr>
              <w:t>性能应与1.5m厚黏土层(渗透系数1.0×10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cm/s)等效或参照GB16889执行。</w:t>
            </w:r>
          </w:p>
          <w:p w14:paraId="01854ABE">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简单防渗区</w:t>
            </w:r>
          </w:p>
          <w:p w14:paraId="0BEFA7F7">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区道路采取水泥硬化防渗处理。厂区部分厂房需建设防渗地坪，防渗地坪采用三层结构，从下面起第一层为上述的防渗材料，第二层为厚度在30-60cm土石混合料加厚度在16~18cm的二灰土结石，第三层也就是最上面的为混凝土，厚度在20-25cm。</w:t>
            </w:r>
          </w:p>
          <w:p w14:paraId="5BD0C504">
            <w:pPr>
              <w:pStyle w:val="13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本项目环境跟踪监测计划见表4-</w:t>
            </w:r>
            <w:r>
              <w:rPr>
                <w:rFonts w:hint="default" w:ascii="Times New Roman" w:hAnsi="Times New Roman" w:cs="Times New Roman"/>
                <w:color w:val="auto"/>
                <w:sz w:val="24"/>
                <w:lang w:val="en-US" w:eastAsia="zh-CN"/>
              </w:rPr>
              <w:t>9</w:t>
            </w:r>
            <w:r>
              <w:rPr>
                <w:rFonts w:hint="default" w:ascii="Times New Roman" w:hAnsi="Times New Roman" w:eastAsia="宋体" w:cs="Times New Roman"/>
                <w:color w:val="auto"/>
                <w:sz w:val="24"/>
              </w:rPr>
              <w:t>。</w:t>
            </w:r>
          </w:p>
          <w:p w14:paraId="232DEF1F">
            <w:pPr>
              <w:ind w:firstLine="482"/>
              <w:jc w:val="center"/>
              <w:rPr>
                <w:rFonts w:hint="default" w:ascii="Times New Roman" w:hAnsi="Times New Roman" w:cs="Times New Roman"/>
                <w:b/>
                <w:color w:val="auto"/>
                <w:szCs w:val="24"/>
                <w:lang w:val="en-US" w:eastAsia="zh-CN"/>
              </w:rPr>
            </w:pPr>
            <w:r>
              <w:rPr>
                <w:rFonts w:hint="default" w:ascii="Times New Roman" w:hAnsi="Times New Roman" w:cs="Times New Roman"/>
                <w:b/>
                <w:color w:val="auto"/>
                <w:szCs w:val="24"/>
                <w:lang w:val="en-US" w:eastAsia="zh-CN"/>
              </w:rPr>
              <w:t>表4-9  环境跟踪监测计划一览表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2"/>
              <w:gridCol w:w="864"/>
              <w:gridCol w:w="3422"/>
              <w:gridCol w:w="930"/>
              <w:gridCol w:w="930"/>
              <w:gridCol w:w="1840"/>
            </w:tblGrid>
            <w:tr w14:paraId="78CE2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85" w:type="pct"/>
                  <w:tcBorders>
                    <w:top w:val="single" w:color="000000" w:sz="6" w:space="0"/>
                    <w:left w:val="single" w:color="000000" w:sz="6" w:space="0"/>
                    <w:bottom w:val="single" w:color="000000" w:sz="6" w:space="0"/>
                    <w:right w:val="single" w:color="000000" w:sz="6" w:space="0"/>
                  </w:tcBorders>
                  <w:noWrap w:val="0"/>
                  <w:vAlign w:val="center"/>
                </w:tcPr>
                <w:p w14:paraId="2CCD11C5">
                  <w:pPr>
                    <w:pStyle w:val="77"/>
                    <w:bidi w:val="0"/>
                    <w:jc w:val="center"/>
                    <w:rPr>
                      <w:rFonts w:hint="default" w:ascii="Times New Roman" w:hAnsi="Times New Roman" w:cs="Times New Roman"/>
                      <w:color w:val="auto"/>
                    </w:rPr>
                  </w:pPr>
                  <w:r>
                    <w:rPr>
                      <w:rFonts w:hint="default" w:ascii="Times New Roman" w:hAnsi="Times New Roman" w:cs="Times New Roman"/>
                      <w:color w:val="auto"/>
                    </w:rPr>
                    <w:t>序号</w:t>
                  </w:r>
                </w:p>
              </w:tc>
              <w:tc>
                <w:tcPr>
                  <w:tcW w:w="510" w:type="pct"/>
                  <w:tcBorders>
                    <w:top w:val="single" w:color="000000" w:sz="6" w:space="0"/>
                    <w:left w:val="single" w:color="000000" w:sz="6" w:space="0"/>
                    <w:bottom w:val="single" w:color="000000" w:sz="6" w:space="0"/>
                    <w:right w:val="single" w:color="000000" w:sz="6" w:space="0"/>
                  </w:tcBorders>
                  <w:noWrap w:val="0"/>
                  <w:vAlign w:val="center"/>
                </w:tcPr>
                <w:p w14:paraId="63CCE123">
                  <w:pPr>
                    <w:pStyle w:val="77"/>
                    <w:bidi w:val="0"/>
                    <w:jc w:val="center"/>
                    <w:rPr>
                      <w:rFonts w:hint="default" w:ascii="Times New Roman" w:hAnsi="Times New Roman" w:cs="Times New Roman"/>
                      <w:color w:val="auto"/>
                    </w:rPr>
                  </w:pPr>
                  <w:r>
                    <w:rPr>
                      <w:rFonts w:hint="default" w:ascii="Times New Roman" w:hAnsi="Times New Roman" w:cs="Times New Roman"/>
                      <w:color w:val="auto"/>
                    </w:rPr>
                    <w:t>监测点位</w:t>
                  </w:r>
                </w:p>
              </w:tc>
              <w:tc>
                <w:tcPr>
                  <w:tcW w:w="2020" w:type="pct"/>
                  <w:tcBorders>
                    <w:top w:val="single" w:color="000000" w:sz="6" w:space="0"/>
                    <w:left w:val="single" w:color="000000" w:sz="6" w:space="0"/>
                    <w:bottom w:val="single" w:color="000000" w:sz="6" w:space="0"/>
                    <w:right w:val="single" w:color="000000" w:sz="6" w:space="0"/>
                  </w:tcBorders>
                  <w:noWrap w:val="0"/>
                  <w:vAlign w:val="center"/>
                </w:tcPr>
                <w:p w14:paraId="6891839E">
                  <w:pPr>
                    <w:pStyle w:val="77"/>
                    <w:bidi w:val="0"/>
                    <w:jc w:val="center"/>
                    <w:rPr>
                      <w:rFonts w:hint="default" w:ascii="Times New Roman" w:hAnsi="Times New Roman" w:cs="Times New Roman"/>
                      <w:color w:val="auto"/>
                    </w:rPr>
                  </w:pPr>
                  <w:r>
                    <w:rPr>
                      <w:rFonts w:hint="default" w:ascii="Times New Roman" w:hAnsi="Times New Roman" w:cs="Times New Roman"/>
                      <w:color w:val="auto"/>
                    </w:rPr>
                    <w:t>监测指标</w:t>
                  </w:r>
                </w:p>
              </w:tc>
              <w:tc>
                <w:tcPr>
                  <w:tcW w:w="549" w:type="pct"/>
                  <w:tcBorders>
                    <w:top w:val="single" w:color="000000" w:sz="6" w:space="0"/>
                    <w:left w:val="single" w:color="000000" w:sz="6" w:space="0"/>
                    <w:bottom w:val="single" w:color="000000" w:sz="6" w:space="0"/>
                    <w:right w:val="single" w:color="000000" w:sz="6" w:space="0"/>
                  </w:tcBorders>
                  <w:noWrap w:val="0"/>
                  <w:vAlign w:val="center"/>
                </w:tcPr>
                <w:p w14:paraId="638264CC">
                  <w:pPr>
                    <w:pStyle w:val="7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监测点位</w:t>
                  </w:r>
                </w:p>
              </w:tc>
              <w:tc>
                <w:tcPr>
                  <w:tcW w:w="549" w:type="pct"/>
                  <w:tcBorders>
                    <w:top w:val="single" w:color="000000" w:sz="6" w:space="0"/>
                    <w:left w:val="single" w:color="000000" w:sz="6" w:space="0"/>
                    <w:bottom w:val="single" w:color="000000" w:sz="6" w:space="0"/>
                    <w:right w:val="single" w:color="000000" w:sz="6" w:space="0"/>
                  </w:tcBorders>
                  <w:noWrap w:val="0"/>
                  <w:vAlign w:val="center"/>
                </w:tcPr>
                <w:p w14:paraId="5A3DA6A9">
                  <w:pPr>
                    <w:pStyle w:val="77"/>
                    <w:bidi w:val="0"/>
                    <w:jc w:val="center"/>
                    <w:rPr>
                      <w:rFonts w:hint="default" w:ascii="Times New Roman" w:hAnsi="Times New Roman" w:cs="Times New Roman"/>
                      <w:color w:val="auto"/>
                    </w:rPr>
                  </w:pPr>
                  <w:r>
                    <w:rPr>
                      <w:rFonts w:hint="default" w:ascii="Times New Roman" w:hAnsi="Times New Roman" w:cs="Times New Roman"/>
                      <w:color w:val="auto"/>
                    </w:rPr>
                    <w:t>监测频率</w:t>
                  </w:r>
                </w:p>
              </w:tc>
              <w:tc>
                <w:tcPr>
                  <w:tcW w:w="1086" w:type="pct"/>
                  <w:tcBorders>
                    <w:top w:val="single" w:color="000000" w:sz="6" w:space="0"/>
                    <w:left w:val="single" w:color="000000" w:sz="6" w:space="0"/>
                    <w:bottom w:val="single" w:color="000000" w:sz="6" w:space="0"/>
                    <w:right w:val="nil"/>
                  </w:tcBorders>
                  <w:noWrap w:val="0"/>
                  <w:vAlign w:val="center"/>
                </w:tcPr>
                <w:p w14:paraId="66EC7725">
                  <w:pPr>
                    <w:pStyle w:val="77"/>
                    <w:bidi w:val="0"/>
                    <w:jc w:val="center"/>
                    <w:rPr>
                      <w:rFonts w:hint="default" w:ascii="Times New Roman" w:hAnsi="Times New Roman" w:cs="Times New Roman"/>
                      <w:color w:val="auto"/>
                    </w:rPr>
                  </w:pPr>
                  <w:r>
                    <w:rPr>
                      <w:rFonts w:hint="default" w:ascii="Times New Roman" w:hAnsi="Times New Roman" w:cs="Times New Roman"/>
                      <w:color w:val="auto"/>
                    </w:rPr>
                    <w:t>执行标准</w:t>
                  </w:r>
                </w:p>
              </w:tc>
            </w:tr>
            <w:tr w14:paraId="3612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85" w:type="pct"/>
                  <w:tcBorders>
                    <w:top w:val="single" w:color="000000" w:sz="6" w:space="0"/>
                    <w:left w:val="nil"/>
                    <w:bottom w:val="single" w:color="000000" w:sz="6" w:space="0"/>
                    <w:right w:val="single" w:color="000000" w:sz="6" w:space="0"/>
                  </w:tcBorders>
                  <w:noWrap w:val="0"/>
                  <w:vAlign w:val="center"/>
                </w:tcPr>
                <w:p w14:paraId="00400A29">
                  <w:pPr>
                    <w:pStyle w:val="77"/>
                    <w:bidi w:val="0"/>
                    <w:jc w:val="center"/>
                    <w:rPr>
                      <w:rFonts w:hint="default" w:ascii="Times New Roman" w:hAnsi="Times New Roman" w:cs="Times New Roman"/>
                      <w:color w:val="auto"/>
                    </w:rPr>
                  </w:pPr>
                  <w:r>
                    <w:rPr>
                      <w:rFonts w:hint="default" w:ascii="Times New Roman" w:hAnsi="Times New Roman" w:cs="Times New Roman"/>
                      <w:color w:val="auto"/>
                    </w:rPr>
                    <w:t>1#</w:t>
                  </w:r>
                </w:p>
              </w:tc>
              <w:tc>
                <w:tcPr>
                  <w:tcW w:w="510" w:type="pct"/>
                  <w:tcBorders>
                    <w:top w:val="single" w:color="000000" w:sz="6" w:space="0"/>
                    <w:left w:val="single" w:color="000000" w:sz="6" w:space="0"/>
                    <w:bottom w:val="single" w:color="000000" w:sz="6" w:space="0"/>
                    <w:right w:val="single" w:color="000000" w:sz="6" w:space="0"/>
                  </w:tcBorders>
                  <w:noWrap w:val="0"/>
                  <w:vAlign w:val="center"/>
                </w:tcPr>
                <w:p w14:paraId="43520159">
                  <w:pPr>
                    <w:pStyle w:val="77"/>
                    <w:bidi w:val="0"/>
                    <w:jc w:val="center"/>
                    <w:rPr>
                      <w:rFonts w:hint="default" w:ascii="Times New Roman" w:hAnsi="Times New Roman" w:cs="Times New Roman"/>
                      <w:color w:val="auto"/>
                    </w:rPr>
                  </w:pPr>
                  <w:r>
                    <w:rPr>
                      <w:rFonts w:hint="default" w:ascii="Times New Roman" w:hAnsi="Times New Roman" w:cs="Times New Roman"/>
                      <w:color w:val="auto"/>
                    </w:rPr>
                    <w:t>地下水</w:t>
                  </w:r>
                </w:p>
              </w:tc>
              <w:tc>
                <w:tcPr>
                  <w:tcW w:w="2020" w:type="pct"/>
                  <w:tcBorders>
                    <w:top w:val="single" w:color="000000" w:sz="6" w:space="0"/>
                    <w:left w:val="single" w:color="000000" w:sz="6" w:space="0"/>
                    <w:bottom w:val="single" w:color="000000" w:sz="6" w:space="0"/>
                    <w:right w:val="single" w:color="000000" w:sz="6" w:space="0"/>
                  </w:tcBorders>
                  <w:noWrap w:val="0"/>
                  <w:vAlign w:val="center"/>
                </w:tcPr>
                <w:p w14:paraId="70E1371B">
                  <w:pPr>
                    <w:pStyle w:val="7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pH、氨氮、SS、</w:t>
                  </w:r>
                  <w:r>
                    <w:rPr>
                      <w:rFonts w:hint="default" w:ascii="Times New Roman" w:hAnsi="Times New Roman" w:cs="Times New Roman"/>
                      <w:color w:val="auto"/>
                      <w:lang w:val="en-US" w:eastAsia="zh-CN"/>
                    </w:rPr>
                    <w:t>COD</w:t>
                  </w:r>
                  <w:r>
                    <w:rPr>
                      <w:rFonts w:hint="default" w:ascii="Times New Roman" w:hAnsi="Times New Roman" w:cs="Times New Roman"/>
                      <w:color w:val="auto"/>
                    </w:rPr>
                    <w:t>、</w:t>
                  </w: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rPr>
                    <w:t>嗅和味、溶解性总固体、氯化物、色度、粪大肠菌群</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重金属离子</w:t>
                  </w:r>
                </w:p>
              </w:tc>
              <w:tc>
                <w:tcPr>
                  <w:tcW w:w="549" w:type="pct"/>
                  <w:tcBorders>
                    <w:top w:val="single" w:color="000000" w:sz="6" w:space="0"/>
                    <w:left w:val="single" w:color="000000" w:sz="6" w:space="0"/>
                    <w:bottom w:val="single" w:color="000000" w:sz="6" w:space="0"/>
                    <w:right w:val="single" w:color="000000" w:sz="6" w:space="0"/>
                  </w:tcBorders>
                  <w:noWrap w:val="0"/>
                  <w:vAlign w:val="center"/>
                </w:tcPr>
                <w:p w14:paraId="207B4A94">
                  <w:pPr>
                    <w:pStyle w:val="7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厂区下游200m内</w:t>
                  </w:r>
                </w:p>
              </w:tc>
              <w:tc>
                <w:tcPr>
                  <w:tcW w:w="549" w:type="pct"/>
                  <w:tcBorders>
                    <w:top w:val="single" w:color="000000" w:sz="6" w:space="0"/>
                    <w:left w:val="single" w:color="000000" w:sz="6" w:space="0"/>
                    <w:bottom w:val="single" w:color="000000" w:sz="6" w:space="0"/>
                    <w:right w:val="single" w:color="000000" w:sz="6" w:space="0"/>
                  </w:tcBorders>
                  <w:noWrap w:val="0"/>
                  <w:vAlign w:val="center"/>
                </w:tcPr>
                <w:p w14:paraId="10F011E3">
                  <w:pPr>
                    <w:pStyle w:val="77"/>
                    <w:bidi w:val="0"/>
                    <w:jc w:val="center"/>
                    <w:rPr>
                      <w:rFonts w:hint="default" w:ascii="Times New Roman" w:hAnsi="Times New Roman" w:cs="Times New Roman"/>
                      <w:color w:val="auto"/>
                    </w:rPr>
                  </w:pPr>
                  <w:r>
                    <w:rPr>
                      <w:rFonts w:hint="default" w:ascii="Times New Roman" w:hAnsi="Times New Roman" w:cs="Times New Roman"/>
                      <w:color w:val="auto"/>
                    </w:rPr>
                    <w:t>1次/年</w:t>
                  </w:r>
                </w:p>
              </w:tc>
              <w:tc>
                <w:tcPr>
                  <w:tcW w:w="1086" w:type="pct"/>
                  <w:tcBorders>
                    <w:top w:val="single" w:color="000000" w:sz="6" w:space="0"/>
                    <w:left w:val="single" w:color="000000" w:sz="6" w:space="0"/>
                    <w:bottom w:val="single" w:color="000000" w:sz="6" w:space="0"/>
                    <w:right w:val="nil"/>
                  </w:tcBorders>
                  <w:noWrap w:val="0"/>
                  <w:vAlign w:val="center"/>
                </w:tcPr>
                <w:p w14:paraId="68E2E563">
                  <w:pPr>
                    <w:pStyle w:val="77"/>
                    <w:bidi w:val="0"/>
                    <w:jc w:val="center"/>
                    <w:rPr>
                      <w:rFonts w:hint="default" w:ascii="Times New Roman" w:hAnsi="Times New Roman" w:cs="Times New Roman"/>
                      <w:color w:val="auto"/>
                    </w:rPr>
                  </w:pPr>
                  <w:r>
                    <w:rPr>
                      <w:rFonts w:hint="default" w:ascii="Times New Roman" w:hAnsi="Times New Roman" w:cs="Times New Roman"/>
                      <w:color w:val="auto"/>
                    </w:rPr>
                    <w:t>《地下水环境质量标准》(GB14818-2017)</w:t>
                  </w:r>
                </w:p>
              </w:tc>
            </w:tr>
          </w:tbl>
          <w:p w14:paraId="7AEB1484">
            <w:pPr>
              <w:keepNext/>
              <w:keepLines/>
              <w:tabs>
                <w:tab w:val="left" w:pos="7380"/>
              </w:tabs>
              <w:snapToGrid w:val="0"/>
              <w:spacing w:line="360" w:lineRule="auto"/>
              <w:outlineLvl w:val="3"/>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6</w:t>
            </w:r>
            <w:r>
              <w:rPr>
                <w:rFonts w:hint="default" w:ascii="Times New Roman" w:hAnsi="Times New Roman" w:eastAsia="宋体" w:cs="Times New Roman"/>
                <w:b/>
                <w:bCs/>
                <w:color w:val="auto"/>
                <w:sz w:val="24"/>
                <w:lang w:val="en-US" w:eastAsia="zh-CN"/>
              </w:rPr>
              <w:t>、环境风险分析及防范措施</w:t>
            </w:r>
          </w:p>
          <w:p w14:paraId="3249F124">
            <w:pPr>
              <w:keepNext/>
              <w:keepLines/>
              <w:tabs>
                <w:tab w:val="left" w:pos="7380"/>
              </w:tabs>
              <w:snapToGrid w:val="0"/>
              <w:spacing w:line="360" w:lineRule="auto"/>
              <w:outlineLvl w:val="3"/>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6</w:t>
            </w:r>
            <w:r>
              <w:rPr>
                <w:rFonts w:hint="default" w:ascii="Times New Roman" w:hAnsi="Times New Roman" w:eastAsia="宋体" w:cs="Times New Roman"/>
                <w:b/>
                <w:bCs/>
                <w:color w:val="auto"/>
                <w:sz w:val="24"/>
                <w:lang w:val="en-US" w:eastAsia="zh-CN"/>
              </w:rPr>
              <w:t>.1.危险物质数量与临界量比值（Q）</w:t>
            </w:r>
          </w:p>
          <w:p w14:paraId="086C9014">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根据建设单位提供的《畜禽废水污染物项目监测报告》</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项目静止后沼液中COD含量为8594mg/L</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氨氮浓度为1538mg/L</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不属于《建设项目环境风险评价技术导则》(HJ169-2018)附录B中COD浓度≥10000mg/L的有机废液和NH₃-N浓度≥2000mg/L的废液；本项目涉及的危险废物主要为废机油、沼气、NH₃、H₂S。计算所涉及的每种危险物质在厂区内的最大存在总量与其临界量的比值Q。在不同厂区的同一物质，按其在厂界内的最大存在总量计算。</w:t>
            </w:r>
          </w:p>
          <w:p w14:paraId="63EC7EF2">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当只涉及一种危险物质时，计算该物质总量与其临界量比值，即为Q;当存在多种危险物质时，按照下式计算物质总量与其临界量比值(Q):</w:t>
            </w:r>
          </w:p>
          <w:p w14:paraId="07407C3E">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参考《建设项目环境风险评价技术导则》（HJ169-2018）附录B重点关注的危险物质及临界量B.1突发环境事件风险物质及临界量表，本项目危险物质为</w:t>
            </w:r>
            <w:r>
              <w:rPr>
                <w:rFonts w:hint="default" w:ascii="Times New Roman" w:hAnsi="Times New Roman" w:cs="Times New Roman"/>
                <w:color w:val="auto"/>
                <w:sz w:val="24"/>
                <w:lang w:val="en-US" w:eastAsia="zh-CN"/>
              </w:rPr>
              <w:t>天然气</w:t>
            </w:r>
            <w:r>
              <w:rPr>
                <w:rFonts w:hint="default" w:ascii="Times New Roman" w:hAnsi="Times New Roman" w:eastAsia="宋体" w:cs="Times New Roman"/>
                <w:color w:val="auto"/>
                <w:sz w:val="24"/>
                <w:lang w:val="en-US" w:eastAsia="zh-CN"/>
              </w:rPr>
              <w:t>，本项目危险物质的储存量、临界量见下表。</w:t>
            </w:r>
          </w:p>
          <w:p w14:paraId="5658EE31">
            <w:pPr>
              <w:snapToGrid w:val="0"/>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表4-10  项目实施后全厂主要有毒有害物质一览表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0"/>
              <w:gridCol w:w="983"/>
              <w:gridCol w:w="2509"/>
              <w:gridCol w:w="1334"/>
              <w:gridCol w:w="953"/>
              <w:gridCol w:w="2039"/>
            </w:tblGrid>
            <w:tr w14:paraId="0ECEA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4" w:type="pct"/>
                  <w:tcBorders>
                    <w:top w:val="single" w:color="000000" w:sz="6" w:space="0"/>
                    <w:left w:val="single" w:color="000000" w:sz="6" w:space="0"/>
                    <w:bottom w:val="single" w:color="000000" w:sz="6" w:space="0"/>
                    <w:right w:val="single" w:color="000000" w:sz="6" w:space="0"/>
                  </w:tcBorders>
                  <w:noWrap w:val="0"/>
                  <w:vAlign w:val="center"/>
                </w:tcPr>
                <w:p w14:paraId="330D7884">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序号</w:t>
                  </w:r>
                </w:p>
              </w:tc>
              <w:tc>
                <w:tcPr>
                  <w:tcW w:w="580" w:type="pct"/>
                  <w:tcBorders>
                    <w:top w:val="single" w:color="000000" w:sz="6" w:space="0"/>
                    <w:left w:val="single" w:color="000000" w:sz="6" w:space="0"/>
                    <w:bottom w:val="single" w:color="000000" w:sz="6" w:space="0"/>
                    <w:right w:val="single" w:color="000000" w:sz="6" w:space="0"/>
                  </w:tcBorders>
                  <w:noWrap w:val="0"/>
                  <w:vAlign w:val="center"/>
                </w:tcPr>
                <w:p w14:paraId="47ECFF78">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危险物质</w:t>
                  </w:r>
                </w:p>
              </w:tc>
              <w:tc>
                <w:tcPr>
                  <w:tcW w:w="1480" w:type="pct"/>
                  <w:tcBorders>
                    <w:top w:val="single" w:color="000000" w:sz="6" w:space="0"/>
                    <w:left w:val="single" w:color="000000" w:sz="6" w:space="0"/>
                    <w:bottom w:val="single" w:color="000000" w:sz="6" w:space="0"/>
                    <w:right w:val="single" w:color="000000" w:sz="6" w:space="0"/>
                  </w:tcBorders>
                  <w:noWrap w:val="0"/>
                  <w:vAlign w:val="center"/>
                </w:tcPr>
                <w:p w14:paraId="683B97DA">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危险物质实际存在量(t)</w:t>
                  </w:r>
                </w:p>
              </w:tc>
              <w:tc>
                <w:tcPr>
                  <w:tcW w:w="787" w:type="pct"/>
                  <w:tcBorders>
                    <w:top w:val="single" w:color="000000" w:sz="6" w:space="0"/>
                    <w:left w:val="single" w:color="000000" w:sz="6" w:space="0"/>
                    <w:bottom w:val="single" w:color="000000" w:sz="6" w:space="0"/>
                    <w:right w:val="single" w:color="000000" w:sz="6" w:space="0"/>
                  </w:tcBorders>
                  <w:noWrap w:val="0"/>
                  <w:vAlign w:val="center"/>
                </w:tcPr>
                <w:p w14:paraId="05F343E4">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临界量Qi(t)</w:t>
                  </w:r>
                </w:p>
              </w:tc>
              <w:tc>
                <w:tcPr>
                  <w:tcW w:w="562" w:type="pct"/>
                  <w:tcBorders>
                    <w:top w:val="single" w:color="000000" w:sz="6" w:space="0"/>
                    <w:left w:val="single" w:color="000000" w:sz="6" w:space="0"/>
                    <w:bottom w:val="single" w:color="000000" w:sz="6" w:space="0"/>
                    <w:right w:val="single" w:color="000000" w:sz="6" w:space="0"/>
                  </w:tcBorders>
                  <w:noWrap w:val="0"/>
                  <w:vAlign w:val="center"/>
                </w:tcPr>
                <w:p w14:paraId="07D7F6B7">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Q</w:t>
                  </w:r>
                </w:p>
              </w:tc>
              <w:tc>
                <w:tcPr>
                  <w:tcW w:w="1203" w:type="pct"/>
                  <w:tcBorders>
                    <w:top w:val="single" w:color="000000" w:sz="6" w:space="0"/>
                    <w:left w:val="single" w:color="000000" w:sz="6" w:space="0"/>
                    <w:bottom w:val="single" w:color="000000" w:sz="6" w:space="0"/>
                    <w:right w:val="nil"/>
                  </w:tcBorders>
                  <w:noWrap w:val="0"/>
                  <w:vAlign w:val="center"/>
                </w:tcPr>
                <w:p w14:paraId="34C68558">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备注</w:t>
                  </w:r>
                </w:p>
              </w:tc>
            </w:tr>
            <w:tr w14:paraId="7C7F6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4" w:type="pct"/>
                  <w:tcBorders>
                    <w:top w:val="single" w:color="000000" w:sz="6" w:space="0"/>
                    <w:left w:val="nil"/>
                    <w:bottom w:val="single" w:color="000000" w:sz="6" w:space="0"/>
                    <w:right w:val="single" w:color="000000" w:sz="6" w:space="0"/>
                  </w:tcBorders>
                  <w:noWrap w:val="0"/>
                  <w:vAlign w:val="center"/>
                </w:tcPr>
                <w:p w14:paraId="25133C2B">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580" w:type="pct"/>
                  <w:tcBorders>
                    <w:top w:val="single" w:color="000000" w:sz="6" w:space="0"/>
                    <w:left w:val="single" w:color="000000" w:sz="6" w:space="0"/>
                    <w:bottom w:val="single" w:color="000000" w:sz="6" w:space="0"/>
                    <w:right w:val="single" w:color="000000" w:sz="6" w:space="0"/>
                  </w:tcBorders>
                  <w:noWrap w:val="0"/>
                  <w:vAlign w:val="center"/>
                </w:tcPr>
                <w:p w14:paraId="4554D249">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沼气</w:t>
                  </w:r>
                </w:p>
              </w:tc>
              <w:tc>
                <w:tcPr>
                  <w:tcW w:w="1480" w:type="pct"/>
                  <w:tcBorders>
                    <w:top w:val="single" w:color="000000" w:sz="6" w:space="0"/>
                    <w:left w:val="single" w:color="000000" w:sz="6" w:space="0"/>
                    <w:bottom w:val="single" w:color="000000" w:sz="6" w:space="0"/>
                    <w:right w:val="single" w:color="000000" w:sz="6" w:space="0"/>
                  </w:tcBorders>
                  <w:noWrap w:val="0"/>
                  <w:vAlign w:val="center"/>
                </w:tcPr>
                <w:p w14:paraId="73EB2785">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9.72</w:t>
                  </w:r>
                </w:p>
              </w:tc>
              <w:tc>
                <w:tcPr>
                  <w:tcW w:w="787" w:type="pct"/>
                  <w:tcBorders>
                    <w:top w:val="single" w:color="000000" w:sz="6" w:space="0"/>
                    <w:left w:val="single" w:color="000000" w:sz="6" w:space="0"/>
                    <w:bottom w:val="single" w:color="000000" w:sz="6" w:space="0"/>
                    <w:right w:val="single" w:color="000000" w:sz="6" w:space="0"/>
                  </w:tcBorders>
                  <w:noWrap w:val="0"/>
                  <w:vAlign w:val="center"/>
                </w:tcPr>
                <w:p w14:paraId="0582084D">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10</w:t>
                  </w:r>
                </w:p>
              </w:tc>
              <w:tc>
                <w:tcPr>
                  <w:tcW w:w="562" w:type="pct"/>
                  <w:tcBorders>
                    <w:top w:val="single" w:color="000000" w:sz="6" w:space="0"/>
                    <w:left w:val="single" w:color="000000" w:sz="6" w:space="0"/>
                    <w:bottom w:val="single" w:color="000000" w:sz="6" w:space="0"/>
                    <w:right w:val="single" w:color="000000" w:sz="6" w:space="0"/>
                  </w:tcBorders>
                  <w:noWrap w:val="0"/>
                  <w:vAlign w:val="center"/>
                </w:tcPr>
                <w:p w14:paraId="7727E662">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0</w:t>
                  </w:r>
                  <w:r>
                    <w:rPr>
                      <w:rFonts w:hint="default" w:ascii="Times New Roman" w:hAnsi="Times New Roman" w:cs="Times New Roman"/>
                      <w:color w:val="auto"/>
                      <w:sz w:val="21"/>
                      <w:szCs w:val="21"/>
                      <w:highlight w:val="none"/>
                      <w:u w:val="none"/>
                      <w:lang w:val="en-US" w:eastAsia="zh-CN"/>
                    </w:rPr>
                    <w:t>.972</w:t>
                  </w:r>
                </w:p>
              </w:tc>
              <w:tc>
                <w:tcPr>
                  <w:tcW w:w="1203" w:type="pct"/>
                  <w:tcBorders>
                    <w:top w:val="single" w:color="000000" w:sz="6" w:space="0"/>
                    <w:left w:val="single" w:color="000000" w:sz="6" w:space="0"/>
                    <w:bottom w:val="single" w:color="000000" w:sz="6" w:space="0"/>
                    <w:right w:val="nil"/>
                  </w:tcBorders>
                  <w:noWrap w:val="0"/>
                  <w:vAlign w:val="center"/>
                </w:tcPr>
                <w:p w14:paraId="7EC8C7F4">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400</w:t>
                  </w:r>
                  <w:r>
                    <w:rPr>
                      <w:rFonts w:hint="default" w:ascii="Times New Roman" w:hAnsi="Times New Roman" w:eastAsia="宋体" w:cs="Times New Roman"/>
                      <w:color w:val="auto"/>
                      <w:sz w:val="21"/>
                      <w:szCs w:val="21"/>
                      <w:highlight w:val="none"/>
                      <w:u w:val="none"/>
                    </w:rPr>
                    <w:t>m³沼气储柜</w:t>
                  </w:r>
                  <w:r>
                    <w:rPr>
                      <w:rFonts w:hint="default" w:ascii="Times New Roman" w:hAnsi="Times New Roman" w:cs="Times New Roman"/>
                      <w:color w:val="auto"/>
                      <w:sz w:val="21"/>
                      <w:szCs w:val="21"/>
                      <w:highlight w:val="none"/>
                      <w:u w:val="none"/>
                      <w:lang w:val="en-US" w:eastAsia="zh-CN"/>
                    </w:rPr>
                    <w:t>2</w:t>
                  </w:r>
                  <w:r>
                    <w:rPr>
                      <w:rFonts w:hint="default" w:ascii="Times New Roman" w:hAnsi="Times New Roman" w:eastAsia="宋体" w:cs="Times New Roman"/>
                      <w:color w:val="auto"/>
                      <w:sz w:val="21"/>
                      <w:szCs w:val="21"/>
                      <w:highlight w:val="none"/>
                      <w:u w:val="none"/>
                    </w:rPr>
                    <w:t>座</w:t>
                  </w:r>
                </w:p>
              </w:tc>
            </w:tr>
            <w:tr w14:paraId="726C7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4" w:type="pct"/>
                  <w:tcBorders>
                    <w:top w:val="single" w:color="000000" w:sz="6" w:space="0"/>
                    <w:left w:val="nil"/>
                    <w:bottom w:val="single" w:color="000000" w:sz="6" w:space="0"/>
                    <w:right w:val="single" w:color="000000" w:sz="6" w:space="0"/>
                  </w:tcBorders>
                  <w:noWrap w:val="0"/>
                  <w:vAlign w:val="center"/>
                </w:tcPr>
                <w:p w14:paraId="1E487F04">
                  <w:pPr>
                    <w:keepNext w:val="0"/>
                    <w:keepLines w:val="0"/>
                    <w:pageBreakBefore w:val="0"/>
                    <w:kinsoku/>
                    <w:wordWrap/>
                    <w:overflowPunct/>
                    <w:topLinePunct w:val="0"/>
                    <w:bidi w:val="0"/>
                    <w:spacing w:line="240" w:lineRule="auto"/>
                    <w:ind w:left="0" w:leftChars="0" w:right="0" w:right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2</w:t>
                  </w:r>
                </w:p>
              </w:tc>
              <w:tc>
                <w:tcPr>
                  <w:tcW w:w="580" w:type="pct"/>
                  <w:tcBorders>
                    <w:top w:val="single" w:color="000000" w:sz="6" w:space="0"/>
                    <w:left w:val="single" w:color="000000" w:sz="6" w:space="0"/>
                    <w:bottom w:val="single" w:color="000000" w:sz="6" w:space="0"/>
                    <w:right w:val="single" w:color="000000" w:sz="6" w:space="0"/>
                  </w:tcBorders>
                  <w:noWrap w:val="0"/>
                  <w:vAlign w:val="center"/>
                </w:tcPr>
                <w:p w14:paraId="0AF62DFD">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油类</w:t>
                  </w:r>
                </w:p>
              </w:tc>
              <w:tc>
                <w:tcPr>
                  <w:tcW w:w="1480" w:type="pct"/>
                  <w:tcBorders>
                    <w:top w:val="single" w:color="000000" w:sz="6" w:space="0"/>
                    <w:left w:val="single" w:color="000000" w:sz="6" w:space="0"/>
                    <w:bottom w:val="single" w:color="000000" w:sz="6" w:space="0"/>
                    <w:right w:val="single" w:color="000000" w:sz="6" w:space="0"/>
                  </w:tcBorders>
                  <w:noWrap w:val="0"/>
                  <w:vAlign w:val="center"/>
                </w:tcPr>
                <w:p w14:paraId="5393544E">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0.5(废机油)</w:t>
                  </w:r>
                </w:p>
              </w:tc>
              <w:tc>
                <w:tcPr>
                  <w:tcW w:w="787" w:type="pct"/>
                  <w:tcBorders>
                    <w:top w:val="single" w:color="000000" w:sz="6" w:space="0"/>
                    <w:left w:val="single" w:color="000000" w:sz="6" w:space="0"/>
                    <w:bottom w:val="single" w:color="000000" w:sz="6" w:space="0"/>
                    <w:right w:val="single" w:color="000000" w:sz="6" w:space="0"/>
                  </w:tcBorders>
                  <w:noWrap w:val="0"/>
                  <w:vAlign w:val="center"/>
                </w:tcPr>
                <w:p w14:paraId="643F0F53">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2500</w:t>
                  </w:r>
                </w:p>
              </w:tc>
              <w:tc>
                <w:tcPr>
                  <w:tcW w:w="562" w:type="pct"/>
                  <w:tcBorders>
                    <w:top w:val="single" w:color="000000" w:sz="6" w:space="0"/>
                    <w:left w:val="single" w:color="000000" w:sz="6" w:space="0"/>
                    <w:bottom w:val="single" w:color="000000" w:sz="6" w:space="0"/>
                    <w:right w:val="single" w:color="000000" w:sz="6" w:space="0"/>
                  </w:tcBorders>
                  <w:noWrap w:val="0"/>
                  <w:vAlign w:val="center"/>
                </w:tcPr>
                <w:p w14:paraId="6EB3EAC4">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0.0002</w:t>
                  </w:r>
                </w:p>
              </w:tc>
              <w:tc>
                <w:tcPr>
                  <w:tcW w:w="1203" w:type="pct"/>
                  <w:tcBorders>
                    <w:top w:val="single" w:color="000000" w:sz="6" w:space="0"/>
                    <w:left w:val="single" w:color="000000" w:sz="6" w:space="0"/>
                    <w:bottom w:val="single" w:color="000000" w:sz="6" w:space="0"/>
                    <w:right w:val="nil"/>
                  </w:tcBorders>
                  <w:noWrap w:val="0"/>
                  <w:vAlign w:val="center"/>
                </w:tcPr>
                <w:p w14:paraId="1D56AED3">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p>
              </w:tc>
            </w:tr>
            <w:tr w14:paraId="7D070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4" w:type="pct"/>
                  <w:tcBorders>
                    <w:top w:val="single" w:color="000000" w:sz="6" w:space="0"/>
                    <w:left w:val="nil"/>
                    <w:bottom w:val="single" w:color="000000" w:sz="6" w:space="0"/>
                    <w:right w:val="single" w:color="000000" w:sz="6" w:space="0"/>
                  </w:tcBorders>
                  <w:noWrap w:val="0"/>
                  <w:vAlign w:val="center"/>
                </w:tcPr>
                <w:p w14:paraId="54876E77">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p>
              </w:tc>
              <w:tc>
                <w:tcPr>
                  <w:tcW w:w="580" w:type="pct"/>
                  <w:tcBorders>
                    <w:top w:val="single" w:color="000000" w:sz="6" w:space="0"/>
                    <w:left w:val="single" w:color="000000" w:sz="6" w:space="0"/>
                    <w:bottom w:val="single" w:color="000000" w:sz="6" w:space="0"/>
                    <w:right w:val="single" w:color="000000" w:sz="6" w:space="0"/>
                  </w:tcBorders>
                  <w:noWrap w:val="0"/>
                  <w:vAlign w:val="center"/>
                </w:tcPr>
                <w:p w14:paraId="2BE5BBB6">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合计</w:t>
                  </w:r>
                </w:p>
              </w:tc>
              <w:tc>
                <w:tcPr>
                  <w:tcW w:w="1480" w:type="pct"/>
                  <w:tcBorders>
                    <w:top w:val="single" w:color="000000" w:sz="6" w:space="0"/>
                    <w:left w:val="single" w:color="000000" w:sz="6" w:space="0"/>
                    <w:bottom w:val="single" w:color="000000" w:sz="6" w:space="0"/>
                    <w:right w:val="single" w:color="000000" w:sz="6" w:space="0"/>
                  </w:tcBorders>
                  <w:noWrap w:val="0"/>
                  <w:vAlign w:val="center"/>
                </w:tcPr>
                <w:p w14:paraId="2F09C9C9">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p>
              </w:tc>
              <w:tc>
                <w:tcPr>
                  <w:tcW w:w="787" w:type="pct"/>
                  <w:tcBorders>
                    <w:top w:val="single" w:color="000000" w:sz="6" w:space="0"/>
                    <w:left w:val="single" w:color="000000" w:sz="6" w:space="0"/>
                    <w:bottom w:val="single" w:color="000000" w:sz="6" w:space="0"/>
                    <w:right w:val="single" w:color="000000" w:sz="6" w:space="0"/>
                  </w:tcBorders>
                  <w:noWrap w:val="0"/>
                  <w:vAlign w:val="center"/>
                </w:tcPr>
                <w:p w14:paraId="51A81D6F">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p>
              </w:tc>
              <w:tc>
                <w:tcPr>
                  <w:tcW w:w="562" w:type="pct"/>
                  <w:tcBorders>
                    <w:top w:val="single" w:color="000000" w:sz="6" w:space="0"/>
                    <w:left w:val="single" w:color="000000" w:sz="6" w:space="0"/>
                    <w:bottom w:val="single" w:color="000000" w:sz="6" w:space="0"/>
                    <w:right w:val="single" w:color="000000" w:sz="6" w:space="0"/>
                  </w:tcBorders>
                  <w:noWrap w:val="0"/>
                  <w:vAlign w:val="center"/>
                </w:tcPr>
                <w:p w14:paraId="3A4389F1">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0.</w:t>
                  </w:r>
                  <w:r>
                    <w:rPr>
                      <w:rFonts w:hint="default" w:ascii="Times New Roman" w:hAnsi="Times New Roman" w:cs="Times New Roman"/>
                      <w:color w:val="auto"/>
                      <w:sz w:val="21"/>
                      <w:szCs w:val="21"/>
                      <w:highlight w:val="none"/>
                      <w:u w:val="none"/>
                      <w:lang w:val="en-US" w:eastAsia="zh-CN"/>
                    </w:rPr>
                    <w:t>972</w:t>
                  </w:r>
                  <w:r>
                    <w:rPr>
                      <w:rFonts w:hint="default" w:ascii="Times New Roman" w:hAnsi="Times New Roman" w:eastAsia="宋体" w:cs="Times New Roman"/>
                      <w:color w:val="auto"/>
                      <w:sz w:val="21"/>
                      <w:szCs w:val="21"/>
                      <w:highlight w:val="none"/>
                      <w:u w:val="none"/>
                    </w:rPr>
                    <w:t>2</w:t>
                  </w:r>
                </w:p>
              </w:tc>
              <w:tc>
                <w:tcPr>
                  <w:tcW w:w="1203" w:type="pct"/>
                  <w:tcBorders>
                    <w:top w:val="single" w:color="000000" w:sz="6" w:space="0"/>
                    <w:left w:val="single" w:color="000000" w:sz="6" w:space="0"/>
                    <w:bottom w:val="single" w:color="000000" w:sz="6" w:space="0"/>
                    <w:right w:val="nil"/>
                  </w:tcBorders>
                  <w:noWrap w:val="0"/>
                  <w:vAlign w:val="center"/>
                </w:tcPr>
                <w:p w14:paraId="6F30E894">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p>
              </w:tc>
            </w:tr>
          </w:tbl>
          <w:p w14:paraId="00D9CAD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由表可知，本项目Q=0.</w:t>
            </w:r>
            <w:r>
              <w:rPr>
                <w:rFonts w:hint="default" w:ascii="Times New Roman" w:hAnsi="Times New Roman" w:cs="Times New Roman"/>
                <w:color w:val="auto"/>
                <w:sz w:val="24"/>
                <w:lang w:val="en-US" w:eastAsia="zh-CN"/>
              </w:rPr>
              <w:t>972</w:t>
            </w:r>
            <w:r>
              <w:rPr>
                <w:rFonts w:hint="default" w:ascii="Times New Roman" w:hAnsi="Times New Roman" w:eastAsia="宋体" w:cs="Times New Roman"/>
                <w:color w:val="auto"/>
                <w:sz w:val="24"/>
                <w:lang w:val="en-US" w:eastAsia="zh-CN"/>
              </w:rPr>
              <w:t>2。Q&lt;1。该项目的风险潜势为I。需要进行简</w:t>
            </w:r>
            <w:r>
              <w:rPr>
                <w:rFonts w:hint="default" w:ascii="Times New Roman" w:hAnsi="Times New Roman" w:cs="Times New Roman"/>
                <w:color w:val="auto"/>
                <w:sz w:val="24"/>
                <w:lang w:val="en-US" w:eastAsia="zh-CN"/>
              </w:rPr>
              <w:t>单</w:t>
            </w:r>
            <w:r>
              <w:rPr>
                <w:rFonts w:hint="default" w:ascii="Times New Roman" w:hAnsi="Times New Roman" w:eastAsia="宋体" w:cs="Times New Roman"/>
                <w:color w:val="auto"/>
                <w:sz w:val="24"/>
                <w:lang w:val="en-US" w:eastAsia="zh-CN"/>
              </w:rPr>
              <w:t>分析。</w:t>
            </w:r>
          </w:p>
          <w:p w14:paraId="566DFEF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6.2</w:t>
            </w:r>
            <w:r>
              <w:rPr>
                <w:rFonts w:hint="default" w:ascii="Times New Roman" w:hAnsi="Times New Roman" w:eastAsia="宋体" w:cs="Times New Roman"/>
                <w:b/>
                <w:bCs/>
                <w:color w:val="auto"/>
                <w:sz w:val="24"/>
                <w:lang w:val="en-US" w:eastAsia="zh-CN"/>
              </w:rPr>
              <w:t>物质风险识别</w:t>
            </w:r>
          </w:p>
          <w:p w14:paraId="394E016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根据《建设项目环境风险评价技术导则》（HJ169-2018），物质风险识别包括主要原材料及辅助材料、燃料、中间产物、副产品、最终产品、污染物、火灾和爆炸伴生/次生物等。</w:t>
            </w:r>
          </w:p>
          <w:p w14:paraId="697A114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黑体" w:cs="Times New Roman"/>
                <w:color w:val="auto"/>
                <w:sz w:val="21"/>
                <w:szCs w:val="21"/>
                <w:lang w:val="en-US" w:eastAsia="zh-CN"/>
              </w:rPr>
              <w:t>表4-11  风险物质一览表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3"/>
              <w:gridCol w:w="3204"/>
              <w:gridCol w:w="2131"/>
              <w:gridCol w:w="2120"/>
            </w:tblGrid>
            <w:tr w14:paraId="2A952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8" w:type="pct"/>
                  <w:tcBorders>
                    <w:top w:val="single" w:color="000000" w:sz="6" w:space="0"/>
                    <w:left w:val="single" w:color="000000" w:sz="6" w:space="0"/>
                    <w:bottom w:val="single" w:color="000000" w:sz="6" w:space="0"/>
                    <w:right w:val="single" w:color="000000" w:sz="6" w:space="0"/>
                  </w:tcBorders>
                  <w:noWrap w:val="0"/>
                  <w:vAlign w:val="center"/>
                </w:tcPr>
                <w:p w14:paraId="1E4DFF45">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序号</w:t>
                  </w:r>
                </w:p>
              </w:tc>
              <w:tc>
                <w:tcPr>
                  <w:tcW w:w="1891" w:type="pct"/>
                  <w:tcBorders>
                    <w:top w:val="single" w:color="000000" w:sz="6" w:space="0"/>
                    <w:left w:val="single" w:color="000000" w:sz="6" w:space="0"/>
                    <w:bottom w:val="single" w:color="000000" w:sz="6" w:space="0"/>
                    <w:right w:val="single" w:color="000000" w:sz="6" w:space="0"/>
                  </w:tcBorders>
                  <w:noWrap w:val="0"/>
                  <w:vAlign w:val="center"/>
                </w:tcPr>
                <w:p w14:paraId="77E094CB">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名称</w:t>
                  </w:r>
                </w:p>
              </w:tc>
              <w:tc>
                <w:tcPr>
                  <w:tcW w:w="1258" w:type="pct"/>
                  <w:tcBorders>
                    <w:top w:val="single" w:color="000000" w:sz="6" w:space="0"/>
                    <w:left w:val="single" w:color="000000" w:sz="6" w:space="0"/>
                    <w:bottom w:val="single" w:color="000000" w:sz="6" w:space="0"/>
                    <w:right w:val="single" w:color="000000" w:sz="6" w:space="0"/>
                  </w:tcBorders>
                  <w:noWrap w:val="0"/>
                  <w:vAlign w:val="center"/>
                </w:tcPr>
                <w:p w14:paraId="56CEB0DE">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形态</w:t>
                  </w:r>
                </w:p>
              </w:tc>
              <w:tc>
                <w:tcPr>
                  <w:tcW w:w="1251" w:type="pct"/>
                  <w:tcBorders>
                    <w:top w:val="single" w:color="000000" w:sz="6" w:space="0"/>
                    <w:left w:val="single" w:color="000000" w:sz="6" w:space="0"/>
                    <w:bottom w:val="single" w:color="000000" w:sz="6" w:space="0"/>
                    <w:right w:val="nil"/>
                  </w:tcBorders>
                  <w:noWrap w:val="0"/>
                  <w:vAlign w:val="center"/>
                </w:tcPr>
                <w:p w14:paraId="32801067">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危险特性</w:t>
                  </w:r>
                </w:p>
              </w:tc>
            </w:tr>
            <w:tr w14:paraId="64C82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98" w:type="pct"/>
                  <w:tcBorders>
                    <w:top w:val="single" w:color="000000" w:sz="6" w:space="0"/>
                    <w:left w:val="nil"/>
                    <w:bottom w:val="single" w:color="000000" w:sz="6" w:space="0"/>
                    <w:right w:val="single" w:color="000000" w:sz="6" w:space="0"/>
                  </w:tcBorders>
                  <w:noWrap w:val="0"/>
                  <w:vAlign w:val="center"/>
                </w:tcPr>
                <w:p w14:paraId="03ACF03A">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1891" w:type="pct"/>
                  <w:tcBorders>
                    <w:top w:val="single" w:color="000000" w:sz="6" w:space="0"/>
                    <w:left w:val="single" w:color="000000" w:sz="6" w:space="0"/>
                    <w:bottom w:val="single" w:color="000000" w:sz="6" w:space="0"/>
                    <w:right w:val="single" w:color="000000" w:sz="6" w:space="0"/>
                  </w:tcBorders>
                  <w:noWrap w:val="0"/>
                  <w:vAlign w:val="center"/>
                </w:tcPr>
                <w:p w14:paraId="612AB5D9">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H</w:t>
                  </w:r>
                  <w:r>
                    <w:rPr>
                      <w:rFonts w:hint="default" w:ascii="Times New Roman" w:hAnsi="Times New Roman" w:cs="Times New Roman"/>
                      <w:color w:val="auto"/>
                      <w:sz w:val="21"/>
                      <w:szCs w:val="21"/>
                      <w:highlight w:val="none"/>
                      <w:u w:val="none"/>
                      <w:vertAlign w:val="subscript"/>
                      <w:lang w:val="en-US" w:eastAsia="zh-CN"/>
                    </w:rPr>
                    <w:t>2</w:t>
                  </w:r>
                  <w:r>
                    <w:rPr>
                      <w:rFonts w:hint="default" w:ascii="Times New Roman" w:hAnsi="Times New Roman" w:cs="Times New Roman"/>
                      <w:color w:val="auto"/>
                      <w:sz w:val="21"/>
                      <w:szCs w:val="21"/>
                      <w:highlight w:val="none"/>
                      <w:u w:val="none"/>
                      <w:lang w:val="en-US" w:eastAsia="zh-CN"/>
                    </w:rPr>
                    <w:t>S</w:t>
                  </w:r>
                </w:p>
              </w:tc>
              <w:tc>
                <w:tcPr>
                  <w:tcW w:w="1258" w:type="pct"/>
                  <w:tcBorders>
                    <w:top w:val="single" w:color="000000" w:sz="6" w:space="0"/>
                    <w:left w:val="single" w:color="000000" w:sz="6" w:space="0"/>
                    <w:bottom w:val="single" w:color="000000" w:sz="6" w:space="0"/>
                    <w:right w:val="single" w:color="000000" w:sz="6" w:space="0"/>
                  </w:tcBorders>
                  <w:noWrap w:val="0"/>
                  <w:vAlign w:val="center"/>
                </w:tcPr>
                <w:p w14:paraId="2BB11201">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气态</w:t>
                  </w:r>
                </w:p>
              </w:tc>
              <w:tc>
                <w:tcPr>
                  <w:tcW w:w="1251" w:type="pct"/>
                  <w:tcBorders>
                    <w:top w:val="single" w:color="000000" w:sz="6" w:space="0"/>
                    <w:left w:val="single" w:color="000000" w:sz="6" w:space="0"/>
                    <w:bottom w:val="single" w:color="000000" w:sz="6" w:space="0"/>
                    <w:right w:val="nil"/>
                  </w:tcBorders>
                  <w:noWrap w:val="0"/>
                  <w:vAlign w:val="center"/>
                </w:tcPr>
                <w:p w14:paraId="049ABC73">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易燃、有毒</w:t>
                  </w:r>
                </w:p>
              </w:tc>
            </w:tr>
            <w:tr w14:paraId="2364B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98" w:type="pct"/>
                  <w:tcBorders>
                    <w:top w:val="single" w:color="000000" w:sz="6" w:space="0"/>
                    <w:left w:val="nil"/>
                    <w:bottom w:val="single" w:color="000000" w:sz="6" w:space="0"/>
                    <w:right w:val="single" w:color="000000" w:sz="6" w:space="0"/>
                  </w:tcBorders>
                  <w:noWrap w:val="0"/>
                  <w:vAlign w:val="center"/>
                </w:tcPr>
                <w:p w14:paraId="18A8CE31">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w:t>
                  </w:r>
                </w:p>
              </w:tc>
              <w:tc>
                <w:tcPr>
                  <w:tcW w:w="1891" w:type="pct"/>
                  <w:tcBorders>
                    <w:top w:val="single" w:color="000000" w:sz="6" w:space="0"/>
                    <w:left w:val="single" w:color="000000" w:sz="6" w:space="0"/>
                    <w:bottom w:val="single" w:color="000000" w:sz="6" w:space="0"/>
                    <w:right w:val="single" w:color="000000" w:sz="6" w:space="0"/>
                  </w:tcBorders>
                  <w:noWrap w:val="0"/>
                  <w:vAlign w:val="center"/>
                </w:tcPr>
                <w:p w14:paraId="56737958">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NH₃</w:t>
                  </w:r>
                </w:p>
              </w:tc>
              <w:tc>
                <w:tcPr>
                  <w:tcW w:w="1258" w:type="pct"/>
                  <w:tcBorders>
                    <w:top w:val="single" w:color="000000" w:sz="6" w:space="0"/>
                    <w:left w:val="single" w:color="000000" w:sz="6" w:space="0"/>
                    <w:bottom w:val="single" w:color="000000" w:sz="6" w:space="0"/>
                    <w:right w:val="single" w:color="000000" w:sz="6" w:space="0"/>
                  </w:tcBorders>
                  <w:noWrap w:val="0"/>
                  <w:vAlign w:val="center"/>
                </w:tcPr>
                <w:p w14:paraId="0BEF2BB7">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气态</w:t>
                  </w:r>
                </w:p>
              </w:tc>
              <w:tc>
                <w:tcPr>
                  <w:tcW w:w="1251" w:type="pct"/>
                  <w:tcBorders>
                    <w:top w:val="single" w:color="000000" w:sz="6" w:space="0"/>
                    <w:left w:val="single" w:color="000000" w:sz="6" w:space="0"/>
                    <w:bottom w:val="single" w:color="000000" w:sz="6" w:space="0"/>
                    <w:right w:val="nil"/>
                  </w:tcBorders>
                  <w:noWrap w:val="0"/>
                  <w:vAlign w:val="center"/>
                </w:tcPr>
                <w:p w14:paraId="0E00F430">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可燃、有毒</w:t>
                  </w:r>
                </w:p>
              </w:tc>
            </w:tr>
            <w:tr w14:paraId="120DE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8" w:type="pct"/>
                  <w:tcBorders>
                    <w:top w:val="single" w:color="000000" w:sz="6" w:space="0"/>
                    <w:left w:val="nil"/>
                    <w:bottom w:val="single" w:color="000000" w:sz="6" w:space="0"/>
                    <w:right w:val="single" w:color="000000" w:sz="6" w:space="0"/>
                  </w:tcBorders>
                  <w:noWrap w:val="0"/>
                  <w:vAlign w:val="center"/>
                </w:tcPr>
                <w:p w14:paraId="1636CE13">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w:t>
                  </w:r>
                </w:p>
              </w:tc>
              <w:tc>
                <w:tcPr>
                  <w:tcW w:w="1891" w:type="pct"/>
                  <w:tcBorders>
                    <w:top w:val="single" w:color="000000" w:sz="6" w:space="0"/>
                    <w:left w:val="single" w:color="000000" w:sz="6" w:space="0"/>
                    <w:bottom w:val="single" w:color="000000" w:sz="6" w:space="0"/>
                    <w:right w:val="single" w:color="000000" w:sz="6" w:space="0"/>
                  </w:tcBorders>
                  <w:noWrap w:val="0"/>
                  <w:vAlign w:val="center"/>
                </w:tcPr>
                <w:p w14:paraId="0ACE4D52">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沼气</w:t>
                  </w:r>
                </w:p>
              </w:tc>
              <w:tc>
                <w:tcPr>
                  <w:tcW w:w="1258" w:type="pct"/>
                  <w:tcBorders>
                    <w:top w:val="single" w:color="000000" w:sz="6" w:space="0"/>
                    <w:left w:val="single" w:color="000000" w:sz="6" w:space="0"/>
                    <w:bottom w:val="single" w:color="000000" w:sz="6" w:space="0"/>
                    <w:right w:val="single" w:color="000000" w:sz="6" w:space="0"/>
                  </w:tcBorders>
                  <w:noWrap w:val="0"/>
                  <w:vAlign w:val="center"/>
                </w:tcPr>
                <w:p w14:paraId="52D40238">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气态</w:t>
                  </w:r>
                </w:p>
              </w:tc>
              <w:tc>
                <w:tcPr>
                  <w:tcW w:w="1251" w:type="pct"/>
                  <w:tcBorders>
                    <w:top w:val="single" w:color="000000" w:sz="6" w:space="0"/>
                    <w:left w:val="single" w:color="000000" w:sz="6" w:space="0"/>
                    <w:bottom w:val="single" w:color="000000" w:sz="6" w:space="0"/>
                    <w:right w:val="nil"/>
                  </w:tcBorders>
                  <w:noWrap w:val="0"/>
                  <w:vAlign w:val="center"/>
                </w:tcPr>
                <w:p w14:paraId="6607E9A8">
                  <w:pPr>
                    <w:keepNext w:val="0"/>
                    <w:keepLines w:val="0"/>
                    <w:pageBreakBefore w:val="0"/>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易燃</w:t>
                  </w:r>
                </w:p>
              </w:tc>
            </w:tr>
          </w:tbl>
          <w:p w14:paraId="6BEEBB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天然气的理化性质及危险特性见表</w:t>
            </w:r>
            <w:r>
              <w:rPr>
                <w:rFonts w:hint="default" w:ascii="Times New Roman" w:hAnsi="Times New Roman" w:cs="Times New Roman"/>
                <w:color w:val="auto"/>
                <w:sz w:val="24"/>
                <w:lang w:val="en-US" w:eastAsia="zh-CN"/>
              </w:rPr>
              <w:t>4-12</w:t>
            </w:r>
            <w:r>
              <w:rPr>
                <w:rFonts w:hint="default" w:ascii="Times New Roman" w:hAnsi="Times New Roman" w:eastAsia="宋体" w:cs="Times New Roman"/>
                <w:color w:val="auto"/>
                <w:sz w:val="24"/>
                <w:lang w:val="en-US" w:eastAsia="zh-CN"/>
              </w:rPr>
              <w:t>。</w:t>
            </w:r>
          </w:p>
          <w:p w14:paraId="58AAF5D3">
            <w:pPr>
              <w:snapToGrid w:val="0"/>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表4-12  硫化氢理化性质及危险特性表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6"/>
              <w:gridCol w:w="1679"/>
              <w:gridCol w:w="1962"/>
              <w:gridCol w:w="4281"/>
            </w:tblGrid>
            <w:tr w14:paraId="0F540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323"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497CE1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300C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中文名：硫化氢</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606AC">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英文名：hydrogensulfide</w:t>
                  </w:r>
                </w:p>
              </w:tc>
            </w:tr>
            <w:tr w14:paraId="69974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7252DD0">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5193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分子式：H2S</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A0D6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分子量：34</w:t>
                  </w:r>
                </w:p>
              </w:tc>
            </w:tr>
            <w:tr w14:paraId="02D19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1F9FB82">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2E14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危规号：21005</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E54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UN编号：1016</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2DBD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CAS号：630-08-0</w:t>
                  </w:r>
                </w:p>
              </w:tc>
            </w:tr>
            <w:tr w14:paraId="1A478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4BE2551">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理化性质</w:t>
                  </w: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996320">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外观与形状：无色有恶臭气体</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5E0C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溶解性：溶于水、乙醇。</w:t>
                  </w:r>
                </w:p>
              </w:tc>
            </w:tr>
            <w:tr w14:paraId="5C12B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B0E5EA3">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99226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熔点(℃):-84.5</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7E6D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沸点(℃):-60.4</w:t>
                  </w:r>
                </w:p>
              </w:tc>
            </w:tr>
            <w:tr w14:paraId="750D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BF83083">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1D483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相对密度：(水=1)</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EF4B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相对密度：(空气=1)1.19</w:t>
                  </w:r>
                </w:p>
              </w:tc>
            </w:tr>
            <w:tr w14:paraId="463AB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C62D742">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BB161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饱和蒸汽压(kPa)2026.5(-24.5℃)</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BD0E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禁忌物：强氧化剂、碱类</w:t>
                  </w:r>
                </w:p>
              </w:tc>
            </w:tr>
            <w:tr w14:paraId="7E5F2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7E5B3E1">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3B83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临界压力(Mpa):9.01</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53389">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临界温度(℃):100.4</w:t>
                  </w:r>
                </w:p>
              </w:tc>
            </w:tr>
            <w:tr w14:paraId="632ED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3CAE206">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9CF5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稳定性：稳定</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C6061">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聚合危害：不聚合</w:t>
                  </w:r>
                </w:p>
              </w:tc>
            </w:tr>
            <w:tr w14:paraId="61563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23"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3BE633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AF739">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危险性类别：第2.1类易燃气体</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CD6C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燃烧性：易燃</w:t>
                  </w:r>
                </w:p>
              </w:tc>
            </w:tr>
            <w:tr w14:paraId="41907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2EC7F60">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44159">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引燃温度(℃):260</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ECE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闪点(℃):无意义</w:t>
                  </w:r>
                </w:p>
              </w:tc>
            </w:tr>
            <w:tr w14:paraId="7790D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B4FB87A">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8D88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爆炸下限(%):4.0</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1CA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爆炸上限(%):46.0</w:t>
                  </w:r>
                </w:p>
              </w:tc>
            </w:tr>
            <w:tr w14:paraId="006A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DA01B3E">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8AC0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最小点火能(MJ):0.077</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656F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最大爆炸压力(MPa):0.490</w:t>
                  </w:r>
                </w:p>
              </w:tc>
            </w:tr>
            <w:tr w14:paraId="0431A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5A50D01">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8AE1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燃烧热：3524 kcal/kg</w:t>
                  </w:r>
                </w:p>
              </w:tc>
              <w:tc>
                <w:tcPr>
                  <w:tcW w:w="2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09ED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燃烧(分解)产物：硫氧化物</w:t>
                  </w:r>
                </w:p>
              </w:tc>
            </w:tr>
            <w:tr w14:paraId="47DC5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2D0C928">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AB6F20">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危险特性：与空气混合能形成爆炸性混合物，遇明火、高热能引起燃烧爆炸。与浓硝酸、发烟硝酸或其他强氧化剂剧烈反应，发生爆炸。气体比空气重，能在较低处扩散到相当远的地方，遇明火会引着回燃。</w:t>
                  </w:r>
                </w:p>
              </w:tc>
            </w:tr>
            <w:tr w14:paraId="0F339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837D650">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05A0C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灭火方法：消防人员必须穿戴全身防火防毒服。切断气源。若不能切断气源，则不允许熄灭正在燃烧的气体，喷水冷却容器，可能的话将容器从火场移至空旷处。</w:t>
                  </w:r>
                </w:p>
              </w:tc>
            </w:tr>
            <w:tr w14:paraId="2DB3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1360BA6">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66F0AC">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灭火剂：雾状水、抗溶性泡沫、干粉。</w:t>
                  </w:r>
                </w:p>
              </w:tc>
            </w:tr>
            <w:tr w14:paraId="5677B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23"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A3FBD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w:t>
                  </w: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D0A62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w:t>
                  </w:r>
                </w:p>
              </w:tc>
            </w:tr>
            <w:tr w14:paraId="10C77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B72FEEC">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4EB93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健康危害：本品是强烈的神经毒物，对黏膜有强烈刺激作用。</w:t>
                  </w:r>
                </w:p>
              </w:tc>
            </w:tr>
            <w:tr w14:paraId="36071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306C7E3">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934D3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性中毒：短期内吸入高浓度硫化氢后出现流泪、眼痛、眼内异物感、畏光、视物模糊、流涕、咽喉部灼热感、咳嗽、胸闷、头痛、乏力、意识模糊等。部分患者可有心肌损害。重者可出现脑水肿、肺水肿。极高浓度(1000mg/m3以上)然时可在数秒内突然昏迷，呼吸和心搏骤停，发生闪电型死亡。高浓度接触眼结膜发生水肿和角膜溃疡。</w:t>
                  </w:r>
                </w:p>
              </w:tc>
            </w:tr>
            <w:tr w14:paraId="10FAD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B64F20F">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9CB79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长期低浓度接触，引起神经衰弱综合征和自主神经功能紊乱。</w:t>
                  </w:r>
                </w:p>
              </w:tc>
            </w:tr>
            <w:tr w14:paraId="1578F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48ACFC8">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A673B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工作场所最高允许浓度：中国MAC=10mg/m3</w:t>
                  </w:r>
                </w:p>
              </w:tc>
            </w:tr>
            <w:tr w14:paraId="1F74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23"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98CBDC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9EFCD0">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眼睛接触：提起眼睑，用流动清水或生理盐水冲洗。就医。</w:t>
                  </w:r>
                </w:p>
              </w:tc>
            </w:tr>
            <w:tr w14:paraId="337BF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C96BF58">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10668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tc>
            </w:tr>
            <w:tr w14:paraId="6290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4" w:hRule="atLeast"/>
              </w:trPr>
              <w:tc>
                <w:tcPr>
                  <w:tcW w:w="323" w:type="pct"/>
                  <w:tcBorders>
                    <w:top w:val="single" w:color="000000" w:sz="4" w:space="0"/>
                    <w:left w:val="single" w:color="000000" w:sz="4" w:space="0"/>
                    <w:right w:val="single" w:color="000000" w:sz="4" w:space="0"/>
                  </w:tcBorders>
                  <w:shd w:val="clear" w:color="auto" w:fill="auto"/>
                  <w:textDirection w:val="tbRlV"/>
                  <w:vAlign w:val="center"/>
                </w:tcPr>
                <w:p w14:paraId="5D92764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w:t>
                  </w:r>
                </w:p>
                <w:p w14:paraId="25091D2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处理</w:t>
                  </w: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155FD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上风处，并立即隔离，小泄漏时隔离150m,大泄漏时隔离300m,,严格限制出入。切断火源，建议应急处理人员戴自给正压式呼吸器，穿消防防护服。从上风向进入现场，尽可能切断泄漏源。合理通风，加强扩散。喷雾状水稀释、溶解。构筑围堤或挖坑收容产生的大量废水。如有可能，将残余气或漏出气用排风机送至水洗塔相连的通风橱内。或使其通过三氯化铁水溶液，管路装止回装置以防溶液吸回。漏气容器要妥善处理、修复、检验后再用。</w:t>
                  </w:r>
                </w:p>
              </w:tc>
            </w:tr>
            <w:tr w14:paraId="517B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9BFAB4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w:t>
                  </w:r>
                </w:p>
              </w:tc>
              <w:tc>
                <w:tcPr>
                  <w:tcW w:w="4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C46D6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储运于阴凉、通风仓间内。仓内温度不宜超过30℃。远离火种、热源。防止阳光直射。保持容器密封。配备相应品种和数量的消防器材。禁止使用易产生火花的机械设备和工具。</w:t>
                  </w:r>
                </w:p>
              </w:tc>
            </w:tr>
          </w:tbl>
          <w:p w14:paraId="3BE1895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p>
          <w:p w14:paraId="29F8E4CD">
            <w:pPr>
              <w:snapToGrid w:val="0"/>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表4-13  氨理化性质及危险特性表</w:t>
            </w:r>
          </w:p>
          <w:tbl>
            <w:tblPr>
              <w:tblStyle w:val="34"/>
              <w:tblW w:w="84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5"/>
              <w:gridCol w:w="2284"/>
              <w:gridCol w:w="1406"/>
              <w:gridCol w:w="4333"/>
            </w:tblGrid>
            <w:tr w14:paraId="129E7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restart"/>
                  <w:tcBorders>
                    <w:top w:val="single" w:color="000000" w:sz="6" w:space="0"/>
                    <w:left w:val="single" w:color="000000" w:sz="6" w:space="0"/>
                    <w:right w:val="single" w:color="000000" w:sz="6" w:space="0"/>
                    <w:tl2br w:val="nil"/>
                    <w:tr2bl w:val="nil"/>
                  </w:tcBorders>
                  <w:noWrap w:val="0"/>
                  <w:vAlign w:val="center"/>
                </w:tcPr>
                <w:p w14:paraId="5FA36E4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6629C2E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中文名：氨气</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7C84F2D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英文名：Ammonia</w:t>
                  </w:r>
                </w:p>
              </w:tc>
            </w:tr>
            <w:tr w14:paraId="44C1F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63" w:type="pct"/>
                  <w:vMerge w:val="continue"/>
                  <w:tcBorders>
                    <w:left w:val="single" w:color="000000" w:sz="6" w:space="0"/>
                    <w:right w:val="single" w:color="000000" w:sz="6" w:space="0"/>
                    <w:tl2br w:val="nil"/>
                    <w:tr2bl w:val="nil"/>
                  </w:tcBorders>
                  <w:noWrap w:val="0"/>
                  <w:vAlign w:val="center"/>
                </w:tcPr>
                <w:p w14:paraId="351B726A">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1AA3A1A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分子式：NH₃</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0E6B986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分子量：17.03</w:t>
                  </w:r>
                </w:p>
              </w:tc>
            </w:tr>
            <w:tr w14:paraId="55523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bottom w:val="single" w:color="000000" w:sz="6" w:space="0"/>
                    <w:right w:val="single" w:color="000000" w:sz="6" w:space="0"/>
                    <w:tl2br w:val="nil"/>
                    <w:tr2bl w:val="nil"/>
                  </w:tcBorders>
                  <w:noWrap w:val="0"/>
                  <w:vAlign w:val="center"/>
                </w:tcPr>
                <w:p w14:paraId="32209502">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134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77DB275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危规号：23003</w:t>
                  </w:r>
                </w:p>
              </w:tc>
              <w:tc>
                <w:tcPr>
                  <w:tcW w:w="830"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092491C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UN编号：1005</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5F8C32F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CAS号：7664-41-7</w:t>
                  </w:r>
                </w:p>
              </w:tc>
            </w:tr>
            <w:tr w14:paraId="2F088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63" w:type="pct"/>
                  <w:vMerge w:val="restart"/>
                  <w:tcBorders>
                    <w:top w:val="single" w:color="000000" w:sz="6" w:space="0"/>
                    <w:left w:val="single" w:color="000000" w:sz="6" w:space="0"/>
                    <w:right w:val="single" w:color="000000" w:sz="6" w:space="0"/>
                    <w:tl2br w:val="nil"/>
                    <w:tr2bl w:val="nil"/>
                  </w:tcBorders>
                  <w:noWrap w:val="0"/>
                  <w:vAlign w:val="center"/>
                </w:tcPr>
                <w:p w14:paraId="25FDC44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w:t>
                  </w:r>
                </w:p>
                <w:p w14:paraId="0E10209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性质</w:t>
                  </w: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1AF8034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外观与形状：无色有刺激性恶臭气</w:t>
                  </w:r>
                </w:p>
                <w:p w14:paraId="508EC01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体，在适当压力下可液化成液氨</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7DAADB5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溶解性：易溶于水、乙醇、乙醚</w:t>
                  </w:r>
                </w:p>
              </w:tc>
            </w:tr>
            <w:tr w14:paraId="66F16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right w:val="single" w:color="000000" w:sz="6" w:space="0"/>
                    <w:tl2br w:val="nil"/>
                    <w:tr2bl w:val="nil"/>
                  </w:tcBorders>
                  <w:noWrap w:val="0"/>
                  <w:vAlign w:val="center"/>
                </w:tcPr>
                <w:p w14:paraId="1E66E3A6">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1CCA582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熔点(℃):-77.7</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75012AE1">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沸点(℃):-33.5</w:t>
                  </w:r>
                </w:p>
              </w:tc>
            </w:tr>
            <w:tr w14:paraId="39235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right w:val="single" w:color="000000" w:sz="6" w:space="0"/>
                    <w:tl2br w:val="nil"/>
                    <w:tr2bl w:val="nil"/>
                  </w:tcBorders>
                  <w:noWrap w:val="0"/>
                  <w:vAlign w:val="center"/>
                </w:tcPr>
                <w:p w14:paraId="218947F0">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4EED500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相对密度：(水=1)0.82(-79℃)</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427405F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相对密度：(空气=1)0.6</w:t>
                  </w:r>
                </w:p>
              </w:tc>
            </w:tr>
            <w:tr w14:paraId="428D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63" w:type="pct"/>
                  <w:vMerge w:val="continue"/>
                  <w:tcBorders>
                    <w:left w:val="single" w:color="000000" w:sz="6" w:space="0"/>
                    <w:right w:val="single" w:color="000000" w:sz="6" w:space="0"/>
                    <w:tl2br w:val="nil"/>
                    <w:tr2bl w:val="nil"/>
                  </w:tcBorders>
                  <w:noWrap w:val="0"/>
                  <w:vAlign w:val="center"/>
                </w:tcPr>
                <w:p w14:paraId="57BAEEA3">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20EFB881">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饱和蒸汽压(kPa)506.62(4.7℃)</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1BCB67B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禁忌物：卤素、酰基氯、酸类、氯仿、强氧化</w:t>
                  </w:r>
                </w:p>
                <w:p w14:paraId="2F4E9E5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剂</w:t>
                  </w:r>
                </w:p>
              </w:tc>
            </w:tr>
            <w:tr w14:paraId="03A25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right w:val="single" w:color="000000" w:sz="6" w:space="0"/>
                    <w:tl2br w:val="nil"/>
                    <w:tr2bl w:val="nil"/>
                  </w:tcBorders>
                  <w:noWrap w:val="0"/>
                  <w:vAlign w:val="center"/>
                </w:tcPr>
                <w:p w14:paraId="022FC789">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2AF26772">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临界压力(Mpa):11.40</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5571F23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临界温度(℃):132.4</w:t>
                  </w:r>
                </w:p>
              </w:tc>
            </w:tr>
            <w:tr w14:paraId="5B75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bottom w:val="single" w:color="000000" w:sz="6" w:space="0"/>
                    <w:right w:val="single" w:color="000000" w:sz="6" w:space="0"/>
                    <w:tl2br w:val="nil"/>
                    <w:tr2bl w:val="nil"/>
                  </w:tcBorders>
                  <w:noWrap w:val="0"/>
                  <w:vAlign w:val="center"/>
                </w:tcPr>
                <w:p w14:paraId="07E49D3E">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67EB319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稳定性：稳定</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48C738F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聚合危害：</w:t>
                  </w:r>
                </w:p>
              </w:tc>
            </w:tr>
            <w:tr w14:paraId="424EA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63" w:type="pct"/>
                  <w:vMerge w:val="restart"/>
                  <w:tcBorders>
                    <w:top w:val="single" w:color="000000" w:sz="6" w:space="0"/>
                    <w:left w:val="single" w:color="000000" w:sz="6" w:space="0"/>
                    <w:right w:val="single" w:color="000000" w:sz="6" w:space="0"/>
                    <w:tl2br w:val="nil"/>
                    <w:tr2bl w:val="nil"/>
                  </w:tcBorders>
                  <w:noWrap w:val="0"/>
                  <w:vAlign w:val="center"/>
                </w:tcPr>
                <w:p w14:paraId="1D4D63A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w:t>
                  </w:r>
                </w:p>
                <w:p w14:paraId="2D1B96F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特性</w:t>
                  </w: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4CA0E69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危险性类别：第2.3类有毒气体</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2140698D">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燃烧性：可燃</w:t>
                  </w:r>
                </w:p>
              </w:tc>
            </w:tr>
            <w:tr w14:paraId="09C05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right w:val="single" w:color="000000" w:sz="6" w:space="0"/>
                    <w:tl2br w:val="nil"/>
                    <w:tr2bl w:val="nil"/>
                  </w:tcBorders>
                  <w:noWrap w:val="0"/>
                  <w:vAlign w:val="center"/>
                </w:tcPr>
                <w:p w14:paraId="345FF49D">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7570AE6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引燃温度(℃):651</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3154B52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闪点(℃):无意义</w:t>
                  </w:r>
                </w:p>
              </w:tc>
            </w:tr>
            <w:tr w14:paraId="2A504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right w:val="single" w:color="000000" w:sz="6" w:space="0"/>
                    <w:tl2br w:val="nil"/>
                    <w:tr2bl w:val="nil"/>
                  </w:tcBorders>
                  <w:noWrap w:val="0"/>
                  <w:vAlign w:val="center"/>
                </w:tcPr>
                <w:p w14:paraId="01136765">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44337D4C">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爆炸下限(%):14.5</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52F5B6EC">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爆炸上限(%):27.4</w:t>
                  </w:r>
                </w:p>
              </w:tc>
            </w:tr>
            <w:tr w14:paraId="0EBF4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63" w:type="pct"/>
                  <w:vMerge w:val="continue"/>
                  <w:tcBorders>
                    <w:left w:val="single" w:color="000000" w:sz="6" w:space="0"/>
                    <w:right w:val="single" w:color="000000" w:sz="6" w:space="0"/>
                    <w:tl2br w:val="nil"/>
                    <w:tr2bl w:val="nil"/>
                  </w:tcBorders>
                  <w:noWrap w:val="0"/>
                  <w:vAlign w:val="center"/>
                </w:tcPr>
                <w:p w14:paraId="5D44E055">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0A6351E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最小点火能(MJ):1000</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08ECEC5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最大爆炸压力(KPa):4.85</w:t>
                  </w:r>
                </w:p>
              </w:tc>
            </w:tr>
            <w:tr w14:paraId="6AB94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bottom w:val="single" w:color="000000" w:sz="6" w:space="0"/>
                    <w:right w:val="single" w:color="000000" w:sz="6" w:space="0"/>
                    <w:tl2br w:val="nil"/>
                    <w:tr2bl w:val="nil"/>
                  </w:tcBorders>
                  <w:noWrap w:val="0"/>
                  <w:vAlign w:val="center"/>
                </w:tcPr>
                <w:p w14:paraId="5C01B7DA">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178" w:type="pct"/>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14:paraId="0C54E66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燃烧热(kJ/kg):18700</w:t>
                  </w:r>
                </w:p>
              </w:tc>
              <w:tc>
                <w:tcPr>
                  <w:tcW w:w="2558"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771C0C0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燃烧(分解)产物：氮氧化物、水</w:t>
                  </w:r>
                </w:p>
              </w:tc>
            </w:tr>
            <w:tr w14:paraId="3624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3" w:type="pct"/>
                  <w:vMerge w:val="restart"/>
                  <w:tcBorders>
                    <w:top w:val="single" w:color="000000" w:sz="6" w:space="0"/>
                    <w:left w:val="single" w:color="000000" w:sz="6" w:space="0"/>
                    <w:right w:val="single" w:color="000000" w:sz="6" w:space="0"/>
                    <w:tl2br w:val="nil"/>
                    <w:tr2bl w:val="nil"/>
                  </w:tcBorders>
                  <w:noWrap w:val="0"/>
                  <w:vAlign w:val="center"/>
                </w:tcPr>
                <w:p w14:paraId="4CB6647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w:t>
                  </w:r>
                </w:p>
                <w:p w14:paraId="6736CB02">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危害</w:t>
                  </w: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511324F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与空气混合能形成爆炸性混合物。遇明火、热即会发生燃烧爆炸。与氟、氯等接触会发生剧烈的化学反应。若遇高热，容器内压增大，有开裂和爆炸危险。遇热放出氨和氮及氮氧化物的有毒烟雾。</w:t>
                  </w:r>
                </w:p>
              </w:tc>
            </w:tr>
            <w:tr w14:paraId="16CC4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63" w:type="pct"/>
                  <w:vMerge w:val="continue"/>
                  <w:tcBorders>
                    <w:left w:val="single" w:color="000000" w:sz="6" w:space="0"/>
                    <w:right w:val="single" w:color="000000" w:sz="6" w:space="0"/>
                    <w:tl2br w:val="nil"/>
                    <w:tr2bl w:val="nil"/>
                  </w:tcBorders>
                  <w:noWrap w:val="0"/>
                  <w:vAlign w:val="center"/>
                </w:tcPr>
                <w:p w14:paraId="0C77FB78">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7F352702">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灭火方法：消防人员必须穿戴全身防火防毒服。切断气源。若不能立即切断气源，则不允许熄灭正在燃烧的气体。喷气冷却容器，可能的话将容器从火场移至空旷处。</w:t>
                  </w:r>
                </w:p>
              </w:tc>
            </w:tr>
            <w:tr w14:paraId="3310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right w:val="single" w:color="000000" w:sz="6" w:space="0"/>
                    <w:tl2br w:val="nil"/>
                    <w:tr2bl w:val="nil"/>
                  </w:tcBorders>
                  <w:noWrap w:val="0"/>
                  <w:vAlign w:val="center"/>
                </w:tcPr>
                <w:p w14:paraId="7794EBB7">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2DC017C9">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灭火剂：雾状水、抗溶性泡沫、二氧化碳、砂土。</w:t>
                  </w:r>
                </w:p>
              </w:tc>
            </w:tr>
            <w:tr w14:paraId="5251E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left w:val="single" w:color="000000" w:sz="6" w:space="0"/>
                    <w:bottom w:val="single" w:color="000000" w:sz="6" w:space="0"/>
                    <w:right w:val="single" w:color="000000" w:sz="6" w:space="0"/>
                    <w:tl2br w:val="nil"/>
                    <w:tr2bl w:val="nil"/>
                  </w:tcBorders>
                  <w:noWrap w:val="0"/>
                  <w:vAlign w:val="center"/>
                </w:tcPr>
                <w:p w14:paraId="54C0B277">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6DBBEEC2">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侵入途径：吸入，此外可以通过皮肤吸收</w:t>
                  </w:r>
                </w:p>
              </w:tc>
            </w:tr>
            <w:tr w14:paraId="098DD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63"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57207E4A">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66900A1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健康危害：对黏膜和皮肤有碱性刺激及腐蚀作用，可造成组织溶解性坏死。高浓度时可引起反射性呼吸停止和心脏停搏。</w:t>
                  </w:r>
                </w:p>
              </w:tc>
            </w:tr>
            <w:tr w14:paraId="10633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7837C492">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1456625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工作场所最高允许浓度：中国MAC(mg/m³):30;前苏联MAC(mg/m³):20</w:t>
                  </w:r>
                </w:p>
              </w:tc>
            </w:tr>
            <w:tr w14:paraId="09B13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63"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4532953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p w14:paraId="733EE7F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措施</w:t>
                  </w: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45491E8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皮肤接触：立即脱去污染的衣着，用流动清水冲洗至少30min</w:t>
                  </w:r>
                </w:p>
                <w:p w14:paraId="1D13653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眼睛接触：立即用流动清水或凉开水冲洗至少10min。</w:t>
                  </w:r>
                </w:p>
                <w:p w14:paraId="7F5A4BE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吸入：吸入者应迅速脱离现场，至空气新鲜处。维持呼吸功能。卧床静息。及时观</w:t>
                  </w:r>
                </w:p>
                <w:p w14:paraId="1FF13FE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察血气分析及胸部X线片变化。给对症、支持治疗。</w:t>
                  </w:r>
                </w:p>
                <w:p w14:paraId="59F5647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食入：给饮牛奶，有腐蚀症状时忌洗胃。</w:t>
                  </w:r>
                </w:p>
              </w:tc>
            </w:tr>
            <w:tr w14:paraId="554EF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63"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76224B22">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w:t>
                  </w:r>
                </w:p>
                <w:p w14:paraId="4EE85611">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处理</w:t>
                  </w: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7C93CD7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上风处，并进行隔离，严格限制出入。用湿草席等盖在泄漏处或漏出来的氨液上，然后从远处用水管冲洗。气体大量喷出时，在远处用喷射雾状水吸收。液体附着物要用大量水冲洗或用含盐酸的水中和。废气要用水吸收后盐酸中和，也可用大量水稀释排入下水道。中和剂，除盐酸外硫酸和其他酸也可以。</w:t>
                  </w:r>
                </w:p>
              </w:tc>
            </w:tr>
            <w:tr w14:paraId="45A65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63" w:type="pct"/>
                  <w:tcBorders>
                    <w:top w:val="single" w:color="000000" w:sz="6" w:space="0"/>
                    <w:left w:val="single" w:color="000000" w:sz="6" w:space="0"/>
                    <w:bottom w:val="single" w:color="000000" w:sz="6" w:space="0"/>
                    <w:right w:val="single" w:color="000000" w:sz="6" w:space="0"/>
                    <w:tl2br w:val="nil"/>
                    <w:tr2bl w:val="nil"/>
                  </w:tcBorders>
                  <w:noWrap w:val="0"/>
                  <w:vAlign w:val="center"/>
                </w:tcPr>
                <w:p w14:paraId="14D0DCC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w:t>
                  </w:r>
                </w:p>
                <w:p w14:paraId="722BDCEC">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注意</w:t>
                  </w:r>
                </w:p>
              </w:tc>
              <w:tc>
                <w:tcPr>
                  <w:tcW w:w="4736" w:type="pct"/>
                  <w:gridSpan w:val="3"/>
                  <w:tcBorders>
                    <w:top w:val="single" w:color="000000" w:sz="6" w:space="0"/>
                    <w:left w:val="single" w:color="000000" w:sz="6" w:space="0"/>
                    <w:bottom w:val="single" w:color="000000" w:sz="6" w:space="0"/>
                    <w:right w:val="single" w:color="000000" w:sz="6" w:space="0"/>
                    <w:tl2br w:val="nil"/>
                    <w:tr2bl w:val="nil"/>
                  </w:tcBorders>
                  <w:noWrap w:val="0"/>
                  <w:vAlign w:val="center"/>
                </w:tcPr>
                <w:p w14:paraId="33FE2841">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谨防容器受损；本品适宜室外或单独存放，室内存放应置于凉爽、通风处；避易燃物，与其他化学品分离，尤其是氧化气体，次氯酸物、碘和酸；严禁烟火。搬运时 要轻装轻卸，防止包装及容器损坏。分装和搬运作业要注意个人防护。运输按规定路线行驶，勿在居民区和人口稠密区停留</w:t>
                  </w:r>
                </w:p>
                <w:p w14:paraId="54956123">
                  <w:pPr>
                    <w:spacing w:line="0" w:lineRule="atLeast"/>
                    <w:ind w:firstLine="0" w:firstLineChars="0"/>
                    <w:jc w:val="center"/>
                    <w:rPr>
                      <w:rFonts w:hint="default" w:ascii="Times New Roman" w:hAnsi="Times New Roman" w:cs="Times New Roman"/>
                      <w:color w:val="auto"/>
                      <w:sz w:val="21"/>
                      <w:szCs w:val="21"/>
                      <w:lang w:val="en-US" w:eastAsia="zh-CN"/>
                    </w:rPr>
                  </w:pPr>
                </w:p>
              </w:tc>
            </w:tr>
          </w:tbl>
          <w:p w14:paraId="1F0C219E">
            <w:pPr>
              <w:spacing w:line="360" w:lineRule="auto"/>
              <w:ind w:firstLine="420" w:firstLineChars="200"/>
              <w:jc w:val="center"/>
              <w:rPr>
                <w:rFonts w:hint="default" w:ascii="Times New Roman" w:hAnsi="Times New Roman" w:cs="Times New Roman"/>
                <w:color w:val="auto"/>
                <w:sz w:val="24"/>
                <w:highlight w:val="none"/>
                <w:u w:val="none"/>
                <w:lang w:eastAsia="zh-CN"/>
              </w:rPr>
            </w:pPr>
            <w:r>
              <w:rPr>
                <w:rFonts w:hint="default" w:ascii="Times New Roman" w:hAnsi="Times New Roman" w:eastAsia="黑体" w:cs="Times New Roman"/>
                <w:color w:val="auto"/>
                <w:sz w:val="21"/>
                <w:szCs w:val="21"/>
                <w:lang w:val="en-US" w:eastAsia="zh-CN"/>
              </w:rPr>
              <w:t>表4-14  甲烷理化性质及危险特性表</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2"/>
              <w:gridCol w:w="1709"/>
              <w:gridCol w:w="2221"/>
              <w:gridCol w:w="4016"/>
            </w:tblGrid>
            <w:tr w14:paraId="14573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571D4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5032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中文名：甲烷(沼气)</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20F0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英文名：Marsh gas</w:t>
                  </w:r>
                </w:p>
              </w:tc>
            </w:tr>
            <w:tr w14:paraId="20229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4CA49">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473B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分子式：CH4</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AECD0">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分子量：16.04</w:t>
                  </w:r>
                </w:p>
              </w:tc>
            </w:tr>
            <w:tr w14:paraId="12AC0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47B88">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C3C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危规号：21007</w:t>
                  </w:r>
                </w:p>
              </w:tc>
              <w:tc>
                <w:tcPr>
                  <w:tcW w:w="1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561A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UN编号：1971</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D0E0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CAS号：74-82-8</w:t>
                  </w:r>
                </w:p>
              </w:tc>
            </w:tr>
            <w:tr w14:paraId="6BDF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E083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性质</w:t>
                  </w: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5B93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外观与性状：无色无臭气体</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B05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溶解性：微溶于水，溶于醇、乙醚</w:t>
                  </w:r>
                </w:p>
              </w:tc>
            </w:tr>
            <w:tr w14:paraId="14B5F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D6B9E">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5F5E4">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熔点(℃):-182.5</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890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沸点(℃):-161.5</w:t>
                  </w:r>
                </w:p>
              </w:tc>
            </w:tr>
            <w:tr w14:paraId="0DA49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DD912">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0B0E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相对密度：(水=1)0.42(-164℃)</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239F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相对密度：(空气=1)0.55</w:t>
                  </w:r>
                </w:p>
              </w:tc>
            </w:tr>
            <w:tr w14:paraId="18BED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9FC4E">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DE0C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饱和蒸汽压(kPa)53.32(-168℃)</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41EF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禁忌物：强氧化剂、氟、氯</w:t>
                  </w:r>
                </w:p>
              </w:tc>
            </w:tr>
            <w:tr w14:paraId="61FF7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A6555">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7B92C">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临界压力(Mpa):4.59</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D951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临界温度(℃):-82.6</w:t>
                  </w:r>
                </w:p>
              </w:tc>
            </w:tr>
            <w:tr w14:paraId="6F02F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1FB6C">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特性</w:t>
                  </w: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C93A0">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危险性类别：第2.1类易燃气体</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F76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燃烧性：易燃</w:t>
                  </w:r>
                </w:p>
              </w:tc>
            </w:tr>
            <w:tr w14:paraId="2976E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F0B3E">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D5D4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引燃温度(℃):538</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66647">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闪点(℃):-188</w:t>
                  </w:r>
                </w:p>
              </w:tc>
            </w:tr>
            <w:tr w14:paraId="22EE3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652C0">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9C4649">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爆炸下限(%):5.3</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7D0F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爆炸上限(%):15</w:t>
                  </w:r>
                </w:p>
              </w:tc>
            </w:tr>
            <w:tr w14:paraId="2E688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DA037">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23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13B9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燃烧热(kJ/mol):889.5</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02BA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燃烧(分解)产物：二氧化碳、水</w:t>
                  </w:r>
                </w:p>
              </w:tc>
            </w:tr>
            <w:tr w14:paraId="1763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F1198">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EDF5D0">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易燃，与空气混合能形成爆炸性混合物。</w:t>
                  </w:r>
                </w:p>
              </w:tc>
            </w:tr>
            <w:tr w14:paraId="45765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66F37">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23688C">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灭火方法：切断气源。若不能立即切断气源，则不允许熄灭正在燃烧的气体。喷气</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冷却容器，可能的话将容器从火场移至空旷处。</w:t>
                  </w:r>
                </w:p>
              </w:tc>
            </w:tr>
            <w:tr w14:paraId="15A87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731DE">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CEE60E">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灭火剂：雾状水、泡沫、二氧化碳、干粉。</w:t>
                  </w:r>
                </w:p>
              </w:tc>
            </w:tr>
            <w:tr w14:paraId="6A2A0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D2B5A">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危害</w:t>
                  </w: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C8D171">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 -</w:t>
                  </w:r>
                </w:p>
              </w:tc>
            </w:tr>
            <w:tr w14:paraId="364C0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3967B">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6094B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健康危害：甲烷对人基本无毒，但浓度过高时，使空气中氧含量明显降低，使人室</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息。当空气中甲烷达到25-30%时，可引起头痛、头晕、乏力、注意力不集中、呼吸</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和心跳加速、共济失调。若不及时脱离，可致窒息死亡。</w:t>
                  </w:r>
                </w:p>
              </w:tc>
            </w:tr>
            <w:tr w14:paraId="7FCC1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69DAE">
                  <w:pPr>
                    <w:spacing w:line="0" w:lineRule="atLeast"/>
                    <w:ind w:firstLine="0" w:firstLineChars="0"/>
                    <w:jc w:val="center"/>
                    <w:rPr>
                      <w:rFonts w:hint="default" w:ascii="Times New Roman" w:hAnsi="Times New Roman" w:cs="Times New Roman"/>
                      <w:color w:val="auto"/>
                      <w:sz w:val="21"/>
                      <w:szCs w:val="21"/>
                      <w:lang w:val="en-US" w:eastAsia="zh-CN"/>
                    </w:rPr>
                  </w:pP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0D5323">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工作场所最高允许浓度：中国MAC(mg/m3):- ;前苏联MAC(mg/m3):30</w:t>
                  </w:r>
                </w:p>
              </w:tc>
            </w:tr>
            <w:tr w14:paraId="68025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FB5BF">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措施</w:t>
                  </w: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45A98B">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皮肤接触：若有冻伤，就医治疗吸入：迅速脱离现场，至空气新鲜处。保持呼吸道通畅。如呼吸困难，给输氧。如呼吸停止，立即进行人工呼吸，就医。</w:t>
                  </w:r>
                </w:p>
              </w:tc>
            </w:tr>
            <w:tr w14:paraId="7D786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19F56">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处理</w:t>
                  </w: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7237E1">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27A51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E8E15">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注意</w:t>
                  </w:r>
                  <w:r>
                    <w:rPr>
                      <w:rFonts w:hint="default" w:ascii="Times New Roman" w:hAnsi="Times New Roman" w:cs="Times New Roman"/>
                      <w:color w:val="auto"/>
                      <w:sz w:val="21"/>
                      <w:szCs w:val="21"/>
                      <w:lang w:val="en-US" w:eastAsia="zh-CN"/>
                    </w:rPr>
                    <w:br w:type="textWrapping"/>
                  </w:r>
                  <w:r>
                    <w:rPr>
                      <w:rFonts w:hint="default" w:ascii="Times New Roman" w:hAnsi="Times New Roman" w:cs="Times New Roman"/>
                      <w:color w:val="auto"/>
                      <w:sz w:val="21"/>
                      <w:szCs w:val="21"/>
                      <w:lang w:val="en-US" w:eastAsia="zh-CN"/>
                    </w:rPr>
                    <w:t>措施</w:t>
                  </w:r>
                </w:p>
              </w:tc>
              <w:tc>
                <w:tcPr>
                  <w:tcW w:w="469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4EE438">
                  <w:pPr>
                    <w:spacing w:line="0" w:lineRule="atLeas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储存于阴凉、通风的库房。远离火种、热源，库温不宜超过30℃。应与氧化剂等分开存放，切忌混储。采用防爆型照明、通风设施。禁止使用易产生火花的机械设备和工具。储存区应备有泄漏应急处理设备。</w:t>
                  </w:r>
                </w:p>
              </w:tc>
            </w:tr>
          </w:tbl>
          <w:p w14:paraId="448E4777">
            <w:pPr>
              <w:spacing w:line="360" w:lineRule="auto"/>
              <w:ind w:firstLine="482" w:firstLineChars="200"/>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6.3生产过程中危险性识别</w:t>
            </w:r>
          </w:p>
          <w:p w14:paraId="52735C19">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生产过程中主要风险因素为火灾爆炸和泄漏事故。</w:t>
            </w:r>
          </w:p>
          <w:p w14:paraId="7CE518BB">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火灾爆炸危险因素分析</w:t>
            </w:r>
          </w:p>
          <w:p w14:paraId="752FC6AA">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生产工艺火灾爆炸危险特性分析：①物料正常泄漏起火；②设备泄漏起火；③操作失误造成泄漏起火。</w:t>
            </w:r>
          </w:p>
          <w:p w14:paraId="0467D8AD">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其他火灾危险性分析：①电气老化、绝缘破损、短路、私拉乱接、超负荷用电、过载、接线不规范、发热、电器使用管理不当等引起火灾；②库房、生产车间耐火等级达不到要求，一旦明火管理不当，生产、生活用火失控，就容易导致火灾；③自然因素：雷击或者地震。</w:t>
            </w:r>
          </w:p>
          <w:p w14:paraId="7969FB09">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泄漏因素分析</w:t>
            </w:r>
          </w:p>
          <w:p w14:paraId="35AF476F">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造成装置或者设备泄漏的原因是多种多样的，主要包括以下几种情况。</w:t>
            </w:r>
          </w:p>
          <w:p w14:paraId="2A8CFAA7">
            <w:pPr>
              <w:snapToGrid w:val="0"/>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表4-15  项目风险特征</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
              <w:gridCol w:w="1225"/>
              <w:gridCol w:w="6758"/>
            </w:tblGrid>
            <w:tr w14:paraId="61921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6" w:type="pct"/>
                  <w:tcBorders>
                    <w:top w:val="single" w:color="000000" w:sz="6" w:space="0"/>
                    <w:left w:val="single" w:color="000000" w:sz="6" w:space="0"/>
                    <w:bottom w:val="single" w:color="000000" w:sz="6" w:space="0"/>
                    <w:right w:val="single" w:color="000000" w:sz="6" w:space="0"/>
                  </w:tcBorders>
                  <w:noWrap w:val="0"/>
                  <w:vAlign w:val="center"/>
                </w:tcPr>
                <w:p w14:paraId="6182F804">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723" w:type="pct"/>
                  <w:tcBorders>
                    <w:top w:val="single" w:color="000000" w:sz="6" w:space="0"/>
                    <w:left w:val="single" w:color="000000" w:sz="6" w:space="0"/>
                    <w:bottom w:val="single" w:color="000000" w:sz="6" w:space="0"/>
                    <w:right w:val="single" w:color="000000" w:sz="6" w:space="0"/>
                  </w:tcBorders>
                  <w:noWrap w:val="0"/>
                  <w:vAlign w:val="center"/>
                </w:tcPr>
                <w:p w14:paraId="78EA2A0A">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泄漏类型</w:t>
                  </w:r>
                </w:p>
              </w:tc>
              <w:tc>
                <w:tcPr>
                  <w:tcW w:w="3989" w:type="pct"/>
                  <w:tcBorders>
                    <w:top w:val="single" w:color="000000" w:sz="6" w:space="0"/>
                    <w:left w:val="single" w:color="000000" w:sz="6" w:space="0"/>
                    <w:bottom w:val="single" w:color="000000" w:sz="6" w:space="0"/>
                    <w:right w:val="nil"/>
                  </w:tcBorders>
                  <w:noWrap w:val="0"/>
                  <w:vAlign w:val="center"/>
                </w:tcPr>
                <w:p w14:paraId="7915D971">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原因分析</w:t>
                  </w:r>
                </w:p>
              </w:tc>
            </w:tr>
            <w:tr w14:paraId="6E30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86" w:type="pct"/>
                  <w:tcBorders>
                    <w:top w:val="single" w:color="000000" w:sz="6" w:space="0"/>
                    <w:left w:val="nil"/>
                    <w:bottom w:val="single" w:color="000000" w:sz="6" w:space="0"/>
                    <w:right w:val="single" w:color="000000" w:sz="6" w:space="0"/>
                  </w:tcBorders>
                  <w:noWrap w:val="0"/>
                  <w:vAlign w:val="center"/>
                </w:tcPr>
                <w:p w14:paraId="5FCE4356">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23" w:type="pct"/>
                  <w:tcBorders>
                    <w:top w:val="single" w:color="000000" w:sz="6" w:space="0"/>
                    <w:left w:val="single" w:color="000000" w:sz="6" w:space="0"/>
                    <w:bottom w:val="single" w:color="000000" w:sz="6" w:space="0"/>
                    <w:right w:val="single" w:color="000000" w:sz="6" w:space="0"/>
                  </w:tcBorders>
                  <w:noWrap w:val="0"/>
                  <w:vAlign w:val="center"/>
                </w:tcPr>
                <w:p w14:paraId="2A74B947">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静密封面的泄漏</w:t>
                  </w:r>
                </w:p>
              </w:tc>
              <w:tc>
                <w:tcPr>
                  <w:tcW w:w="3989" w:type="pct"/>
                  <w:tcBorders>
                    <w:top w:val="single" w:color="000000" w:sz="6" w:space="0"/>
                    <w:left w:val="single" w:color="000000" w:sz="6" w:space="0"/>
                    <w:bottom w:val="single" w:color="000000" w:sz="6" w:space="0"/>
                    <w:right w:val="nil"/>
                  </w:tcBorders>
                  <w:noWrap w:val="0"/>
                  <w:vAlign w:val="center"/>
                </w:tcPr>
                <w:p w14:paraId="21F131DC">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①设计方面的原因：法兰压力等级选用不对，垫片材质、型号选用不对；</w:t>
                  </w:r>
                </w:p>
                <w:p w14:paraId="4DFAA548">
                  <w:pPr>
                    <w:spacing w:line="0" w:lineRule="atLeas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②施工方面的原因：法兰焊接错位，螺栓未上牢；</w:t>
                  </w:r>
                </w:p>
                <w:p w14:paraId="27F655C4">
                  <w:pPr>
                    <w:spacing w:line="0" w:lineRule="atLeas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③操作方面的原因：频繁开停工，温差变化大，超温、超压；</w:t>
                  </w:r>
                </w:p>
                <w:p w14:paraId="7A5D7E6C">
                  <w:pPr>
                    <w:spacing w:line="0" w:lineRule="atLeas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④机械方面的原因：设备承重构件、管道支吊架损坏，设备、管线位移将密封面拉开；振动、外力作用造成的损坏。</w:t>
                  </w:r>
                </w:p>
              </w:tc>
            </w:tr>
            <w:tr w14:paraId="14B33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86" w:type="pct"/>
                  <w:tcBorders>
                    <w:top w:val="single" w:color="000000" w:sz="6" w:space="0"/>
                    <w:left w:val="nil"/>
                    <w:bottom w:val="single" w:color="000000" w:sz="6" w:space="0"/>
                    <w:right w:val="single" w:color="000000" w:sz="6" w:space="0"/>
                  </w:tcBorders>
                  <w:noWrap w:val="0"/>
                  <w:vAlign w:val="center"/>
                </w:tcPr>
                <w:p w14:paraId="321DF466">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23" w:type="pct"/>
                  <w:tcBorders>
                    <w:top w:val="single" w:color="000000" w:sz="6" w:space="0"/>
                    <w:left w:val="single" w:color="000000" w:sz="6" w:space="0"/>
                    <w:bottom w:val="single" w:color="000000" w:sz="6" w:space="0"/>
                    <w:right w:val="single" w:color="000000" w:sz="6" w:space="0"/>
                  </w:tcBorders>
                  <w:noWrap w:val="0"/>
                  <w:vAlign w:val="center"/>
                </w:tcPr>
                <w:p w14:paraId="48D0BEFF">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动密封面泄漏</w:t>
                  </w:r>
                </w:p>
              </w:tc>
              <w:tc>
                <w:tcPr>
                  <w:tcW w:w="3989" w:type="pct"/>
                  <w:tcBorders>
                    <w:top w:val="single" w:color="000000" w:sz="6" w:space="0"/>
                    <w:left w:val="single" w:color="000000" w:sz="6" w:space="0"/>
                    <w:bottom w:val="single" w:color="000000" w:sz="6" w:space="0"/>
                    <w:right w:val="nil"/>
                  </w:tcBorders>
                  <w:noWrap w:val="0"/>
                  <w:vAlign w:val="center"/>
                </w:tcPr>
                <w:p w14:paraId="4B8725CD">
                  <w:pPr>
                    <w:spacing w:line="0" w:lineRule="atLeas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①设计方面的原因：机械密封型号选用不对；</w:t>
                  </w:r>
                </w:p>
                <w:p w14:paraId="6BDBD738">
                  <w:pPr>
                    <w:spacing w:line="0" w:lineRule="atLeas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②施工方面的原因：安装质量不符合要求；</w:t>
                  </w:r>
                </w:p>
                <w:p w14:paraId="2D048579">
                  <w:pPr>
                    <w:spacing w:line="0" w:lineRule="atLeas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③操作方面的原因：泵抽空、冷却介质不足；</w:t>
                  </w:r>
                </w:p>
                <w:p w14:paraId="22B3D9BF">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④机械方面的原因：介质中带固体颗粒，如焊渣、</w:t>
                  </w:r>
                  <w:r>
                    <w:rPr>
                      <w:rFonts w:hint="default" w:ascii="Times New Roman" w:hAnsi="Times New Roman" w:cs="Times New Roman"/>
                      <w:color w:val="auto"/>
                      <w:sz w:val="21"/>
                      <w:szCs w:val="21"/>
                      <w:lang w:eastAsia="zh-CN"/>
                    </w:rPr>
                    <w:t>砂石</w:t>
                  </w:r>
                  <w:r>
                    <w:rPr>
                      <w:rFonts w:hint="default" w:ascii="Times New Roman" w:hAnsi="Times New Roman" w:cs="Times New Roman"/>
                      <w:color w:val="auto"/>
                      <w:sz w:val="21"/>
                      <w:szCs w:val="21"/>
                    </w:rPr>
                    <w:t>等磨损密封面。</w:t>
                  </w:r>
                </w:p>
              </w:tc>
            </w:tr>
            <w:tr w14:paraId="64D06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86" w:type="pct"/>
                  <w:tcBorders>
                    <w:top w:val="single" w:color="000000" w:sz="6" w:space="0"/>
                    <w:left w:val="nil"/>
                    <w:bottom w:val="single" w:color="000000" w:sz="6" w:space="0"/>
                    <w:right w:val="single" w:color="000000" w:sz="6" w:space="0"/>
                  </w:tcBorders>
                  <w:noWrap w:val="0"/>
                  <w:vAlign w:val="center"/>
                </w:tcPr>
                <w:p w14:paraId="45489C40">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23" w:type="pct"/>
                  <w:tcBorders>
                    <w:top w:val="single" w:color="000000" w:sz="6" w:space="0"/>
                    <w:left w:val="single" w:color="000000" w:sz="6" w:space="0"/>
                    <w:bottom w:val="single" w:color="000000" w:sz="6" w:space="0"/>
                    <w:right w:val="single" w:color="000000" w:sz="6" w:space="0"/>
                  </w:tcBorders>
                  <w:noWrap w:val="0"/>
                  <w:vAlign w:val="center"/>
                </w:tcPr>
                <w:p w14:paraId="287A3A70">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焊缝缺陷</w:t>
                  </w:r>
                </w:p>
              </w:tc>
              <w:tc>
                <w:tcPr>
                  <w:tcW w:w="3989" w:type="pct"/>
                  <w:tcBorders>
                    <w:top w:val="single" w:color="000000" w:sz="6" w:space="0"/>
                    <w:left w:val="single" w:color="000000" w:sz="6" w:space="0"/>
                    <w:bottom w:val="single" w:color="000000" w:sz="6" w:space="0"/>
                    <w:right w:val="nil"/>
                  </w:tcBorders>
                  <w:noWrap w:val="0"/>
                  <w:vAlign w:val="center"/>
                </w:tcPr>
                <w:p w14:paraId="2B8A1336">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焊接质量不好，如沙眼、夹渣、错边、未焊透等在使用过程中往往成为泄漏的原因，另外焊缝处也是设备、管线中的薄弱部位，受外力作用、应力作用容易开裂造成泄漏</w:t>
                  </w:r>
                </w:p>
              </w:tc>
            </w:tr>
            <w:tr w14:paraId="7648F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86" w:type="pct"/>
                  <w:tcBorders>
                    <w:top w:val="single" w:color="000000" w:sz="6" w:space="0"/>
                    <w:left w:val="nil"/>
                    <w:bottom w:val="single" w:color="000000" w:sz="6" w:space="0"/>
                    <w:right w:val="single" w:color="000000" w:sz="6" w:space="0"/>
                  </w:tcBorders>
                  <w:noWrap w:val="0"/>
                  <w:vAlign w:val="center"/>
                </w:tcPr>
                <w:p w14:paraId="0F25550E">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723" w:type="pct"/>
                  <w:tcBorders>
                    <w:top w:val="single" w:color="000000" w:sz="6" w:space="0"/>
                    <w:left w:val="single" w:color="000000" w:sz="6" w:space="0"/>
                    <w:bottom w:val="single" w:color="000000" w:sz="6" w:space="0"/>
                    <w:right w:val="single" w:color="000000" w:sz="6" w:space="0"/>
                  </w:tcBorders>
                  <w:noWrap w:val="0"/>
                  <w:vAlign w:val="center"/>
                </w:tcPr>
                <w:p w14:paraId="153B98A7">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设备、管线</w:t>
                  </w:r>
                </w:p>
                <w:p w14:paraId="60FBAC6D">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因腐蚀、穿</w:t>
                  </w:r>
                </w:p>
                <w:p w14:paraId="57ECE7D2">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孔、开裂引</w:t>
                  </w:r>
                </w:p>
                <w:p w14:paraId="779BAC77">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起的泄漏</w:t>
                  </w:r>
                </w:p>
              </w:tc>
              <w:tc>
                <w:tcPr>
                  <w:tcW w:w="3989" w:type="pct"/>
                  <w:tcBorders>
                    <w:top w:val="single" w:color="000000" w:sz="6" w:space="0"/>
                    <w:left w:val="single" w:color="000000" w:sz="6" w:space="0"/>
                    <w:bottom w:val="single" w:color="000000" w:sz="6" w:space="0"/>
                    <w:right w:val="nil"/>
                  </w:tcBorders>
                  <w:noWrap w:val="0"/>
                  <w:vAlign w:val="center"/>
                </w:tcPr>
                <w:p w14:paraId="0901F35B">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设备、管线在使用过程会因化学腐蚀、应力腐蚀、流体冲蚀等原因出现</w:t>
                  </w:r>
                </w:p>
                <w:p w14:paraId="7BAE4ABE">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减薄、裂缝等现象，从而降低了它们的承压能力。腐蚀严重时会出现穿</w:t>
                  </w:r>
                </w:p>
                <w:p w14:paraId="253198B9">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孔、开裂造成泄漏。</w:t>
                  </w:r>
                </w:p>
              </w:tc>
            </w:tr>
            <w:tr w14:paraId="03371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86" w:type="pct"/>
                  <w:tcBorders>
                    <w:top w:val="single" w:color="000000" w:sz="6" w:space="0"/>
                    <w:left w:val="nil"/>
                    <w:bottom w:val="single" w:color="000000" w:sz="6" w:space="0"/>
                    <w:right w:val="single" w:color="000000" w:sz="6" w:space="0"/>
                  </w:tcBorders>
                  <w:noWrap w:val="0"/>
                  <w:vAlign w:val="center"/>
                </w:tcPr>
                <w:p w14:paraId="783B810B">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23" w:type="pct"/>
                  <w:tcBorders>
                    <w:top w:val="single" w:color="000000" w:sz="6" w:space="0"/>
                    <w:left w:val="single" w:color="000000" w:sz="6" w:space="0"/>
                    <w:bottom w:val="single" w:color="000000" w:sz="6" w:space="0"/>
                    <w:right w:val="single" w:color="000000" w:sz="6" w:space="0"/>
                  </w:tcBorders>
                  <w:noWrap w:val="0"/>
                  <w:vAlign w:val="center"/>
                </w:tcPr>
                <w:p w14:paraId="70FE6695">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人为疏忽</w:t>
                  </w:r>
                </w:p>
              </w:tc>
              <w:tc>
                <w:tcPr>
                  <w:tcW w:w="3989" w:type="pct"/>
                  <w:tcBorders>
                    <w:top w:val="single" w:color="000000" w:sz="6" w:space="0"/>
                    <w:left w:val="single" w:color="000000" w:sz="6" w:space="0"/>
                    <w:bottom w:val="single" w:color="000000" w:sz="6" w:space="0"/>
                    <w:right w:val="nil"/>
                  </w:tcBorders>
                  <w:noWrap w:val="0"/>
                  <w:vAlign w:val="center"/>
                </w:tcPr>
                <w:p w14:paraId="50455D7D">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由于操作人员的疏忽、仪表失灵等原因造成跑、冒现象是装置物料泄漏</w:t>
                  </w:r>
                </w:p>
                <w:p w14:paraId="60AE6E54">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的一个很主要的原因。特别是在开工、停工和设备检修过程，由于要开</w:t>
                  </w:r>
                </w:p>
                <w:p w14:paraId="4397BC33">
                  <w:pPr>
                    <w:spacing w:line="0" w:lineRule="atLeas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设备、管线的放空排气排水，一旦疏忽很容易发生跑料。</w:t>
                  </w:r>
                </w:p>
              </w:tc>
            </w:tr>
          </w:tbl>
          <w:p w14:paraId="588C601D">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其他危险、有害因素分析</w:t>
            </w:r>
          </w:p>
          <w:p w14:paraId="145A15E5">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企业在生产运营过程中，还存在其他危险、有害因素，如工人巡视及设备检修等过程中存在机械伤害、触电等危险因素。项目生产过程中使用风机、各种泵、搅拌机等运转设备，故操作过程中还存在机械伤害的危险。项目使用的带电的设备、装置等，若接地或接零保护装置失灵失效时，人触及带电体漏电部位，有发生触电的危险。</w:t>
            </w:r>
          </w:p>
          <w:p w14:paraId="3FA71027">
            <w:pPr>
              <w:spacing w:line="360" w:lineRule="auto"/>
              <w:ind w:firstLine="482" w:firstLineChars="200"/>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6.4</w:t>
            </w:r>
            <w:r>
              <w:rPr>
                <w:rFonts w:hint="default" w:ascii="Times New Roman" w:hAnsi="Times New Roman" w:cs="Times New Roman"/>
                <w:b/>
                <w:bCs/>
                <w:color w:val="auto"/>
                <w:sz w:val="24"/>
                <w:highlight w:val="none"/>
                <w:u w:val="none"/>
                <w:lang w:eastAsia="zh-CN"/>
              </w:rPr>
              <w:t>泄漏事故</w:t>
            </w:r>
            <w:r>
              <w:rPr>
                <w:rFonts w:hint="default" w:ascii="Times New Roman" w:hAnsi="Times New Roman" w:cs="Times New Roman"/>
                <w:b/>
                <w:bCs/>
                <w:color w:val="auto"/>
                <w:sz w:val="24"/>
                <w:highlight w:val="none"/>
                <w:u w:val="none"/>
              </w:rPr>
              <w:t>和火灾爆炸风险分析</w:t>
            </w:r>
          </w:p>
          <w:p w14:paraId="4610EAF3">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生产装置存储设备使用较多，包括厌氧罐、沼气柜、脱硫塔等，该类设备均属于压力容器，在高压下运行，接触的物料均具有易燃易爆的危险特性，更增加了设备的危险性。该类设备若使用的材质存在问题，材料的抗拉强度过高而塑性差，所选的钢材中的有害元素(如S、P、O)的含量超过了标准的规定，将导致设备表面产生裂纹、结疤、折叠、分层、夹杂、光洁度差、麻点和凹坑等缺陷，在运行中产生腐蚀，造成设备不能满足工艺条件的要求，使之爆裂，引起易燃易爆和有毒物料泄漏，进而造成火灾、爆炸、中毒事故。</w:t>
            </w:r>
          </w:p>
          <w:p w14:paraId="4FE0C5A8">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工艺管件</w:t>
            </w:r>
          </w:p>
          <w:p w14:paraId="1D11F887">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生产场所气体和液体物料输送均采用管输，造成管线泄漏的主要</w:t>
            </w:r>
            <w:r>
              <w:rPr>
                <w:rFonts w:hint="default" w:ascii="Times New Roman" w:hAnsi="Times New Roman" w:cs="Times New Roman"/>
                <w:color w:val="auto"/>
                <w:sz w:val="24"/>
                <w:highlight w:val="none"/>
                <w:u w:val="none"/>
                <w:lang w:eastAsia="zh-CN"/>
              </w:rPr>
              <w:t>原因是</w:t>
            </w:r>
            <w:r>
              <w:rPr>
                <w:rFonts w:hint="default" w:ascii="Times New Roman" w:hAnsi="Times New Roman" w:cs="Times New Roman"/>
                <w:color w:val="auto"/>
                <w:sz w:val="24"/>
                <w:highlight w:val="none"/>
                <w:u w:val="none"/>
              </w:rPr>
              <w:t>使用的材质不符合标准，制造、安装、</w:t>
            </w:r>
            <w:r>
              <w:rPr>
                <w:rFonts w:hint="default" w:ascii="Times New Roman" w:hAnsi="Times New Roman" w:cs="Times New Roman"/>
                <w:color w:val="auto"/>
                <w:sz w:val="24"/>
                <w:highlight w:val="none"/>
                <w:u w:val="none"/>
                <w:lang w:eastAsia="zh-CN"/>
              </w:rPr>
              <w:t>焊接</w:t>
            </w:r>
            <w:r>
              <w:rPr>
                <w:rFonts w:hint="default" w:ascii="Times New Roman" w:hAnsi="Times New Roman" w:cs="Times New Roman"/>
                <w:color w:val="auto"/>
                <w:sz w:val="24"/>
                <w:highlight w:val="none"/>
                <w:u w:val="none"/>
              </w:rPr>
              <w:t>存在缺陷，不能承受温度、腐蚀性的工作，</w:t>
            </w:r>
            <w:r>
              <w:rPr>
                <w:rFonts w:hint="default" w:ascii="Times New Roman" w:hAnsi="Times New Roman" w:cs="Times New Roman"/>
                <w:color w:val="auto"/>
                <w:sz w:val="24"/>
                <w:highlight w:val="none"/>
                <w:u w:val="none"/>
                <w:lang w:eastAsia="zh-CN"/>
              </w:rPr>
              <w:t>管柱基础</w:t>
            </w:r>
            <w:r>
              <w:rPr>
                <w:rFonts w:hint="default" w:ascii="Times New Roman" w:hAnsi="Times New Roman" w:cs="Times New Roman"/>
                <w:color w:val="auto"/>
                <w:sz w:val="24"/>
                <w:highlight w:val="none"/>
                <w:u w:val="none"/>
              </w:rPr>
              <w:t>不、抗震强度不够造成管线拉裂、折断、倒塌。更重要的是后期管理、维护不当，使用过程中物料引起的腐蚀，或长期经受振动，所引起壁体变薄和裂纹的产生，造成物料的泄漏。由于阀门的质量问题，当管线发生物料泄漏时，要快速切断物料输送，不能很快地切断，造成泄漏。线中的阀门、法兰及管道接头处，发生泄漏的</w:t>
            </w:r>
            <w:r>
              <w:rPr>
                <w:rFonts w:hint="default" w:ascii="Times New Roman" w:hAnsi="Times New Roman" w:cs="Times New Roman"/>
                <w:color w:val="auto"/>
                <w:sz w:val="24"/>
                <w:highlight w:val="none"/>
                <w:u w:val="none"/>
                <w:lang w:eastAsia="zh-CN"/>
              </w:rPr>
              <w:t>概率</w:t>
            </w:r>
            <w:r>
              <w:rPr>
                <w:rFonts w:hint="default" w:ascii="Times New Roman" w:hAnsi="Times New Roman" w:cs="Times New Roman"/>
                <w:color w:val="auto"/>
                <w:sz w:val="24"/>
                <w:highlight w:val="none"/>
                <w:u w:val="none"/>
              </w:rPr>
              <w:t>较大。</w:t>
            </w:r>
          </w:p>
          <w:p w14:paraId="6A346943">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厌氧罐、沼气柜</w:t>
            </w:r>
          </w:p>
          <w:p w14:paraId="20C76BE3">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A.罐体本身质量问题或在不可预</w:t>
            </w:r>
            <w:r>
              <w:rPr>
                <w:rFonts w:hint="default" w:ascii="Times New Roman" w:hAnsi="Times New Roman" w:cs="Times New Roman"/>
                <w:color w:val="auto"/>
                <w:sz w:val="24"/>
                <w:highlight w:val="none"/>
                <w:u w:val="none"/>
                <w:lang w:eastAsia="zh-CN"/>
              </w:rPr>
              <w:t>测的</w:t>
            </w:r>
            <w:r>
              <w:rPr>
                <w:rFonts w:hint="default" w:ascii="Times New Roman" w:hAnsi="Times New Roman" w:cs="Times New Roman"/>
                <w:color w:val="auto"/>
                <w:sz w:val="24"/>
                <w:highlight w:val="none"/>
                <w:u w:val="none"/>
              </w:rPr>
              <w:t>外力作用下(如地震)而发生破裂可能引起物料大量外泄，若废油、沼气等</w:t>
            </w:r>
            <w:r>
              <w:rPr>
                <w:rFonts w:hint="default" w:ascii="Times New Roman" w:hAnsi="Times New Roman" w:cs="Times New Roman"/>
                <w:color w:val="auto"/>
                <w:sz w:val="24"/>
                <w:highlight w:val="none"/>
                <w:u w:val="none"/>
                <w:lang w:eastAsia="zh-CN"/>
              </w:rPr>
              <w:t>遇到</w:t>
            </w:r>
            <w:r>
              <w:rPr>
                <w:rFonts w:hint="default" w:ascii="Times New Roman" w:hAnsi="Times New Roman" w:cs="Times New Roman"/>
                <w:color w:val="auto"/>
                <w:sz w:val="24"/>
                <w:highlight w:val="none"/>
                <w:u w:val="none"/>
              </w:rPr>
              <w:t>火源，可能发生火灾、爆炸。</w:t>
            </w:r>
          </w:p>
          <w:p w14:paraId="3F09FEE7">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B.在储存温度过高时，罐内的可燃物料蒸发加剧，从呼吸阀或通气孔排出与空气混合形成爆炸性气体，在静风不易扩散时，若遇点火源，易造成火灾、爆炸事故。</w:t>
            </w:r>
          </w:p>
          <w:p w14:paraId="14DB71E5">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C.若罐体的静电接地扁钢焊接质量不好或生锈致使接地不良，易造成静电积聚放电，产生电火花，遇可燃物料泄漏或蒸发时，可能引发火灾、爆炸。</w:t>
            </w:r>
          </w:p>
          <w:p w14:paraId="13546083">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D.罐体上的阀门、管道法兰应防静电跨接的地方未用金属线(板)跨接或跨接的连接不可靠，易造成静电积聚放电，产生电火花，若遇可燃物料泄漏或蒸发时，可能引发火灾，甚至爆炸。</w:t>
            </w:r>
          </w:p>
          <w:p w14:paraId="42D3D9B6">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E.若罐体未安装液位报警装置或装置失效，或不按操作规程启闭阀门容易出现可燃物料跑、冒事故，若</w:t>
            </w:r>
            <w:r>
              <w:rPr>
                <w:rFonts w:hint="default" w:ascii="Times New Roman" w:hAnsi="Times New Roman" w:cs="Times New Roman"/>
                <w:color w:val="auto"/>
                <w:sz w:val="24"/>
                <w:highlight w:val="none"/>
                <w:u w:val="none"/>
                <w:lang w:eastAsia="zh-CN"/>
              </w:rPr>
              <w:t>遇到</w:t>
            </w:r>
            <w:r>
              <w:rPr>
                <w:rFonts w:hint="default" w:ascii="Times New Roman" w:hAnsi="Times New Roman" w:cs="Times New Roman"/>
                <w:color w:val="auto"/>
                <w:sz w:val="24"/>
                <w:highlight w:val="none"/>
                <w:u w:val="none"/>
              </w:rPr>
              <w:t>火源，可能引起火灾、爆炸事故。</w:t>
            </w:r>
          </w:p>
          <w:p w14:paraId="7903DBD7">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F.若罐体的呼吸阀失灵或堵塞，输送可燃物料时罐体内压力逐渐增大，可能导 致罐体发生破裂，引起可燃物料大量泄漏，若</w:t>
            </w:r>
            <w:r>
              <w:rPr>
                <w:rFonts w:hint="default" w:ascii="Times New Roman" w:hAnsi="Times New Roman" w:cs="Times New Roman"/>
                <w:color w:val="auto"/>
                <w:sz w:val="24"/>
                <w:highlight w:val="none"/>
                <w:u w:val="none"/>
                <w:lang w:eastAsia="zh-CN"/>
              </w:rPr>
              <w:t>遇到</w:t>
            </w:r>
            <w:r>
              <w:rPr>
                <w:rFonts w:hint="default" w:ascii="Times New Roman" w:hAnsi="Times New Roman" w:cs="Times New Roman"/>
                <w:color w:val="auto"/>
                <w:sz w:val="24"/>
                <w:highlight w:val="none"/>
                <w:u w:val="none"/>
              </w:rPr>
              <w:t>火源可能引起火灾。</w:t>
            </w:r>
          </w:p>
          <w:p w14:paraId="2225983F">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压力容器</w:t>
            </w:r>
          </w:p>
          <w:p w14:paraId="2B63DC56">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本项目的主要设备中绝大部分属于压方容器，工艺管道均属压力管道，生产过程中若操作不当，如超温、超压，由于压方容器及压力管道本身存在的缺</w:t>
            </w:r>
            <w:r>
              <w:rPr>
                <w:rFonts w:hint="default" w:ascii="Times New Roman" w:hAnsi="Times New Roman" w:cs="Times New Roman"/>
                <w:color w:val="auto"/>
                <w:sz w:val="24"/>
                <w:highlight w:val="none"/>
                <w:u w:val="none"/>
                <w:lang w:eastAsia="zh-CN"/>
              </w:rPr>
              <w:t>陷</w:t>
            </w:r>
            <w:r>
              <w:rPr>
                <w:rFonts w:hint="default" w:ascii="Times New Roman" w:hAnsi="Times New Roman" w:cs="Times New Roman"/>
                <w:color w:val="auto"/>
                <w:sz w:val="24"/>
                <w:highlight w:val="none"/>
                <w:u w:val="none"/>
              </w:rPr>
              <w:t>可能引起泄漏而导致火灾、爆炸、中毒等事故。压力容器一旦发生事故，破坏力大、影响范围广，可造成全系统停产，严重的还可波及社会，造成灾难性损失。根据压力容器破坏爆炸的金属材料失效形式不同，压力容器失效形式可分为韧性破裂、脆性破裂、疲劳破裂、蠕变破裂和腐蚀破裂。引起压力容器事故的原因主要包括：</w:t>
            </w:r>
          </w:p>
          <w:p w14:paraId="56C3ED5C">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A.压力容器及压力管道超压运行；</w:t>
            </w:r>
          </w:p>
          <w:p w14:paraId="2F7DAECA">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B.压力容器及压力管道因腐蚀而使壁厚减薄，继续运行而强度不足；</w:t>
            </w:r>
          </w:p>
          <w:p w14:paraId="71FD5FC4">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C.安全附件不全或失灵；</w:t>
            </w:r>
          </w:p>
          <w:p w14:paraId="0EF6BDAC">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D.设计时材料选择不当，施工安装存在缺陷；</w:t>
            </w:r>
          </w:p>
          <w:p w14:paraId="3B66A297">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E.日常维护不及时造成</w:t>
            </w:r>
            <w:r>
              <w:rPr>
                <w:rFonts w:hint="default" w:ascii="Times New Roman" w:hAnsi="Times New Roman" w:cs="Times New Roman"/>
                <w:color w:val="auto"/>
                <w:sz w:val="24"/>
                <w:highlight w:val="none"/>
                <w:u w:val="none"/>
                <w:lang w:eastAsia="zh-CN"/>
              </w:rPr>
              <w:t>劳动</w:t>
            </w:r>
            <w:r>
              <w:rPr>
                <w:rFonts w:hint="default" w:ascii="Times New Roman" w:hAnsi="Times New Roman" w:cs="Times New Roman"/>
                <w:color w:val="auto"/>
                <w:sz w:val="24"/>
                <w:highlight w:val="none"/>
                <w:u w:val="none"/>
              </w:rPr>
              <w:t>、振动等的累积性腐蚀。当泄漏物质进入附近水体和土壤时，还会造成水体和</w:t>
            </w:r>
            <w:r>
              <w:rPr>
                <w:rFonts w:hint="default" w:ascii="Times New Roman" w:hAnsi="Times New Roman" w:cs="Times New Roman"/>
                <w:color w:val="auto"/>
                <w:sz w:val="24"/>
                <w:highlight w:val="none"/>
                <w:u w:val="none"/>
                <w:lang w:eastAsia="zh-CN"/>
              </w:rPr>
              <w:t>土壤</w:t>
            </w:r>
            <w:r>
              <w:rPr>
                <w:rFonts w:hint="default" w:ascii="Times New Roman" w:hAnsi="Times New Roman" w:cs="Times New Roman"/>
                <w:color w:val="auto"/>
                <w:sz w:val="24"/>
                <w:highlight w:val="none"/>
                <w:u w:val="none"/>
              </w:rPr>
              <w:t>污染。在恶劣自然条件下(如大雨、大雾、冰雪等 天气),运输事故发生概率更高，引起的污染更为严重。</w:t>
            </w:r>
          </w:p>
          <w:p w14:paraId="3B559120">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4</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沼液池及收集管线</w:t>
            </w:r>
          </w:p>
          <w:p w14:paraId="7279DB8E">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本项目沼液的有机物含量很高，如风险防范措施不到位，发生沼液池或收集管线渗漏，将会对地下水和土壤环境造成影响，主要表现在使地下水水质</w:t>
            </w:r>
            <w:r>
              <w:rPr>
                <w:rFonts w:hint="default" w:ascii="Times New Roman" w:hAnsi="Times New Roman" w:cs="Times New Roman"/>
                <w:color w:val="auto"/>
                <w:sz w:val="24"/>
                <w:highlight w:val="none"/>
                <w:u w:val="none"/>
                <w:lang w:eastAsia="zh-CN"/>
              </w:rPr>
              <w:t>浑浊</w:t>
            </w:r>
            <w:r>
              <w:rPr>
                <w:rFonts w:hint="default" w:ascii="Times New Roman" w:hAnsi="Times New Roman" w:cs="Times New Roman"/>
                <w:color w:val="auto"/>
                <w:sz w:val="24"/>
                <w:highlight w:val="none"/>
                <w:u w:val="none"/>
              </w:rPr>
              <w:t>，有臭味，COD、氨氨污染严重等。因此必须定期检查沼液池及收集管线的完整性，并 保持收集管线通畅不堵塞，沼液池进行防渗处理。</w:t>
            </w:r>
          </w:p>
          <w:p w14:paraId="5567B34C">
            <w:pPr>
              <w:spacing w:line="360" w:lineRule="auto"/>
              <w:ind w:firstLine="482" w:firstLineChars="200"/>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6.5废气事故排放风险分析</w:t>
            </w:r>
          </w:p>
          <w:p w14:paraId="57F35B5A">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本项目生产过程排放的废气中主要成分为NH₃、</w:t>
            </w:r>
            <w:r>
              <w:rPr>
                <w:rFonts w:hint="default" w:ascii="Times New Roman" w:hAnsi="Times New Roman" w:cs="Times New Roman"/>
                <w:color w:val="auto"/>
                <w:sz w:val="24"/>
                <w:highlight w:val="none"/>
                <w:u w:val="none"/>
                <w:lang w:val="en-US" w:eastAsia="zh-CN"/>
              </w:rPr>
              <w:t>H</w:t>
            </w:r>
            <w:r>
              <w:rPr>
                <w:rFonts w:hint="default" w:ascii="Times New Roman" w:hAnsi="Times New Roman" w:cs="Times New Roman"/>
                <w:color w:val="auto"/>
                <w:sz w:val="24"/>
                <w:highlight w:val="none"/>
                <w:u w:val="none"/>
                <w:vertAlign w:val="subscript"/>
                <w:lang w:val="en-US" w:eastAsia="zh-CN"/>
              </w:rPr>
              <w:t>2</w:t>
            </w:r>
            <w:r>
              <w:rPr>
                <w:rFonts w:hint="default" w:ascii="Times New Roman" w:hAnsi="Times New Roman" w:cs="Times New Roman"/>
                <w:color w:val="auto"/>
                <w:sz w:val="24"/>
                <w:highlight w:val="none"/>
                <w:u w:val="none"/>
                <w:lang w:val="en-US" w:eastAsia="zh-CN"/>
              </w:rPr>
              <w:t>S</w:t>
            </w:r>
            <w:r>
              <w:rPr>
                <w:rFonts w:hint="default" w:ascii="Times New Roman" w:hAnsi="Times New Roman" w:cs="Times New Roman"/>
                <w:color w:val="auto"/>
                <w:sz w:val="24"/>
                <w:highlight w:val="none"/>
                <w:u w:val="none"/>
              </w:rPr>
              <w:t>、颗粒物、SO₂、NOx等。通过前面分析可知，当项目废气处理设施正常运行时，外排废气能够达标排放，对周围大气环境影响不明显。如非正常排放情况下，虽然未超标，但废气中污染 物浓度增值显然比正常排放情况下的大大增加，因此坚决杜绝事故性排放。</w:t>
            </w:r>
          </w:p>
          <w:p w14:paraId="090E114D">
            <w:pPr>
              <w:spacing w:line="360" w:lineRule="auto"/>
              <w:ind w:firstLine="482" w:firstLineChars="200"/>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6.6环境风险防范措施</w:t>
            </w:r>
          </w:p>
          <w:p w14:paraId="02046A61">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建设单位需组建安全环保管理机构，配备管理人员，通过技能培训，承担该厂的环保安全工作。安全环保机构组建后，将根据相关的环境管理要求，结合具体情况，制定公司的各项安全生产管理制度、严格的生产操作规则和完善的事故应急计划及相应的应急处理手段和设施，同时加强安全教育，以</w:t>
            </w:r>
            <w:r>
              <w:rPr>
                <w:rFonts w:hint="default" w:ascii="Times New Roman" w:hAnsi="Times New Roman" w:cs="Times New Roman"/>
                <w:color w:val="auto"/>
                <w:sz w:val="24"/>
                <w:highlight w:val="none"/>
                <w:u w:val="none"/>
                <w:lang w:eastAsia="zh-CN"/>
              </w:rPr>
              <w:t>增强</w:t>
            </w:r>
            <w:r>
              <w:rPr>
                <w:rFonts w:hint="default" w:ascii="Times New Roman" w:hAnsi="Times New Roman" w:cs="Times New Roman"/>
                <w:color w:val="auto"/>
                <w:sz w:val="24"/>
                <w:highlight w:val="none"/>
                <w:u w:val="none"/>
              </w:rPr>
              <w:t>职工的安全意识和安全防范能力。建设单位应严格按照环境风险“三级防控”要求做好</w:t>
            </w:r>
            <w:r>
              <w:rPr>
                <w:rFonts w:hint="default" w:ascii="Times New Roman" w:hAnsi="Times New Roman" w:cs="Times New Roman"/>
                <w:color w:val="auto"/>
                <w:sz w:val="24"/>
                <w:highlight w:val="none"/>
                <w:u w:val="none"/>
                <w:lang w:eastAsia="zh-CN"/>
              </w:rPr>
              <w:t>相关措施</w:t>
            </w:r>
            <w:r>
              <w:rPr>
                <w:rFonts w:hint="default" w:ascii="Times New Roman" w:hAnsi="Times New Roman" w:cs="Times New Roman"/>
                <w:color w:val="auto"/>
                <w:sz w:val="24"/>
                <w:highlight w:val="none"/>
                <w:u w:val="none"/>
              </w:rPr>
              <w:t>。</w:t>
            </w:r>
          </w:p>
          <w:p w14:paraId="376413B9">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“三级防控”主要指“源头、过程、末端”三个环节的环境风险控制措施体系，坚 持以防为主、防控结合。三级防控措施还包括分别设置于源头、过程、末端的物 料、在线监测与监控设备，从而实现“源头治理、过程控制、末端保障”的完整的环 境保障体系。</w:t>
            </w:r>
          </w:p>
          <w:p w14:paraId="3307E63C">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源头控制</w:t>
            </w:r>
          </w:p>
          <w:p w14:paraId="6A8B251C">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项目原料采购必须满足国家相关产品的质量标准，工艺设备、装置及管件必须满足相应国家标准，且优先选用质量可靠，信誉度好的</w:t>
            </w:r>
            <w:r>
              <w:rPr>
                <w:rFonts w:hint="default" w:ascii="Times New Roman" w:hAnsi="Times New Roman" w:cs="Times New Roman"/>
                <w:color w:val="auto"/>
                <w:sz w:val="24"/>
                <w:highlight w:val="none"/>
                <w:u w:val="none"/>
                <w:lang w:eastAsia="zh-CN"/>
              </w:rPr>
              <w:t>产品</w:t>
            </w:r>
            <w:r>
              <w:rPr>
                <w:rFonts w:hint="default" w:ascii="Times New Roman" w:hAnsi="Times New Roman" w:cs="Times New Roman"/>
                <w:color w:val="auto"/>
                <w:sz w:val="24"/>
                <w:highlight w:val="none"/>
                <w:u w:val="none"/>
              </w:rPr>
              <w:t>，并定期做好更换和检测等工作，同时做好关键装置、管件和环境风险</w:t>
            </w:r>
            <w:r>
              <w:rPr>
                <w:rFonts w:hint="default" w:ascii="Times New Roman" w:hAnsi="Times New Roman" w:cs="Times New Roman"/>
                <w:color w:val="auto"/>
                <w:sz w:val="24"/>
                <w:highlight w:val="none"/>
                <w:u w:val="none"/>
                <w:lang w:eastAsia="zh-CN"/>
              </w:rPr>
              <w:t>应急物资</w:t>
            </w:r>
            <w:r>
              <w:rPr>
                <w:rFonts w:hint="default" w:ascii="Times New Roman" w:hAnsi="Times New Roman" w:cs="Times New Roman"/>
                <w:color w:val="auto"/>
                <w:sz w:val="24"/>
                <w:highlight w:val="none"/>
                <w:u w:val="none"/>
              </w:rPr>
              <w:t>的库存，从源头上降低环境风险。</w:t>
            </w:r>
          </w:p>
          <w:p w14:paraId="3062D57E">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过程控制</w:t>
            </w:r>
          </w:p>
          <w:p w14:paraId="6C453BC1">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生产过程中必须严格按照操作规程作业，所以在岗人员必须持证上岗，不得疲劳作业，生产车间设置物料泄漏报警仪并与物料阀门实现连锁联控，压力容器或者管道安装安全阀，以泄漏部位设置集气罩收集引入废气处理系统。</w:t>
            </w:r>
          </w:p>
          <w:p w14:paraId="4282FAC0">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末端控制</w:t>
            </w:r>
          </w:p>
          <w:p w14:paraId="22ACFFB6">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一旦出现环境事故，应立即启动环境风险应急预案，并通知相关部门及周边 企业和群众，第一时间采用紧急措施，关闭各进料阀门。事故造成的二次污染物采取可靠措施合理处置，如产生废水应导入事故池经过处理达标后方可排放。</w:t>
            </w:r>
          </w:p>
          <w:p w14:paraId="3B448424">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6.6.1选址、总图布置和建筑安全防范措施</w:t>
            </w:r>
          </w:p>
          <w:p w14:paraId="0E6B66CC">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新建构筑物为甲、丙类火灾危险性设施，周边事故水池及围墙等，厂区内各建构筑物之间的间距均满足《建筑设计防火规范》(GB50016-2014)及《化工企业总图运输设计规范》(GB50489-2009)的相关规定，且建构筑物与厂区围墙及厂外道路的防火间距也能满足规范要求。同时厂区内布置有环形的消防通道及配有完备的消防器材和消防设施，</w:t>
            </w:r>
            <w:r>
              <w:rPr>
                <w:rFonts w:hint="default" w:ascii="Times New Roman" w:hAnsi="Times New Roman" w:cs="Times New Roman"/>
                <w:color w:val="auto"/>
                <w:sz w:val="24"/>
                <w:highlight w:val="none"/>
                <w:u w:val="none"/>
                <w:lang w:eastAsia="zh-CN"/>
              </w:rPr>
              <w:t>消防水源</w:t>
            </w:r>
            <w:r>
              <w:rPr>
                <w:rFonts w:hint="default" w:ascii="Times New Roman" w:hAnsi="Times New Roman" w:cs="Times New Roman"/>
                <w:color w:val="auto"/>
                <w:sz w:val="24"/>
                <w:highlight w:val="none"/>
                <w:u w:val="none"/>
              </w:rPr>
              <w:t>充足。</w:t>
            </w:r>
          </w:p>
          <w:p w14:paraId="136DFAE1">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6.6.2火灾事故风险防范措施</w:t>
            </w:r>
          </w:p>
          <w:p w14:paraId="4ABF55EE">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消除和控制明火源：在生产车间及仓库内设置严禁烟火标志，严禁携带火柴、打火机等；在各车间、仓库、办公楼等处</w:t>
            </w:r>
            <w:r>
              <w:rPr>
                <w:rFonts w:hint="default" w:ascii="Times New Roman" w:hAnsi="Times New Roman" w:cs="Times New Roman"/>
                <w:color w:val="auto"/>
                <w:sz w:val="24"/>
                <w:highlight w:val="none"/>
                <w:u w:val="none"/>
                <w:lang w:eastAsia="zh-CN"/>
              </w:rPr>
              <w:t>配备</w:t>
            </w:r>
            <w:r>
              <w:rPr>
                <w:rFonts w:hint="default" w:ascii="Times New Roman" w:hAnsi="Times New Roman" w:cs="Times New Roman"/>
                <w:color w:val="auto"/>
                <w:sz w:val="24"/>
                <w:highlight w:val="none"/>
                <w:u w:val="none"/>
              </w:rPr>
              <w:t>灭火器、消防栓、消防沙等消 防物质，以便及时扑灭初期火灾。</w:t>
            </w:r>
          </w:p>
          <w:p w14:paraId="2C23B208">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防止电气火花：采取有效措施防止电气线路和</w:t>
            </w:r>
            <w:r>
              <w:rPr>
                <w:rFonts w:hint="default" w:ascii="Times New Roman" w:hAnsi="Times New Roman" w:cs="Times New Roman"/>
                <w:color w:val="auto"/>
                <w:sz w:val="24"/>
                <w:highlight w:val="none"/>
                <w:u w:val="none"/>
                <w:lang w:eastAsia="zh-CN"/>
              </w:rPr>
              <w:t>电气设备</w:t>
            </w:r>
            <w:r>
              <w:rPr>
                <w:rFonts w:hint="default" w:ascii="Times New Roman" w:hAnsi="Times New Roman" w:cs="Times New Roman"/>
                <w:color w:val="auto"/>
                <w:sz w:val="24"/>
                <w:highlight w:val="none"/>
                <w:u w:val="none"/>
              </w:rPr>
              <w:t>在开关断开、接触不良、短路、漏电时产生火花，防止静电放电火花；采取防雷接地措施，防止 雷电放电火花。</w:t>
            </w:r>
          </w:p>
          <w:p w14:paraId="3BABA0D8">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各构筑物设置一定的安全防护距离，以防火灾发生时火势蔓延。为使环境风险减小到最低限度，必须加强劳动安全卫生管理，制定完备、有</w:t>
            </w:r>
            <w:r>
              <w:rPr>
                <w:rFonts w:hint="default" w:ascii="Times New Roman" w:hAnsi="Times New Roman" w:cs="Times New Roman"/>
                <w:color w:val="auto"/>
                <w:sz w:val="24"/>
                <w:highlight w:val="none"/>
                <w:u w:val="none"/>
                <w:lang w:eastAsia="zh-CN"/>
              </w:rPr>
              <w:t>效</w:t>
            </w:r>
            <w:r>
              <w:rPr>
                <w:rFonts w:hint="default" w:ascii="Times New Roman" w:hAnsi="Times New Roman" w:cs="Times New Roman"/>
                <w:color w:val="auto"/>
                <w:sz w:val="24"/>
                <w:highlight w:val="none"/>
                <w:u w:val="none"/>
              </w:rPr>
              <w:t>的安全防范措施，尽可能降低项目环境风险事故发生的概率。</w:t>
            </w:r>
          </w:p>
          <w:p w14:paraId="259B4EC3">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6.6.3泄漏风险防范措施</w:t>
            </w:r>
          </w:p>
          <w:p w14:paraId="24386F57">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泄漏风险防范总体要求</w:t>
            </w:r>
          </w:p>
          <w:p w14:paraId="2557DC41">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①万一发生危害性事故，应立即通知有关部门，组织附近居民、工厂工人疏散、抢险和应急监测等善后处理事宜。</w:t>
            </w:r>
          </w:p>
          <w:p w14:paraId="4E790365">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②在厂内醒目处应设置大型风标，便于情况紧急时</w:t>
            </w:r>
            <w:r>
              <w:rPr>
                <w:rFonts w:hint="default" w:ascii="Times New Roman" w:hAnsi="Times New Roman" w:cs="Times New Roman"/>
                <w:color w:val="auto"/>
                <w:sz w:val="24"/>
                <w:highlight w:val="none"/>
                <w:u w:val="none"/>
                <w:lang w:eastAsia="zh-CN"/>
              </w:rPr>
              <w:t>提示</w:t>
            </w:r>
            <w:r>
              <w:rPr>
                <w:rFonts w:hint="default" w:ascii="Times New Roman" w:hAnsi="Times New Roman" w:cs="Times New Roman"/>
                <w:color w:val="auto"/>
                <w:sz w:val="24"/>
                <w:highlight w:val="none"/>
                <w:u w:val="none"/>
              </w:rPr>
              <w:t>撤离方向，平时需制定抢险预案、定期演练。</w:t>
            </w:r>
          </w:p>
          <w:p w14:paraId="7A268E1D">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③各装置含有毒有害的工段均设有必要的喷淋洗眼器、洗手池，并配备相应的防护手套、防毒呼吸器等个人防护用品，供事故时临时急用；一旦发生急性中 毒，首先使用应急设施，并将中毒者安置在空气流畅的安全地带，同时呼叫急救 车紧急救护。</w:t>
            </w:r>
          </w:p>
          <w:p w14:paraId="59345D9A">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④</w:t>
            </w:r>
            <w:r>
              <w:rPr>
                <w:rFonts w:hint="default" w:ascii="Times New Roman" w:hAnsi="Times New Roman" w:cs="Times New Roman"/>
                <w:color w:val="auto"/>
                <w:sz w:val="24"/>
                <w:highlight w:val="none"/>
                <w:u w:val="none"/>
                <w:lang w:eastAsia="zh-CN"/>
              </w:rPr>
              <w:t>按照</w:t>
            </w:r>
            <w:r>
              <w:rPr>
                <w:rFonts w:hint="default" w:ascii="Times New Roman" w:hAnsi="Times New Roman" w:cs="Times New Roman"/>
                <w:color w:val="auto"/>
                <w:sz w:val="24"/>
                <w:highlight w:val="none"/>
                <w:u w:val="none"/>
              </w:rPr>
              <w:t>《建筑灭火器配置设计规范》》(GB50140-2005)有关规定在装置内设 置一定数量的小型灭火器材。</w:t>
            </w:r>
          </w:p>
          <w:p w14:paraId="7DE86EB2">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⑤生产车间和仓库区的地面应为防渗漏水泥地坪；地坪和事故池均按要求做 防腐、防渗处理。</w:t>
            </w:r>
          </w:p>
          <w:p w14:paraId="16F70306">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⑥安装泄漏报警仪，早发现早处理。</w:t>
            </w:r>
          </w:p>
          <w:p w14:paraId="61579D6E">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泄漏风险防范相关措施</w:t>
            </w:r>
          </w:p>
          <w:p w14:paraId="3AA02A74">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项目生产工艺装置连接管道较多，且易老化，给环境造成较大的安全隐患，因此，建设单位应做好相关管件脱落泄漏物质环境风险防范措施，重点关注反应柱连接部以及反应柱</w:t>
            </w:r>
            <w:r>
              <w:rPr>
                <w:rFonts w:hint="default" w:ascii="Times New Roman" w:hAnsi="Times New Roman" w:cs="Times New Roman"/>
                <w:color w:val="auto"/>
                <w:sz w:val="24"/>
                <w:highlight w:val="none"/>
                <w:u w:val="none"/>
                <w:lang w:eastAsia="zh-CN"/>
              </w:rPr>
              <w:t>比例</w:t>
            </w:r>
            <w:r>
              <w:rPr>
                <w:rFonts w:hint="default" w:ascii="Times New Roman" w:hAnsi="Times New Roman" w:cs="Times New Roman"/>
                <w:color w:val="auto"/>
                <w:sz w:val="24"/>
                <w:highlight w:val="none"/>
                <w:u w:val="none"/>
              </w:rPr>
              <w:t>造成的泄漏风险。除此以外容易出现泄漏的部位还有临时贮存容器，同时关注危险废物包装物的破裂造成污染物外泄。相关泄漏环境风险措施如下：</w:t>
            </w:r>
          </w:p>
          <w:p w14:paraId="60FED533">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①工艺装置中使用的管件、容器等必须满足国家相关质量标准，且优先选用质量可靠，品牌较大的同类型产品；</w:t>
            </w:r>
          </w:p>
          <w:p w14:paraId="77AE8780">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②管件和容器定期进行压力泄漏测试。</w:t>
            </w:r>
          </w:p>
          <w:p w14:paraId="626DE21B">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③管件和容器根据使用情况及时更换，并做好备用件的库存，保证</w:t>
            </w:r>
            <w:r>
              <w:rPr>
                <w:rFonts w:hint="default" w:ascii="Times New Roman" w:hAnsi="Times New Roman" w:cs="Times New Roman"/>
                <w:color w:val="auto"/>
                <w:sz w:val="24"/>
                <w:highlight w:val="none"/>
                <w:u w:val="none"/>
                <w:lang w:eastAsia="zh-CN"/>
              </w:rPr>
              <w:t>关键</w:t>
            </w:r>
            <w:r>
              <w:rPr>
                <w:rFonts w:hint="default" w:ascii="Times New Roman" w:hAnsi="Times New Roman" w:cs="Times New Roman"/>
                <w:color w:val="auto"/>
                <w:sz w:val="24"/>
                <w:highlight w:val="none"/>
                <w:u w:val="none"/>
              </w:rPr>
              <w:t>装置 一用一备。</w:t>
            </w:r>
          </w:p>
          <w:p w14:paraId="128A5E0A">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④所有操作人员必须持证上岗，且必须经过公司三级培训方可上岗，且不得 疲劳作业。</w:t>
            </w:r>
          </w:p>
          <w:p w14:paraId="4C192559">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⑤厌氧发酵罐设置围堰，事故状态下能够容纳罐体内液体，围堰容积按照最少2天物料量进行设计，每座罐体围堰容积500m³</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围堰高度1m</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围堰全部进行按照重点防渗区进行建设。</w:t>
            </w:r>
          </w:p>
          <w:p w14:paraId="2D7D9331">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6.6.4污染治理系统事故预防措施</w:t>
            </w:r>
          </w:p>
          <w:p w14:paraId="7501D8B5">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废气治理设施在设计、施工时，应严格按照工程设计规范要求进行，选用标准管材，并做必要的防腐处理。</w:t>
            </w:r>
          </w:p>
          <w:p w14:paraId="7FE22563">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加强治理设施的运行管理和日常维护，发现异常及时找出原因并维修。在可能泄漏有害物质的场所采用敞开式布置，使之通风良好，防止有害气体积累，设置通风装置；通过安装自控仪表加强对重要参数进行自动控制，对关键性设备部件进行定期交换，防止设备失灵。</w:t>
            </w:r>
          </w:p>
          <w:p w14:paraId="74310567">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6.6.5自动控制安全防范措施</w:t>
            </w:r>
          </w:p>
          <w:p w14:paraId="0B7AE4BE">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根据生产工艺特点及防火等级要求，在界区内设置火灾自动报警及消防联动系统一套，用于对控制室、变配电室的火灾情况进行监控，储罐设置液位监测装置和报警器等设施等。生产装置区域内的电缆采用钢管配线或铠装电缆等方式。</w:t>
            </w:r>
          </w:p>
          <w:p w14:paraId="780E1097">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6.6.6消防及火灾报警系统及消防废水处置</w:t>
            </w:r>
          </w:p>
          <w:p w14:paraId="79F3D0CF">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根据火灾危险性等级和防火、防爆要求，建筑物的防火等级均应采用国家现行规范要求设计，满足建筑防火要求。易燃易爆物料均储存在阴凉、通风处，远离火源，避免与强氧化剂接触；安全出口及安全疏散距离应符合《建筑设计防火 规范》(GB 50016-2006)的要求。</w:t>
            </w:r>
          </w:p>
          <w:p w14:paraId="00E10E00">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消防水池</w:t>
            </w:r>
          </w:p>
          <w:p w14:paraId="1CC32A55">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项目应按照消防要求设置消防水池。</w:t>
            </w:r>
          </w:p>
          <w:p w14:paraId="17D553D1">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事故池</w:t>
            </w:r>
          </w:p>
          <w:p w14:paraId="150D304F">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事故池可容纳消防污水和</w:t>
            </w:r>
            <w:r>
              <w:rPr>
                <w:rFonts w:hint="default" w:ascii="Times New Roman" w:hAnsi="Times New Roman" w:cs="Times New Roman"/>
                <w:color w:val="auto"/>
                <w:sz w:val="24"/>
                <w:highlight w:val="none"/>
                <w:u w:val="none"/>
                <w:lang w:eastAsia="zh-CN"/>
              </w:rPr>
              <w:t>泄漏</w:t>
            </w:r>
            <w:r>
              <w:rPr>
                <w:rFonts w:hint="default" w:ascii="Times New Roman" w:hAnsi="Times New Roman" w:cs="Times New Roman"/>
                <w:color w:val="auto"/>
                <w:sz w:val="24"/>
                <w:highlight w:val="none"/>
                <w:u w:val="none"/>
              </w:rPr>
              <w:t>的原辅料，正常情况下事故池为空的；事故池的计算如下：</w:t>
            </w:r>
          </w:p>
          <w:p w14:paraId="0BD8AECE">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根据《化工建设项目环境保护设计规范》(GB50483-2009)</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应急事故废水最大量的确定采用公式法计算，具体算法如下：</w:t>
            </w:r>
          </w:p>
          <w:p w14:paraId="464C307E">
            <w:pPr>
              <w:spacing w:line="360" w:lineRule="auto"/>
              <w:ind w:firstLine="480" w:firstLineChars="200"/>
              <w:jc w:val="center"/>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V</w:t>
            </w:r>
            <w:r>
              <w:rPr>
                <w:rFonts w:hint="default" w:ascii="Times New Roman" w:hAnsi="Times New Roman" w:cs="Times New Roman"/>
                <w:color w:val="auto"/>
                <w:sz w:val="24"/>
                <w:highlight w:val="none"/>
                <w:u w:val="none"/>
                <w:vertAlign w:val="subscript"/>
                <w:lang w:val="en-US" w:eastAsia="zh-CN"/>
              </w:rPr>
              <w:t>总</w:t>
            </w:r>
            <w:r>
              <w:rPr>
                <w:rFonts w:hint="default" w:ascii="Times New Roman" w:hAnsi="Times New Roman" w:cs="Times New Roman"/>
                <w:color w:val="auto"/>
                <w:sz w:val="24"/>
                <w:highlight w:val="none"/>
                <w:u w:val="none"/>
              </w:rPr>
              <w:t>=(V₁+V₂-V₃)max+V₄+V₅</w:t>
            </w:r>
          </w:p>
          <w:p w14:paraId="490C02FF">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注：计算应急事故废水量时，装置区或贮罐区事故不作同时发生考虑，取其中的最大值。</w:t>
            </w:r>
          </w:p>
          <w:p w14:paraId="111D7015">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注：(V₁+V₂-V₃)max是指对收集系统范围内不同装置分别计算，(V₁+V₂-V₃)取其中的最大值。</w:t>
            </w:r>
          </w:p>
          <w:p w14:paraId="0956FABD">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V₁—收集系统范围内发生事故的一个罐组或一套装置的物料量，储存相同物料的罐组按一个最大储罐计，装置物料量按存留最大物料量的一台反应器或中间储罐计；Vi=0m³。</w:t>
            </w:r>
          </w:p>
          <w:p w14:paraId="0BA4E56D">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V₂——发生事故的储罐或装置的消防水量，V₂—发生事故的装置的消防水量，m³;V₂=Qm×t。消防需水量按流量20L/s</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火灾延续时间为1h</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一次消防用水量为72m³。</w:t>
            </w:r>
          </w:p>
          <w:p w14:paraId="12C44870">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V₃—发生事故时可以</w:t>
            </w:r>
            <w:r>
              <w:rPr>
                <w:rFonts w:hint="default" w:ascii="Times New Roman" w:hAnsi="Times New Roman" w:cs="Times New Roman"/>
                <w:color w:val="auto"/>
                <w:sz w:val="24"/>
                <w:highlight w:val="none"/>
                <w:u w:val="none"/>
                <w:lang w:eastAsia="zh-CN"/>
              </w:rPr>
              <w:t>传输</w:t>
            </w:r>
            <w:r>
              <w:rPr>
                <w:rFonts w:hint="default" w:ascii="Times New Roman" w:hAnsi="Times New Roman" w:cs="Times New Roman"/>
                <w:color w:val="auto"/>
                <w:sz w:val="24"/>
                <w:highlight w:val="none"/>
                <w:u w:val="none"/>
              </w:rPr>
              <w:t>到其他储存或处理设施的物料量，V₃=0m³。</w:t>
            </w:r>
          </w:p>
          <w:p w14:paraId="5EC20E4A">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V₄—发生事故时仍必须进入该收集系统的废水量，则V4=0m³。</w:t>
            </w:r>
          </w:p>
          <w:p w14:paraId="65FE50E8">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V</w:t>
            </w:r>
            <w:r>
              <w:rPr>
                <w:rFonts w:hint="default" w:ascii="Times New Roman" w:hAnsi="Times New Roman" w:cs="Times New Roman"/>
                <w:color w:val="auto"/>
                <w:sz w:val="24"/>
                <w:highlight w:val="none"/>
                <w:u w:val="none"/>
                <w:vertAlign w:val="subscript"/>
                <w:lang w:val="en-US" w:eastAsia="zh-CN"/>
              </w:rPr>
              <w:t>5</w:t>
            </w:r>
            <w:r>
              <w:rPr>
                <w:rFonts w:hint="default" w:ascii="Times New Roman" w:hAnsi="Times New Roman" w:cs="Times New Roman"/>
                <w:color w:val="auto"/>
                <w:sz w:val="24"/>
                <w:highlight w:val="none"/>
                <w:u w:val="none"/>
              </w:rPr>
              <w:t>—发生事故时可能进入该收集系统的降雨量；其中V</w:t>
            </w:r>
            <w:r>
              <w:rPr>
                <w:rFonts w:hint="default" w:ascii="Times New Roman" w:hAnsi="Times New Roman" w:cs="Times New Roman"/>
                <w:color w:val="auto"/>
                <w:sz w:val="24"/>
                <w:highlight w:val="none"/>
                <w:u w:val="none"/>
                <w:vertAlign w:val="subscript"/>
                <w:lang w:val="en-US" w:eastAsia="zh-CN"/>
              </w:rPr>
              <w:t>5</w:t>
            </w:r>
            <w:r>
              <w:rPr>
                <w:rFonts w:hint="default" w:ascii="Times New Roman" w:hAnsi="Times New Roman" w:cs="Times New Roman"/>
                <w:color w:val="auto"/>
                <w:sz w:val="24"/>
                <w:highlight w:val="none"/>
                <w:u w:val="none"/>
              </w:rPr>
              <w:t>=10qF</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q——降雨强度，mm</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按平均日降雨量；q=qn/n;qn——年平均降雨量，mm;n——年平均降雨日数；F——必须进入事故废水收集系统的雨水汇水面积，0.6hm²。本地区年均降雨量取450mm</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年均降雨天数按30d估算，则发生事故时可能进入该收集系统的降雨量为90m³。</w:t>
            </w:r>
          </w:p>
          <w:p w14:paraId="2186AF9D">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V总=162m³</w:t>
            </w:r>
          </w:p>
          <w:p w14:paraId="4C093225">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根据上表计算，项目需建设至少180m³的事故应急池，以满足本项目事故废水储存要求；事故废水设置拦挡及收集槽、专用管道连接事故池，将产生的事故废水全部收集至事故池。</w:t>
            </w:r>
          </w:p>
          <w:p w14:paraId="52B66BB1">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lang w:val="en-US" w:eastAsia="zh-CN"/>
              </w:rPr>
              <w:t>3</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事故池设置合理性分析</w:t>
            </w:r>
          </w:p>
          <w:p w14:paraId="5E78E61A">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cs="Times New Roman"/>
                <w:color w:val="auto"/>
                <w:sz w:val="24"/>
                <w:highlight w:val="none"/>
                <w:u w:val="none"/>
              </w:rPr>
              <w:t>①本项目事故池容积可以满足发生事故时消防废水量、雨水量(罐区</w:t>
            </w:r>
            <w:r>
              <w:rPr>
                <w:rFonts w:hint="default" w:ascii="Times New Roman" w:hAnsi="Times New Roman" w:cs="Times New Roman"/>
                <w:color w:val="auto"/>
                <w:sz w:val="24"/>
                <w:highlight w:val="none"/>
                <w:u w:val="none"/>
                <w:lang w:eastAsia="zh-CN"/>
              </w:rPr>
              <w:t>泄漏</w:t>
            </w:r>
            <w:r>
              <w:rPr>
                <w:rFonts w:hint="default" w:ascii="Times New Roman" w:hAnsi="Times New Roman" w:cs="Times New Roman"/>
                <w:color w:val="auto"/>
                <w:sz w:val="24"/>
                <w:highlight w:val="none"/>
                <w:u w:val="none"/>
              </w:rPr>
              <w:t>物料进入罐区围堰，不进入事故池)收集，设置1个180m³的事故池可以满足事故废水的收集。</w:t>
            </w:r>
            <w:r>
              <w:rPr>
                <w:rFonts w:hint="eastAsia" w:cs="Times New Roman"/>
                <w:color w:val="auto"/>
                <w:sz w:val="24"/>
                <w:highlight w:val="none"/>
                <w:u w:val="none"/>
                <w:lang w:val="en-US" w:eastAsia="zh-CN"/>
              </w:rPr>
              <w:t>因项目建设场地限制，雨水池和事故池可共用。</w:t>
            </w:r>
          </w:p>
          <w:p w14:paraId="3BD6D491">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②本项目事故池设置在厂区的地形较低处，发生事故时可以实现非动力自流，事故废水自行进入事故池。</w:t>
            </w:r>
          </w:p>
          <w:p w14:paraId="329351EC">
            <w:pPr>
              <w:pStyle w:val="18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、项目环保投资</w:t>
            </w:r>
          </w:p>
          <w:p w14:paraId="133FDA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u w:val="none"/>
              </w:rPr>
            </w:pPr>
            <w:r>
              <w:rPr>
                <w:rFonts w:hint="default" w:ascii="Times New Roman" w:hAnsi="Times New Roman" w:cs="Times New Roman"/>
                <w:bCs/>
                <w:color w:val="auto"/>
                <w:sz w:val="24"/>
                <w:szCs w:val="24"/>
                <w:highlight w:val="none"/>
                <w:u w:val="none"/>
              </w:rPr>
              <w:t>本项目总投资</w:t>
            </w:r>
            <w:r>
              <w:rPr>
                <w:rFonts w:hint="default" w:ascii="Times New Roman" w:hAnsi="Times New Roman" w:cs="Times New Roman"/>
                <w:bCs/>
                <w:color w:val="auto"/>
                <w:sz w:val="24"/>
                <w:szCs w:val="24"/>
                <w:highlight w:val="none"/>
                <w:u w:val="none"/>
                <w:lang w:val="en-US" w:eastAsia="zh-CN"/>
              </w:rPr>
              <w:t>2815</w:t>
            </w:r>
            <w:r>
              <w:rPr>
                <w:rFonts w:hint="default" w:ascii="Times New Roman" w:hAnsi="Times New Roman" w:cs="Times New Roman"/>
                <w:bCs/>
                <w:color w:val="auto"/>
                <w:sz w:val="24"/>
                <w:szCs w:val="24"/>
                <w:highlight w:val="none"/>
                <w:u w:val="none"/>
              </w:rPr>
              <w:t>万元，其中环保投资</w:t>
            </w:r>
            <w:r>
              <w:rPr>
                <w:rFonts w:hint="default" w:ascii="Times New Roman" w:hAnsi="Times New Roman" w:cs="Times New Roman"/>
                <w:bCs/>
                <w:color w:val="auto"/>
                <w:sz w:val="24"/>
                <w:szCs w:val="24"/>
                <w:highlight w:val="none"/>
                <w:u w:val="none"/>
                <w:lang w:val="en-US" w:eastAsia="zh-CN"/>
              </w:rPr>
              <w:t>168.2</w:t>
            </w:r>
            <w:r>
              <w:rPr>
                <w:rFonts w:hint="default" w:ascii="Times New Roman" w:hAnsi="Times New Roman" w:cs="Times New Roman"/>
                <w:bCs/>
                <w:color w:val="auto"/>
                <w:sz w:val="24"/>
                <w:szCs w:val="24"/>
                <w:highlight w:val="none"/>
                <w:u w:val="none"/>
              </w:rPr>
              <w:t>万元，占总投资</w:t>
            </w:r>
            <w:r>
              <w:rPr>
                <w:rFonts w:hint="default" w:ascii="Times New Roman" w:hAnsi="Times New Roman" w:cs="Times New Roman"/>
                <w:bCs/>
                <w:color w:val="auto"/>
                <w:sz w:val="24"/>
                <w:szCs w:val="24"/>
                <w:highlight w:val="none"/>
                <w:u w:val="none"/>
                <w:lang w:val="en-US" w:eastAsia="zh-CN"/>
              </w:rPr>
              <w:t>5.98</w:t>
            </w:r>
            <w:r>
              <w:rPr>
                <w:rFonts w:hint="default" w:ascii="Times New Roman" w:hAnsi="Times New Roman" w:cs="Times New Roman"/>
                <w:bCs/>
                <w:color w:val="auto"/>
                <w:sz w:val="24"/>
                <w:szCs w:val="24"/>
                <w:highlight w:val="none"/>
                <w:u w:val="none"/>
              </w:rPr>
              <w:t>%，环保投资估算详见表</w:t>
            </w:r>
            <w:r>
              <w:rPr>
                <w:rFonts w:hint="default" w:ascii="Times New Roman" w:hAnsi="Times New Roman" w:cs="Times New Roman"/>
                <w:bCs/>
                <w:color w:val="auto"/>
                <w:sz w:val="24"/>
                <w:szCs w:val="24"/>
                <w:highlight w:val="none"/>
                <w:u w:val="none"/>
                <w:lang w:val="en-US" w:eastAsia="zh-CN"/>
              </w:rPr>
              <w:t>4-16</w:t>
            </w:r>
            <w:r>
              <w:rPr>
                <w:rFonts w:hint="default" w:ascii="Times New Roman" w:hAnsi="Times New Roman" w:cs="Times New Roman"/>
                <w:bCs/>
                <w:color w:val="auto"/>
                <w:sz w:val="24"/>
                <w:szCs w:val="24"/>
                <w:highlight w:val="none"/>
                <w:u w:val="none"/>
              </w:rPr>
              <w:t>。</w:t>
            </w:r>
          </w:p>
          <w:p w14:paraId="2FD5C7E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b w:val="0"/>
                <w:bCs/>
                <w:color w:val="auto"/>
                <w:sz w:val="21"/>
                <w:szCs w:val="21"/>
                <w:highlight w:val="none"/>
                <w:u w:val="none"/>
              </w:rPr>
            </w:pPr>
            <w:r>
              <w:rPr>
                <w:rFonts w:hint="default" w:ascii="Times New Roman" w:hAnsi="Times New Roman" w:eastAsia="黑体" w:cs="Times New Roman"/>
                <w:b w:val="0"/>
                <w:bCs/>
                <w:color w:val="auto"/>
                <w:sz w:val="21"/>
                <w:szCs w:val="21"/>
                <w:highlight w:val="none"/>
                <w:u w:val="none"/>
              </w:rPr>
              <w:t>表</w:t>
            </w:r>
            <w:r>
              <w:rPr>
                <w:rFonts w:hint="default" w:ascii="Times New Roman" w:hAnsi="Times New Roman" w:eastAsia="黑体" w:cs="Times New Roman"/>
                <w:b w:val="0"/>
                <w:bCs/>
                <w:color w:val="auto"/>
                <w:sz w:val="21"/>
                <w:szCs w:val="21"/>
                <w:highlight w:val="none"/>
                <w:u w:val="none"/>
                <w:lang w:val="en-US" w:eastAsia="zh-CN"/>
              </w:rPr>
              <w:t>4-16</w:t>
            </w:r>
            <w:r>
              <w:rPr>
                <w:rFonts w:hint="default" w:ascii="Times New Roman" w:hAnsi="Times New Roman" w:eastAsia="黑体" w:cs="Times New Roman"/>
                <w:b w:val="0"/>
                <w:bCs/>
                <w:color w:val="auto"/>
                <w:sz w:val="21"/>
                <w:szCs w:val="21"/>
                <w:highlight w:val="none"/>
                <w:u w:val="none"/>
              </w:rPr>
              <w:t xml:space="preserve">  环保投资估算表</w:t>
            </w:r>
          </w:p>
          <w:tbl>
            <w:tblPr>
              <w:tblStyle w:val="34"/>
              <w:tblW w:w="8469" w:type="dxa"/>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22"/>
              <w:gridCol w:w="644"/>
              <w:gridCol w:w="1767"/>
              <w:gridCol w:w="4153"/>
              <w:gridCol w:w="1083"/>
            </w:tblGrid>
            <w:tr w14:paraId="0E98A0D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485" w:type="pct"/>
                  <w:tcBorders>
                    <w:tl2br w:val="nil"/>
                    <w:tr2bl w:val="nil"/>
                  </w:tcBorders>
                  <w:shd w:val="clear" w:color="auto" w:fill="auto"/>
                  <w:vAlign w:val="center"/>
                </w:tcPr>
                <w:p w14:paraId="122E6E31">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阶段</w:t>
                  </w:r>
                </w:p>
              </w:tc>
              <w:tc>
                <w:tcPr>
                  <w:tcW w:w="1423" w:type="pct"/>
                  <w:gridSpan w:val="2"/>
                  <w:tcBorders>
                    <w:tl2br w:val="nil"/>
                    <w:tr2bl w:val="nil"/>
                  </w:tcBorders>
                  <w:shd w:val="clear" w:color="auto" w:fill="auto"/>
                  <w:vAlign w:val="center"/>
                </w:tcPr>
                <w:p w14:paraId="79DF4040">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项目</w:t>
                  </w:r>
                </w:p>
              </w:tc>
              <w:tc>
                <w:tcPr>
                  <w:tcW w:w="2451" w:type="pct"/>
                  <w:tcBorders>
                    <w:tl2br w:val="nil"/>
                    <w:tr2bl w:val="nil"/>
                  </w:tcBorders>
                  <w:shd w:val="clear" w:color="auto" w:fill="auto"/>
                  <w:vAlign w:val="center"/>
                </w:tcPr>
                <w:p w14:paraId="6FE762CF">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治理措施</w:t>
                  </w:r>
                </w:p>
              </w:tc>
              <w:tc>
                <w:tcPr>
                  <w:tcW w:w="639" w:type="pct"/>
                  <w:tcBorders>
                    <w:tl2br w:val="nil"/>
                    <w:tr2bl w:val="nil"/>
                  </w:tcBorders>
                  <w:shd w:val="clear" w:color="auto" w:fill="auto"/>
                  <w:vAlign w:val="center"/>
                </w:tcPr>
                <w:p w14:paraId="36C80503">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投资估算</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(万元)</w:t>
                  </w:r>
                </w:p>
              </w:tc>
            </w:tr>
            <w:tr w14:paraId="3216B2D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485" w:type="pct"/>
                  <w:vMerge w:val="restart"/>
                  <w:tcBorders>
                    <w:tl2br w:val="nil"/>
                    <w:tr2bl w:val="nil"/>
                  </w:tcBorders>
                  <w:shd w:val="clear" w:color="auto" w:fill="auto"/>
                  <w:textDirection w:val="tbRlV"/>
                  <w:vAlign w:val="center"/>
                </w:tcPr>
                <w:p w14:paraId="10AE1B1D">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运营期</w:t>
                  </w:r>
                </w:p>
              </w:tc>
              <w:tc>
                <w:tcPr>
                  <w:tcW w:w="380" w:type="pct"/>
                  <w:vMerge w:val="restart"/>
                  <w:tcBorders>
                    <w:tl2br w:val="nil"/>
                    <w:tr2bl w:val="nil"/>
                  </w:tcBorders>
                  <w:shd w:val="clear" w:color="auto" w:fill="auto"/>
                  <w:vAlign w:val="center"/>
                </w:tcPr>
                <w:p w14:paraId="65F65EF6">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废气治理</w:t>
                  </w:r>
                </w:p>
              </w:tc>
              <w:tc>
                <w:tcPr>
                  <w:tcW w:w="1043" w:type="pct"/>
                  <w:tcBorders>
                    <w:tl2br w:val="nil"/>
                    <w:tr2bl w:val="nil"/>
                  </w:tcBorders>
                  <w:shd w:val="clear" w:color="auto" w:fill="auto"/>
                  <w:vAlign w:val="center"/>
                </w:tcPr>
                <w:p w14:paraId="722BCFA7">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有组织恶臭</w:t>
                  </w:r>
                </w:p>
              </w:tc>
              <w:tc>
                <w:tcPr>
                  <w:tcW w:w="2451" w:type="pct"/>
                  <w:tcBorders>
                    <w:tl2br w:val="nil"/>
                    <w:tr2bl w:val="nil"/>
                  </w:tcBorders>
                  <w:shd w:val="clear" w:color="auto" w:fill="auto"/>
                  <w:vAlign w:val="center"/>
                </w:tcPr>
                <w:p w14:paraId="09F13674">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“雾化喷淋除臭剂+UV光催化氧化+15m排气筒”1套</w:t>
                  </w:r>
                </w:p>
              </w:tc>
              <w:tc>
                <w:tcPr>
                  <w:tcW w:w="639" w:type="pct"/>
                  <w:tcBorders>
                    <w:tl2br w:val="nil"/>
                    <w:tr2bl w:val="nil"/>
                  </w:tcBorders>
                  <w:shd w:val="clear" w:color="auto" w:fill="auto"/>
                  <w:vAlign w:val="center"/>
                </w:tcPr>
                <w:p w14:paraId="2C5FA1C5">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19.0</w:t>
                  </w:r>
                </w:p>
              </w:tc>
            </w:tr>
            <w:tr w14:paraId="15B1D52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485" w:type="pct"/>
                  <w:vMerge w:val="continue"/>
                  <w:tcBorders>
                    <w:tl2br w:val="nil"/>
                    <w:tr2bl w:val="nil"/>
                  </w:tcBorders>
                  <w:shd w:val="clear" w:color="auto" w:fill="auto"/>
                  <w:textDirection w:val="tbRlV"/>
                  <w:vAlign w:val="center"/>
                </w:tcPr>
                <w:p w14:paraId="0711B26E">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380" w:type="pct"/>
                  <w:vMerge w:val="continue"/>
                  <w:tcBorders>
                    <w:tl2br w:val="nil"/>
                    <w:tr2bl w:val="nil"/>
                  </w:tcBorders>
                  <w:shd w:val="clear" w:color="auto" w:fill="auto"/>
                  <w:vAlign w:val="center"/>
                </w:tcPr>
                <w:p w14:paraId="4481D9D8">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043" w:type="pct"/>
                  <w:tcBorders>
                    <w:tl2br w:val="nil"/>
                    <w:tr2bl w:val="nil"/>
                  </w:tcBorders>
                  <w:shd w:val="clear" w:color="auto" w:fill="auto"/>
                  <w:vAlign w:val="center"/>
                </w:tcPr>
                <w:p w14:paraId="37F63BCF">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无组织恶臭</w:t>
                  </w:r>
                </w:p>
              </w:tc>
              <w:tc>
                <w:tcPr>
                  <w:tcW w:w="2451" w:type="pct"/>
                  <w:tcBorders>
                    <w:tl2br w:val="nil"/>
                    <w:tr2bl w:val="nil"/>
                  </w:tcBorders>
                  <w:shd w:val="clear" w:color="auto" w:fill="auto"/>
                  <w:vAlign w:val="center"/>
                </w:tcPr>
                <w:p w14:paraId="15ED2187">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加强厂区绿化，沼液池周围设置绿化带</w:t>
                  </w:r>
                  <w:r>
                    <w:rPr>
                      <w:rFonts w:hint="eastAsia" w:ascii="Times New Roman" w:cs="Times New Roman" w:eastAsiaTheme="minorEastAsia"/>
                      <w:color w:val="auto"/>
                      <w:sz w:val="21"/>
                      <w:szCs w:val="21"/>
                      <w:lang w:val="en-US" w:eastAsia="zh-CN"/>
                    </w:rPr>
                    <w:t>，厂界西侧设置2.5m高围挡</w:t>
                  </w:r>
                </w:p>
              </w:tc>
              <w:tc>
                <w:tcPr>
                  <w:tcW w:w="639" w:type="pct"/>
                  <w:tcBorders>
                    <w:tl2br w:val="nil"/>
                    <w:tr2bl w:val="nil"/>
                  </w:tcBorders>
                  <w:shd w:val="clear" w:color="auto" w:fill="auto"/>
                  <w:vAlign w:val="center"/>
                </w:tcPr>
                <w:p w14:paraId="3E4C1D5C">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10.0</w:t>
                  </w:r>
                </w:p>
              </w:tc>
            </w:tr>
            <w:tr w14:paraId="1B3832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vMerge w:val="continue"/>
                  <w:tcBorders>
                    <w:tl2br w:val="nil"/>
                    <w:tr2bl w:val="nil"/>
                  </w:tcBorders>
                  <w:shd w:val="clear" w:color="auto" w:fill="auto"/>
                  <w:textDirection w:val="tbRlV"/>
                  <w:vAlign w:val="center"/>
                </w:tcPr>
                <w:p w14:paraId="3863F0BD">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380" w:type="pct"/>
                  <w:vMerge w:val="continue"/>
                  <w:tcBorders>
                    <w:tl2br w:val="nil"/>
                    <w:tr2bl w:val="nil"/>
                  </w:tcBorders>
                  <w:shd w:val="clear" w:color="auto" w:fill="auto"/>
                  <w:vAlign w:val="center"/>
                </w:tcPr>
                <w:p w14:paraId="1BDF9894">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043" w:type="pct"/>
                  <w:tcBorders>
                    <w:tl2br w:val="nil"/>
                    <w:tr2bl w:val="nil"/>
                  </w:tcBorders>
                  <w:shd w:val="clear" w:color="auto" w:fill="auto"/>
                  <w:vAlign w:val="center"/>
                </w:tcPr>
                <w:p w14:paraId="5B54A6D7">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发电机组废气</w:t>
                  </w:r>
                </w:p>
              </w:tc>
              <w:tc>
                <w:tcPr>
                  <w:tcW w:w="2451" w:type="pct"/>
                  <w:vMerge w:val="restart"/>
                  <w:tcBorders>
                    <w:tl2br w:val="nil"/>
                    <w:tr2bl w:val="nil"/>
                  </w:tcBorders>
                  <w:shd w:val="clear" w:color="auto" w:fill="auto"/>
                  <w:vAlign w:val="center"/>
                </w:tcPr>
                <w:p w14:paraId="17EEFCEE">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低氮燃烧器(设备自带)+8m排气筒</w:t>
                  </w:r>
                </w:p>
              </w:tc>
              <w:tc>
                <w:tcPr>
                  <w:tcW w:w="639" w:type="pct"/>
                  <w:vMerge w:val="restart"/>
                  <w:tcBorders>
                    <w:tl2br w:val="nil"/>
                    <w:tr2bl w:val="nil"/>
                  </w:tcBorders>
                  <w:shd w:val="clear" w:color="auto" w:fill="auto"/>
                  <w:vAlign w:val="center"/>
                </w:tcPr>
                <w:p w14:paraId="79F406BE">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8.0</w:t>
                  </w:r>
                </w:p>
              </w:tc>
            </w:tr>
            <w:tr w14:paraId="7F29FE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vMerge w:val="continue"/>
                  <w:tcBorders>
                    <w:tl2br w:val="nil"/>
                    <w:tr2bl w:val="nil"/>
                  </w:tcBorders>
                  <w:shd w:val="clear" w:color="auto" w:fill="auto"/>
                  <w:textDirection w:val="tbRlV"/>
                  <w:vAlign w:val="center"/>
                </w:tcPr>
                <w:p w14:paraId="48240592">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380" w:type="pct"/>
                  <w:vMerge w:val="continue"/>
                  <w:tcBorders>
                    <w:tl2br w:val="nil"/>
                    <w:tr2bl w:val="nil"/>
                  </w:tcBorders>
                  <w:shd w:val="clear" w:color="auto" w:fill="auto"/>
                  <w:vAlign w:val="center"/>
                </w:tcPr>
                <w:p w14:paraId="026466A2">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043" w:type="pct"/>
                  <w:tcBorders>
                    <w:tl2br w:val="nil"/>
                    <w:tr2bl w:val="nil"/>
                  </w:tcBorders>
                  <w:shd w:val="clear" w:color="auto" w:fill="auto"/>
                  <w:vAlign w:val="center"/>
                </w:tcPr>
                <w:p w14:paraId="6ABBBBF3">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沼气锅炉废气</w:t>
                  </w:r>
                </w:p>
              </w:tc>
              <w:tc>
                <w:tcPr>
                  <w:tcW w:w="2451" w:type="pct"/>
                  <w:vMerge w:val="continue"/>
                  <w:tcBorders>
                    <w:tl2br w:val="nil"/>
                    <w:tr2bl w:val="nil"/>
                  </w:tcBorders>
                  <w:shd w:val="clear" w:color="auto" w:fill="auto"/>
                  <w:vAlign w:val="center"/>
                </w:tcPr>
                <w:p w14:paraId="2B2C5568">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639" w:type="pct"/>
                  <w:vMerge w:val="continue"/>
                  <w:tcBorders>
                    <w:tl2br w:val="nil"/>
                    <w:tr2bl w:val="nil"/>
                  </w:tcBorders>
                  <w:shd w:val="clear" w:color="auto" w:fill="auto"/>
                  <w:vAlign w:val="center"/>
                </w:tcPr>
                <w:p w14:paraId="27A58C67">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r>
            <w:tr w14:paraId="4E28D6C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vMerge w:val="continue"/>
                  <w:tcBorders>
                    <w:tl2br w:val="nil"/>
                    <w:tr2bl w:val="nil"/>
                  </w:tcBorders>
                  <w:shd w:val="clear" w:color="auto" w:fill="auto"/>
                  <w:textDirection w:val="tbRlV"/>
                  <w:vAlign w:val="center"/>
                </w:tcPr>
                <w:p w14:paraId="5A8D8F86">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380" w:type="pct"/>
                  <w:vMerge w:val="continue"/>
                  <w:tcBorders>
                    <w:tl2br w:val="nil"/>
                    <w:tr2bl w:val="nil"/>
                  </w:tcBorders>
                  <w:shd w:val="clear" w:color="auto" w:fill="auto"/>
                  <w:vAlign w:val="center"/>
                </w:tcPr>
                <w:p w14:paraId="32E7C1A5">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043" w:type="pct"/>
                  <w:tcBorders>
                    <w:tl2br w:val="nil"/>
                    <w:tr2bl w:val="nil"/>
                  </w:tcBorders>
                  <w:shd w:val="clear" w:color="auto" w:fill="auto"/>
                  <w:vAlign w:val="center"/>
                </w:tcPr>
                <w:p w14:paraId="20A44E0B">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发酵过程</w:t>
                  </w:r>
                </w:p>
              </w:tc>
              <w:tc>
                <w:tcPr>
                  <w:tcW w:w="2451" w:type="pct"/>
                  <w:tcBorders>
                    <w:tl2br w:val="nil"/>
                    <w:tr2bl w:val="nil"/>
                  </w:tcBorders>
                  <w:shd w:val="clear" w:color="auto" w:fill="auto"/>
                  <w:vAlign w:val="center"/>
                </w:tcPr>
                <w:p w14:paraId="088B1187">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全封闭车间，喷洒微生物除臭剂，引风机+生物除臭装置（过滤法）+15m高排气筒排放</w:t>
                  </w:r>
                </w:p>
              </w:tc>
              <w:tc>
                <w:tcPr>
                  <w:tcW w:w="639" w:type="pct"/>
                  <w:tcBorders>
                    <w:tl2br w:val="nil"/>
                    <w:tr2bl w:val="nil"/>
                  </w:tcBorders>
                  <w:shd w:val="clear" w:color="auto" w:fill="auto"/>
                  <w:vAlign w:val="center"/>
                </w:tcPr>
                <w:p w14:paraId="4F88EB49">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50.0</w:t>
                  </w:r>
                </w:p>
              </w:tc>
            </w:tr>
            <w:tr w14:paraId="1917558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vMerge w:val="continue"/>
                  <w:tcBorders>
                    <w:tl2br w:val="nil"/>
                    <w:tr2bl w:val="nil"/>
                  </w:tcBorders>
                  <w:shd w:val="clear" w:color="auto" w:fill="auto"/>
                  <w:textDirection w:val="tbRlV"/>
                  <w:vAlign w:val="center"/>
                </w:tcPr>
                <w:p w14:paraId="54820CDC">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380" w:type="pct"/>
                  <w:vMerge w:val="continue"/>
                  <w:tcBorders>
                    <w:tl2br w:val="nil"/>
                    <w:tr2bl w:val="nil"/>
                  </w:tcBorders>
                  <w:shd w:val="clear" w:color="auto" w:fill="auto"/>
                  <w:vAlign w:val="center"/>
                </w:tcPr>
                <w:p w14:paraId="02DF88F0">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043" w:type="pct"/>
                  <w:tcBorders>
                    <w:tl2br w:val="nil"/>
                    <w:tr2bl w:val="nil"/>
                  </w:tcBorders>
                  <w:shd w:val="clear" w:color="auto" w:fill="auto"/>
                  <w:vAlign w:val="center"/>
                </w:tcPr>
                <w:p w14:paraId="0E0B302E">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lang w:val="en-US" w:eastAsia="zh-CN"/>
                    </w:rPr>
                    <w:t>无组织粉尘</w:t>
                  </w:r>
                </w:p>
              </w:tc>
              <w:tc>
                <w:tcPr>
                  <w:tcW w:w="2451" w:type="pct"/>
                  <w:tcBorders>
                    <w:tl2br w:val="nil"/>
                    <w:tr2bl w:val="nil"/>
                  </w:tcBorders>
                  <w:shd w:val="clear" w:color="auto" w:fill="auto"/>
                  <w:vAlign w:val="center"/>
                </w:tcPr>
                <w:p w14:paraId="0A463CB8">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全封闭车间，</w:t>
                  </w:r>
                  <w:r>
                    <w:rPr>
                      <w:rFonts w:hint="eastAsia" w:ascii="Times New Roman" w:cs="Times New Roman" w:eastAsiaTheme="minorEastAsia"/>
                      <w:color w:val="auto"/>
                      <w:sz w:val="21"/>
                      <w:szCs w:val="21"/>
                      <w:lang w:val="en-US" w:eastAsia="zh-CN"/>
                    </w:rPr>
                    <w:t>车间外皮带输送廊道封闭。</w:t>
                  </w:r>
                </w:p>
              </w:tc>
              <w:tc>
                <w:tcPr>
                  <w:tcW w:w="639" w:type="pct"/>
                  <w:tcBorders>
                    <w:tl2br w:val="nil"/>
                    <w:tr2bl w:val="nil"/>
                  </w:tcBorders>
                  <w:shd w:val="clear" w:color="auto" w:fill="auto"/>
                  <w:vAlign w:val="center"/>
                </w:tcPr>
                <w:p w14:paraId="08A67739">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w:t>
                  </w:r>
                </w:p>
              </w:tc>
            </w:tr>
            <w:tr w14:paraId="0AA47D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vMerge w:val="continue"/>
                  <w:tcBorders>
                    <w:tl2br w:val="nil"/>
                    <w:tr2bl w:val="nil"/>
                  </w:tcBorders>
                  <w:shd w:val="clear" w:color="auto" w:fill="auto"/>
                  <w:textDirection w:val="tbRlV"/>
                  <w:vAlign w:val="center"/>
                </w:tcPr>
                <w:p w14:paraId="67F205D6">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380" w:type="pct"/>
                  <w:vMerge w:val="continue"/>
                  <w:tcBorders>
                    <w:tl2br w:val="nil"/>
                    <w:tr2bl w:val="nil"/>
                  </w:tcBorders>
                  <w:shd w:val="clear" w:color="auto" w:fill="auto"/>
                  <w:vAlign w:val="center"/>
                </w:tcPr>
                <w:p w14:paraId="3F6332A0">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043" w:type="pct"/>
                  <w:tcBorders>
                    <w:tl2br w:val="nil"/>
                    <w:tr2bl w:val="nil"/>
                  </w:tcBorders>
                  <w:shd w:val="clear" w:color="auto" w:fill="auto"/>
                  <w:vAlign w:val="center"/>
                </w:tcPr>
                <w:p w14:paraId="6BE8DE06">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烘干、冷却</w:t>
                  </w:r>
                </w:p>
              </w:tc>
              <w:tc>
                <w:tcPr>
                  <w:tcW w:w="2451" w:type="pct"/>
                  <w:tcBorders>
                    <w:tl2br w:val="nil"/>
                    <w:tr2bl w:val="nil"/>
                  </w:tcBorders>
                  <w:shd w:val="clear" w:color="auto" w:fill="auto"/>
                  <w:vAlign w:val="center"/>
                </w:tcPr>
                <w:p w14:paraId="72DACAD7">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引风机+迷宫式重力除尘室+水洗涤喷淋塔</w:t>
                  </w:r>
                </w:p>
              </w:tc>
              <w:tc>
                <w:tcPr>
                  <w:tcW w:w="639" w:type="pct"/>
                  <w:tcBorders>
                    <w:tl2br w:val="nil"/>
                    <w:tr2bl w:val="nil"/>
                  </w:tcBorders>
                  <w:shd w:val="clear" w:color="auto" w:fill="auto"/>
                  <w:vAlign w:val="center"/>
                </w:tcPr>
                <w:p w14:paraId="2850C109">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16.0</w:t>
                  </w:r>
                </w:p>
              </w:tc>
            </w:tr>
            <w:tr w14:paraId="33604F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vMerge w:val="continue"/>
                  <w:tcBorders>
                    <w:tl2br w:val="nil"/>
                    <w:tr2bl w:val="nil"/>
                  </w:tcBorders>
                  <w:shd w:val="clear" w:color="auto" w:fill="auto"/>
                  <w:textDirection w:val="tbRlV"/>
                  <w:vAlign w:val="center"/>
                </w:tcPr>
                <w:p w14:paraId="7DCA8E30">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380" w:type="pct"/>
                  <w:vMerge w:val="restart"/>
                  <w:tcBorders>
                    <w:tl2br w:val="nil"/>
                    <w:tr2bl w:val="nil"/>
                  </w:tcBorders>
                  <w:shd w:val="clear" w:color="auto" w:fill="auto"/>
                  <w:vAlign w:val="center"/>
                </w:tcPr>
                <w:p w14:paraId="1CC7A723">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固废</w:t>
                  </w:r>
                </w:p>
              </w:tc>
              <w:tc>
                <w:tcPr>
                  <w:tcW w:w="1043" w:type="pct"/>
                  <w:tcBorders>
                    <w:tl2br w:val="nil"/>
                    <w:tr2bl w:val="nil"/>
                  </w:tcBorders>
                  <w:shd w:val="clear" w:color="auto" w:fill="auto"/>
                  <w:vAlign w:val="center"/>
                </w:tcPr>
                <w:p w14:paraId="24849759">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eastAsia" w:ascii="Times New Roman" w:cs="Times New Roman" w:eastAsiaTheme="minorEastAsia"/>
                      <w:color w:val="auto"/>
                      <w:sz w:val="21"/>
                      <w:szCs w:val="21"/>
                      <w:lang w:val="en-US" w:eastAsia="zh-CN"/>
                    </w:rPr>
                    <w:t>一般固废</w:t>
                  </w:r>
                </w:p>
              </w:tc>
              <w:tc>
                <w:tcPr>
                  <w:tcW w:w="2451" w:type="pct"/>
                  <w:tcBorders>
                    <w:tl2br w:val="nil"/>
                    <w:tr2bl w:val="nil"/>
                  </w:tcBorders>
                  <w:shd w:val="clear" w:color="auto" w:fill="auto"/>
                  <w:vAlign w:val="center"/>
                </w:tcPr>
                <w:p w14:paraId="6080BF84">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rPr>
                  </w:pPr>
                  <w:r>
                    <w:rPr>
                      <w:rFonts w:hint="eastAsia" w:ascii="Times New Roman" w:cs="Times New Roman" w:eastAsiaTheme="minorEastAsia"/>
                      <w:color w:val="auto"/>
                      <w:sz w:val="21"/>
                      <w:szCs w:val="21"/>
                      <w:lang w:val="en-US" w:eastAsia="zh-CN"/>
                    </w:rPr>
                    <w:t>一般固废暂存场地</w:t>
                  </w:r>
                </w:p>
              </w:tc>
              <w:tc>
                <w:tcPr>
                  <w:tcW w:w="639" w:type="pct"/>
                  <w:tcBorders>
                    <w:tl2br w:val="nil"/>
                    <w:tr2bl w:val="nil"/>
                  </w:tcBorders>
                  <w:shd w:val="clear" w:color="auto" w:fill="auto"/>
                  <w:vAlign w:val="center"/>
                </w:tcPr>
                <w:p w14:paraId="65281F3F">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0.2</w:t>
                  </w:r>
                </w:p>
              </w:tc>
            </w:tr>
            <w:tr w14:paraId="362489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vMerge w:val="continue"/>
                  <w:tcBorders>
                    <w:tl2br w:val="nil"/>
                    <w:tr2bl w:val="nil"/>
                  </w:tcBorders>
                  <w:shd w:val="clear" w:color="auto" w:fill="auto"/>
                  <w:textDirection w:val="tbRlV"/>
                  <w:vAlign w:val="center"/>
                </w:tcPr>
                <w:p w14:paraId="0A1E2C3C">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380" w:type="pct"/>
                  <w:vMerge w:val="continue"/>
                  <w:tcBorders>
                    <w:tl2br w:val="nil"/>
                    <w:tr2bl w:val="nil"/>
                  </w:tcBorders>
                  <w:shd w:val="clear" w:color="auto" w:fill="auto"/>
                  <w:vAlign w:val="center"/>
                </w:tcPr>
                <w:p w14:paraId="30B8F0A6">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043" w:type="pct"/>
                  <w:tcBorders>
                    <w:tl2br w:val="nil"/>
                    <w:tr2bl w:val="nil"/>
                  </w:tcBorders>
                  <w:shd w:val="clear" w:color="auto" w:fill="auto"/>
                  <w:vAlign w:val="center"/>
                </w:tcPr>
                <w:p w14:paraId="6E7889F3">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危险废物</w:t>
                  </w:r>
                </w:p>
              </w:tc>
              <w:tc>
                <w:tcPr>
                  <w:tcW w:w="2451" w:type="pct"/>
                  <w:tcBorders>
                    <w:tl2br w:val="nil"/>
                    <w:tr2bl w:val="nil"/>
                  </w:tcBorders>
                  <w:shd w:val="clear" w:color="auto" w:fill="auto"/>
                  <w:vAlign w:val="center"/>
                </w:tcPr>
                <w:p w14:paraId="403003BE">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20m²危废贮存库一座</w:t>
                  </w:r>
                </w:p>
              </w:tc>
              <w:tc>
                <w:tcPr>
                  <w:tcW w:w="639" w:type="pct"/>
                  <w:tcBorders>
                    <w:tl2br w:val="nil"/>
                    <w:tr2bl w:val="nil"/>
                  </w:tcBorders>
                  <w:shd w:val="clear" w:color="auto" w:fill="auto"/>
                  <w:vAlign w:val="center"/>
                </w:tcPr>
                <w:p w14:paraId="531DDC98">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6.0</w:t>
                  </w:r>
                </w:p>
              </w:tc>
            </w:tr>
            <w:tr w14:paraId="0CA3FA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485" w:type="pct"/>
                  <w:vMerge w:val="continue"/>
                  <w:tcBorders>
                    <w:tl2br w:val="nil"/>
                    <w:tr2bl w:val="nil"/>
                  </w:tcBorders>
                  <w:shd w:val="clear" w:color="auto" w:fill="auto"/>
                  <w:textDirection w:val="tbRlV"/>
                  <w:vAlign w:val="center"/>
                </w:tcPr>
                <w:p w14:paraId="1C6C3A52">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423" w:type="pct"/>
                  <w:gridSpan w:val="2"/>
                  <w:tcBorders>
                    <w:tl2br w:val="nil"/>
                    <w:tr2bl w:val="nil"/>
                  </w:tcBorders>
                  <w:shd w:val="clear" w:color="auto" w:fill="auto"/>
                  <w:vAlign w:val="center"/>
                </w:tcPr>
                <w:p w14:paraId="03817488">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噪声</w:t>
                  </w:r>
                </w:p>
              </w:tc>
              <w:tc>
                <w:tcPr>
                  <w:tcW w:w="2451" w:type="pct"/>
                  <w:tcBorders>
                    <w:tl2br w:val="nil"/>
                    <w:tr2bl w:val="nil"/>
                  </w:tcBorders>
                  <w:shd w:val="clear" w:color="auto" w:fill="auto"/>
                  <w:vAlign w:val="center"/>
                </w:tcPr>
                <w:p w14:paraId="65EFB38A">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选用低噪声设备、基础减振，加装隔声</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罩、软性连接、厂房隔声等</w:t>
                  </w:r>
                </w:p>
              </w:tc>
              <w:tc>
                <w:tcPr>
                  <w:tcW w:w="639" w:type="pct"/>
                  <w:tcBorders>
                    <w:tl2br w:val="nil"/>
                    <w:tr2bl w:val="nil"/>
                  </w:tcBorders>
                  <w:shd w:val="clear" w:color="auto" w:fill="auto"/>
                  <w:vAlign w:val="center"/>
                </w:tcPr>
                <w:p w14:paraId="5652F5E7">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5.0</w:t>
                  </w:r>
                </w:p>
              </w:tc>
            </w:tr>
            <w:tr w14:paraId="3A1949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vMerge w:val="continue"/>
                  <w:tcBorders>
                    <w:tl2br w:val="nil"/>
                    <w:tr2bl w:val="nil"/>
                  </w:tcBorders>
                  <w:shd w:val="clear" w:color="auto" w:fill="auto"/>
                  <w:textDirection w:val="tbRlV"/>
                  <w:vAlign w:val="center"/>
                </w:tcPr>
                <w:p w14:paraId="7D518F83">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423" w:type="pct"/>
                  <w:gridSpan w:val="2"/>
                  <w:tcBorders>
                    <w:tl2br w:val="nil"/>
                    <w:tr2bl w:val="nil"/>
                  </w:tcBorders>
                  <w:shd w:val="clear" w:color="auto" w:fill="auto"/>
                  <w:vAlign w:val="center"/>
                </w:tcPr>
                <w:p w14:paraId="63C0AC15">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防渗</w:t>
                  </w:r>
                </w:p>
              </w:tc>
              <w:tc>
                <w:tcPr>
                  <w:tcW w:w="2451" w:type="pct"/>
                  <w:tcBorders>
                    <w:tl2br w:val="nil"/>
                    <w:tr2bl w:val="nil"/>
                  </w:tcBorders>
                  <w:shd w:val="clear" w:color="auto" w:fill="auto"/>
                  <w:vAlign w:val="center"/>
                </w:tcPr>
                <w:p w14:paraId="2BBA6740">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分区防渗</w:t>
                  </w:r>
                </w:p>
              </w:tc>
              <w:tc>
                <w:tcPr>
                  <w:tcW w:w="639" w:type="pct"/>
                  <w:tcBorders>
                    <w:tl2br w:val="nil"/>
                    <w:tr2bl w:val="nil"/>
                  </w:tcBorders>
                  <w:shd w:val="clear" w:color="auto" w:fill="auto"/>
                  <w:vAlign w:val="center"/>
                </w:tcPr>
                <w:p w14:paraId="092EEA0F">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40.0</w:t>
                  </w:r>
                </w:p>
              </w:tc>
            </w:tr>
            <w:tr w14:paraId="6DB4E4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85" w:type="pct"/>
                  <w:tcBorders>
                    <w:tl2br w:val="nil"/>
                    <w:tr2bl w:val="nil"/>
                  </w:tcBorders>
                  <w:shd w:val="clear" w:color="auto" w:fill="auto"/>
                  <w:vAlign w:val="center"/>
                </w:tcPr>
                <w:p w14:paraId="79517BE2">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p>
              </w:tc>
              <w:tc>
                <w:tcPr>
                  <w:tcW w:w="1423" w:type="pct"/>
                  <w:gridSpan w:val="2"/>
                  <w:tcBorders>
                    <w:tl2br w:val="nil"/>
                    <w:tr2bl w:val="nil"/>
                  </w:tcBorders>
                  <w:shd w:val="clear" w:color="auto" w:fill="auto"/>
                  <w:vAlign w:val="center"/>
                </w:tcPr>
                <w:p w14:paraId="18570A8D">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事故池</w:t>
                  </w:r>
                </w:p>
              </w:tc>
              <w:tc>
                <w:tcPr>
                  <w:tcW w:w="2451" w:type="pct"/>
                  <w:tcBorders>
                    <w:tl2br w:val="nil"/>
                    <w:tr2bl w:val="nil"/>
                  </w:tcBorders>
                  <w:shd w:val="clear" w:color="auto" w:fill="auto"/>
                  <w:vAlign w:val="center"/>
                </w:tcPr>
                <w:p w14:paraId="12E2E3D1">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vertAlign w:val="baseline"/>
                      <w:lang w:val="en-US"/>
                    </w:rPr>
                  </w:pPr>
                  <w:r>
                    <w:rPr>
                      <w:rFonts w:hint="default" w:ascii="Times New Roman" w:hAnsi="Times New Roman" w:cs="Times New Roman" w:eastAsiaTheme="minorEastAsia"/>
                      <w:color w:val="auto"/>
                      <w:sz w:val="21"/>
                      <w:szCs w:val="21"/>
                      <w:lang w:val="en-US" w:eastAsia="zh-CN"/>
                    </w:rPr>
                    <w:t>设置180m³事故池</w:t>
                  </w:r>
                  <w:r>
                    <w:rPr>
                      <w:rFonts w:hint="eastAsia" w:asci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vertAlign w:val="baseline"/>
                      <w:lang w:val="en-US" w:eastAsia="zh-CN"/>
                    </w:rPr>
                    <w:t>雨水池一座</w:t>
                  </w:r>
                </w:p>
              </w:tc>
              <w:tc>
                <w:tcPr>
                  <w:tcW w:w="639" w:type="pct"/>
                  <w:tcBorders>
                    <w:tl2br w:val="nil"/>
                    <w:tr2bl w:val="nil"/>
                  </w:tcBorders>
                  <w:shd w:val="clear" w:color="auto" w:fill="auto"/>
                  <w:vAlign w:val="center"/>
                </w:tcPr>
                <w:p w14:paraId="46F3ECFE">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10.0</w:t>
                  </w:r>
                </w:p>
              </w:tc>
            </w:tr>
            <w:tr w14:paraId="548278F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1908" w:type="pct"/>
                  <w:gridSpan w:val="3"/>
                  <w:tcBorders>
                    <w:tl2br w:val="nil"/>
                    <w:tr2bl w:val="nil"/>
                  </w:tcBorders>
                  <w:shd w:val="clear" w:color="auto" w:fill="auto"/>
                  <w:vAlign w:val="center"/>
                </w:tcPr>
                <w:p w14:paraId="08F923A2">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总计</w:t>
                  </w:r>
                </w:p>
              </w:tc>
              <w:tc>
                <w:tcPr>
                  <w:tcW w:w="2451" w:type="pct"/>
                  <w:tcBorders>
                    <w:tl2br w:val="nil"/>
                    <w:tr2bl w:val="nil"/>
                  </w:tcBorders>
                  <w:shd w:val="clear" w:color="auto" w:fill="auto"/>
                  <w:vAlign w:val="center"/>
                </w:tcPr>
                <w:p w14:paraId="4FC309FB">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w:t>
                  </w:r>
                </w:p>
              </w:tc>
              <w:tc>
                <w:tcPr>
                  <w:tcW w:w="639" w:type="pct"/>
                  <w:tcBorders>
                    <w:tl2br w:val="nil"/>
                    <w:tr2bl w:val="nil"/>
                  </w:tcBorders>
                  <w:shd w:val="clear" w:color="auto" w:fill="auto"/>
                  <w:vAlign w:val="center"/>
                </w:tcPr>
                <w:p w14:paraId="30279AD2">
                  <w:pPr>
                    <w:pStyle w:val="139"/>
                    <w:keepNext w:val="0"/>
                    <w:keepLines w:val="0"/>
                    <w:pageBreakBefore w:val="0"/>
                    <w:widowControl w:val="0"/>
                    <w:kinsoku/>
                    <w:wordWrap/>
                    <w:overflowPunct/>
                    <w:topLinePunct w:val="0"/>
                    <w:bidi w:val="0"/>
                    <w:snapToGrid/>
                    <w:spacing w:before="0" w:beforeAutospacing="0" w:line="240" w:lineRule="atLeast"/>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168.2</w:t>
                  </w:r>
                </w:p>
              </w:tc>
            </w:tr>
          </w:tbl>
          <w:p w14:paraId="13D54C3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b w:val="0"/>
                <w:bCs/>
                <w:color w:val="auto"/>
                <w:sz w:val="21"/>
                <w:szCs w:val="21"/>
                <w:highlight w:val="none"/>
                <w:u w:val="none"/>
              </w:rPr>
            </w:pPr>
          </w:p>
          <w:p w14:paraId="7C31342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b w:val="0"/>
                <w:bCs/>
                <w:color w:val="auto"/>
                <w:sz w:val="21"/>
                <w:szCs w:val="21"/>
                <w:highlight w:val="none"/>
                <w:u w:val="none"/>
              </w:rPr>
            </w:pPr>
          </w:p>
          <w:p w14:paraId="4780713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b w:val="0"/>
                <w:bCs/>
                <w:color w:val="auto"/>
                <w:sz w:val="21"/>
                <w:szCs w:val="21"/>
                <w:highlight w:val="none"/>
                <w:u w:val="none"/>
              </w:rPr>
            </w:pPr>
          </w:p>
          <w:p w14:paraId="14EE9722">
            <w:pPr>
              <w:widowControl/>
              <w:jc w:val="left"/>
              <w:rPr>
                <w:rFonts w:hint="default" w:ascii="Times New Roman" w:hAnsi="Times New Roman" w:eastAsia="宋体" w:cs="Times New Roman"/>
                <w:color w:val="auto"/>
              </w:rPr>
            </w:pPr>
          </w:p>
        </w:tc>
      </w:tr>
    </w:tbl>
    <w:p w14:paraId="021B0797">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E63DCEA">
      <w:pPr>
        <w:pStyle w:val="31"/>
        <w:spacing w:line="240" w:lineRule="auto"/>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r>
        <w:rPr>
          <w:rFonts w:hint="default" w:ascii="Times New Roman" w:hAnsi="Times New Roman" w:eastAsia="宋体" w:cs="Times New Roman"/>
          <w:snapToGrid w:val="0"/>
          <w:color w:val="auto"/>
          <w:sz w:val="30"/>
          <w:szCs w:val="30"/>
          <w:highlight w:val="none"/>
        </w:rPr>
        <w:t>、</w:t>
      </w:r>
      <w:bookmarkStart w:id="3" w:name="_Hlk54167917"/>
      <w:r>
        <w:rPr>
          <w:rFonts w:hint="default" w:ascii="Times New Roman" w:hAnsi="Times New Roman" w:eastAsia="宋体" w:cs="Times New Roman"/>
          <w:b/>
          <w:bCs/>
          <w:snapToGrid w:val="0"/>
          <w:color w:val="auto"/>
          <w:sz w:val="30"/>
          <w:szCs w:val="30"/>
          <w:highlight w:val="none"/>
        </w:rPr>
        <w:t>环境保护措施监督检查清单</w:t>
      </w:r>
      <w:bookmarkEnd w:id="3"/>
    </w:p>
    <w:tbl>
      <w:tblPr>
        <w:tblStyle w:val="3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282"/>
        <w:gridCol w:w="1470"/>
        <w:gridCol w:w="2010"/>
        <w:gridCol w:w="2500"/>
      </w:tblGrid>
      <w:tr w14:paraId="32AF2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tcBorders>
              <w:tl2br w:val="single" w:color="auto" w:sz="4" w:space="0"/>
            </w:tcBorders>
            <w:noWrap w:val="0"/>
            <w:vAlign w:val="top"/>
          </w:tcPr>
          <w:p w14:paraId="623EF775">
            <w:pPr>
              <w:adjustRightInd w:val="0"/>
              <w:snapToGrid w:val="0"/>
              <w:ind w:firstLine="84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内容</w:t>
            </w:r>
          </w:p>
          <w:p w14:paraId="64D08E59">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要素</w:t>
            </w:r>
          </w:p>
        </w:tc>
        <w:tc>
          <w:tcPr>
            <w:tcW w:w="1282" w:type="dxa"/>
            <w:noWrap w:val="0"/>
            <w:vAlign w:val="center"/>
          </w:tcPr>
          <w:p w14:paraId="7080D71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排放口(编号、名称)/污染源</w:t>
            </w:r>
          </w:p>
        </w:tc>
        <w:tc>
          <w:tcPr>
            <w:tcW w:w="1470" w:type="dxa"/>
            <w:noWrap w:val="0"/>
            <w:vAlign w:val="center"/>
          </w:tcPr>
          <w:p w14:paraId="441968C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污染物项目</w:t>
            </w:r>
          </w:p>
        </w:tc>
        <w:tc>
          <w:tcPr>
            <w:tcW w:w="2010" w:type="dxa"/>
            <w:noWrap w:val="0"/>
            <w:vAlign w:val="center"/>
          </w:tcPr>
          <w:p w14:paraId="2082FB2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环境保护措施</w:t>
            </w:r>
          </w:p>
        </w:tc>
        <w:tc>
          <w:tcPr>
            <w:tcW w:w="2500" w:type="dxa"/>
            <w:noWrap w:val="0"/>
            <w:vAlign w:val="center"/>
          </w:tcPr>
          <w:p w14:paraId="5D7D2AB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执行标准</w:t>
            </w:r>
          </w:p>
        </w:tc>
      </w:tr>
      <w:tr w14:paraId="4825F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538" w:type="dxa"/>
            <w:vMerge w:val="restart"/>
            <w:noWrap w:val="0"/>
            <w:vAlign w:val="center"/>
          </w:tcPr>
          <w:p w14:paraId="36F4AC85">
            <w:pPr>
              <w:adjustRightInd w:val="0"/>
              <w:snapToGrid w:val="0"/>
              <w:jc w:val="center"/>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大气环境</w:t>
            </w:r>
          </w:p>
        </w:tc>
        <w:tc>
          <w:tcPr>
            <w:tcW w:w="1282" w:type="dxa"/>
            <w:noWrap w:val="0"/>
            <w:vAlign w:val="center"/>
          </w:tcPr>
          <w:p w14:paraId="32A21B9C">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沼气进料、预混</w:t>
            </w:r>
          </w:p>
        </w:tc>
        <w:tc>
          <w:tcPr>
            <w:tcW w:w="1470" w:type="dxa"/>
            <w:noWrap w:val="0"/>
            <w:vAlign w:val="center"/>
          </w:tcPr>
          <w:p w14:paraId="0B885CF8">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NH₃、H₂S</w:t>
            </w:r>
          </w:p>
        </w:tc>
        <w:tc>
          <w:tcPr>
            <w:tcW w:w="2010" w:type="dxa"/>
            <w:noWrap w:val="0"/>
            <w:vAlign w:val="center"/>
          </w:tcPr>
          <w:p w14:paraId="20F7C2B1">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雾化喷淋除臭剂+UV光催化氧化+15m高排气筒</w:t>
            </w:r>
            <w:r>
              <w:rPr>
                <w:rFonts w:hint="eastAsia" w:cs="Times New Roman"/>
                <w:color w:val="auto"/>
                <w:highlight w:val="none"/>
                <w:u w:val="none"/>
                <w:lang w:val="en-US" w:eastAsia="zh-CN"/>
              </w:rPr>
              <w:t>（DA001）</w:t>
            </w:r>
          </w:p>
        </w:tc>
        <w:tc>
          <w:tcPr>
            <w:tcW w:w="2500" w:type="dxa"/>
            <w:noWrap w:val="0"/>
            <w:vAlign w:val="center"/>
          </w:tcPr>
          <w:p w14:paraId="7D9A9248">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《恶臭污染物排放标准》(GB14554-93)中表2恶臭污染物排放标准值</w:t>
            </w:r>
          </w:p>
        </w:tc>
      </w:tr>
      <w:tr w14:paraId="336BD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538" w:type="dxa"/>
            <w:vMerge w:val="continue"/>
            <w:noWrap w:val="0"/>
            <w:vAlign w:val="center"/>
          </w:tcPr>
          <w:p w14:paraId="58B90CD3">
            <w:pPr>
              <w:adjustRightInd w:val="0"/>
              <w:snapToGrid w:val="0"/>
              <w:jc w:val="center"/>
              <w:rPr>
                <w:rFonts w:hint="default" w:ascii="Times New Roman" w:hAnsi="Times New Roman" w:cs="Times New Roman"/>
                <w:color w:val="auto"/>
                <w:highlight w:val="none"/>
                <w:u w:val="none"/>
                <w:lang w:eastAsia="zh-CN"/>
              </w:rPr>
            </w:pPr>
          </w:p>
        </w:tc>
        <w:tc>
          <w:tcPr>
            <w:tcW w:w="1282" w:type="dxa"/>
            <w:shd w:val="clear" w:color="auto" w:fill="auto"/>
            <w:noWrap w:val="0"/>
            <w:vAlign w:val="center"/>
          </w:tcPr>
          <w:p w14:paraId="7CB6F1FF">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沼液池</w:t>
            </w:r>
          </w:p>
        </w:tc>
        <w:tc>
          <w:tcPr>
            <w:tcW w:w="1470" w:type="dxa"/>
            <w:shd w:val="clear" w:color="auto" w:fill="auto"/>
            <w:noWrap w:val="0"/>
            <w:vAlign w:val="center"/>
          </w:tcPr>
          <w:p w14:paraId="7269EA30">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NH₃、H₂S</w:t>
            </w:r>
          </w:p>
        </w:tc>
        <w:tc>
          <w:tcPr>
            <w:tcW w:w="2010" w:type="dxa"/>
            <w:shd w:val="clear" w:color="auto" w:fill="auto"/>
            <w:noWrap w:val="0"/>
            <w:vAlign w:val="center"/>
          </w:tcPr>
          <w:p w14:paraId="290EC327">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喷洒纯天然植物提取液，加强厂区绿化，沼液池周围设置绿化带</w:t>
            </w:r>
          </w:p>
        </w:tc>
        <w:tc>
          <w:tcPr>
            <w:tcW w:w="2500" w:type="dxa"/>
            <w:shd w:val="clear" w:color="auto" w:fill="auto"/>
            <w:noWrap w:val="0"/>
            <w:vAlign w:val="center"/>
          </w:tcPr>
          <w:p w14:paraId="62886E11">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《恶臭污染物排放标准》(GB14554-93)中表1恶臭污染物厂界标准值</w:t>
            </w:r>
          </w:p>
        </w:tc>
      </w:tr>
      <w:tr w14:paraId="289CD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538" w:type="dxa"/>
            <w:vMerge w:val="continue"/>
            <w:noWrap w:val="0"/>
            <w:vAlign w:val="center"/>
          </w:tcPr>
          <w:p w14:paraId="58A4ADDC">
            <w:pPr>
              <w:adjustRightInd w:val="0"/>
              <w:snapToGrid w:val="0"/>
              <w:jc w:val="center"/>
              <w:rPr>
                <w:rFonts w:hint="default" w:ascii="Times New Roman" w:hAnsi="Times New Roman" w:cs="Times New Roman"/>
                <w:color w:val="auto"/>
                <w:highlight w:val="none"/>
                <w:u w:val="none"/>
                <w:lang w:eastAsia="zh-CN"/>
              </w:rPr>
            </w:pPr>
          </w:p>
        </w:tc>
        <w:tc>
          <w:tcPr>
            <w:tcW w:w="1282" w:type="dxa"/>
            <w:shd w:val="clear" w:color="auto" w:fill="auto"/>
            <w:noWrap w:val="0"/>
            <w:vAlign w:val="center"/>
          </w:tcPr>
          <w:p w14:paraId="007B7D05">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发电机组废气</w:t>
            </w:r>
          </w:p>
        </w:tc>
        <w:tc>
          <w:tcPr>
            <w:tcW w:w="1470" w:type="dxa"/>
            <w:shd w:val="clear" w:color="auto" w:fill="auto"/>
            <w:noWrap w:val="0"/>
            <w:vAlign w:val="center"/>
          </w:tcPr>
          <w:p w14:paraId="7A39E828">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颗粒物、SO₂、NOx</w:t>
            </w:r>
          </w:p>
        </w:tc>
        <w:tc>
          <w:tcPr>
            <w:tcW w:w="2010" w:type="dxa"/>
            <w:vMerge w:val="restart"/>
            <w:shd w:val="clear" w:color="auto" w:fill="auto"/>
            <w:noWrap w:val="0"/>
            <w:vAlign w:val="center"/>
          </w:tcPr>
          <w:p w14:paraId="73CCA3D7">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低氮燃烧器+8m高排气筒</w:t>
            </w:r>
            <w:r>
              <w:rPr>
                <w:rFonts w:hint="eastAsia" w:cs="Times New Roman"/>
                <w:color w:val="auto"/>
                <w:highlight w:val="none"/>
                <w:u w:val="none"/>
                <w:lang w:val="en-US" w:eastAsia="zh-CN"/>
              </w:rPr>
              <w:t>（DA003）</w:t>
            </w:r>
          </w:p>
        </w:tc>
        <w:tc>
          <w:tcPr>
            <w:tcW w:w="2500" w:type="dxa"/>
            <w:vMerge w:val="restart"/>
            <w:shd w:val="clear" w:color="auto" w:fill="auto"/>
            <w:noWrap w:val="0"/>
            <w:vAlign w:val="center"/>
          </w:tcPr>
          <w:p w14:paraId="06663CD7">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锅炉大气污染物排放标准》(GB13271-2014)表2燃气锅炉大气污染物排放限值</w:t>
            </w:r>
          </w:p>
        </w:tc>
      </w:tr>
      <w:tr w14:paraId="46537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538" w:type="dxa"/>
            <w:vMerge w:val="continue"/>
            <w:noWrap w:val="0"/>
            <w:vAlign w:val="center"/>
          </w:tcPr>
          <w:p w14:paraId="657E43FE">
            <w:pPr>
              <w:adjustRightInd w:val="0"/>
              <w:snapToGrid w:val="0"/>
              <w:jc w:val="center"/>
              <w:rPr>
                <w:rFonts w:hint="default" w:ascii="Times New Roman" w:hAnsi="Times New Roman" w:cs="Times New Roman"/>
                <w:color w:val="auto"/>
                <w:highlight w:val="none"/>
                <w:u w:val="none"/>
                <w:lang w:eastAsia="zh-CN"/>
              </w:rPr>
            </w:pPr>
          </w:p>
        </w:tc>
        <w:tc>
          <w:tcPr>
            <w:tcW w:w="1282" w:type="dxa"/>
            <w:shd w:val="clear" w:color="auto" w:fill="auto"/>
            <w:noWrap w:val="0"/>
            <w:vAlign w:val="center"/>
          </w:tcPr>
          <w:p w14:paraId="2B5C4A9C">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沼气锅炉废气</w:t>
            </w:r>
          </w:p>
        </w:tc>
        <w:tc>
          <w:tcPr>
            <w:tcW w:w="1470" w:type="dxa"/>
            <w:shd w:val="clear" w:color="auto" w:fill="auto"/>
            <w:noWrap w:val="0"/>
            <w:vAlign w:val="center"/>
          </w:tcPr>
          <w:p w14:paraId="04147B16">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颗粒物、SO₂、NOx</w:t>
            </w:r>
          </w:p>
        </w:tc>
        <w:tc>
          <w:tcPr>
            <w:tcW w:w="2010" w:type="dxa"/>
            <w:vMerge w:val="continue"/>
            <w:shd w:val="clear" w:color="auto" w:fill="auto"/>
            <w:noWrap w:val="0"/>
            <w:vAlign w:val="center"/>
          </w:tcPr>
          <w:p w14:paraId="6B555516">
            <w:pPr>
              <w:adjustRightInd w:val="0"/>
              <w:snapToGrid w:val="0"/>
              <w:jc w:val="center"/>
              <w:rPr>
                <w:rFonts w:hint="default" w:ascii="Times New Roman" w:hAnsi="Times New Roman" w:cs="Times New Roman"/>
                <w:color w:val="auto"/>
                <w:highlight w:val="none"/>
                <w:u w:val="none"/>
                <w:lang w:val="en-US" w:eastAsia="zh-CN"/>
              </w:rPr>
            </w:pPr>
          </w:p>
        </w:tc>
        <w:tc>
          <w:tcPr>
            <w:tcW w:w="2500" w:type="dxa"/>
            <w:vMerge w:val="continue"/>
            <w:shd w:val="clear" w:color="auto" w:fill="auto"/>
            <w:noWrap w:val="0"/>
            <w:vAlign w:val="center"/>
          </w:tcPr>
          <w:p w14:paraId="4A4EEF49">
            <w:pPr>
              <w:adjustRightInd w:val="0"/>
              <w:snapToGrid w:val="0"/>
              <w:jc w:val="center"/>
              <w:rPr>
                <w:rFonts w:hint="default" w:ascii="Times New Roman" w:hAnsi="Times New Roman" w:cs="Times New Roman"/>
                <w:color w:val="auto"/>
                <w:highlight w:val="none"/>
                <w:u w:val="none"/>
                <w:lang w:val="en-US" w:eastAsia="zh-CN"/>
              </w:rPr>
            </w:pPr>
          </w:p>
        </w:tc>
      </w:tr>
      <w:tr w14:paraId="6058B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538" w:type="dxa"/>
            <w:vMerge w:val="continue"/>
            <w:noWrap w:val="0"/>
            <w:vAlign w:val="center"/>
          </w:tcPr>
          <w:p w14:paraId="1F98F1D4">
            <w:pPr>
              <w:adjustRightInd w:val="0"/>
              <w:snapToGrid w:val="0"/>
              <w:jc w:val="center"/>
              <w:rPr>
                <w:rFonts w:hint="default" w:ascii="Times New Roman" w:hAnsi="Times New Roman" w:cs="Times New Roman"/>
                <w:color w:val="auto"/>
                <w:highlight w:val="none"/>
                <w:u w:val="none"/>
                <w:lang w:eastAsia="zh-CN"/>
              </w:rPr>
            </w:pPr>
          </w:p>
        </w:tc>
        <w:tc>
          <w:tcPr>
            <w:tcW w:w="1282" w:type="dxa"/>
            <w:noWrap w:val="0"/>
            <w:vAlign w:val="center"/>
          </w:tcPr>
          <w:p w14:paraId="1655FB87">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发酵过程</w:t>
            </w:r>
          </w:p>
        </w:tc>
        <w:tc>
          <w:tcPr>
            <w:tcW w:w="1470" w:type="dxa"/>
            <w:noWrap w:val="0"/>
            <w:vAlign w:val="center"/>
          </w:tcPr>
          <w:p w14:paraId="3A94CD18">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H₂S、NH₃、臭气浓度</w:t>
            </w:r>
          </w:p>
        </w:tc>
        <w:tc>
          <w:tcPr>
            <w:tcW w:w="2010" w:type="dxa"/>
            <w:noWrap w:val="0"/>
            <w:vAlign w:val="center"/>
          </w:tcPr>
          <w:p w14:paraId="43F090D4">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全封闭车间，喷洒微生物除臭剂，生物除臭装置(过滤法)+15m高排气筒</w:t>
            </w:r>
            <w:r>
              <w:rPr>
                <w:rFonts w:hint="eastAsia" w:cs="Times New Roman"/>
                <w:color w:val="auto"/>
                <w:highlight w:val="none"/>
                <w:u w:val="none"/>
                <w:lang w:val="en-US" w:eastAsia="zh-CN"/>
              </w:rPr>
              <w:t>（DA002）</w:t>
            </w:r>
          </w:p>
        </w:tc>
        <w:tc>
          <w:tcPr>
            <w:tcW w:w="2500" w:type="dxa"/>
            <w:noWrap w:val="0"/>
            <w:vAlign w:val="center"/>
          </w:tcPr>
          <w:p w14:paraId="1E2CB9AA">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《恶臭污染物排放标准》(GB14554-93)标准限值</w:t>
            </w:r>
          </w:p>
        </w:tc>
      </w:tr>
      <w:tr w14:paraId="144BD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1538" w:type="dxa"/>
            <w:vMerge w:val="continue"/>
            <w:noWrap w:val="0"/>
            <w:vAlign w:val="center"/>
          </w:tcPr>
          <w:p w14:paraId="2DEA2397">
            <w:pPr>
              <w:adjustRightInd w:val="0"/>
              <w:snapToGrid w:val="0"/>
              <w:jc w:val="center"/>
              <w:rPr>
                <w:rFonts w:hint="default" w:ascii="Times New Roman" w:hAnsi="Times New Roman" w:cs="Times New Roman"/>
                <w:color w:val="auto"/>
                <w:highlight w:val="none"/>
                <w:u w:val="none"/>
                <w:lang w:eastAsia="zh-CN"/>
              </w:rPr>
            </w:pPr>
          </w:p>
        </w:tc>
        <w:tc>
          <w:tcPr>
            <w:tcW w:w="1282" w:type="dxa"/>
            <w:noWrap w:val="0"/>
            <w:vAlign w:val="center"/>
          </w:tcPr>
          <w:p w14:paraId="5EEF4794">
            <w:pPr>
              <w:adjustRightInd w:val="0"/>
              <w:snapToGrid w:val="0"/>
              <w:jc w:val="center"/>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无组织粉尘</w:t>
            </w:r>
          </w:p>
        </w:tc>
        <w:tc>
          <w:tcPr>
            <w:tcW w:w="1470" w:type="dxa"/>
            <w:noWrap w:val="0"/>
            <w:vAlign w:val="center"/>
          </w:tcPr>
          <w:p w14:paraId="77FCA2AB">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w:t>
            </w:r>
          </w:p>
        </w:tc>
        <w:tc>
          <w:tcPr>
            <w:tcW w:w="2010" w:type="dxa"/>
            <w:noWrap w:val="0"/>
            <w:vAlign w:val="center"/>
          </w:tcPr>
          <w:p w14:paraId="2250AE78">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全封闭车间，</w:t>
            </w:r>
            <w:r>
              <w:rPr>
                <w:rFonts w:hint="eastAsia" w:cs="Times New Roman"/>
                <w:color w:val="auto"/>
                <w:highlight w:val="none"/>
                <w:u w:val="none"/>
                <w:lang w:val="en-US" w:eastAsia="zh-CN"/>
              </w:rPr>
              <w:t>车间外输送皮带廊道封闭，厂界西侧设置2.5m高防尘网</w:t>
            </w:r>
          </w:p>
        </w:tc>
        <w:tc>
          <w:tcPr>
            <w:tcW w:w="2500" w:type="dxa"/>
            <w:noWrap w:val="0"/>
            <w:vAlign w:val="center"/>
          </w:tcPr>
          <w:p w14:paraId="1B4B97DD">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《大气污染物综合排放标准》(GB16297-1996)排放标准限值</w:t>
            </w:r>
          </w:p>
        </w:tc>
      </w:tr>
      <w:tr w14:paraId="29526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538" w:type="dxa"/>
            <w:vMerge w:val="continue"/>
            <w:noWrap w:val="0"/>
            <w:vAlign w:val="center"/>
          </w:tcPr>
          <w:p w14:paraId="07888C02">
            <w:pPr>
              <w:adjustRightInd w:val="0"/>
              <w:snapToGrid w:val="0"/>
              <w:jc w:val="center"/>
              <w:rPr>
                <w:rFonts w:hint="default" w:ascii="Times New Roman" w:hAnsi="Times New Roman" w:cs="Times New Roman"/>
                <w:color w:val="auto"/>
                <w:highlight w:val="none"/>
                <w:u w:val="none"/>
                <w:lang w:eastAsia="zh-CN"/>
              </w:rPr>
            </w:pPr>
          </w:p>
        </w:tc>
        <w:tc>
          <w:tcPr>
            <w:tcW w:w="1282" w:type="dxa"/>
            <w:noWrap w:val="0"/>
            <w:vAlign w:val="center"/>
          </w:tcPr>
          <w:p w14:paraId="2F74280B">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烘干、冷却</w:t>
            </w:r>
          </w:p>
        </w:tc>
        <w:tc>
          <w:tcPr>
            <w:tcW w:w="1470" w:type="dxa"/>
            <w:noWrap w:val="0"/>
            <w:vAlign w:val="center"/>
          </w:tcPr>
          <w:p w14:paraId="7B1F260B">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颗粒物、SO₂、NOx、少量臭气</w:t>
            </w:r>
          </w:p>
        </w:tc>
        <w:tc>
          <w:tcPr>
            <w:tcW w:w="2010" w:type="dxa"/>
            <w:noWrap w:val="0"/>
            <w:vAlign w:val="center"/>
          </w:tcPr>
          <w:p w14:paraId="71347A1F">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引风机+迷宫式重力除尘室+水洗涤喷淋塔</w:t>
            </w:r>
            <w:r>
              <w:rPr>
                <w:rFonts w:hint="eastAsia" w:cs="Times New Roman"/>
                <w:color w:val="auto"/>
                <w:highlight w:val="none"/>
                <w:u w:val="none"/>
                <w:lang w:val="en-US" w:eastAsia="zh-CN"/>
              </w:rPr>
              <w:t>+15m排气筒（DA004）</w:t>
            </w:r>
          </w:p>
        </w:tc>
        <w:tc>
          <w:tcPr>
            <w:tcW w:w="2500" w:type="dxa"/>
            <w:noWrap w:val="0"/>
            <w:vAlign w:val="center"/>
          </w:tcPr>
          <w:p w14:paraId="1A2C7D7D">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《工业炉窑大气污染物排放标准》GB9078-1996</w:t>
            </w:r>
          </w:p>
        </w:tc>
      </w:tr>
      <w:tr w14:paraId="711EA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538" w:type="dxa"/>
            <w:vMerge w:val="restart"/>
            <w:noWrap w:val="0"/>
            <w:vAlign w:val="center"/>
          </w:tcPr>
          <w:p w14:paraId="131D8D0B">
            <w:pPr>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地表水环境</w:t>
            </w:r>
          </w:p>
        </w:tc>
        <w:tc>
          <w:tcPr>
            <w:tcW w:w="1282" w:type="dxa"/>
            <w:noWrap w:val="0"/>
            <w:vAlign w:val="center"/>
          </w:tcPr>
          <w:p w14:paraId="5B85151A">
            <w:pPr>
              <w:jc w:val="center"/>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kern w:val="0"/>
                <w:highlight w:val="none"/>
                <w:u w:val="none"/>
              </w:rPr>
              <w:t>生活污水</w:t>
            </w:r>
          </w:p>
        </w:tc>
        <w:tc>
          <w:tcPr>
            <w:tcW w:w="1470" w:type="dxa"/>
            <w:noWrap w:val="0"/>
            <w:vAlign w:val="center"/>
          </w:tcPr>
          <w:p w14:paraId="57E7286C">
            <w:pPr>
              <w:widowControl/>
              <w:jc w:val="center"/>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kern w:val="0"/>
                <w:highlight w:val="none"/>
                <w:u w:val="none"/>
              </w:rPr>
              <w:t>CODcr</w:t>
            </w:r>
            <w:r>
              <w:rPr>
                <w:rFonts w:hint="default" w:ascii="Times New Roman" w:hAnsi="Times New Roman" w:cs="Times New Roman"/>
                <w:color w:val="auto"/>
                <w:kern w:val="0"/>
                <w:highlight w:val="none"/>
                <w:u w:val="none"/>
                <w:lang w:eastAsia="zh-CN"/>
              </w:rPr>
              <w:t>、</w:t>
            </w:r>
            <w:r>
              <w:rPr>
                <w:rFonts w:hint="default" w:ascii="Times New Roman" w:hAnsi="Times New Roman" w:cs="Times New Roman"/>
                <w:color w:val="auto"/>
                <w:kern w:val="0"/>
                <w:highlight w:val="none"/>
                <w:u w:val="none"/>
              </w:rPr>
              <w:t>BOD</w:t>
            </w:r>
            <w:r>
              <w:rPr>
                <w:rFonts w:hint="default" w:ascii="Times New Roman" w:hAnsi="Times New Roman" w:cs="Times New Roman"/>
                <w:color w:val="auto"/>
                <w:kern w:val="0"/>
                <w:highlight w:val="none"/>
                <w:u w:val="none"/>
                <w:vertAlign w:val="subscript"/>
              </w:rPr>
              <w:t>5</w:t>
            </w:r>
            <w:r>
              <w:rPr>
                <w:rFonts w:hint="default" w:ascii="Times New Roman" w:hAnsi="Times New Roman" w:cs="Times New Roman"/>
                <w:color w:val="auto"/>
                <w:kern w:val="0"/>
                <w:highlight w:val="none"/>
                <w:u w:val="none"/>
                <w:vertAlign w:val="baseline"/>
                <w:lang w:eastAsia="zh-CN"/>
              </w:rPr>
              <w:t>、</w:t>
            </w:r>
            <w:r>
              <w:rPr>
                <w:rFonts w:hint="default" w:ascii="Times New Roman" w:hAnsi="Times New Roman" w:cs="Times New Roman"/>
                <w:color w:val="auto"/>
                <w:kern w:val="0"/>
                <w:highlight w:val="none"/>
                <w:u w:val="none"/>
              </w:rPr>
              <w:t>SS</w:t>
            </w:r>
            <w:r>
              <w:rPr>
                <w:rFonts w:hint="eastAsia" w:cs="Times New Roman"/>
                <w:color w:val="auto"/>
                <w:kern w:val="0"/>
                <w:highlight w:val="none"/>
                <w:u w:val="none"/>
                <w:lang w:eastAsia="zh-CN"/>
              </w:rPr>
              <w:t>、</w:t>
            </w:r>
            <w:r>
              <w:rPr>
                <w:rFonts w:hint="default" w:ascii="Times New Roman" w:hAnsi="Times New Roman" w:cs="Times New Roman"/>
                <w:color w:val="auto"/>
                <w:kern w:val="0"/>
                <w:highlight w:val="none"/>
                <w:u w:val="none"/>
              </w:rPr>
              <w:t>氨氮</w:t>
            </w:r>
            <w:r>
              <w:rPr>
                <w:rFonts w:hint="default" w:ascii="Times New Roman" w:hAnsi="Times New Roman" w:cs="Times New Roman"/>
                <w:color w:val="auto"/>
                <w:kern w:val="0"/>
                <w:highlight w:val="none"/>
                <w:u w:val="none"/>
                <w:lang w:eastAsia="zh-CN"/>
              </w:rPr>
              <w:t>、</w:t>
            </w:r>
            <w:r>
              <w:rPr>
                <w:rFonts w:hint="default" w:ascii="Times New Roman" w:hAnsi="Times New Roman" w:cs="Times New Roman"/>
                <w:color w:val="auto"/>
                <w:kern w:val="0"/>
                <w:highlight w:val="none"/>
                <w:u w:val="none"/>
              </w:rPr>
              <w:t>动植物油</w:t>
            </w:r>
          </w:p>
        </w:tc>
        <w:tc>
          <w:tcPr>
            <w:tcW w:w="2010" w:type="dxa"/>
            <w:noWrap w:val="0"/>
            <w:vAlign w:val="center"/>
          </w:tcPr>
          <w:p w14:paraId="64088213">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highlight w:val="none"/>
                <w:u w:val="none"/>
                <w:lang w:val="en-US" w:eastAsia="zh-CN"/>
              </w:rPr>
              <w:t>化粪池+</w:t>
            </w:r>
            <w:r>
              <w:rPr>
                <w:rFonts w:hint="default" w:ascii="Times New Roman" w:hAnsi="Times New Roman" w:cs="Times New Roman"/>
                <w:color w:val="auto"/>
                <w:highlight w:val="none"/>
                <w:u w:val="none"/>
                <w:lang w:val="en-US" w:eastAsia="zh-CN"/>
              </w:rPr>
              <w:t>进入厌氧发酵</w:t>
            </w:r>
          </w:p>
        </w:tc>
        <w:tc>
          <w:tcPr>
            <w:tcW w:w="2500" w:type="dxa"/>
            <w:noWrap w:val="0"/>
            <w:vAlign w:val="center"/>
          </w:tcPr>
          <w:p w14:paraId="5E34A1C1">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highlight w:val="none"/>
                <w:u w:val="none"/>
                <w:lang w:val="en-US" w:eastAsia="zh-CN"/>
              </w:rPr>
              <w:t>不外排</w:t>
            </w:r>
          </w:p>
        </w:tc>
      </w:tr>
      <w:tr w14:paraId="1CC40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538" w:type="dxa"/>
            <w:vMerge w:val="continue"/>
            <w:noWrap w:val="0"/>
            <w:vAlign w:val="center"/>
          </w:tcPr>
          <w:p w14:paraId="572E3FA8">
            <w:pPr>
              <w:jc w:val="center"/>
              <w:rPr>
                <w:rFonts w:hint="default" w:ascii="Times New Roman" w:hAnsi="Times New Roman" w:eastAsia="宋体" w:cs="Times New Roman"/>
                <w:color w:val="auto"/>
                <w:highlight w:val="none"/>
                <w:u w:val="none"/>
                <w:lang w:eastAsia="zh-CN"/>
              </w:rPr>
            </w:pPr>
          </w:p>
        </w:tc>
        <w:tc>
          <w:tcPr>
            <w:tcW w:w="1282" w:type="dxa"/>
            <w:noWrap w:val="0"/>
            <w:vAlign w:val="center"/>
          </w:tcPr>
          <w:p w14:paraId="028FD01A">
            <w:pPr>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软化水</w:t>
            </w:r>
          </w:p>
        </w:tc>
        <w:tc>
          <w:tcPr>
            <w:tcW w:w="1470" w:type="dxa"/>
            <w:noWrap w:val="0"/>
            <w:vAlign w:val="center"/>
          </w:tcPr>
          <w:p w14:paraId="1A01B26D">
            <w:pPr>
              <w:widowControl/>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盐</w:t>
            </w:r>
          </w:p>
        </w:tc>
        <w:tc>
          <w:tcPr>
            <w:tcW w:w="2010" w:type="dxa"/>
            <w:noWrap w:val="0"/>
            <w:vAlign w:val="center"/>
          </w:tcPr>
          <w:p w14:paraId="7BE21946">
            <w:pPr>
              <w:adjustRightInd w:val="0"/>
              <w:snapToGrid w:val="0"/>
              <w:jc w:val="center"/>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生物质锅炉</w:t>
            </w:r>
            <w:r>
              <w:rPr>
                <w:rFonts w:hint="default" w:ascii="Times New Roman" w:hAnsi="Times New Roman" w:cs="Times New Roman"/>
                <w:color w:val="auto"/>
                <w:highlight w:val="none"/>
                <w:u w:val="none"/>
                <w:lang w:val="en-US" w:eastAsia="zh-CN"/>
              </w:rPr>
              <w:t>除尘系统</w:t>
            </w:r>
            <w:r>
              <w:rPr>
                <w:rFonts w:hint="eastAsia" w:cs="Times New Roman"/>
                <w:color w:val="auto"/>
                <w:highlight w:val="none"/>
                <w:u w:val="none"/>
                <w:lang w:val="en-US" w:eastAsia="zh-CN"/>
              </w:rPr>
              <w:t>补水</w:t>
            </w:r>
          </w:p>
        </w:tc>
        <w:tc>
          <w:tcPr>
            <w:tcW w:w="2500" w:type="dxa"/>
            <w:noWrap w:val="0"/>
            <w:vAlign w:val="center"/>
          </w:tcPr>
          <w:p w14:paraId="0357D125">
            <w:pPr>
              <w:adjustRightInd w:val="0"/>
              <w:snapToGrid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不外排</w:t>
            </w:r>
          </w:p>
        </w:tc>
      </w:tr>
      <w:tr w14:paraId="43082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38" w:type="dxa"/>
            <w:vMerge w:val="continue"/>
            <w:noWrap w:val="0"/>
            <w:vAlign w:val="center"/>
          </w:tcPr>
          <w:p w14:paraId="189D206C">
            <w:pPr>
              <w:jc w:val="center"/>
              <w:rPr>
                <w:rFonts w:hint="default" w:ascii="Times New Roman" w:hAnsi="Times New Roman" w:eastAsia="宋体" w:cs="Times New Roman"/>
                <w:color w:val="auto"/>
                <w:highlight w:val="none"/>
                <w:u w:val="none"/>
                <w:lang w:eastAsia="zh-CN"/>
              </w:rPr>
            </w:pPr>
          </w:p>
        </w:tc>
        <w:tc>
          <w:tcPr>
            <w:tcW w:w="1282" w:type="dxa"/>
            <w:noWrap w:val="0"/>
            <w:vAlign w:val="center"/>
          </w:tcPr>
          <w:p w14:paraId="1961305C">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highlight w:val="none"/>
                <w:u w:val="none"/>
                <w:lang w:val="en-US" w:eastAsia="zh-CN"/>
              </w:rPr>
              <w:t>生产废水</w:t>
            </w:r>
          </w:p>
        </w:tc>
        <w:tc>
          <w:tcPr>
            <w:tcW w:w="1470" w:type="dxa"/>
            <w:noWrap w:val="0"/>
            <w:vAlign w:val="center"/>
          </w:tcPr>
          <w:p w14:paraId="18588040">
            <w:pPr>
              <w:widowControl/>
              <w:jc w:val="center"/>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kern w:val="0"/>
                <w:highlight w:val="none"/>
                <w:u w:val="none"/>
              </w:rPr>
              <w:t>CODcr</w:t>
            </w:r>
            <w:r>
              <w:rPr>
                <w:rFonts w:hint="default" w:ascii="Times New Roman" w:hAnsi="Times New Roman" w:cs="Times New Roman"/>
                <w:color w:val="auto"/>
                <w:kern w:val="0"/>
                <w:highlight w:val="none"/>
                <w:u w:val="none"/>
                <w:lang w:eastAsia="zh-CN"/>
              </w:rPr>
              <w:t>、</w:t>
            </w:r>
            <w:r>
              <w:rPr>
                <w:rFonts w:hint="default" w:ascii="Times New Roman" w:hAnsi="Times New Roman" w:cs="Times New Roman"/>
                <w:color w:val="auto"/>
                <w:kern w:val="0"/>
                <w:highlight w:val="none"/>
                <w:u w:val="none"/>
              </w:rPr>
              <w:t>BOD</w:t>
            </w:r>
            <w:r>
              <w:rPr>
                <w:rFonts w:hint="default" w:ascii="Times New Roman" w:hAnsi="Times New Roman" w:cs="Times New Roman"/>
                <w:color w:val="auto"/>
                <w:kern w:val="0"/>
                <w:highlight w:val="none"/>
                <w:u w:val="none"/>
                <w:vertAlign w:val="subscript"/>
              </w:rPr>
              <w:t>5</w:t>
            </w:r>
            <w:r>
              <w:rPr>
                <w:rFonts w:hint="default" w:ascii="Times New Roman" w:hAnsi="Times New Roman" w:cs="Times New Roman"/>
                <w:color w:val="auto"/>
                <w:kern w:val="0"/>
                <w:highlight w:val="none"/>
                <w:u w:val="none"/>
                <w:vertAlign w:val="baseline"/>
                <w:lang w:eastAsia="zh-CN"/>
              </w:rPr>
              <w:t>、</w:t>
            </w:r>
            <w:r>
              <w:rPr>
                <w:rFonts w:hint="default" w:ascii="Times New Roman" w:hAnsi="Times New Roman" w:cs="Times New Roman"/>
                <w:color w:val="auto"/>
                <w:kern w:val="0"/>
                <w:highlight w:val="none"/>
                <w:u w:val="none"/>
              </w:rPr>
              <w:t>SS</w:t>
            </w:r>
          </w:p>
          <w:p w14:paraId="074C5F2C">
            <w:pPr>
              <w:widowControl/>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氨氮</w:t>
            </w:r>
          </w:p>
        </w:tc>
        <w:tc>
          <w:tcPr>
            <w:tcW w:w="2010" w:type="dxa"/>
            <w:shd w:val="clear" w:color="auto" w:fill="auto"/>
            <w:noWrap w:val="0"/>
            <w:vAlign w:val="center"/>
          </w:tcPr>
          <w:p w14:paraId="7EE2B072">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highlight w:val="none"/>
                <w:u w:val="none"/>
                <w:lang w:val="en-US" w:eastAsia="zh-CN"/>
              </w:rPr>
              <w:t>进入厌氧发酵</w:t>
            </w:r>
          </w:p>
        </w:tc>
        <w:tc>
          <w:tcPr>
            <w:tcW w:w="2500" w:type="dxa"/>
            <w:shd w:val="clear" w:color="auto" w:fill="auto"/>
            <w:noWrap w:val="0"/>
            <w:vAlign w:val="center"/>
          </w:tcPr>
          <w:p w14:paraId="272F5CBD">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highlight w:val="none"/>
                <w:u w:val="none"/>
                <w:lang w:val="en-US" w:eastAsia="zh-CN"/>
              </w:rPr>
              <w:t>不外排</w:t>
            </w:r>
          </w:p>
        </w:tc>
      </w:tr>
      <w:tr w14:paraId="22426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noWrap w:val="0"/>
            <w:vAlign w:val="center"/>
          </w:tcPr>
          <w:p w14:paraId="6FAD347B">
            <w:pPr>
              <w:adjustRightInd w:val="0"/>
              <w:snapToGrid w:val="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声环境</w:t>
            </w:r>
          </w:p>
        </w:tc>
        <w:tc>
          <w:tcPr>
            <w:tcW w:w="1282" w:type="dxa"/>
            <w:noWrap w:val="0"/>
            <w:vAlign w:val="center"/>
          </w:tcPr>
          <w:p w14:paraId="56225BC9">
            <w:pPr>
              <w:adjustRightInd w:val="0"/>
              <w:snapToGrid w:val="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设备噪声</w:t>
            </w:r>
          </w:p>
        </w:tc>
        <w:tc>
          <w:tcPr>
            <w:tcW w:w="1470" w:type="dxa"/>
            <w:noWrap w:val="0"/>
            <w:vAlign w:val="center"/>
          </w:tcPr>
          <w:p w14:paraId="6FC463EB">
            <w:pPr>
              <w:adjustRightInd w:val="0"/>
              <w:snapToGrid w:val="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声功率级</w:t>
            </w:r>
          </w:p>
        </w:tc>
        <w:tc>
          <w:tcPr>
            <w:tcW w:w="2010" w:type="dxa"/>
            <w:noWrap w:val="0"/>
            <w:vAlign w:val="center"/>
          </w:tcPr>
          <w:p w14:paraId="7C844B1E">
            <w:pPr>
              <w:adjustRightInd w:val="0"/>
              <w:snapToGrid w:val="0"/>
              <w:jc w:val="center"/>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选用低噪声设备，</w:t>
            </w:r>
            <w:r>
              <w:rPr>
                <w:rFonts w:hint="default" w:ascii="Times New Roman" w:hAnsi="Times New Roman" w:eastAsia="宋体" w:cs="Times New Roman"/>
                <w:color w:val="auto"/>
                <w:highlight w:val="none"/>
                <w:u w:val="none"/>
                <w:lang w:eastAsia="zh-CN"/>
              </w:rPr>
              <w:t>加装减震垫降噪措施</w:t>
            </w:r>
          </w:p>
        </w:tc>
        <w:tc>
          <w:tcPr>
            <w:tcW w:w="2500" w:type="dxa"/>
            <w:noWrap w:val="0"/>
            <w:vAlign w:val="center"/>
          </w:tcPr>
          <w:p w14:paraId="3BBE4D7E">
            <w:pPr>
              <w:adjustRightInd w:val="0"/>
              <w:snapToGrid w:val="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《工业企业厂界环境噪声排放标准》（GB12348-2008）中</w:t>
            </w:r>
            <w:r>
              <w:rPr>
                <w:rFonts w:hint="default" w:ascii="Times New Roman" w:hAnsi="Times New Roman" w:cs="Times New Roman"/>
                <w:color w:val="auto"/>
                <w:highlight w:val="none"/>
                <w:u w:val="none"/>
                <w:lang w:val="en-US" w:eastAsia="zh-CN"/>
              </w:rPr>
              <w:t>2</w:t>
            </w:r>
            <w:r>
              <w:rPr>
                <w:rFonts w:hint="default" w:ascii="Times New Roman" w:hAnsi="Times New Roman" w:eastAsia="宋体" w:cs="Times New Roman"/>
                <w:color w:val="auto"/>
                <w:highlight w:val="none"/>
                <w:u w:val="none"/>
                <w:lang w:eastAsia="zh-CN"/>
              </w:rPr>
              <w:t>类标准</w:t>
            </w:r>
          </w:p>
        </w:tc>
      </w:tr>
      <w:tr w14:paraId="12DEA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noWrap w:val="0"/>
            <w:vAlign w:val="center"/>
          </w:tcPr>
          <w:p w14:paraId="258FCDDB">
            <w:pPr>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电磁辐射</w:t>
            </w:r>
          </w:p>
        </w:tc>
        <w:tc>
          <w:tcPr>
            <w:tcW w:w="1282" w:type="dxa"/>
            <w:noWrap w:val="0"/>
            <w:vAlign w:val="center"/>
          </w:tcPr>
          <w:p w14:paraId="1B7083D8">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p>
        </w:tc>
        <w:tc>
          <w:tcPr>
            <w:tcW w:w="1470" w:type="dxa"/>
            <w:noWrap w:val="0"/>
            <w:vAlign w:val="center"/>
          </w:tcPr>
          <w:p w14:paraId="5517A8A3">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p>
        </w:tc>
        <w:tc>
          <w:tcPr>
            <w:tcW w:w="2010" w:type="dxa"/>
            <w:noWrap w:val="0"/>
            <w:vAlign w:val="center"/>
          </w:tcPr>
          <w:p w14:paraId="45DD4ADA">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p>
        </w:tc>
        <w:tc>
          <w:tcPr>
            <w:tcW w:w="2500" w:type="dxa"/>
            <w:noWrap w:val="0"/>
            <w:vAlign w:val="center"/>
          </w:tcPr>
          <w:p w14:paraId="69C579C2">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p>
        </w:tc>
      </w:tr>
      <w:tr w14:paraId="0D026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8" w:type="dxa"/>
            <w:vMerge w:val="restart"/>
            <w:noWrap w:val="0"/>
            <w:vAlign w:val="center"/>
          </w:tcPr>
          <w:p w14:paraId="49524613">
            <w:pPr>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固体废物</w:t>
            </w:r>
          </w:p>
        </w:tc>
        <w:tc>
          <w:tcPr>
            <w:tcW w:w="1282" w:type="dxa"/>
            <w:noWrap w:val="0"/>
            <w:vAlign w:val="center"/>
          </w:tcPr>
          <w:p w14:paraId="5874ADF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分离废料</w:t>
            </w:r>
          </w:p>
        </w:tc>
        <w:tc>
          <w:tcPr>
            <w:tcW w:w="1470" w:type="dxa"/>
            <w:noWrap w:val="0"/>
            <w:vAlign w:val="center"/>
          </w:tcPr>
          <w:p w14:paraId="0602335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塑料、纸张等</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轻物质</w:t>
            </w:r>
          </w:p>
        </w:tc>
        <w:tc>
          <w:tcPr>
            <w:tcW w:w="2010" w:type="dxa"/>
            <w:noWrap w:val="0"/>
            <w:vAlign w:val="center"/>
          </w:tcPr>
          <w:p w14:paraId="3F0F4D7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spacing w:val="-10"/>
                <w:highlight w:val="none"/>
                <w:u w:val="none"/>
                <w:lang w:val="en-US" w:eastAsia="zh-CN"/>
              </w:rPr>
            </w:pPr>
            <w:r>
              <w:rPr>
                <w:rFonts w:hint="eastAsia" w:ascii="Times New Roman" w:cs="Times New Roman"/>
                <w:color w:val="auto"/>
                <w:spacing w:val="-10"/>
                <w:highlight w:val="none"/>
                <w:u w:val="none"/>
                <w:lang w:val="en-US" w:eastAsia="zh-CN"/>
              </w:rPr>
              <w:t>综合利用，其余与生活垃圾一同处理</w:t>
            </w:r>
          </w:p>
        </w:tc>
        <w:tc>
          <w:tcPr>
            <w:tcW w:w="2500" w:type="dxa"/>
            <w:vMerge w:val="restart"/>
            <w:noWrap w:val="0"/>
            <w:vAlign w:val="center"/>
          </w:tcPr>
          <w:p w14:paraId="31DC91F2">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《一般工业固体废物贮存和填埋污染控制标准》（GB18599-2020）</w:t>
            </w:r>
          </w:p>
          <w:p w14:paraId="2EEC1D2C">
            <w:pPr>
              <w:jc w:val="center"/>
              <w:rPr>
                <w:rFonts w:hint="default" w:ascii="Times New Roman" w:hAnsi="Times New Roman"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《危险废物贮存污染控制标准》（GB18597-2023）</w:t>
            </w:r>
          </w:p>
        </w:tc>
      </w:tr>
      <w:tr w14:paraId="5C58C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538" w:type="dxa"/>
            <w:vMerge w:val="continue"/>
            <w:noWrap w:val="0"/>
            <w:vAlign w:val="center"/>
          </w:tcPr>
          <w:p w14:paraId="369E4003">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65A464B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废砂石</w:t>
            </w:r>
          </w:p>
        </w:tc>
        <w:tc>
          <w:tcPr>
            <w:tcW w:w="1470" w:type="dxa"/>
            <w:noWrap w:val="0"/>
            <w:vAlign w:val="center"/>
          </w:tcPr>
          <w:p w14:paraId="7F5092D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废砂石颗粒</w:t>
            </w:r>
          </w:p>
        </w:tc>
        <w:tc>
          <w:tcPr>
            <w:tcW w:w="2010" w:type="dxa"/>
            <w:noWrap w:val="0"/>
            <w:vAlign w:val="center"/>
          </w:tcPr>
          <w:p w14:paraId="79BA0E7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4"/>
                <w:highlight w:val="none"/>
                <w:u w:val="none"/>
                <w:lang w:val="en-US" w:eastAsia="zh-CN" w:bidi="ar-SA"/>
              </w:rPr>
            </w:pPr>
            <w:r>
              <w:rPr>
                <w:rFonts w:hint="eastAsia" w:ascii="Times New Roman" w:cs="Times New Roman"/>
                <w:color w:val="auto"/>
                <w:kern w:val="0"/>
                <w:sz w:val="21"/>
                <w:szCs w:val="24"/>
                <w:highlight w:val="none"/>
                <w:u w:val="none"/>
                <w:lang w:val="en-US" w:eastAsia="zh-CN" w:bidi="ar-SA"/>
              </w:rPr>
              <w:t>指定地点处理</w:t>
            </w:r>
          </w:p>
        </w:tc>
        <w:tc>
          <w:tcPr>
            <w:tcW w:w="2500" w:type="dxa"/>
            <w:vMerge w:val="continue"/>
            <w:noWrap w:val="0"/>
            <w:vAlign w:val="center"/>
          </w:tcPr>
          <w:p w14:paraId="3DF6A6D8">
            <w:pPr>
              <w:jc w:val="center"/>
              <w:rPr>
                <w:rFonts w:hint="default" w:ascii="Times New Roman" w:hAnsi="Times New Roman" w:eastAsia="宋体" w:cs="Times New Roman"/>
                <w:color w:val="auto"/>
                <w:kern w:val="0"/>
                <w:sz w:val="21"/>
                <w:szCs w:val="24"/>
                <w:highlight w:val="none"/>
                <w:u w:val="none"/>
                <w:lang w:val="en-US" w:eastAsia="zh-CN" w:bidi="ar-SA"/>
              </w:rPr>
            </w:pPr>
          </w:p>
        </w:tc>
      </w:tr>
      <w:tr w14:paraId="24626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7E860560">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52422A2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废脱硫剂</w:t>
            </w:r>
          </w:p>
        </w:tc>
        <w:tc>
          <w:tcPr>
            <w:tcW w:w="1470" w:type="dxa"/>
            <w:noWrap w:val="0"/>
            <w:vAlign w:val="center"/>
          </w:tcPr>
          <w:p w14:paraId="32790B7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S、FeS、Fe</w:t>
            </w:r>
            <w:r>
              <w:rPr>
                <w:rFonts w:hint="default" w:ascii="Times New Roman" w:hAnsi="Times New Roman" w:cs="Times New Roman" w:eastAsiaTheme="minorEastAsia"/>
                <w:color w:val="auto"/>
                <w:sz w:val="21"/>
                <w:szCs w:val="21"/>
                <w:vertAlign w:val="subscript"/>
                <w:lang w:val="en-US" w:eastAsia="zh-CN"/>
              </w:rPr>
              <w:t>2</w:t>
            </w:r>
            <w:r>
              <w:rPr>
                <w:rFonts w:hint="default" w:ascii="Times New Roman" w:hAnsi="Times New Roman" w:cs="Times New Roman" w:eastAsiaTheme="minorEastAsia"/>
                <w:color w:val="auto"/>
                <w:sz w:val="21"/>
                <w:szCs w:val="21"/>
                <w:lang w:val="en-US" w:eastAsia="zh-CN"/>
              </w:rPr>
              <w:t>O₃、FeSO</w:t>
            </w:r>
            <w:r>
              <w:rPr>
                <w:rFonts w:hint="default" w:ascii="Times New Roman" w:hAnsi="Times New Roman" w:cs="Times New Roman" w:eastAsiaTheme="minorEastAsia"/>
                <w:color w:val="auto"/>
                <w:sz w:val="21"/>
                <w:szCs w:val="21"/>
                <w:vertAlign w:val="subscript"/>
                <w:lang w:val="en-US" w:eastAsia="zh-CN"/>
              </w:rPr>
              <w:t>4</w:t>
            </w:r>
          </w:p>
        </w:tc>
        <w:tc>
          <w:tcPr>
            <w:tcW w:w="2010" w:type="dxa"/>
            <w:noWrap w:val="0"/>
            <w:vAlign w:val="center"/>
          </w:tcPr>
          <w:p w14:paraId="536A02D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eastAsiaTheme="minorEastAsia"/>
                <w:color w:val="auto"/>
                <w:sz w:val="21"/>
                <w:szCs w:val="21"/>
                <w:lang w:val="en-US" w:eastAsia="zh-CN"/>
              </w:rPr>
              <w:t>由厂家回收处置</w:t>
            </w:r>
          </w:p>
        </w:tc>
        <w:tc>
          <w:tcPr>
            <w:tcW w:w="2500" w:type="dxa"/>
            <w:vMerge w:val="continue"/>
            <w:noWrap w:val="0"/>
            <w:vAlign w:val="center"/>
          </w:tcPr>
          <w:p w14:paraId="65EE32B7">
            <w:pPr>
              <w:adjustRightInd w:val="0"/>
              <w:snapToGrid w:val="0"/>
              <w:jc w:val="center"/>
              <w:rPr>
                <w:rFonts w:hint="default" w:ascii="Times New Roman" w:hAnsi="Times New Roman" w:eastAsia="宋体" w:cs="Times New Roman"/>
                <w:bCs/>
                <w:color w:val="auto"/>
                <w:sz w:val="24"/>
                <w:szCs w:val="24"/>
                <w:highlight w:val="none"/>
              </w:rPr>
            </w:pPr>
          </w:p>
        </w:tc>
      </w:tr>
      <w:tr w14:paraId="4088B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2CD07062">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109FB29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废机油</w:t>
            </w:r>
          </w:p>
        </w:tc>
        <w:tc>
          <w:tcPr>
            <w:tcW w:w="1470" w:type="dxa"/>
            <w:noWrap w:val="0"/>
            <w:vAlign w:val="center"/>
          </w:tcPr>
          <w:p w14:paraId="24FDC26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矿物油等</w:t>
            </w:r>
          </w:p>
        </w:tc>
        <w:tc>
          <w:tcPr>
            <w:tcW w:w="2010" w:type="dxa"/>
            <w:noWrap w:val="0"/>
            <w:vAlign w:val="center"/>
          </w:tcPr>
          <w:p w14:paraId="6A0F12A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eastAsiaTheme="minorEastAsia"/>
                <w:color w:val="auto"/>
                <w:sz w:val="21"/>
                <w:szCs w:val="21"/>
                <w:lang w:val="en-US" w:eastAsia="zh-CN"/>
              </w:rPr>
              <w:t>委托资质单位处置</w:t>
            </w:r>
          </w:p>
        </w:tc>
        <w:tc>
          <w:tcPr>
            <w:tcW w:w="2500" w:type="dxa"/>
            <w:vMerge w:val="continue"/>
            <w:noWrap w:val="0"/>
            <w:vAlign w:val="center"/>
          </w:tcPr>
          <w:p w14:paraId="1269F2AE">
            <w:pPr>
              <w:adjustRightInd w:val="0"/>
              <w:snapToGrid w:val="0"/>
              <w:jc w:val="center"/>
              <w:rPr>
                <w:rFonts w:hint="default" w:ascii="Times New Roman" w:hAnsi="Times New Roman" w:eastAsia="宋体" w:cs="Times New Roman"/>
                <w:bCs/>
                <w:color w:val="auto"/>
                <w:sz w:val="24"/>
                <w:szCs w:val="24"/>
                <w:highlight w:val="none"/>
              </w:rPr>
            </w:pPr>
          </w:p>
        </w:tc>
      </w:tr>
      <w:tr w14:paraId="666F1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4B834C55">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3541972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废滤材及废树脂</w:t>
            </w:r>
          </w:p>
        </w:tc>
        <w:tc>
          <w:tcPr>
            <w:tcW w:w="1470" w:type="dxa"/>
            <w:noWrap w:val="0"/>
            <w:vAlign w:val="center"/>
          </w:tcPr>
          <w:p w14:paraId="7C6CCC6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树脂等</w:t>
            </w:r>
          </w:p>
        </w:tc>
        <w:tc>
          <w:tcPr>
            <w:tcW w:w="2010" w:type="dxa"/>
            <w:noWrap w:val="0"/>
            <w:vAlign w:val="center"/>
          </w:tcPr>
          <w:p w14:paraId="3BB3335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eastAsiaTheme="minorEastAsia"/>
                <w:color w:val="auto"/>
                <w:sz w:val="21"/>
                <w:szCs w:val="21"/>
                <w:lang w:val="en-US" w:eastAsia="zh-CN"/>
              </w:rPr>
              <w:t>由更换厂家回收</w:t>
            </w:r>
          </w:p>
        </w:tc>
        <w:tc>
          <w:tcPr>
            <w:tcW w:w="2500" w:type="dxa"/>
            <w:vMerge w:val="continue"/>
            <w:noWrap w:val="0"/>
            <w:vAlign w:val="center"/>
          </w:tcPr>
          <w:p w14:paraId="0C2E452E">
            <w:pPr>
              <w:adjustRightInd w:val="0"/>
              <w:snapToGrid w:val="0"/>
              <w:jc w:val="center"/>
              <w:rPr>
                <w:rFonts w:hint="default" w:ascii="Times New Roman" w:hAnsi="Times New Roman" w:eastAsia="宋体" w:cs="Times New Roman"/>
                <w:bCs/>
                <w:color w:val="auto"/>
                <w:sz w:val="24"/>
                <w:szCs w:val="24"/>
                <w:highlight w:val="none"/>
              </w:rPr>
            </w:pPr>
          </w:p>
        </w:tc>
      </w:tr>
      <w:tr w14:paraId="6AD75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2FE48AF9">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22FABD0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废UV灯管</w:t>
            </w:r>
          </w:p>
        </w:tc>
        <w:tc>
          <w:tcPr>
            <w:tcW w:w="1470" w:type="dxa"/>
            <w:noWrap w:val="0"/>
            <w:vAlign w:val="center"/>
          </w:tcPr>
          <w:p w14:paraId="04A57F6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UV灯管</w:t>
            </w:r>
          </w:p>
        </w:tc>
        <w:tc>
          <w:tcPr>
            <w:tcW w:w="2010" w:type="dxa"/>
            <w:noWrap w:val="0"/>
            <w:vAlign w:val="center"/>
          </w:tcPr>
          <w:p w14:paraId="128DFB4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eastAsiaTheme="minorEastAsia"/>
                <w:color w:val="auto"/>
                <w:sz w:val="21"/>
                <w:szCs w:val="21"/>
                <w:lang w:val="en-US" w:eastAsia="zh-CN"/>
              </w:rPr>
              <w:t>委托资质单位处置</w:t>
            </w:r>
          </w:p>
        </w:tc>
        <w:tc>
          <w:tcPr>
            <w:tcW w:w="2500" w:type="dxa"/>
            <w:vMerge w:val="continue"/>
            <w:noWrap w:val="0"/>
            <w:vAlign w:val="center"/>
          </w:tcPr>
          <w:p w14:paraId="0857A8B7">
            <w:pPr>
              <w:adjustRightInd w:val="0"/>
              <w:snapToGrid w:val="0"/>
              <w:jc w:val="center"/>
              <w:rPr>
                <w:rFonts w:hint="default" w:ascii="Times New Roman" w:hAnsi="Times New Roman" w:eastAsia="宋体" w:cs="Times New Roman"/>
                <w:bCs/>
                <w:color w:val="auto"/>
                <w:sz w:val="24"/>
                <w:szCs w:val="24"/>
                <w:highlight w:val="none"/>
              </w:rPr>
            </w:pPr>
          </w:p>
        </w:tc>
      </w:tr>
      <w:tr w14:paraId="4661F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6E3EA62E">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5C56D75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检验室废液</w:t>
            </w:r>
          </w:p>
        </w:tc>
        <w:tc>
          <w:tcPr>
            <w:tcW w:w="1470" w:type="dxa"/>
            <w:noWrap w:val="0"/>
            <w:vAlign w:val="center"/>
          </w:tcPr>
          <w:p w14:paraId="4EE2DE8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酸碱等</w:t>
            </w:r>
          </w:p>
        </w:tc>
        <w:tc>
          <w:tcPr>
            <w:tcW w:w="2010" w:type="dxa"/>
            <w:noWrap w:val="0"/>
            <w:vAlign w:val="center"/>
          </w:tcPr>
          <w:p w14:paraId="1B0BFB9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eastAsiaTheme="minorEastAsia"/>
                <w:color w:val="auto"/>
                <w:sz w:val="21"/>
                <w:szCs w:val="21"/>
                <w:lang w:val="en-US" w:eastAsia="zh-CN"/>
              </w:rPr>
              <w:t>委托资质单位处置</w:t>
            </w:r>
          </w:p>
        </w:tc>
        <w:tc>
          <w:tcPr>
            <w:tcW w:w="2500" w:type="dxa"/>
            <w:vMerge w:val="continue"/>
            <w:noWrap w:val="0"/>
            <w:vAlign w:val="center"/>
          </w:tcPr>
          <w:p w14:paraId="11342D44">
            <w:pPr>
              <w:adjustRightInd w:val="0"/>
              <w:snapToGrid w:val="0"/>
              <w:jc w:val="center"/>
              <w:rPr>
                <w:rFonts w:hint="default" w:ascii="Times New Roman" w:hAnsi="Times New Roman" w:eastAsia="宋体" w:cs="Times New Roman"/>
                <w:bCs/>
                <w:color w:val="auto"/>
                <w:sz w:val="24"/>
                <w:szCs w:val="24"/>
                <w:highlight w:val="none"/>
              </w:rPr>
            </w:pPr>
          </w:p>
        </w:tc>
      </w:tr>
      <w:tr w14:paraId="32640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093863F9">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4F705E5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除尘灰</w:t>
            </w:r>
          </w:p>
        </w:tc>
        <w:tc>
          <w:tcPr>
            <w:tcW w:w="1470" w:type="dxa"/>
            <w:noWrap w:val="0"/>
            <w:vAlign w:val="center"/>
          </w:tcPr>
          <w:p w14:paraId="63F1CF9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粉尘</w:t>
            </w:r>
          </w:p>
        </w:tc>
        <w:tc>
          <w:tcPr>
            <w:tcW w:w="2010" w:type="dxa"/>
            <w:noWrap w:val="0"/>
            <w:vAlign w:val="center"/>
          </w:tcPr>
          <w:p w14:paraId="074A32C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spacing w:val="-10"/>
                <w:highlight w:val="none"/>
                <w:u w:val="none"/>
                <w:lang w:val="en-US" w:eastAsia="zh-CN"/>
              </w:rPr>
            </w:pPr>
            <w:r>
              <w:rPr>
                <w:rFonts w:hint="default" w:ascii="Times New Roman" w:hAnsi="Times New Roman" w:cs="Times New Roman" w:eastAsiaTheme="minorEastAsia"/>
                <w:color w:val="auto"/>
                <w:sz w:val="21"/>
                <w:szCs w:val="21"/>
                <w:lang w:val="en-US" w:eastAsia="zh-CN"/>
              </w:rPr>
              <w:t>回用有机肥原料</w:t>
            </w:r>
          </w:p>
        </w:tc>
        <w:tc>
          <w:tcPr>
            <w:tcW w:w="2500" w:type="dxa"/>
            <w:vMerge w:val="continue"/>
            <w:noWrap w:val="0"/>
            <w:vAlign w:val="center"/>
          </w:tcPr>
          <w:p w14:paraId="258DE906">
            <w:pPr>
              <w:adjustRightInd w:val="0"/>
              <w:snapToGrid w:val="0"/>
              <w:jc w:val="center"/>
              <w:rPr>
                <w:rFonts w:hint="default" w:ascii="Times New Roman" w:hAnsi="Times New Roman" w:eastAsia="宋体" w:cs="Times New Roman"/>
                <w:bCs/>
                <w:color w:val="auto"/>
                <w:sz w:val="24"/>
                <w:szCs w:val="24"/>
                <w:highlight w:val="none"/>
              </w:rPr>
            </w:pPr>
          </w:p>
        </w:tc>
      </w:tr>
      <w:tr w14:paraId="1F076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02816F28">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2CEBC00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eastAsiaTheme="minorEastAsia"/>
                <w:color w:val="auto"/>
                <w:sz w:val="21"/>
                <w:szCs w:val="21"/>
                <w:lang w:val="en-US" w:eastAsia="zh-CN"/>
              </w:rPr>
              <w:t>生物质燃烧灰</w:t>
            </w:r>
          </w:p>
        </w:tc>
        <w:tc>
          <w:tcPr>
            <w:tcW w:w="1470" w:type="dxa"/>
            <w:noWrap w:val="0"/>
            <w:vAlign w:val="center"/>
          </w:tcPr>
          <w:p w14:paraId="243C131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eastAsiaTheme="minorEastAsia"/>
                <w:color w:val="auto"/>
                <w:sz w:val="21"/>
                <w:szCs w:val="21"/>
                <w:lang w:val="en-US" w:eastAsia="zh-CN"/>
              </w:rPr>
              <w:t>废渣</w:t>
            </w:r>
          </w:p>
        </w:tc>
        <w:tc>
          <w:tcPr>
            <w:tcW w:w="2010" w:type="dxa"/>
            <w:noWrap w:val="0"/>
            <w:vAlign w:val="center"/>
          </w:tcPr>
          <w:p w14:paraId="6C249C4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eastAsiaTheme="minorEastAsia"/>
                <w:color w:val="auto"/>
                <w:sz w:val="21"/>
                <w:szCs w:val="21"/>
                <w:lang w:val="en-US" w:eastAsia="zh-CN"/>
              </w:rPr>
              <w:t>回用有机肥原料</w:t>
            </w:r>
          </w:p>
        </w:tc>
        <w:tc>
          <w:tcPr>
            <w:tcW w:w="2500" w:type="dxa"/>
            <w:vMerge w:val="continue"/>
            <w:noWrap w:val="0"/>
            <w:vAlign w:val="center"/>
          </w:tcPr>
          <w:p w14:paraId="7E0A0C85">
            <w:pPr>
              <w:adjustRightInd w:val="0"/>
              <w:snapToGrid w:val="0"/>
              <w:jc w:val="center"/>
              <w:rPr>
                <w:rFonts w:hint="default" w:ascii="Times New Roman" w:hAnsi="Times New Roman" w:cs="Times New Roman"/>
                <w:color w:val="auto"/>
                <w:spacing w:val="-10"/>
                <w:highlight w:val="none"/>
                <w:u w:val="none"/>
                <w:lang w:val="en-US" w:eastAsia="zh-CN"/>
              </w:rPr>
            </w:pPr>
          </w:p>
        </w:tc>
      </w:tr>
      <w:tr w14:paraId="6FF61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571859C5">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1EE4410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废包装材料</w:t>
            </w:r>
          </w:p>
        </w:tc>
        <w:tc>
          <w:tcPr>
            <w:tcW w:w="1470" w:type="dxa"/>
            <w:noWrap w:val="0"/>
            <w:vAlign w:val="center"/>
          </w:tcPr>
          <w:p w14:paraId="5860085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eastAsiaTheme="minorEastAsia"/>
                <w:color w:val="auto"/>
                <w:sz w:val="21"/>
                <w:szCs w:val="21"/>
                <w:lang w:val="en-US" w:eastAsia="zh-CN"/>
              </w:rPr>
              <w:t>包装袋</w:t>
            </w:r>
          </w:p>
        </w:tc>
        <w:tc>
          <w:tcPr>
            <w:tcW w:w="2010" w:type="dxa"/>
            <w:noWrap w:val="0"/>
            <w:vAlign w:val="center"/>
          </w:tcPr>
          <w:p w14:paraId="091AF46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color w:val="auto"/>
                <w:spacing w:val="-10"/>
                <w:highlight w:val="none"/>
                <w:u w:val="none"/>
                <w:lang w:val="en-US" w:eastAsia="zh-CN"/>
              </w:rPr>
            </w:pPr>
            <w:r>
              <w:rPr>
                <w:rFonts w:hint="eastAsia" w:ascii="Times New Roman" w:cs="Times New Roman" w:eastAsiaTheme="minorEastAsia"/>
                <w:color w:val="auto"/>
                <w:sz w:val="21"/>
                <w:szCs w:val="21"/>
                <w:lang w:val="en-US" w:eastAsia="zh-CN"/>
              </w:rPr>
              <w:t>综合利用</w:t>
            </w:r>
          </w:p>
        </w:tc>
        <w:tc>
          <w:tcPr>
            <w:tcW w:w="2500" w:type="dxa"/>
            <w:vMerge w:val="continue"/>
            <w:noWrap w:val="0"/>
            <w:vAlign w:val="center"/>
          </w:tcPr>
          <w:p w14:paraId="42E0BCCD">
            <w:pPr>
              <w:adjustRightInd w:val="0"/>
              <w:snapToGrid w:val="0"/>
              <w:jc w:val="center"/>
              <w:rPr>
                <w:rFonts w:hint="default" w:ascii="Times New Roman" w:hAnsi="Times New Roman" w:cs="Times New Roman"/>
                <w:color w:val="auto"/>
                <w:spacing w:val="-10"/>
                <w:highlight w:val="none"/>
                <w:u w:val="none"/>
                <w:lang w:val="en-US" w:eastAsia="zh-CN"/>
              </w:rPr>
            </w:pPr>
          </w:p>
        </w:tc>
      </w:tr>
      <w:tr w14:paraId="0EE6A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vMerge w:val="continue"/>
            <w:noWrap w:val="0"/>
            <w:vAlign w:val="center"/>
          </w:tcPr>
          <w:p w14:paraId="451B1899">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282" w:type="dxa"/>
            <w:noWrap w:val="0"/>
            <w:vAlign w:val="center"/>
          </w:tcPr>
          <w:p w14:paraId="54D8D22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生活垃圾</w:t>
            </w:r>
          </w:p>
        </w:tc>
        <w:tc>
          <w:tcPr>
            <w:tcW w:w="1470" w:type="dxa"/>
            <w:noWrap w:val="0"/>
            <w:vAlign w:val="center"/>
          </w:tcPr>
          <w:p w14:paraId="0717829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eastAsiaTheme="minorEastAsia"/>
                <w:color w:val="auto"/>
                <w:sz w:val="21"/>
                <w:szCs w:val="21"/>
                <w:lang w:val="en-US" w:eastAsia="zh-CN"/>
              </w:rPr>
              <w:t>生活垃圾</w:t>
            </w:r>
          </w:p>
        </w:tc>
        <w:tc>
          <w:tcPr>
            <w:tcW w:w="2010" w:type="dxa"/>
            <w:noWrap w:val="0"/>
            <w:vAlign w:val="center"/>
          </w:tcPr>
          <w:p w14:paraId="18F83BD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color w:val="auto"/>
                <w:spacing w:val="-10"/>
                <w:highlight w:val="none"/>
                <w:u w:val="none"/>
                <w:lang w:val="en-US" w:eastAsia="zh-CN"/>
              </w:rPr>
            </w:pPr>
            <w:r>
              <w:rPr>
                <w:rFonts w:hint="default" w:ascii="Times New Roman" w:hAnsi="Times New Roman" w:cs="Times New Roman"/>
                <w:color w:val="auto"/>
                <w:spacing w:val="-10"/>
                <w:highlight w:val="none"/>
                <w:u w:val="none"/>
                <w:lang w:val="en-US" w:eastAsia="zh-CN"/>
              </w:rPr>
              <w:t>集中收集后拉运政府指定生活垃圾暂存点处置</w:t>
            </w:r>
          </w:p>
        </w:tc>
        <w:tc>
          <w:tcPr>
            <w:tcW w:w="2500" w:type="dxa"/>
            <w:vMerge w:val="continue"/>
            <w:noWrap w:val="0"/>
            <w:vAlign w:val="center"/>
          </w:tcPr>
          <w:p w14:paraId="523B5B76">
            <w:pPr>
              <w:adjustRightInd w:val="0"/>
              <w:snapToGrid w:val="0"/>
              <w:jc w:val="center"/>
              <w:rPr>
                <w:rFonts w:hint="default" w:ascii="Times New Roman" w:hAnsi="Times New Roman" w:cs="Times New Roman"/>
                <w:color w:val="auto"/>
                <w:spacing w:val="-10"/>
                <w:highlight w:val="none"/>
                <w:u w:val="none"/>
                <w:lang w:val="en-US" w:eastAsia="zh-CN"/>
              </w:rPr>
            </w:pPr>
          </w:p>
        </w:tc>
      </w:tr>
      <w:tr w14:paraId="6021F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noWrap w:val="0"/>
            <w:vAlign w:val="center"/>
          </w:tcPr>
          <w:p w14:paraId="0BA975D6">
            <w:pPr>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土壤及地下水</w:t>
            </w:r>
          </w:p>
          <w:p w14:paraId="544BD1A3">
            <w:pPr>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highlight w:val="none"/>
                <w:u w:val="none"/>
              </w:rPr>
              <w:t>污染防治措施</w:t>
            </w:r>
          </w:p>
        </w:tc>
        <w:tc>
          <w:tcPr>
            <w:tcW w:w="7262" w:type="dxa"/>
            <w:gridSpan w:val="4"/>
            <w:noWrap w:val="0"/>
            <w:vAlign w:val="center"/>
          </w:tcPr>
          <w:p w14:paraId="421D81AE">
            <w:pPr>
              <w:jc w:val="center"/>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color w:val="auto"/>
                <w:highlight w:val="none"/>
                <w:u w:val="none"/>
                <w:lang w:val="en-US" w:eastAsia="zh-CN"/>
              </w:rPr>
              <w:t>项</w:t>
            </w:r>
            <w:r>
              <w:rPr>
                <w:rFonts w:hint="default" w:ascii="Times New Roman" w:hAnsi="Times New Roman" w:eastAsia="宋体" w:cs="Times New Roman"/>
                <w:color w:val="auto"/>
                <w:highlight w:val="none"/>
                <w:u w:val="none"/>
              </w:rPr>
              <w:t>目危废贮存库设置为重点防渗区，发酵池，厌氧发酵罐区、沼液池等区域设置为重点防渗区。初期雨水池一般防渗。锅炉房、发电机房、生活区等其他区域设置为简单防渗区。</w:t>
            </w:r>
          </w:p>
        </w:tc>
      </w:tr>
      <w:tr w14:paraId="41B06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noWrap w:val="0"/>
            <w:vAlign w:val="center"/>
          </w:tcPr>
          <w:p w14:paraId="798244D6">
            <w:pPr>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highlight w:val="none"/>
                <w:u w:val="none"/>
              </w:rPr>
              <w:t>生态保护措施</w:t>
            </w:r>
          </w:p>
        </w:tc>
        <w:tc>
          <w:tcPr>
            <w:tcW w:w="7262" w:type="dxa"/>
            <w:gridSpan w:val="4"/>
            <w:noWrap w:val="0"/>
            <w:vAlign w:val="center"/>
          </w:tcPr>
          <w:p w14:paraId="647EF246">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highlight w:val="none"/>
                <w:u w:val="none"/>
              </w:rPr>
              <w:t>/</w:t>
            </w:r>
          </w:p>
        </w:tc>
      </w:tr>
      <w:tr w14:paraId="1672A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noWrap w:val="0"/>
            <w:vAlign w:val="center"/>
          </w:tcPr>
          <w:p w14:paraId="2F6AE128">
            <w:pPr>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环境风险</w:t>
            </w:r>
          </w:p>
          <w:p w14:paraId="08C52722">
            <w:pPr>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highlight w:val="none"/>
                <w:u w:val="none"/>
              </w:rPr>
              <w:t>防范措施</w:t>
            </w:r>
          </w:p>
        </w:tc>
        <w:tc>
          <w:tcPr>
            <w:tcW w:w="7262" w:type="dxa"/>
            <w:gridSpan w:val="4"/>
            <w:noWrap w:val="0"/>
            <w:vAlign w:val="center"/>
          </w:tcPr>
          <w:p w14:paraId="0CC30502">
            <w:pPr>
              <w:jc w:val="center"/>
              <w:rPr>
                <w:rFonts w:hint="default" w:ascii="Times New Roman" w:hAnsi="Times New Roman" w:eastAsia="宋体" w:cs="Times New Roman"/>
                <w:color w:val="auto"/>
                <w:kern w:val="2"/>
                <w:sz w:val="24"/>
                <w:szCs w:val="24"/>
                <w:highlight w:val="none"/>
                <w:vertAlign w:val="baseline"/>
                <w:lang w:val="en-US" w:eastAsia="zh-CN" w:bidi="ar-SA"/>
              </w:rPr>
            </w:pPr>
            <w:r>
              <w:rPr>
                <w:rFonts w:hint="default" w:ascii="Times New Roman" w:hAnsi="Times New Roman" w:eastAsia="宋体" w:cs="Times New Roman"/>
                <w:color w:val="auto"/>
                <w:highlight w:val="none"/>
                <w:u w:val="none"/>
                <w:lang w:val="en-US" w:eastAsia="zh-CN"/>
              </w:rPr>
              <w:t>从“源头、过程、末端”三个环节建立环境风险控制措施体系，以防为主、防控结合</w:t>
            </w:r>
            <w:r>
              <w:rPr>
                <w:rFonts w:hint="eastAsia" w:cs="Times New Roman"/>
                <w:color w:val="auto"/>
                <w:highlight w:val="none"/>
                <w:u w:val="none"/>
                <w:lang w:val="en-US" w:eastAsia="zh-CN"/>
              </w:rPr>
              <w:t>，编制突发环境事件应急预案</w:t>
            </w:r>
            <w:r>
              <w:rPr>
                <w:rFonts w:hint="default" w:ascii="Times New Roman" w:hAnsi="Times New Roman" w:eastAsia="宋体"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设置180m</w:t>
            </w:r>
            <w:r>
              <w:rPr>
                <w:rFonts w:hint="default" w:ascii="Times New Roman" w:hAnsi="Times New Roman" w:cs="Times New Roman"/>
                <w:color w:val="auto"/>
                <w:highlight w:val="none"/>
                <w:u w:val="none"/>
                <w:vertAlign w:val="superscript"/>
                <w:lang w:val="en-US" w:eastAsia="zh-CN"/>
              </w:rPr>
              <w:t>3</w:t>
            </w:r>
            <w:r>
              <w:rPr>
                <w:rFonts w:hint="default" w:ascii="Times New Roman" w:hAnsi="Times New Roman" w:cs="Times New Roman"/>
                <w:color w:val="auto"/>
                <w:highlight w:val="none"/>
                <w:u w:val="none"/>
                <w:vertAlign w:val="baseline"/>
                <w:lang w:val="en-US" w:eastAsia="zh-CN"/>
              </w:rPr>
              <w:t>事故池</w:t>
            </w:r>
            <w:r>
              <w:rPr>
                <w:rFonts w:hint="eastAsia" w:cs="Times New Roman"/>
                <w:color w:val="auto"/>
                <w:highlight w:val="none"/>
                <w:u w:val="none"/>
                <w:vertAlign w:val="baseline"/>
                <w:lang w:val="en-US" w:eastAsia="zh-CN"/>
              </w:rPr>
              <w:t>、</w:t>
            </w:r>
            <w:r>
              <w:rPr>
                <w:rFonts w:hint="default" w:ascii="Times New Roman" w:hAnsi="Times New Roman" w:cs="Times New Roman"/>
                <w:color w:val="auto"/>
                <w:highlight w:val="none"/>
                <w:u w:val="none"/>
                <w:vertAlign w:val="baseline"/>
                <w:lang w:val="en-US" w:eastAsia="zh-CN"/>
              </w:rPr>
              <w:t>雨水收集池，东侧设置挡水墙，厂区设置雨水导流渠。</w:t>
            </w:r>
          </w:p>
        </w:tc>
      </w:tr>
      <w:tr w14:paraId="540CA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38" w:type="dxa"/>
            <w:noWrap w:val="0"/>
            <w:vAlign w:val="center"/>
          </w:tcPr>
          <w:p w14:paraId="6E2DCC53">
            <w:pPr>
              <w:jc w:val="cente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其他环境</w:t>
            </w:r>
          </w:p>
          <w:p w14:paraId="5FFE059C">
            <w:pPr>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highlight w:val="none"/>
                <w:u w:val="none"/>
              </w:rPr>
              <w:t>管理要求</w:t>
            </w:r>
          </w:p>
        </w:tc>
        <w:tc>
          <w:tcPr>
            <w:tcW w:w="7262" w:type="dxa"/>
            <w:gridSpan w:val="4"/>
            <w:noWrap w:val="0"/>
            <w:vAlign w:val="center"/>
          </w:tcPr>
          <w:p w14:paraId="54301644">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1"/>
                <w:szCs w:val="21"/>
                <w:lang w:val="en-US" w:eastAsia="zh-CN"/>
              </w:rPr>
              <w:t>落实废气、噪声环境监测计划。</w:t>
            </w:r>
          </w:p>
        </w:tc>
      </w:tr>
    </w:tbl>
    <w:p w14:paraId="23264042">
      <w:pPr>
        <w:pStyle w:val="31"/>
        <w:jc w:val="center"/>
        <w:outlineLvl w:val="0"/>
        <w:rPr>
          <w:rFonts w:hint="default" w:ascii="Times New Roman" w:hAnsi="Times New Roman" w:eastAsia="宋体" w:cs="Times New Roman"/>
          <w:snapToGrid w:val="0"/>
          <w:color w:val="auto"/>
          <w:sz w:val="30"/>
          <w:szCs w:val="30"/>
          <w:highlight w:val="yellow"/>
        </w:rPr>
      </w:pPr>
      <w:r>
        <w:rPr>
          <w:rFonts w:hint="default" w:ascii="Times New Roman" w:hAnsi="Times New Roman" w:eastAsia="宋体" w:cs="Times New Roman"/>
          <w:snapToGrid w:val="0"/>
          <w:color w:val="auto"/>
          <w:highlight w:val="yellow"/>
        </w:rPr>
        <w:br w:type="page"/>
      </w:r>
      <w:r>
        <w:rPr>
          <w:rFonts w:hint="default" w:ascii="Times New Roman" w:hAnsi="Times New Roman" w:eastAsia="宋体" w:cs="Times New Roman"/>
          <w:snapToGrid w:val="0"/>
          <w:color w:val="auto"/>
          <w:sz w:val="30"/>
          <w:szCs w:val="30"/>
          <w:highlight w:val="none"/>
        </w:rPr>
        <w:t>六、结论</w:t>
      </w:r>
    </w:p>
    <w:tbl>
      <w:tblPr>
        <w:tblStyle w:val="3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FE01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784D704A">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一、结论</w:t>
            </w:r>
          </w:p>
          <w:p w14:paraId="395224C3">
            <w:pPr>
              <w:topLinePunct/>
              <w:spacing w:line="360" w:lineRule="auto"/>
              <w:ind w:firstLine="482" w:firstLineChars="200"/>
              <w:textAlignment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本项目运行期间产生一定量的废水、废气、噪声和固体废物，通过采取有效的污染防治措施，可将项目对周围环境造成的影响降到最低。同时，项目建设和运营过程中，依据本次评价所提出的有关污染防治措施，全面落实“三同时”制度，加强施工期环境监理和运营期环境管理，定期监测，确保污染防治设施稳定达标运行，则项目建设对周围环境质量不会产生明显的影响，从环境保护角度出发，本项目建设是可行的。</w:t>
            </w:r>
          </w:p>
          <w:p w14:paraId="38690672">
            <w:pPr>
              <w:adjustRightInd w:val="0"/>
              <w:snapToGrid w:val="0"/>
              <w:spacing w:line="360" w:lineRule="auto"/>
              <w:ind w:firstLine="426" w:firstLineChars="177"/>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二、建议</w:t>
            </w:r>
          </w:p>
          <w:p w14:paraId="19B1C72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（1）工程建设必须严格执行环境保护“三同时”制度，各种环保措施必须同时设计、同时施工、同时投入运行，把环保作为一项重要内容进行考核。</w:t>
            </w:r>
          </w:p>
          <w:p w14:paraId="70E554F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切实落实好各项环保设施的建议，加强各项污染治理措施的监督和管理，对生产设备和环保治理设备应定期检修维护，加强生产设备和环保治理设施的日常管理维修，确保生产设施和环保治理设施正常运行，污染物达标排放。</w:t>
            </w:r>
          </w:p>
          <w:p w14:paraId="0D58FA4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（3）充分利用自然条件，增加厂区绿化面积，以起到降噪、防尘和美化环境的功能。</w:t>
            </w:r>
          </w:p>
          <w:p w14:paraId="3FA4DDDA">
            <w:pPr>
              <w:spacing w:line="360" w:lineRule="auto"/>
              <w:rPr>
                <w:rFonts w:hint="default" w:ascii="Times New Roman" w:hAnsi="Times New Roman" w:eastAsia="宋体" w:cs="Times New Roman"/>
                <w:color w:val="auto"/>
                <w:sz w:val="24"/>
                <w:highlight w:val="yellow"/>
              </w:rPr>
            </w:pPr>
          </w:p>
          <w:p w14:paraId="5CE477A9">
            <w:pPr>
              <w:widowControl/>
              <w:jc w:val="left"/>
              <w:rPr>
                <w:rFonts w:hint="default" w:ascii="Times New Roman" w:hAnsi="Times New Roman" w:eastAsia="宋体" w:cs="Times New Roman"/>
                <w:color w:val="auto"/>
                <w:highlight w:val="yellow"/>
              </w:rPr>
            </w:pPr>
          </w:p>
          <w:p w14:paraId="18B6876B">
            <w:pPr>
              <w:widowControl/>
              <w:jc w:val="left"/>
              <w:rPr>
                <w:rFonts w:hint="default" w:ascii="Times New Roman" w:hAnsi="Times New Roman" w:eastAsia="宋体" w:cs="Times New Roman"/>
                <w:color w:val="auto"/>
                <w:highlight w:val="yellow"/>
              </w:rPr>
            </w:pPr>
          </w:p>
          <w:p w14:paraId="61FA672B">
            <w:pPr>
              <w:widowControl/>
              <w:jc w:val="left"/>
              <w:rPr>
                <w:rFonts w:hint="default" w:ascii="Times New Roman" w:hAnsi="Times New Roman" w:eastAsia="宋体" w:cs="Times New Roman"/>
                <w:color w:val="auto"/>
                <w:highlight w:val="yellow"/>
              </w:rPr>
            </w:pPr>
          </w:p>
          <w:p w14:paraId="238884EA">
            <w:pPr>
              <w:widowControl/>
              <w:jc w:val="left"/>
              <w:rPr>
                <w:rFonts w:hint="default" w:ascii="Times New Roman" w:hAnsi="Times New Roman" w:eastAsia="宋体" w:cs="Times New Roman"/>
                <w:color w:val="auto"/>
                <w:highlight w:val="yellow"/>
              </w:rPr>
            </w:pPr>
          </w:p>
          <w:p w14:paraId="2E18DE6A">
            <w:pPr>
              <w:widowControl/>
              <w:jc w:val="left"/>
              <w:rPr>
                <w:rFonts w:hint="default" w:ascii="Times New Roman" w:hAnsi="Times New Roman" w:eastAsia="宋体" w:cs="Times New Roman"/>
                <w:color w:val="auto"/>
                <w:highlight w:val="yellow"/>
              </w:rPr>
            </w:pPr>
          </w:p>
          <w:p w14:paraId="3CD9DB58">
            <w:pPr>
              <w:widowControl/>
              <w:jc w:val="left"/>
              <w:rPr>
                <w:rFonts w:hint="default" w:ascii="Times New Roman" w:hAnsi="Times New Roman" w:eastAsia="宋体" w:cs="Times New Roman"/>
                <w:color w:val="auto"/>
                <w:highlight w:val="yellow"/>
              </w:rPr>
            </w:pPr>
          </w:p>
          <w:p w14:paraId="00128F13">
            <w:pPr>
              <w:widowControl/>
              <w:jc w:val="left"/>
              <w:rPr>
                <w:rFonts w:hint="default" w:ascii="Times New Roman" w:hAnsi="Times New Roman" w:eastAsia="宋体" w:cs="Times New Roman"/>
                <w:color w:val="auto"/>
                <w:highlight w:val="yellow"/>
              </w:rPr>
            </w:pPr>
          </w:p>
          <w:p w14:paraId="1C3AA1B4">
            <w:pPr>
              <w:widowControl/>
              <w:jc w:val="left"/>
              <w:rPr>
                <w:rFonts w:hint="default" w:ascii="Times New Roman" w:hAnsi="Times New Roman" w:eastAsia="宋体" w:cs="Times New Roman"/>
                <w:color w:val="auto"/>
                <w:highlight w:val="yellow"/>
              </w:rPr>
            </w:pPr>
          </w:p>
          <w:p w14:paraId="42B949CC">
            <w:pPr>
              <w:widowControl/>
              <w:jc w:val="left"/>
              <w:rPr>
                <w:rFonts w:hint="default" w:ascii="Times New Roman" w:hAnsi="Times New Roman" w:eastAsia="宋体" w:cs="Times New Roman"/>
                <w:color w:val="auto"/>
                <w:highlight w:val="yellow"/>
              </w:rPr>
            </w:pPr>
          </w:p>
          <w:p w14:paraId="5E2511CE">
            <w:pPr>
              <w:widowControl/>
              <w:jc w:val="left"/>
              <w:rPr>
                <w:rFonts w:hint="default" w:ascii="Times New Roman" w:hAnsi="Times New Roman" w:eastAsia="宋体" w:cs="Times New Roman"/>
                <w:color w:val="auto"/>
                <w:highlight w:val="yellow"/>
              </w:rPr>
            </w:pPr>
          </w:p>
        </w:tc>
      </w:tr>
    </w:tbl>
    <w:p w14:paraId="5FD9BB29">
      <w:pPr>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A240235">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snapToGrid w:val="0"/>
          <w:color w:val="auto"/>
          <w:sz w:val="32"/>
          <w:szCs w:val="32"/>
        </w:rPr>
      </w:pPr>
      <w:r>
        <w:rPr>
          <w:rFonts w:hint="default" w:ascii="Times New Roman" w:hAnsi="Times New Roman" w:eastAsia="宋体" w:cs="Times New Roman"/>
          <w:snapToGrid w:val="0"/>
          <w:color w:val="auto"/>
          <w:sz w:val="32"/>
          <w:szCs w:val="32"/>
        </w:rPr>
        <w:t>附表</w:t>
      </w:r>
    </w:p>
    <w:p w14:paraId="56BD11E7">
      <w:pPr>
        <w:pStyle w:val="31"/>
        <w:adjustRightInd w:val="0"/>
        <w:snapToGrid w:val="0"/>
        <w:spacing w:before="0" w:beforeAutospacing="0" w:after="0" w:afterAutospacing="0" w:line="240" w:lineRule="auto"/>
        <w:jc w:val="center"/>
        <w:outlineLvl w:val="0"/>
        <w:rPr>
          <w:rFonts w:hint="default" w:ascii="Times New Roman" w:hAnsi="Times New Roman" w:eastAsia="宋体" w:cs="Times New Roman"/>
          <w:snapToGrid w:val="0"/>
          <w:color w:val="auto"/>
          <w:sz w:val="32"/>
          <w:szCs w:val="32"/>
        </w:rPr>
      </w:pPr>
      <w:r>
        <w:rPr>
          <w:rFonts w:hint="default" w:ascii="Times New Roman" w:hAnsi="Times New Roman" w:eastAsia="宋体" w:cs="Times New Roman"/>
          <w:snapToGrid w:val="0"/>
          <w:color w:val="auto"/>
          <w:sz w:val="32"/>
          <w:szCs w:val="32"/>
        </w:rPr>
        <w:t>建设项目污染物排放量汇总表</w:t>
      </w:r>
    </w:p>
    <w:tbl>
      <w:tblPr>
        <w:tblStyle w:val="3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75"/>
        <w:gridCol w:w="1110"/>
      </w:tblGrid>
      <w:tr w14:paraId="47A49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noWrap w:val="0"/>
            <w:tcMar>
              <w:left w:w="28" w:type="dxa"/>
              <w:right w:w="28" w:type="dxa"/>
            </w:tcMar>
            <w:vAlign w:val="center"/>
          </w:tcPr>
          <w:p w14:paraId="5C21F67B">
            <w:pPr>
              <w:jc w:val="right"/>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项目</w:t>
            </w:r>
          </w:p>
          <w:p w14:paraId="13026020">
            <w:pP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分类</w:t>
            </w:r>
          </w:p>
        </w:tc>
        <w:tc>
          <w:tcPr>
            <w:tcW w:w="1417" w:type="dxa"/>
            <w:noWrap w:val="0"/>
            <w:tcMar>
              <w:left w:w="28" w:type="dxa"/>
              <w:right w:w="28" w:type="dxa"/>
            </w:tcMar>
            <w:vAlign w:val="center"/>
          </w:tcPr>
          <w:p w14:paraId="02B700A2">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污染物名称</w:t>
            </w:r>
          </w:p>
        </w:tc>
        <w:tc>
          <w:tcPr>
            <w:tcW w:w="1701" w:type="dxa"/>
            <w:noWrap w:val="0"/>
            <w:tcMar>
              <w:left w:w="28" w:type="dxa"/>
              <w:right w:w="28" w:type="dxa"/>
            </w:tcMar>
            <w:vAlign w:val="center"/>
          </w:tcPr>
          <w:p w14:paraId="3FCDB639">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现有工程</w:t>
            </w:r>
          </w:p>
          <w:p w14:paraId="7D6A3957">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排放量</w:t>
            </w:r>
            <w:r>
              <w:rPr>
                <w:rFonts w:hint="default" w:ascii="Times New Roman" w:hAnsi="Times New Roman" w:cs="Times New Roman"/>
                <w:color w:val="auto"/>
                <w:kern w:val="0"/>
                <w:highlight w:val="none"/>
                <w:u w:val="none"/>
              </w:rPr>
              <w:fldChar w:fldCharType="begin"/>
            </w:r>
            <w:r>
              <w:rPr>
                <w:rFonts w:hint="default" w:ascii="Times New Roman" w:hAnsi="Times New Roman" w:cs="Times New Roman"/>
                <w:color w:val="auto"/>
                <w:kern w:val="0"/>
                <w:highlight w:val="none"/>
                <w:u w:val="none"/>
              </w:rPr>
              <w:instrText xml:space="preserve"> = 1 \* GB3 \* MERGEFORMAT </w:instrText>
            </w:r>
            <w:r>
              <w:rPr>
                <w:rFonts w:hint="default" w:ascii="Times New Roman" w:hAnsi="Times New Roman" w:cs="Times New Roman"/>
                <w:color w:val="auto"/>
                <w:kern w:val="0"/>
                <w:highlight w:val="none"/>
                <w:u w:val="none"/>
              </w:rPr>
              <w:fldChar w:fldCharType="separate"/>
            </w:r>
            <w:r>
              <w:rPr>
                <w:rFonts w:hint="default" w:ascii="Times New Roman" w:hAnsi="Times New Roman" w:cs="Times New Roman"/>
                <w:color w:val="auto"/>
                <w:kern w:val="0"/>
                <w:highlight w:val="none"/>
                <w:u w:val="none"/>
              </w:rPr>
              <w:t>①</w:t>
            </w:r>
            <w:r>
              <w:rPr>
                <w:rFonts w:hint="default" w:ascii="Times New Roman" w:hAnsi="Times New Roman" w:cs="Times New Roman"/>
                <w:color w:val="auto"/>
                <w:kern w:val="0"/>
                <w:highlight w:val="none"/>
                <w:u w:val="none"/>
              </w:rPr>
              <w:fldChar w:fldCharType="end"/>
            </w:r>
          </w:p>
        </w:tc>
        <w:tc>
          <w:tcPr>
            <w:tcW w:w="1276" w:type="dxa"/>
            <w:noWrap w:val="0"/>
            <w:tcMar>
              <w:left w:w="28" w:type="dxa"/>
              <w:right w:w="28" w:type="dxa"/>
            </w:tcMar>
            <w:vAlign w:val="center"/>
          </w:tcPr>
          <w:p w14:paraId="650201BD">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现有工程</w:t>
            </w:r>
          </w:p>
          <w:p w14:paraId="0FCC06E8">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许可排放量</w:t>
            </w:r>
          </w:p>
          <w:p w14:paraId="4F2934E2">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fldChar w:fldCharType="begin"/>
            </w:r>
            <w:r>
              <w:rPr>
                <w:rFonts w:hint="default" w:ascii="Times New Roman" w:hAnsi="Times New Roman" w:cs="Times New Roman"/>
                <w:color w:val="auto"/>
                <w:kern w:val="0"/>
                <w:highlight w:val="none"/>
                <w:u w:val="none"/>
              </w:rPr>
              <w:instrText xml:space="preserve"> = 2 \* GB3 \* MERGEFORMAT </w:instrText>
            </w:r>
            <w:r>
              <w:rPr>
                <w:rFonts w:hint="default" w:ascii="Times New Roman" w:hAnsi="Times New Roman" w:cs="Times New Roman"/>
                <w:color w:val="auto"/>
                <w:kern w:val="0"/>
                <w:highlight w:val="none"/>
                <w:u w:val="none"/>
              </w:rPr>
              <w:fldChar w:fldCharType="separate"/>
            </w:r>
            <w:r>
              <w:rPr>
                <w:rFonts w:hint="default" w:ascii="Times New Roman" w:hAnsi="Times New Roman" w:cs="Times New Roman"/>
                <w:color w:val="auto"/>
                <w:kern w:val="0"/>
                <w:highlight w:val="none"/>
                <w:u w:val="none"/>
              </w:rPr>
              <w:t>②</w:t>
            </w:r>
            <w:r>
              <w:rPr>
                <w:rFonts w:hint="default" w:ascii="Times New Roman" w:hAnsi="Times New Roman" w:cs="Times New Roman"/>
                <w:color w:val="auto"/>
                <w:kern w:val="0"/>
                <w:highlight w:val="none"/>
                <w:u w:val="none"/>
              </w:rPr>
              <w:fldChar w:fldCharType="end"/>
            </w:r>
          </w:p>
        </w:tc>
        <w:tc>
          <w:tcPr>
            <w:tcW w:w="1701" w:type="dxa"/>
            <w:noWrap w:val="0"/>
            <w:tcMar>
              <w:left w:w="28" w:type="dxa"/>
              <w:right w:w="28" w:type="dxa"/>
            </w:tcMar>
            <w:vAlign w:val="center"/>
          </w:tcPr>
          <w:p w14:paraId="23DC8EC9">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在建工程</w:t>
            </w:r>
          </w:p>
          <w:p w14:paraId="297FC68E">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排放量（固体废物产生量）</w:t>
            </w:r>
            <w:r>
              <w:rPr>
                <w:rFonts w:hint="default" w:ascii="Times New Roman" w:hAnsi="Times New Roman" w:cs="Times New Roman"/>
                <w:color w:val="auto"/>
                <w:kern w:val="0"/>
                <w:highlight w:val="none"/>
                <w:u w:val="none"/>
              </w:rPr>
              <w:fldChar w:fldCharType="begin"/>
            </w:r>
            <w:r>
              <w:rPr>
                <w:rFonts w:hint="default" w:ascii="Times New Roman" w:hAnsi="Times New Roman" w:cs="Times New Roman"/>
                <w:color w:val="auto"/>
                <w:kern w:val="0"/>
                <w:highlight w:val="none"/>
                <w:u w:val="none"/>
              </w:rPr>
              <w:instrText xml:space="preserve"> = 3 \* GB3 \* MERGEFORMAT </w:instrText>
            </w:r>
            <w:r>
              <w:rPr>
                <w:rFonts w:hint="default" w:ascii="Times New Roman" w:hAnsi="Times New Roman" w:cs="Times New Roman"/>
                <w:color w:val="auto"/>
                <w:kern w:val="0"/>
                <w:highlight w:val="none"/>
                <w:u w:val="none"/>
              </w:rPr>
              <w:fldChar w:fldCharType="separate"/>
            </w:r>
            <w:r>
              <w:rPr>
                <w:rFonts w:hint="default" w:ascii="Times New Roman" w:hAnsi="Times New Roman" w:cs="Times New Roman"/>
                <w:color w:val="auto"/>
                <w:kern w:val="0"/>
                <w:highlight w:val="none"/>
                <w:u w:val="none"/>
              </w:rPr>
              <w:t>③</w:t>
            </w:r>
            <w:r>
              <w:rPr>
                <w:rFonts w:hint="default" w:ascii="Times New Roman" w:hAnsi="Times New Roman" w:cs="Times New Roman"/>
                <w:color w:val="auto"/>
                <w:kern w:val="0"/>
                <w:highlight w:val="none"/>
                <w:u w:val="none"/>
              </w:rPr>
              <w:fldChar w:fldCharType="end"/>
            </w:r>
          </w:p>
        </w:tc>
        <w:tc>
          <w:tcPr>
            <w:tcW w:w="1559" w:type="dxa"/>
            <w:noWrap w:val="0"/>
            <w:tcMar>
              <w:left w:w="28" w:type="dxa"/>
              <w:right w:w="28" w:type="dxa"/>
            </w:tcMar>
            <w:vAlign w:val="center"/>
          </w:tcPr>
          <w:p w14:paraId="70E70167">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本项目</w:t>
            </w:r>
          </w:p>
          <w:p w14:paraId="3439D391">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排放量（固体废物产生量）</w:t>
            </w:r>
            <w:r>
              <w:rPr>
                <w:rFonts w:hint="default" w:ascii="Times New Roman" w:hAnsi="Times New Roman" w:cs="Times New Roman"/>
                <w:color w:val="auto"/>
                <w:kern w:val="0"/>
                <w:highlight w:val="none"/>
                <w:u w:val="none"/>
              </w:rPr>
              <w:fldChar w:fldCharType="begin"/>
            </w:r>
            <w:r>
              <w:rPr>
                <w:rFonts w:hint="default" w:ascii="Times New Roman" w:hAnsi="Times New Roman" w:cs="Times New Roman"/>
                <w:color w:val="auto"/>
                <w:kern w:val="0"/>
                <w:highlight w:val="none"/>
                <w:u w:val="none"/>
              </w:rPr>
              <w:instrText xml:space="preserve"> = 4 \* GB3 \* MERGEFORMAT </w:instrText>
            </w:r>
            <w:r>
              <w:rPr>
                <w:rFonts w:hint="default" w:ascii="Times New Roman" w:hAnsi="Times New Roman" w:cs="Times New Roman"/>
                <w:color w:val="auto"/>
                <w:kern w:val="0"/>
                <w:highlight w:val="none"/>
                <w:u w:val="none"/>
              </w:rPr>
              <w:fldChar w:fldCharType="separate"/>
            </w:r>
            <w:r>
              <w:rPr>
                <w:rFonts w:hint="default" w:ascii="Times New Roman" w:hAnsi="Times New Roman" w:cs="Times New Roman"/>
                <w:color w:val="auto"/>
                <w:kern w:val="0"/>
                <w:highlight w:val="none"/>
                <w:u w:val="none"/>
              </w:rPr>
              <w:t>④</w:t>
            </w:r>
            <w:r>
              <w:rPr>
                <w:rFonts w:hint="default" w:ascii="Times New Roman" w:hAnsi="Times New Roman" w:cs="Times New Roman"/>
                <w:color w:val="auto"/>
                <w:kern w:val="0"/>
                <w:highlight w:val="none"/>
                <w:u w:val="none"/>
              </w:rPr>
              <w:fldChar w:fldCharType="end"/>
            </w:r>
          </w:p>
        </w:tc>
        <w:tc>
          <w:tcPr>
            <w:tcW w:w="1761" w:type="dxa"/>
            <w:noWrap w:val="0"/>
            <w:tcMar>
              <w:left w:w="28" w:type="dxa"/>
              <w:right w:w="28" w:type="dxa"/>
            </w:tcMar>
            <w:vAlign w:val="center"/>
          </w:tcPr>
          <w:p w14:paraId="4B875C60">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以新带老削减量</w:t>
            </w:r>
          </w:p>
          <w:p w14:paraId="5B7362B1">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（新建项目不填）</w:t>
            </w:r>
            <w:r>
              <w:rPr>
                <w:rFonts w:hint="default" w:ascii="Times New Roman" w:hAnsi="Times New Roman" w:cs="Times New Roman"/>
                <w:color w:val="auto"/>
                <w:kern w:val="0"/>
                <w:highlight w:val="none"/>
                <w:u w:val="none"/>
              </w:rPr>
              <w:fldChar w:fldCharType="begin"/>
            </w:r>
            <w:r>
              <w:rPr>
                <w:rFonts w:hint="default" w:ascii="Times New Roman" w:hAnsi="Times New Roman" w:cs="Times New Roman"/>
                <w:color w:val="auto"/>
                <w:kern w:val="0"/>
                <w:highlight w:val="none"/>
                <w:u w:val="none"/>
              </w:rPr>
              <w:instrText xml:space="preserve"> = 5 \* GB3 \* MERGEFORMAT </w:instrText>
            </w:r>
            <w:r>
              <w:rPr>
                <w:rFonts w:hint="default" w:ascii="Times New Roman" w:hAnsi="Times New Roman" w:cs="Times New Roman"/>
                <w:color w:val="auto"/>
                <w:kern w:val="0"/>
                <w:highlight w:val="none"/>
                <w:u w:val="none"/>
              </w:rPr>
              <w:fldChar w:fldCharType="separate"/>
            </w:r>
            <w:r>
              <w:rPr>
                <w:rFonts w:hint="default" w:ascii="Times New Roman" w:hAnsi="Times New Roman" w:cs="Times New Roman"/>
                <w:color w:val="auto"/>
                <w:kern w:val="0"/>
                <w:highlight w:val="none"/>
                <w:u w:val="none"/>
              </w:rPr>
              <w:t>⑤</w:t>
            </w:r>
            <w:r>
              <w:rPr>
                <w:rFonts w:hint="default" w:ascii="Times New Roman" w:hAnsi="Times New Roman" w:cs="Times New Roman"/>
                <w:color w:val="auto"/>
                <w:kern w:val="0"/>
                <w:highlight w:val="none"/>
                <w:u w:val="none"/>
              </w:rPr>
              <w:fldChar w:fldCharType="end"/>
            </w:r>
          </w:p>
        </w:tc>
        <w:tc>
          <w:tcPr>
            <w:tcW w:w="1675" w:type="dxa"/>
            <w:noWrap w:val="0"/>
            <w:tcMar>
              <w:left w:w="28" w:type="dxa"/>
              <w:right w:w="28" w:type="dxa"/>
            </w:tcMar>
            <w:vAlign w:val="center"/>
          </w:tcPr>
          <w:p w14:paraId="223233FE">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本项目建成后</w:t>
            </w:r>
          </w:p>
          <w:p w14:paraId="2FB66DC8">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全厂排放量（固体废物产生量）</w:t>
            </w:r>
            <w:r>
              <w:rPr>
                <w:rFonts w:hint="default" w:ascii="Times New Roman" w:hAnsi="Times New Roman" w:cs="Times New Roman"/>
                <w:color w:val="auto"/>
                <w:kern w:val="0"/>
                <w:highlight w:val="none"/>
                <w:u w:val="none"/>
              </w:rPr>
              <w:fldChar w:fldCharType="begin"/>
            </w:r>
            <w:r>
              <w:rPr>
                <w:rFonts w:hint="default" w:ascii="Times New Roman" w:hAnsi="Times New Roman" w:cs="Times New Roman"/>
                <w:color w:val="auto"/>
                <w:kern w:val="0"/>
                <w:highlight w:val="none"/>
                <w:u w:val="none"/>
              </w:rPr>
              <w:instrText xml:space="preserve"> = 6 \* GB3 \* MERGEFORMAT </w:instrText>
            </w:r>
            <w:r>
              <w:rPr>
                <w:rFonts w:hint="default" w:ascii="Times New Roman" w:hAnsi="Times New Roman" w:cs="Times New Roman"/>
                <w:color w:val="auto"/>
                <w:kern w:val="0"/>
                <w:highlight w:val="none"/>
                <w:u w:val="none"/>
              </w:rPr>
              <w:fldChar w:fldCharType="separate"/>
            </w:r>
            <w:r>
              <w:rPr>
                <w:rFonts w:hint="default" w:ascii="Times New Roman" w:hAnsi="Times New Roman" w:cs="Times New Roman"/>
                <w:color w:val="auto"/>
                <w:kern w:val="0"/>
                <w:highlight w:val="none"/>
                <w:u w:val="none"/>
              </w:rPr>
              <w:t>⑥</w:t>
            </w:r>
            <w:r>
              <w:rPr>
                <w:rFonts w:hint="default" w:ascii="Times New Roman" w:hAnsi="Times New Roman" w:cs="Times New Roman"/>
                <w:color w:val="auto"/>
                <w:kern w:val="0"/>
                <w:highlight w:val="none"/>
                <w:u w:val="none"/>
              </w:rPr>
              <w:fldChar w:fldCharType="end"/>
            </w:r>
          </w:p>
        </w:tc>
        <w:tc>
          <w:tcPr>
            <w:tcW w:w="1110" w:type="dxa"/>
            <w:noWrap w:val="0"/>
            <w:tcMar>
              <w:left w:w="28" w:type="dxa"/>
              <w:right w:w="28" w:type="dxa"/>
            </w:tcMar>
            <w:vAlign w:val="center"/>
          </w:tcPr>
          <w:p w14:paraId="6FAE1F00">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变化量</w:t>
            </w:r>
          </w:p>
          <w:p w14:paraId="629BC4C0">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fldChar w:fldCharType="begin"/>
            </w:r>
            <w:r>
              <w:rPr>
                <w:rFonts w:hint="default" w:ascii="Times New Roman" w:hAnsi="Times New Roman" w:cs="Times New Roman"/>
                <w:color w:val="auto"/>
                <w:kern w:val="0"/>
                <w:highlight w:val="none"/>
                <w:u w:val="none"/>
              </w:rPr>
              <w:instrText xml:space="preserve"> = 7 \* GB3 \* MERGEFORMAT </w:instrText>
            </w:r>
            <w:r>
              <w:rPr>
                <w:rFonts w:hint="default" w:ascii="Times New Roman" w:hAnsi="Times New Roman" w:cs="Times New Roman"/>
                <w:color w:val="auto"/>
                <w:kern w:val="0"/>
                <w:highlight w:val="none"/>
                <w:u w:val="none"/>
              </w:rPr>
              <w:fldChar w:fldCharType="separate"/>
            </w:r>
            <w:r>
              <w:rPr>
                <w:rFonts w:hint="default" w:ascii="Times New Roman" w:hAnsi="Times New Roman" w:cs="Times New Roman"/>
                <w:color w:val="auto"/>
                <w:kern w:val="0"/>
                <w:highlight w:val="none"/>
                <w:u w:val="none"/>
              </w:rPr>
              <w:t>⑦</w:t>
            </w:r>
            <w:r>
              <w:rPr>
                <w:rFonts w:hint="default" w:ascii="Times New Roman" w:hAnsi="Times New Roman" w:cs="Times New Roman"/>
                <w:color w:val="auto"/>
                <w:kern w:val="0"/>
                <w:highlight w:val="none"/>
                <w:u w:val="none"/>
              </w:rPr>
              <w:fldChar w:fldCharType="end"/>
            </w:r>
          </w:p>
        </w:tc>
      </w:tr>
      <w:tr w14:paraId="0617D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14:paraId="74E83750">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废气</w:t>
            </w:r>
          </w:p>
        </w:tc>
        <w:tc>
          <w:tcPr>
            <w:tcW w:w="1417" w:type="dxa"/>
            <w:noWrap w:val="0"/>
            <w:vAlign w:val="center"/>
          </w:tcPr>
          <w:p w14:paraId="566451CF">
            <w:pPr>
              <w:jc w:val="center"/>
              <w:rPr>
                <w:rFonts w:hint="default" w:ascii="Times New Roman" w:hAnsi="Times New Roman" w:eastAsia="宋体" w:cs="Times New Roman"/>
                <w:color w:val="auto"/>
                <w:kern w:val="0"/>
                <w:highlight w:val="none"/>
                <w:u w:val="none"/>
              </w:rPr>
            </w:pPr>
            <w:r>
              <w:rPr>
                <w:rFonts w:hint="default" w:ascii="Times New Roman" w:hAnsi="Times New Roman" w:eastAsia="宋体" w:cs="Times New Roman"/>
                <w:color w:val="auto"/>
                <w:kern w:val="0"/>
                <w:highlight w:val="none"/>
                <w:u w:val="none"/>
                <w:lang w:val="en-US" w:eastAsia="zh-CN"/>
              </w:rPr>
              <w:t>颗粒物</w:t>
            </w:r>
          </w:p>
        </w:tc>
        <w:tc>
          <w:tcPr>
            <w:tcW w:w="1701" w:type="dxa"/>
            <w:noWrap w:val="0"/>
            <w:vAlign w:val="center"/>
          </w:tcPr>
          <w:p w14:paraId="39AAF896">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1D967C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1" w:type="dxa"/>
            <w:noWrap w:val="0"/>
            <w:vAlign w:val="center"/>
          </w:tcPr>
          <w:p w14:paraId="20F668D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2537DD7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0.279</w:t>
            </w:r>
          </w:p>
        </w:tc>
        <w:tc>
          <w:tcPr>
            <w:tcW w:w="1761" w:type="dxa"/>
            <w:noWrap w:val="0"/>
            <w:vAlign w:val="center"/>
          </w:tcPr>
          <w:p w14:paraId="5E7704A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noWrap w:val="0"/>
            <w:vAlign w:val="center"/>
          </w:tcPr>
          <w:p w14:paraId="7607739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0.279</w:t>
            </w:r>
          </w:p>
        </w:tc>
        <w:tc>
          <w:tcPr>
            <w:tcW w:w="1110" w:type="dxa"/>
            <w:noWrap w:val="0"/>
            <w:vAlign w:val="center"/>
          </w:tcPr>
          <w:p w14:paraId="1B8D1C3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1AF5A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21C31A14">
            <w:pPr>
              <w:jc w:val="center"/>
              <w:rPr>
                <w:rFonts w:hint="default" w:ascii="Times New Roman" w:hAnsi="Times New Roman" w:cs="Times New Roman"/>
                <w:color w:val="auto"/>
                <w:kern w:val="0"/>
                <w:highlight w:val="none"/>
                <w:u w:val="none"/>
              </w:rPr>
            </w:pPr>
          </w:p>
        </w:tc>
        <w:tc>
          <w:tcPr>
            <w:tcW w:w="1417" w:type="dxa"/>
            <w:noWrap w:val="0"/>
            <w:vAlign w:val="center"/>
          </w:tcPr>
          <w:p w14:paraId="278AD7E1">
            <w:pPr>
              <w:jc w:val="center"/>
              <w:rPr>
                <w:rFonts w:hint="default" w:ascii="Times New Roman" w:hAnsi="Times New Roman" w:eastAsia="宋体" w:cs="Times New Roman"/>
                <w:color w:val="auto"/>
                <w:kern w:val="0"/>
                <w:highlight w:val="none"/>
                <w:u w:val="none"/>
              </w:rPr>
            </w:pPr>
            <w:r>
              <w:rPr>
                <w:rFonts w:hint="default" w:ascii="Times New Roman" w:hAnsi="Times New Roman" w:eastAsia="宋体" w:cs="Times New Roman"/>
                <w:color w:val="auto"/>
                <w:kern w:val="0"/>
                <w:highlight w:val="none"/>
                <w:u w:val="none"/>
                <w:lang w:val="en-US" w:eastAsia="zh-CN"/>
              </w:rPr>
              <w:t>SO</w:t>
            </w:r>
            <w:r>
              <w:rPr>
                <w:rFonts w:hint="default" w:ascii="Times New Roman" w:hAnsi="Times New Roman" w:eastAsia="宋体" w:cs="Times New Roman"/>
                <w:color w:val="auto"/>
                <w:kern w:val="0"/>
                <w:highlight w:val="none"/>
                <w:u w:val="none"/>
                <w:vertAlign w:val="subscript"/>
                <w:lang w:val="en-US" w:eastAsia="zh-CN"/>
              </w:rPr>
              <w:t>2</w:t>
            </w:r>
          </w:p>
        </w:tc>
        <w:tc>
          <w:tcPr>
            <w:tcW w:w="1701" w:type="dxa"/>
            <w:noWrap w:val="0"/>
            <w:vAlign w:val="center"/>
          </w:tcPr>
          <w:p w14:paraId="5C7CB09F">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03E0A9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1" w:type="dxa"/>
            <w:noWrap w:val="0"/>
            <w:vAlign w:val="center"/>
          </w:tcPr>
          <w:p w14:paraId="7EA988A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13EE6E0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3.46</w:t>
            </w:r>
          </w:p>
        </w:tc>
        <w:tc>
          <w:tcPr>
            <w:tcW w:w="1761" w:type="dxa"/>
            <w:noWrap w:val="0"/>
            <w:vAlign w:val="center"/>
          </w:tcPr>
          <w:p w14:paraId="77A12A9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noWrap w:val="0"/>
            <w:vAlign w:val="center"/>
          </w:tcPr>
          <w:p w14:paraId="252C4B4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3.46</w:t>
            </w:r>
          </w:p>
        </w:tc>
        <w:tc>
          <w:tcPr>
            <w:tcW w:w="1110" w:type="dxa"/>
            <w:noWrap w:val="0"/>
            <w:vAlign w:val="center"/>
          </w:tcPr>
          <w:p w14:paraId="2AC0CF6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00129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4F8179A6">
            <w:pPr>
              <w:jc w:val="center"/>
              <w:rPr>
                <w:rFonts w:hint="default" w:ascii="Times New Roman" w:hAnsi="Times New Roman" w:cs="Times New Roman"/>
                <w:color w:val="auto"/>
                <w:kern w:val="0"/>
                <w:highlight w:val="none"/>
                <w:u w:val="none"/>
              </w:rPr>
            </w:pPr>
          </w:p>
        </w:tc>
        <w:tc>
          <w:tcPr>
            <w:tcW w:w="1417" w:type="dxa"/>
            <w:noWrap w:val="0"/>
            <w:vAlign w:val="center"/>
          </w:tcPr>
          <w:p w14:paraId="18278E3F">
            <w:pPr>
              <w:jc w:val="center"/>
              <w:rPr>
                <w:rFonts w:hint="default" w:ascii="Times New Roman" w:hAnsi="Times New Roman" w:eastAsia="宋体" w:cs="Times New Roman"/>
                <w:color w:val="auto"/>
                <w:kern w:val="0"/>
                <w:highlight w:val="none"/>
                <w:u w:val="none"/>
              </w:rPr>
            </w:pPr>
            <w:r>
              <w:rPr>
                <w:rFonts w:hint="default" w:ascii="Times New Roman" w:hAnsi="Times New Roman" w:eastAsia="宋体" w:cs="Times New Roman"/>
                <w:color w:val="auto"/>
                <w:kern w:val="0"/>
                <w:highlight w:val="none"/>
                <w:u w:val="none"/>
                <w:lang w:val="en-US" w:eastAsia="zh-CN"/>
              </w:rPr>
              <w:t>NO</w:t>
            </w:r>
            <w:r>
              <w:rPr>
                <w:rFonts w:hint="default" w:ascii="Times New Roman" w:hAnsi="Times New Roman" w:eastAsia="宋体" w:cs="Times New Roman"/>
                <w:color w:val="auto"/>
                <w:kern w:val="0"/>
                <w:highlight w:val="none"/>
                <w:u w:val="none"/>
                <w:vertAlign w:val="subscript"/>
                <w:lang w:val="en-US" w:eastAsia="zh-CN"/>
              </w:rPr>
              <w:t>X</w:t>
            </w:r>
          </w:p>
        </w:tc>
        <w:tc>
          <w:tcPr>
            <w:tcW w:w="1701" w:type="dxa"/>
            <w:noWrap w:val="0"/>
            <w:vAlign w:val="center"/>
          </w:tcPr>
          <w:p w14:paraId="29C659BF">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7025C6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1" w:type="dxa"/>
            <w:noWrap w:val="0"/>
            <w:vAlign w:val="center"/>
          </w:tcPr>
          <w:p w14:paraId="765CC64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6F8F6D3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10.934</w:t>
            </w:r>
          </w:p>
        </w:tc>
        <w:tc>
          <w:tcPr>
            <w:tcW w:w="1761" w:type="dxa"/>
            <w:noWrap w:val="0"/>
            <w:vAlign w:val="center"/>
          </w:tcPr>
          <w:p w14:paraId="70FFEF3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noWrap w:val="0"/>
            <w:vAlign w:val="center"/>
          </w:tcPr>
          <w:p w14:paraId="6054354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10.934</w:t>
            </w:r>
          </w:p>
        </w:tc>
        <w:tc>
          <w:tcPr>
            <w:tcW w:w="1110" w:type="dxa"/>
            <w:noWrap w:val="0"/>
            <w:vAlign w:val="center"/>
          </w:tcPr>
          <w:p w14:paraId="67A55F7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1C9AF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766683A5">
            <w:pPr>
              <w:jc w:val="center"/>
              <w:rPr>
                <w:rFonts w:hint="default" w:ascii="Times New Roman" w:hAnsi="Times New Roman" w:cs="Times New Roman"/>
                <w:color w:val="auto"/>
                <w:kern w:val="0"/>
                <w:highlight w:val="none"/>
                <w:u w:val="none"/>
              </w:rPr>
            </w:pPr>
          </w:p>
        </w:tc>
        <w:tc>
          <w:tcPr>
            <w:tcW w:w="1417" w:type="dxa"/>
            <w:noWrap w:val="0"/>
            <w:vAlign w:val="center"/>
          </w:tcPr>
          <w:p w14:paraId="3E581C31">
            <w:pPr>
              <w:jc w:val="center"/>
              <w:rPr>
                <w:rFonts w:hint="default" w:ascii="Times New Roman" w:hAnsi="Times New Roman" w:eastAsia="宋体" w:cs="Times New Roman"/>
                <w:color w:val="auto"/>
                <w:kern w:val="0"/>
                <w:highlight w:val="none"/>
                <w:u w:val="none"/>
                <w:vertAlign w:val="subscript"/>
                <w:lang w:val="en-US" w:eastAsia="zh-CN"/>
              </w:rPr>
            </w:pPr>
            <w:r>
              <w:rPr>
                <w:rFonts w:hint="default" w:ascii="Times New Roman" w:hAnsi="Times New Roman" w:cs="Times New Roman"/>
                <w:color w:val="auto"/>
                <w:kern w:val="0"/>
                <w:highlight w:val="none"/>
                <w:u w:val="none"/>
                <w:lang w:val="en-US" w:eastAsia="zh-CN"/>
              </w:rPr>
              <w:t>NH</w:t>
            </w:r>
            <w:r>
              <w:rPr>
                <w:rFonts w:hint="default" w:ascii="Times New Roman" w:hAnsi="Times New Roman" w:cs="Times New Roman"/>
                <w:color w:val="auto"/>
                <w:kern w:val="0"/>
                <w:highlight w:val="none"/>
                <w:u w:val="none"/>
                <w:vertAlign w:val="subscript"/>
                <w:lang w:val="en-US" w:eastAsia="zh-CN"/>
              </w:rPr>
              <w:t>3</w:t>
            </w:r>
          </w:p>
        </w:tc>
        <w:tc>
          <w:tcPr>
            <w:tcW w:w="1701" w:type="dxa"/>
            <w:noWrap w:val="0"/>
            <w:vAlign w:val="center"/>
          </w:tcPr>
          <w:p w14:paraId="23CC6634">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47E590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1" w:type="dxa"/>
            <w:noWrap w:val="0"/>
            <w:vAlign w:val="center"/>
          </w:tcPr>
          <w:p w14:paraId="78B20DC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2868E68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24.312</w:t>
            </w:r>
          </w:p>
        </w:tc>
        <w:tc>
          <w:tcPr>
            <w:tcW w:w="1761" w:type="dxa"/>
            <w:noWrap w:val="0"/>
            <w:vAlign w:val="center"/>
          </w:tcPr>
          <w:p w14:paraId="1AD0453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noWrap w:val="0"/>
            <w:vAlign w:val="center"/>
          </w:tcPr>
          <w:p w14:paraId="6CDFFDE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24.312</w:t>
            </w:r>
          </w:p>
        </w:tc>
        <w:tc>
          <w:tcPr>
            <w:tcW w:w="1110" w:type="dxa"/>
            <w:noWrap w:val="0"/>
            <w:vAlign w:val="center"/>
          </w:tcPr>
          <w:p w14:paraId="6A7A1DF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10CCB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1F827CDD">
            <w:pPr>
              <w:jc w:val="center"/>
              <w:rPr>
                <w:rFonts w:hint="default" w:ascii="Times New Roman" w:hAnsi="Times New Roman" w:cs="Times New Roman"/>
                <w:color w:val="auto"/>
                <w:kern w:val="0"/>
                <w:highlight w:val="none"/>
                <w:u w:val="none"/>
              </w:rPr>
            </w:pPr>
          </w:p>
        </w:tc>
        <w:tc>
          <w:tcPr>
            <w:tcW w:w="1417" w:type="dxa"/>
            <w:noWrap w:val="0"/>
            <w:vAlign w:val="center"/>
          </w:tcPr>
          <w:p w14:paraId="0E3ED08D">
            <w:pPr>
              <w:jc w:val="center"/>
              <w:rPr>
                <w:rFonts w:hint="default" w:ascii="Times New Roman" w:hAnsi="Times New Roman" w:eastAsia="宋体" w:cs="Times New Roman"/>
                <w:color w:val="auto"/>
                <w:kern w:val="0"/>
                <w:highlight w:val="none"/>
                <w:u w:val="none"/>
                <w:vertAlign w:val="baseline"/>
                <w:lang w:val="en-US" w:eastAsia="zh-CN"/>
              </w:rPr>
            </w:pPr>
            <w:r>
              <w:rPr>
                <w:rFonts w:hint="default" w:ascii="Times New Roman" w:hAnsi="Times New Roman" w:cs="Times New Roman"/>
                <w:color w:val="auto"/>
                <w:kern w:val="0"/>
                <w:highlight w:val="none"/>
                <w:u w:val="none"/>
                <w:lang w:val="en-US" w:eastAsia="zh-CN"/>
              </w:rPr>
              <w:t>H</w:t>
            </w:r>
            <w:r>
              <w:rPr>
                <w:rFonts w:hint="default" w:ascii="Times New Roman" w:hAnsi="Times New Roman" w:cs="Times New Roman"/>
                <w:color w:val="auto"/>
                <w:kern w:val="0"/>
                <w:highlight w:val="none"/>
                <w:u w:val="none"/>
                <w:vertAlign w:val="subscript"/>
                <w:lang w:val="en-US" w:eastAsia="zh-CN"/>
              </w:rPr>
              <w:t>2</w:t>
            </w:r>
            <w:r>
              <w:rPr>
                <w:rFonts w:hint="default" w:ascii="Times New Roman" w:hAnsi="Times New Roman" w:cs="Times New Roman"/>
                <w:color w:val="auto"/>
                <w:kern w:val="0"/>
                <w:highlight w:val="none"/>
                <w:u w:val="none"/>
                <w:vertAlign w:val="baseline"/>
                <w:lang w:val="en-US" w:eastAsia="zh-CN"/>
              </w:rPr>
              <w:t>S</w:t>
            </w:r>
          </w:p>
        </w:tc>
        <w:tc>
          <w:tcPr>
            <w:tcW w:w="1701" w:type="dxa"/>
            <w:noWrap w:val="0"/>
            <w:vAlign w:val="center"/>
          </w:tcPr>
          <w:p w14:paraId="7CFBFC5C">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730568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01" w:type="dxa"/>
            <w:noWrap w:val="0"/>
            <w:vAlign w:val="center"/>
          </w:tcPr>
          <w:p w14:paraId="4E29547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2770156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1.472</w:t>
            </w:r>
          </w:p>
        </w:tc>
        <w:tc>
          <w:tcPr>
            <w:tcW w:w="1761" w:type="dxa"/>
            <w:noWrap w:val="0"/>
            <w:vAlign w:val="center"/>
          </w:tcPr>
          <w:p w14:paraId="7913C1D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noWrap w:val="0"/>
            <w:vAlign w:val="center"/>
          </w:tcPr>
          <w:p w14:paraId="0841E1A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1.472</w:t>
            </w:r>
          </w:p>
        </w:tc>
        <w:tc>
          <w:tcPr>
            <w:tcW w:w="1110" w:type="dxa"/>
            <w:noWrap w:val="0"/>
            <w:vAlign w:val="center"/>
          </w:tcPr>
          <w:p w14:paraId="57D83B7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53DAE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noWrap w:val="0"/>
            <w:vAlign w:val="center"/>
          </w:tcPr>
          <w:p w14:paraId="45828DCC">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废水</w:t>
            </w:r>
          </w:p>
        </w:tc>
        <w:tc>
          <w:tcPr>
            <w:tcW w:w="1417" w:type="dxa"/>
            <w:noWrap w:val="0"/>
            <w:vAlign w:val="center"/>
          </w:tcPr>
          <w:p w14:paraId="04A37C3E">
            <w:pPr>
              <w:pStyle w:val="77"/>
              <w:bidi w:val="0"/>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w:t>
            </w:r>
          </w:p>
        </w:tc>
        <w:tc>
          <w:tcPr>
            <w:tcW w:w="1701" w:type="dxa"/>
            <w:noWrap w:val="0"/>
            <w:vAlign w:val="center"/>
          </w:tcPr>
          <w:p w14:paraId="2917FB75">
            <w:pPr>
              <w:pStyle w:val="77"/>
              <w:bidi w:val="0"/>
              <w:rPr>
                <w:rFonts w:hint="default" w:ascii="Times New Roman" w:hAnsi="Times New Roman" w:eastAsia="宋体" w:cs="Times New Roman"/>
                <w:bCs/>
                <w:color w:val="auto"/>
                <w:kern w:val="0"/>
                <w:highlight w:val="none"/>
                <w:u w:val="none"/>
                <w:lang w:val="en-US" w:eastAsia="zh-CN"/>
              </w:rPr>
            </w:pPr>
            <w:r>
              <w:rPr>
                <w:rFonts w:hint="default" w:ascii="Times New Roman" w:hAnsi="Times New Roman" w:cs="Times New Roman"/>
                <w:bCs/>
                <w:color w:val="auto"/>
                <w:kern w:val="0"/>
                <w:highlight w:val="none"/>
                <w:u w:val="none"/>
                <w:lang w:val="en-US" w:eastAsia="zh-CN"/>
              </w:rPr>
              <w:t>/</w:t>
            </w:r>
          </w:p>
        </w:tc>
        <w:tc>
          <w:tcPr>
            <w:tcW w:w="1276" w:type="dxa"/>
            <w:noWrap w:val="0"/>
            <w:vAlign w:val="center"/>
          </w:tcPr>
          <w:p w14:paraId="552B6E04">
            <w:pPr>
              <w:jc w:val="center"/>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color w:val="auto"/>
                <w:kern w:val="0"/>
                <w:highlight w:val="none"/>
                <w:u w:val="none"/>
                <w:lang w:val="en-US" w:eastAsia="zh-CN"/>
              </w:rPr>
              <w:t>/</w:t>
            </w:r>
          </w:p>
        </w:tc>
        <w:tc>
          <w:tcPr>
            <w:tcW w:w="1701" w:type="dxa"/>
            <w:noWrap w:val="0"/>
            <w:vAlign w:val="center"/>
          </w:tcPr>
          <w:p w14:paraId="0A01113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w:t>
            </w:r>
          </w:p>
        </w:tc>
        <w:tc>
          <w:tcPr>
            <w:tcW w:w="1559" w:type="dxa"/>
            <w:noWrap w:val="0"/>
            <w:vAlign w:val="center"/>
          </w:tcPr>
          <w:p w14:paraId="1667756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w:t>
            </w:r>
          </w:p>
        </w:tc>
        <w:tc>
          <w:tcPr>
            <w:tcW w:w="1761" w:type="dxa"/>
            <w:noWrap w:val="0"/>
            <w:vAlign w:val="center"/>
          </w:tcPr>
          <w:p w14:paraId="41A11F5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w:t>
            </w:r>
          </w:p>
        </w:tc>
        <w:tc>
          <w:tcPr>
            <w:tcW w:w="1675" w:type="dxa"/>
            <w:noWrap w:val="0"/>
            <w:vAlign w:val="center"/>
          </w:tcPr>
          <w:p w14:paraId="5DACA6A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w:t>
            </w:r>
          </w:p>
        </w:tc>
        <w:tc>
          <w:tcPr>
            <w:tcW w:w="1110" w:type="dxa"/>
            <w:noWrap w:val="0"/>
            <w:vAlign w:val="center"/>
          </w:tcPr>
          <w:p w14:paraId="202CE8A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w:t>
            </w:r>
          </w:p>
        </w:tc>
      </w:tr>
      <w:tr w14:paraId="2FE97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14:paraId="2D49612E">
            <w:pPr>
              <w:jc w:val="center"/>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固体废物</w:t>
            </w:r>
          </w:p>
        </w:tc>
        <w:tc>
          <w:tcPr>
            <w:tcW w:w="1417" w:type="dxa"/>
            <w:noWrap w:val="0"/>
            <w:vAlign w:val="center"/>
          </w:tcPr>
          <w:p w14:paraId="1EB4CB3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分离废料</w:t>
            </w:r>
          </w:p>
        </w:tc>
        <w:tc>
          <w:tcPr>
            <w:tcW w:w="1701" w:type="dxa"/>
            <w:noWrap w:val="0"/>
            <w:vAlign w:val="center"/>
          </w:tcPr>
          <w:p w14:paraId="750CEC41">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0EB0B643">
            <w:pPr>
              <w:jc w:val="center"/>
              <w:rPr>
                <w:rFonts w:hint="default" w:ascii="Times New Roman" w:hAnsi="Times New Roman" w:eastAsia="宋体" w:cs="Times New Roman"/>
                <w:color w:val="auto"/>
                <w:kern w:val="0"/>
                <w:highlight w:val="none"/>
                <w:u w:val="none"/>
                <w:lang w:val="en-US" w:eastAsia="zh-CN"/>
              </w:rPr>
            </w:pPr>
          </w:p>
        </w:tc>
        <w:tc>
          <w:tcPr>
            <w:tcW w:w="1701" w:type="dxa"/>
            <w:noWrap w:val="0"/>
            <w:vAlign w:val="center"/>
          </w:tcPr>
          <w:p w14:paraId="2E25063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4639D57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73</w:t>
            </w:r>
          </w:p>
        </w:tc>
        <w:tc>
          <w:tcPr>
            <w:tcW w:w="1761" w:type="dxa"/>
            <w:noWrap w:val="0"/>
            <w:vAlign w:val="center"/>
          </w:tcPr>
          <w:p w14:paraId="38BE7AA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noWrap w:val="0"/>
            <w:vAlign w:val="center"/>
          </w:tcPr>
          <w:p w14:paraId="01E8AB4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73</w:t>
            </w:r>
          </w:p>
        </w:tc>
        <w:tc>
          <w:tcPr>
            <w:tcW w:w="1110" w:type="dxa"/>
            <w:noWrap w:val="0"/>
            <w:vAlign w:val="center"/>
          </w:tcPr>
          <w:p w14:paraId="5A018A9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0C2A8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1975CBC8">
            <w:pPr>
              <w:jc w:val="center"/>
              <w:rPr>
                <w:rFonts w:hint="default" w:ascii="Times New Roman" w:hAnsi="Times New Roman" w:cs="Times New Roman"/>
                <w:color w:val="auto"/>
                <w:kern w:val="0"/>
                <w:highlight w:val="none"/>
                <w:u w:val="none"/>
              </w:rPr>
            </w:pPr>
          </w:p>
        </w:tc>
        <w:tc>
          <w:tcPr>
            <w:tcW w:w="1417" w:type="dxa"/>
            <w:noWrap w:val="0"/>
            <w:vAlign w:val="center"/>
          </w:tcPr>
          <w:p w14:paraId="1309004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废砂石</w:t>
            </w:r>
          </w:p>
        </w:tc>
        <w:tc>
          <w:tcPr>
            <w:tcW w:w="1701" w:type="dxa"/>
            <w:noWrap w:val="0"/>
            <w:vAlign w:val="center"/>
          </w:tcPr>
          <w:p w14:paraId="4F5DF88B">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6548885A">
            <w:pPr>
              <w:jc w:val="center"/>
              <w:rPr>
                <w:rFonts w:hint="default" w:ascii="Times New Roman" w:hAnsi="Times New Roman" w:eastAsia="宋体" w:cs="Times New Roman"/>
                <w:color w:val="auto"/>
                <w:kern w:val="0"/>
                <w:highlight w:val="none"/>
                <w:u w:val="none"/>
                <w:lang w:val="en-US" w:eastAsia="zh-CN"/>
              </w:rPr>
            </w:pPr>
          </w:p>
        </w:tc>
        <w:tc>
          <w:tcPr>
            <w:tcW w:w="1701" w:type="dxa"/>
            <w:noWrap w:val="0"/>
            <w:vAlign w:val="center"/>
          </w:tcPr>
          <w:p w14:paraId="4E7BBC9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1313EB8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36.5</w:t>
            </w:r>
          </w:p>
        </w:tc>
        <w:tc>
          <w:tcPr>
            <w:tcW w:w="1761" w:type="dxa"/>
            <w:noWrap w:val="0"/>
            <w:vAlign w:val="center"/>
          </w:tcPr>
          <w:p w14:paraId="14FBCC3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noWrap w:val="0"/>
            <w:vAlign w:val="center"/>
          </w:tcPr>
          <w:p w14:paraId="3BA8504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36.5</w:t>
            </w:r>
          </w:p>
        </w:tc>
        <w:tc>
          <w:tcPr>
            <w:tcW w:w="1110" w:type="dxa"/>
            <w:noWrap w:val="0"/>
            <w:vAlign w:val="center"/>
          </w:tcPr>
          <w:p w14:paraId="0609DFF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0088D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65BFF055">
            <w:pPr>
              <w:jc w:val="center"/>
              <w:rPr>
                <w:rFonts w:hint="default" w:ascii="Times New Roman" w:hAnsi="Times New Roman" w:cs="Times New Roman"/>
                <w:color w:val="auto"/>
                <w:kern w:val="0"/>
                <w:highlight w:val="none"/>
                <w:u w:val="none"/>
              </w:rPr>
            </w:pPr>
          </w:p>
        </w:tc>
        <w:tc>
          <w:tcPr>
            <w:tcW w:w="1417" w:type="dxa"/>
            <w:noWrap w:val="0"/>
            <w:vAlign w:val="center"/>
          </w:tcPr>
          <w:p w14:paraId="300BB89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废脱硫剂</w:t>
            </w:r>
          </w:p>
        </w:tc>
        <w:tc>
          <w:tcPr>
            <w:tcW w:w="1701" w:type="dxa"/>
            <w:noWrap w:val="0"/>
            <w:vAlign w:val="center"/>
          </w:tcPr>
          <w:p w14:paraId="7913AE6D">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46C02551">
            <w:pPr>
              <w:jc w:val="center"/>
              <w:rPr>
                <w:rFonts w:hint="default" w:ascii="Times New Roman" w:hAnsi="Times New Roman" w:eastAsia="宋体" w:cs="Times New Roman"/>
                <w:color w:val="auto"/>
                <w:kern w:val="0"/>
                <w:highlight w:val="none"/>
                <w:u w:val="none"/>
                <w:lang w:val="en-US" w:eastAsia="zh-CN"/>
              </w:rPr>
            </w:pPr>
          </w:p>
        </w:tc>
        <w:tc>
          <w:tcPr>
            <w:tcW w:w="1701" w:type="dxa"/>
            <w:noWrap w:val="0"/>
            <w:vAlign w:val="center"/>
          </w:tcPr>
          <w:p w14:paraId="7EC7C9D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4878084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26</w:t>
            </w:r>
          </w:p>
        </w:tc>
        <w:tc>
          <w:tcPr>
            <w:tcW w:w="1761" w:type="dxa"/>
            <w:noWrap w:val="0"/>
            <w:vAlign w:val="center"/>
          </w:tcPr>
          <w:p w14:paraId="7D5205C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noWrap w:val="0"/>
            <w:vAlign w:val="center"/>
          </w:tcPr>
          <w:p w14:paraId="3683551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26</w:t>
            </w:r>
          </w:p>
        </w:tc>
        <w:tc>
          <w:tcPr>
            <w:tcW w:w="1110" w:type="dxa"/>
            <w:noWrap w:val="0"/>
            <w:vAlign w:val="center"/>
          </w:tcPr>
          <w:p w14:paraId="180E32B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12829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3B437AD8">
            <w:pPr>
              <w:jc w:val="center"/>
              <w:rPr>
                <w:rFonts w:hint="default" w:ascii="Times New Roman" w:hAnsi="Times New Roman" w:cs="Times New Roman"/>
                <w:color w:val="auto"/>
                <w:kern w:val="0"/>
                <w:highlight w:val="none"/>
                <w:u w:val="none"/>
              </w:rPr>
            </w:pPr>
          </w:p>
        </w:tc>
        <w:tc>
          <w:tcPr>
            <w:tcW w:w="1417" w:type="dxa"/>
            <w:noWrap w:val="0"/>
            <w:vAlign w:val="center"/>
          </w:tcPr>
          <w:p w14:paraId="52373E6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废机油</w:t>
            </w:r>
          </w:p>
        </w:tc>
        <w:tc>
          <w:tcPr>
            <w:tcW w:w="1701" w:type="dxa"/>
            <w:noWrap w:val="0"/>
            <w:vAlign w:val="center"/>
          </w:tcPr>
          <w:p w14:paraId="5EC63CA8">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68FB9D99">
            <w:pPr>
              <w:jc w:val="center"/>
              <w:rPr>
                <w:rFonts w:hint="default" w:ascii="Times New Roman" w:hAnsi="Times New Roman" w:eastAsia="宋体" w:cs="Times New Roman"/>
                <w:color w:val="auto"/>
                <w:kern w:val="0"/>
                <w:highlight w:val="none"/>
                <w:u w:val="none"/>
                <w:lang w:val="en-US" w:eastAsia="zh-CN"/>
              </w:rPr>
            </w:pPr>
          </w:p>
        </w:tc>
        <w:tc>
          <w:tcPr>
            <w:tcW w:w="1701" w:type="dxa"/>
            <w:noWrap w:val="0"/>
            <w:vAlign w:val="center"/>
          </w:tcPr>
          <w:p w14:paraId="03FF111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596875C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0.5</w:t>
            </w:r>
          </w:p>
        </w:tc>
        <w:tc>
          <w:tcPr>
            <w:tcW w:w="1761" w:type="dxa"/>
            <w:noWrap w:val="0"/>
            <w:vAlign w:val="center"/>
          </w:tcPr>
          <w:p w14:paraId="18A1C1A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noWrap w:val="0"/>
            <w:vAlign w:val="center"/>
          </w:tcPr>
          <w:p w14:paraId="51CC8F5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0.5</w:t>
            </w:r>
          </w:p>
        </w:tc>
        <w:tc>
          <w:tcPr>
            <w:tcW w:w="1110" w:type="dxa"/>
            <w:noWrap w:val="0"/>
            <w:vAlign w:val="center"/>
          </w:tcPr>
          <w:p w14:paraId="30DAE12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5998B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614D10CE">
            <w:pPr>
              <w:jc w:val="center"/>
              <w:rPr>
                <w:rFonts w:hint="default" w:ascii="Times New Roman" w:hAnsi="Times New Roman" w:cs="Times New Roman"/>
                <w:color w:val="auto"/>
                <w:kern w:val="0"/>
                <w:highlight w:val="none"/>
                <w:u w:val="none"/>
              </w:rPr>
            </w:pPr>
          </w:p>
        </w:tc>
        <w:tc>
          <w:tcPr>
            <w:tcW w:w="1417" w:type="dxa"/>
            <w:noWrap w:val="0"/>
            <w:vAlign w:val="center"/>
          </w:tcPr>
          <w:p w14:paraId="245644B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废滤材及废树脂</w:t>
            </w:r>
          </w:p>
        </w:tc>
        <w:tc>
          <w:tcPr>
            <w:tcW w:w="1701" w:type="dxa"/>
            <w:noWrap w:val="0"/>
            <w:vAlign w:val="center"/>
          </w:tcPr>
          <w:p w14:paraId="6CDAB7D5">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2573F579">
            <w:pPr>
              <w:jc w:val="center"/>
              <w:rPr>
                <w:rFonts w:hint="default" w:ascii="Times New Roman" w:hAnsi="Times New Roman" w:eastAsia="宋体" w:cs="Times New Roman"/>
                <w:color w:val="auto"/>
                <w:kern w:val="0"/>
                <w:highlight w:val="none"/>
                <w:u w:val="none"/>
                <w:lang w:val="en-US" w:eastAsia="zh-CN"/>
              </w:rPr>
            </w:pPr>
          </w:p>
        </w:tc>
        <w:tc>
          <w:tcPr>
            <w:tcW w:w="1701" w:type="dxa"/>
            <w:noWrap w:val="0"/>
            <w:vAlign w:val="center"/>
          </w:tcPr>
          <w:p w14:paraId="4342DD9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42C7403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0.006</w:t>
            </w:r>
          </w:p>
        </w:tc>
        <w:tc>
          <w:tcPr>
            <w:tcW w:w="1761" w:type="dxa"/>
            <w:noWrap w:val="0"/>
            <w:vAlign w:val="center"/>
          </w:tcPr>
          <w:p w14:paraId="42FC761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noWrap w:val="0"/>
            <w:vAlign w:val="center"/>
          </w:tcPr>
          <w:p w14:paraId="66E2A95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0.006</w:t>
            </w:r>
          </w:p>
        </w:tc>
        <w:tc>
          <w:tcPr>
            <w:tcW w:w="1110" w:type="dxa"/>
            <w:noWrap w:val="0"/>
            <w:vAlign w:val="center"/>
          </w:tcPr>
          <w:p w14:paraId="5096499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7286D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5A4C75BC">
            <w:pPr>
              <w:jc w:val="center"/>
              <w:rPr>
                <w:rFonts w:hint="default" w:ascii="Times New Roman" w:hAnsi="Times New Roman" w:cs="Times New Roman"/>
                <w:color w:val="auto"/>
                <w:kern w:val="0"/>
                <w:highlight w:val="none"/>
                <w:u w:val="none"/>
              </w:rPr>
            </w:pPr>
          </w:p>
        </w:tc>
        <w:tc>
          <w:tcPr>
            <w:tcW w:w="1417" w:type="dxa"/>
            <w:noWrap w:val="0"/>
            <w:vAlign w:val="center"/>
          </w:tcPr>
          <w:p w14:paraId="05342C0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废UV灯管</w:t>
            </w:r>
          </w:p>
        </w:tc>
        <w:tc>
          <w:tcPr>
            <w:tcW w:w="1701" w:type="dxa"/>
            <w:noWrap w:val="0"/>
            <w:vAlign w:val="center"/>
          </w:tcPr>
          <w:p w14:paraId="7F4B543D">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5D79919A">
            <w:pPr>
              <w:jc w:val="center"/>
              <w:rPr>
                <w:rFonts w:hint="default" w:ascii="Times New Roman" w:hAnsi="Times New Roman" w:eastAsia="宋体" w:cs="Times New Roman"/>
                <w:color w:val="auto"/>
                <w:kern w:val="0"/>
                <w:highlight w:val="none"/>
                <w:u w:val="none"/>
                <w:lang w:val="en-US" w:eastAsia="zh-CN"/>
              </w:rPr>
            </w:pPr>
          </w:p>
        </w:tc>
        <w:tc>
          <w:tcPr>
            <w:tcW w:w="1701" w:type="dxa"/>
            <w:noWrap w:val="0"/>
            <w:vAlign w:val="center"/>
          </w:tcPr>
          <w:p w14:paraId="05B1534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5CEE9657">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0.01</w:t>
            </w:r>
          </w:p>
        </w:tc>
        <w:tc>
          <w:tcPr>
            <w:tcW w:w="1761" w:type="dxa"/>
            <w:noWrap w:val="0"/>
            <w:vAlign w:val="center"/>
          </w:tcPr>
          <w:p w14:paraId="06EC41E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noWrap w:val="0"/>
            <w:vAlign w:val="center"/>
          </w:tcPr>
          <w:p w14:paraId="126A2723">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0.01</w:t>
            </w:r>
          </w:p>
        </w:tc>
        <w:tc>
          <w:tcPr>
            <w:tcW w:w="1110" w:type="dxa"/>
            <w:noWrap w:val="0"/>
            <w:vAlign w:val="center"/>
          </w:tcPr>
          <w:p w14:paraId="6CE20EB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6F545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05209B72">
            <w:pPr>
              <w:jc w:val="center"/>
              <w:rPr>
                <w:rFonts w:hint="default" w:ascii="Times New Roman" w:hAnsi="Times New Roman" w:cs="Times New Roman"/>
                <w:color w:val="auto"/>
                <w:kern w:val="0"/>
                <w:highlight w:val="none"/>
                <w:u w:val="none"/>
              </w:rPr>
            </w:pPr>
          </w:p>
        </w:tc>
        <w:tc>
          <w:tcPr>
            <w:tcW w:w="1417" w:type="dxa"/>
            <w:noWrap w:val="0"/>
            <w:vAlign w:val="center"/>
          </w:tcPr>
          <w:p w14:paraId="6FD17ED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检验室废液</w:t>
            </w:r>
          </w:p>
        </w:tc>
        <w:tc>
          <w:tcPr>
            <w:tcW w:w="1701" w:type="dxa"/>
            <w:noWrap w:val="0"/>
            <w:vAlign w:val="center"/>
          </w:tcPr>
          <w:p w14:paraId="1D6E57CD">
            <w:pPr>
              <w:jc w:val="center"/>
              <w:rPr>
                <w:rFonts w:hint="default" w:ascii="Times New Roman" w:hAnsi="Times New Roman" w:eastAsia="宋体" w:cs="Times New Roman"/>
                <w:color w:val="auto"/>
                <w:kern w:val="0"/>
                <w:highlight w:val="none"/>
                <w:u w:val="none"/>
                <w:lang w:val="en-US" w:eastAsia="zh-CN"/>
              </w:rPr>
            </w:pPr>
          </w:p>
        </w:tc>
        <w:tc>
          <w:tcPr>
            <w:tcW w:w="1276" w:type="dxa"/>
            <w:noWrap w:val="0"/>
            <w:vAlign w:val="center"/>
          </w:tcPr>
          <w:p w14:paraId="386E813C">
            <w:pPr>
              <w:jc w:val="center"/>
              <w:rPr>
                <w:rFonts w:hint="default" w:ascii="Times New Roman" w:hAnsi="Times New Roman" w:eastAsia="宋体" w:cs="Times New Roman"/>
                <w:color w:val="auto"/>
                <w:kern w:val="0"/>
                <w:highlight w:val="none"/>
                <w:u w:val="none"/>
                <w:lang w:val="en-US" w:eastAsia="zh-CN"/>
              </w:rPr>
            </w:pPr>
          </w:p>
        </w:tc>
        <w:tc>
          <w:tcPr>
            <w:tcW w:w="1701" w:type="dxa"/>
            <w:noWrap w:val="0"/>
            <w:vAlign w:val="center"/>
          </w:tcPr>
          <w:p w14:paraId="1EC415C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noWrap w:val="0"/>
            <w:vAlign w:val="center"/>
          </w:tcPr>
          <w:p w14:paraId="69B00A0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0.1</w:t>
            </w:r>
          </w:p>
        </w:tc>
        <w:tc>
          <w:tcPr>
            <w:tcW w:w="1761" w:type="dxa"/>
            <w:noWrap w:val="0"/>
            <w:vAlign w:val="center"/>
          </w:tcPr>
          <w:p w14:paraId="6DEBC8E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noWrap w:val="0"/>
            <w:vAlign w:val="center"/>
          </w:tcPr>
          <w:p w14:paraId="3B50D5B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0.1</w:t>
            </w:r>
          </w:p>
        </w:tc>
        <w:tc>
          <w:tcPr>
            <w:tcW w:w="1110" w:type="dxa"/>
            <w:noWrap w:val="0"/>
            <w:vAlign w:val="center"/>
          </w:tcPr>
          <w:p w14:paraId="20042FC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4B38C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14:paraId="6D130954">
            <w:pPr>
              <w:jc w:val="center"/>
              <w:rPr>
                <w:rFonts w:hint="default" w:ascii="Times New Roman" w:hAnsi="Times New Roman" w:cs="Times New Roman"/>
                <w:color w:val="auto"/>
                <w:kern w:val="0"/>
                <w:highlight w:val="none"/>
                <w:u w:val="none"/>
              </w:rPr>
            </w:pPr>
          </w:p>
        </w:tc>
        <w:tc>
          <w:tcPr>
            <w:tcW w:w="1417" w:type="dxa"/>
            <w:vAlign w:val="center"/>
          </w:tcPr>
          <w:p w14:paraId="027B70C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除尘灰</w:t>
            </w:r>
          </w:p>
        </w:tc>
        <w:tc>
          <w:tcPr>
            <w:tcW w:w="1701" w:type="dxa"/>
            <w:vAlign w:val="center"/>
          </w:tcPr>
          <w:p w14:paraId="40864388">
            <w:pPr>
              <w:jc w:val="center"/>
              <w:rPr>
                <w:rFonts w:hint="default" w:ascii="Times New Roman" w:hAnsi="Times New Roman" w:eastAsia="宋体" w:cs="Times New Roman"/>
                <w:color w:val="auto"/>
                <w:kern w:val="0"/>
                <w:highlight w:val="none"/>
                <w:u w:val="none"/>
                <w:lang w:val="en-US" w:eastAsia="zh-CN"/>
              </w:rPr>
            </w:pPr>
          </w:p>
        </w:tc>
        <w:tc>
          <w:tcPr>
            <w:tcW w:w="1276" w:type="dxa"/>
          </w:tcPr>
          <w:p w14:paraId="6ACDA422">
            <w:pPr>
              <w:jc w:val="center"/>
              <w:rPr>
                <w:rFonts w:hint="default" w:ascii="Times New Roman" w:hAnsi="Times New Roman" w:eastAsia="宋体" w:cs="Times New Roman"/>
                <w:color w:val="auto"/>
                <w:kern w:val="0"/>
                <w:highlight w:val="none"/>
                <w:u w:val="none"/>
                <w:lang w:val="en-US" w:eastAsia="zh-CN"/>
              </w:rPr>
            </w:pPr>
          </w:p>
        </w:tc>
        <w:tc>
          <w:tcPr>
            <w:tcW w:w="1701" w:type="dxa"/>
          </w:tcPr>
          <w:p w14:paraId="7108C1F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vAlign w:val="center"/>
          </w:tcPr>
          <w:p w14:paraId="4B3F289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6.49</w:t>
            </w:r>
          </w:p>
        </w:tc>
        <w:tc>
          <w:tcPr>
            <w:tcW w:w="1761" w:type="dxa"/>
          </w:tcPr>
          <w:p w14:paraId="6B874A6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vAlign w:val="center"/>
          </w:tcPr>
          <w:p w14:paraId="14DA157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6.49</w:t>
            </w:r>
          </w:p>
        </w:tc>
        <w:tc>
          <w:tcPr>
            <w:tcW w:w="1110" w:type="dxa"/>
            <w:vAlign w:val="center"/>
          </w:tcPr>
          <w:p w14:paraId="5750EE82">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796C8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14:paraId="28963E9A">
            <w:pPr>
              <w:jc w:val="center"/>
              <w:rPr>
                <w:rFonts w:hint="default" w:ascii="Times New Roman" w:hAnsi="Times New Roman" w:cs="Times New Roman"/>
                <w:color w:val="auto"/>
                <w:kern w:val="0"/>
                <w:highlight w:val="none"/>
                <w:u w:val="none"/>
              </w:rPr>
            </w:pPr>
          </w:p>
        </w:tc>
        <w:tc>
          <w:tcPr>
            <w:tcW w:w="1417" w:type="dxa"/>
            <w:vAlign w:val="center"/>
          </w:tcPr>
          <w:p w14:paraId="0DDDD43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cs="Times New Roman" w:eastAsiaTheme="minorEastAsia"/>
                <w:color w:val="auto"/>
                <w:sz w:val="21"/>
                <w:szCs w:val="21"/>
                <w:lang w:val="en-US" w:eastAsia="zh-CN"/>
              </w:rPr>
              <w:t>生物质燃烧灰</w:t>
            </w:r>
          </w:p>
        </w:tc>
        <w:tc>
          <w:tcPr>
            <w:tcW w:w="1701" w:type="dxa"/>
            <w:vAlign w:val="center"/>
          </w:tcPr>
          <w:p w14:paraId="2F507958">
            <w:pPr>
              <w:jc w:val="center"/>
              <w:rPr>
                <w:rFonts w:hint="default" w:ascii="Times New Roman" w:hAnsi="Times New Roman" w:eastAsia="宋体" w:cs="Times New Roman"/>
                <w:color w:val="auto"/>
                <w:kern w:val="0"/>
                <w:highlight w:val="none"/>
                <w:u w:val="none"/>
                <w:lang w:val="en-US" w:eastAsia="zh-CN"/>
              </w:rPr>
            </w:pPr>
          </w:p>
        </w:tc>
        <w:tc>
          <w:tcPr>
            <w:tcW w:w="1276" w:type="dxa"/>
          </w:tcPr>
          <w:p w14:paraId="23BF64CA">
            <w:pPr>
              <w:jc w:val="center"/>
              <w:rPr>
                <w:rFonts w:hint="default" w:ascii="Times New Roman" w:hAnsi="Times New Roman" w:eastAsia="宋体" w:cs="Times New Roman"/>
                <w:color w:val="auto"/>
                <w:kern w:val="0"/>
                <w:highlight w:val="none"/>
                <w:u w:val="none"/>
                <w:lang w:val="en-US" w:eastAsia="zh-CN"/>
              </w:rPr>
            </w:pPr>
          </w:p>
        </w:tc>
        <w:tc>
          <w:tcPr>
            <w:tcW w:w="1701" w:type="dxa"/>
          </w:tcPr>
          <w:p w14:paraId="18F4FE9E">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vAlign w:val="center"/>
          </w:tcPr>
          <w:p w14:paraId="0860D71B">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0.15</w:t>
            </w:r>
          </w:p>
        </w:tc>
        <w:tc>
          <w:tcPr>
            <w:tcW w:w="1761" w:type="dxa"/>
          </w:tcPr>
          <w:p w14:paraId="5D6A35D9">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vAlign w:val="center"/>
          </w:tcPr>
          <w:p w14:paraId="7A4E5EC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0.15</w:t>
            </w:r>
          </w:p>
        </w:tc>
        <w:tc>
          <w:tcPr>
            <w:tcW w:w="1110" w:type="dxa"/>
            <w:vAlign w:val="center"/>
          </w:tcPr>
          <w:p w14:paraId="26BFD69A">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593D2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14:paraId="5FCE7DB6">
            <w:pPr>
              <w:jc w:val="center"/>
              <w:rPr>
                <w:rFonts w:hint="default" w:ascii="Times New Roman" w:hAnsi="Times New Roman" w:cs="Times New Roman"/>
                <w:color w:val="auto"/>
                <w:kern w:val="0"/>
                <w:highlight w:val="none"/>
                <w:u w:val="none"/>
              </w:rPr>
            </w:pPr>
          </w:p>
        </w:tc>
        <w:tc>
          <w:tcPr>
            <w:tcW w:w="1417" w:type="dxa"/>
            <w:vAlign w:val="center"/>
          </w:tcPr>
          <w:p w14:paraId="447E77E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废包装材料</w:t>
            </w:r>
          </w:p>
        </w:tc>
        <w:tc>
          <w:tcPr>
            <w:tcW w:w="1701" w:type="dxa"/>
            <w:vAlign w:val="center"/>
          </w:tcPr>
          <w:p w14:paraId="278A59EC">
            <w:pPr>
              <w:jc w:val="center"/>
              <w:rPr>
                <w:rFonts w:hint="default" w:ascii="Times New Roman" w:hAnsi="Times New Roman" w:eastAsia="宋体" w:cs="Times New Roman"/>
                <w:color w:val="auto"/>
                <w:kern w:val="0"/>
                <w:highlight w:val="none"/>
                <w:u w:val="none"/>
                <w:lang w:val="en-US" w:eastAsia="zh-CN"/>
              </w:rPr>
            </w:pPr>
          </w:p>
        </w:tc>
        <w:tc>
          <w:tcPr>
            <w:tcW w:w="1276" w:type="dxa"/>
          </w:tcPr>
          <w:p w14:paraId="0A6750CC">
            <w:pPr>
              <w:jc w:val="center"/>
              <w:rPr>
                <w:rFonts w:hint="default" w:ascii="Times New Roman" w:hAnsi="Times New Roman" w:eastAsia="宋体" w:cs="Times New Roman"/>
                <w:color w:val="auto"/>
                <w:kern w:val="0"/>
                <w:highlight w:val="none"/>
                <w:u w:val="none"/>
                <w:lang w:val="en-US" w:eastAsia="zh-CN"/>
              </w:rPr>
            </w:pPr>
          </w:p>
        </w:tc>
        <w:tc>
          <w:tcPr>
            <w:tcW w:w="1701" w:type="dxa"/>
          </w:tcPr>
          <w:p w14:paraId="4DC2C816">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vAlign w:val="center"/>
          </w:tcPr>
          <w:p w14:paraId="7A30AFD1">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0.82</w:t>
            </w:r>
          </w:p>
        </w:tc>
        <w:tc>
          <w:tcPr>
            <w:tcW w:w="1761" w:type="dxa"/>
          </w:tcPr>
          <w:p w14:paraId="1F48B65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vAlign w:val="center"/>
          </w:tcPr>
          <w:p w14:paraId="589F9080">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0.82</w:t>
            </w:r>
          </w:p>
        </w:tc>
        <w:tc>
          <w:tcPr>
            <w:tcW w:w="1110" w:type="dxa"/>
            <w:vAlign w:val="center"/>
          </w:tcPr>
          <w:p w14:paraId="20A2A1C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r w14:paraId="0DC57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Pr>
          <w:p w14:paraId="21A5242B">
            <w:pPr>
              <w:jc w:val="center"/>
              <w:rPr>
                <w:rFonts w:hint="default" w:ascii="Times New Roman" w:hAnsi="Times New Roman" w:cs="Times New Roman"/>
                <w:color w:val="auto"/>
                <w:kern w:val="0"/>
                <w:highlight w:val="none"/>
                <w:u w:val="none"/>
              </w:rPr>
            </w:pPr>
          </w:p>
        </w:tc>
        <w:tc>
          <w:tcPr>
            <w:tcW w:w="1417" w:type="dxa"/>
            <w:vAlign w:val="center"/>
          </w:tcPr>
          <w:p w14:paraId="4553856C">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生活垃圾</w:t>
            </w:r>
          </w:p>
        </w:tc>
        <w:tc>
          <w:tcPr>
            <w:tcW w:w="1701" w:type="dxa"/>
            <w:vAlign w:val="center"/>
          </w:tcPr>
          <w:p w14:paraId="6FA50EAB">
            <w:pPr>
              <w:jc w:val="center"/>
              <w:rPr>
                <w:rFonts w:hint="default" w:ascii="Times New Roman" w:hAnsi="Times New Roman" w:eastAsia="宋体" w:cs="Times New Roman"/>
                <w:color w:val="auto"/>
                <w:kern w:val="0"/>
                <w:highlight w:val="none"/>
                <w:u w:val="none"/>
                <w:lang w:val="en-US" w:eastAsia="zh-CN"/>
              </w:rPr>
            </w:pPr>
          </w:p>
        </w:tc>
        <w:tc>
          <w:tcPr>
            <w:tcW w:w="1276" w:type="dxa"/>
          </w:tcPr>
          <w:p w14:paraId="7AC7B417">
            <w:pPr>
              <w:jc w:val="center"/>
              <w:rPr>
                <w:rFonts w:hint="default" w:ascii="Times New Roman" w:hAnsi="Times New Roman" w:eastAsia="宋体" w:cs="Times New Roman"/>
                <w:color w:val="auto"/>
                <w:kern w:val="0"/>
                <w:highlight w:val="none"/>
                <w:u w:val="none"/>
                <w:lang w:val="en-US" w:eastAsia="zh-CN"/>
              </w:rPr>
            </w:pPr>
          </w:p>
        </w:tc>
        <w:tc>
          <w:tcPr>
            <w:tcW w:w="1701" w:type="dxa"/>
          </w:tcPr>
          <w:p w14:paraId="2AEF544F">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559" w:type="dxa"/>
            <w:vAlign w:val="center"/>
          </w:tcPr>
          <w:p w14:paraId="4EB127D5">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3.65</w:t>
            </w:r>
          </w:p>
        </w:tc>
        <w:tc>
          <w:tcPr>
            <w:tcW w:w="1761" w:type="dxa"/>
          </w:tcPr>
          <w:p w14:paraId="2E4D57D4">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c>
          <w:tcPr>
            <w:tcW w:w="1675" w:type="dxa"/>
            <w:shd w:val="clear" w:color="auto" w:fill="auto"/>
            <w:vAlign w:val="center"/>
          </w:tcPr>
          <w:p w14:paraId="2056898D">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r>
              <w:rPr>
                <w:rFonts w:hint="default" w:ascii="Times New Roman" w:hAnsi="Times New Roman" w:eastAsia="宋体" w:cs="Times New Roman"/>
                <w:color w:val="auto"/>
                <w:kern w:val="0"/>
                <w:highlight w:val="none"/>
                <w:u w:val="none"/>
                <w:lang w:val="en-US" w:eastAsia="zh-CN"/>
              </w:rPr>
              <w:t>3.65</w:t>
            </w:r>
          </w:p>
        </w:tc>
        <w:tc>
          <w:tcPr>
            <w:tcW w:w="1110" w:type="dxa"/>
            <w:vAlign w:val="center"/>
          </w:tcPr>
          <w:p w14:paraId="4BE90178">
            <w:pPr>
              <w:pStyle w:val="106"/>
              <w:keepNext w:val="0"/>
              <w:keepLines w:val="0"/>
              <w:pageBreakBefore w:val="0"/>
              <w:widowControl w:val="0"/>
              <w:kinsoku/>
              <w:wordWrap/>
              <w:overflowPunct/>
              <w:topLinePunct w:val="0"/>
              <w:autoSpaceDE/>
              <w:autoSpaceDN/>
              <w:bidi w:val="0"/>
              <w:spacing w:beforeLines="0" w:afterLines="0" w:line="240" w:lineRule="atLeast"/>
              <w:ind w:firstLine="0" w:firstLineChars="0"/>
              <w:jc w:val="center"/>
              <w:textAlignment w:val="auto"/>
              <w:rPr>
                <w:rFonts w:hint="default" w:ascii="Times New Roman" w:hAnsi="Times New Roman" w:eastAsia="宋体" w:cs="Times New Roman"/>
                <w:color w:val="auto"/>
                <w:kern w:val="0"/>
                <w:highlight w:val="none"/>
                <w:u w:val="none"/>
                <w:lang w:val="en-US" w:eastAsia="zh-CN"/>
              </w:rPr>
            </w:pPr>
          </w:p>
        </w:tc>
      </w:tr>
    </w:tbl>
    <w:p w14:paraId="21442768">
      <w:pPr>
        <w:pStyle w:val="106"/>
        <w:spacing w:before="192" w:beforeLines="80" w:after="24"/>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Arial Black">
    <w:panose1 w:val="020B0A04020102020204"/>
    <w:charset w:val="00"/>
    <w:family w:val="swiss"/>
    <w:pitch w:val="default"/>
    <w:sig w:usb0="00000287"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1CFCA">
    <w:pPr>
      <w:pStyle w:val="22"/>
      <w:framePr w:wrap="around" w:vAnchor="text" w:hAnchor="margin" w:xAlign="outside" w:y="1"/>
      <w:rPr>
        <w:rStyle w:val="38"/>
        <w:sz w:val="21"/>
        <w:szCs w:val="21"/>
      </w:rPr>
    </w:pPr>
    <w:r>
      <w:rPr>
        <w:rStyle w:val="38"/>
        <w:sz w:val="21"/>
        <w:szCs w:val="21"/>
      </w:rPr>
      <w:t>-</w:t>
    </w:r>
    <w:r>
      <w:rPr>
        <w:sz w:val="21"/>
        <w:szCs w:val="21"/>
      </w:rPr>
      <w:fldChar w:fldCharType="begin"/>
    </w:r>
    <w:r>
      <w:rPr>
        <w:rStyle w:val="38"/>
        <w:sz w:val="21"/>
        <w:szCs w:val="21"/>
      </w:rPr>
      <w:instrText xml:space="preserve">PAGE  </w:instrText>
    </w:r>
    <w:r>
      <w:rPr>
        <w:sz w:val="21"/>
        <w:szCs w:val="21"/>
      </w:rPr>
      <w:fldChar w:fldCharType="separate"/>
    </w:r>
    <w:r>
      <w:rPr>
        <w:rStyle w:val="38"/>
        <w:sz w:val="21"/>
        <w:szCs w:val="21"/>
      </w:rPr>
      <w:t>8</w:t>
    </w:r>
    <w:r>
      <w:rPr>
        <w:sz w:val="21"/>
        <w:szCs w:val="21"/>
      </w:rPr>
      <w:fldChar w:fldCharType="end"/>
    </w:r>
    <w:r>
      <w:rPr>
        <w:rStyle w:val="38"/>
        <w:sz w:val="21"/>
        <w:szCs w:val="21"/>
      </w:rPr>
      <w:t>-</w:t>
    </w:r>
  </w:p>
  <w:p w14:paraId="7258C80F">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1F5C8">
    <w:pPr>
      <w:pStyle w:val="22"/>
      <w:framePr w:wrap="around" w:vAnchor="text" w:hAnchor="margin" w:xAlign="outside" w:y="1"/>
      <w:rPr>
        <w:rStyle w:val="38"/>
        <w:sz w:val="21"/>
        <w:szCs w:val="21"/>
      </w:rPr>
    </w:pPr>
    <w:r>
      <w:rPr>
        <w:rStyle w:val="38"/>
        <w:sz w:val="21"/>
        <w:szCs w:val="21"/>
      </w:rPr>
      <w:t>-</w:t>
    </w:r>
    <w:r>
      <w:rPr>
        <w:sz w:val="21"/>
        <w:szCs w:val="21"/>
      </w:rPr>
      <w:fldChar w:fldCharType="begin"/>
    </w:r>
    <w:r>
      <w:rPr>
        <w:rStyle w:val="38"/>
        <w:sz w:val="21"/>
        <w:szCs w:val="21"/>
      </w:rPr>
      <w:instrText xml:space="preserve">PAGE  </w:instrText>
    </w:r>
    <w:r>
      <w:rPr>
        <w:sz w:val="21"/>
        <w:szCs w:val="21"/>
      </w:rPr>
      <w:fldChar w:fldCharType="separate"/>
    </w:r>
    <w:r>
      <w:rPr>
        <w:rStyle w:val="38"/>
        <w:sz w:val="21"/>
        <w:szCs w:val="21"/>
      </w:rPr>
      <w:t>71</w:t>
    </w:r>
    <w:r>
      <w:rPr>
        <w:sz w:val="21"/>
        <w:szCs w:val="21"/>
      </w:rPr>
      <w:fldChar w:fldCharType="end"/>
    </w:r>
    <w:r>
      <w:rPr>
        <w:rStyle w:val="38"/>
        <w:sz w:val="21"/>
        <w:szCs w:val="21"/>
      </w:rPr>
      <w:t>-</w:t>
    </w:r>
  </w:p>
  <w:p w14:paraId="61BD0078">
    <w:pPr>
      <w:pStyle w:val="2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7F7EF">
    <w:pPr>
      <w:pStyle w:val="22"/>
      <w:framePr w:wrap="around" w:vAnchor="text" w:hAnchor="margin" w:xAlign="outside" w:y="1"/>
      <w:rPr>
        <w:rStyle w:val="38"/>
        <w:rFonts w:ascii="宋体" w:hAnsi="宋体"/>
        <w:sz w:val="28"/>
        <w:szCs w:val="28"/>
      </w:rPr>
    </w:pPr>
    <w:r>
      <w:rPr>
        <w:rStyle w:val="38"/>
        <w:rFonts w:hint="eastAsia" w:ascii="宋体" w:hAnsi="宋体"/>
        <w:sz w:val="28"/>
        <w:szCs w:val="28"/>
      </w:rPr>
      <w:t>-</w:t>
    </w:r>
    <w:r>
      <w:rPr>
        <w:sz w:val="21"/>
        <w:szCs w:val="21"/>
      </w:rPr>
      <w:fldChar w:fldCharType="begin"/>
    </w:r>
    <w:r>
      <w:rPr>
        <w:rStyle w:val="38"/>
        <w:sz w:val="21"/>
        <w:szCs w:val="21"/>
      </w:rPr>
      <w:instrText xml:space="preserve">PAGE  </w:instrText>
    </w:r>
    <w:r>
      <w:rPr>
        <w:sz w:val="21"/>
        <w:szCs w:val="21"/>
      </w:rPr>
      <w:fldChar w:fldCharType="separate"/>
    </w:r>
    <w:r>
      <w:rPr>
        <w:rStyle w:val="38"/>
        <w:sz w:val="21"/>
        <w:szCs w:val="21"/>
      </w:rPr>
      <w:t>72</w:t>
    </w:r>
    <w:r>
      <w:rPr>
        <w:sz w:val="21"/>
        <w:szCs w:val="21"/>
      </w:rPr>
      <w:fldChar w:fldCharType="end"/>
    </w:r>
    <w:r>
      <w:rPr>
        <w:rStyle w:val="38"/>
        <w:rFonts w:hint="eastAsia" w:ascii="宋体" w:hAnsi="宋体"/>
        <w:sz w:val="28"/>
        <w:szCs w:val="28"/>
      </w:rPr>
      <w:t>-</w:t>
    </w:r>
  </w:p>
  <w:p w14:paraId="48D904D1">
    <w:pPr>
      <w:pStyle w:val="2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DEA5C"/>
    <w:multiLevelType w:val="singleLevel"/>
    <w:tmpl w:val="84BDEA5C"/>
    <w:lvl w:ilvl="0" w:tentative="0">
      <w:start w:val="1"/>
      <w:numFmt w:val="decimal"/>
      <w:suff w:val="nothing"/>
      <w:lvlText w:val="（%1）"/>
      <w:lvlJc w:val="left"/>
    </w:lvl>
  </w:abstractNum>
  <w:abstractNum w:abstractNumId="1">
    <w:nsid w:val="8C44753D"/>
    <w:multiLevelType w:val="singleLevel"/>
    <w:tmpl w:val="8C44753D"/>
    <w:lvl w:ilvl="0" w:tentative="0">
      <w:start w:val="4"/>
      <w:numFmt w:val="decimal"/>
      <w:suff w:val="nothing"/>
      <w:lvlText w:val="%1、"/>
      <w:lvlJc w:val="left"/>
    </w:lvl>
  </w:abstractNum>
  <w:abstractNum w:abstractNumId="2">
    <w:nsid w:val="A8699301"/>
    <w:multiLevelType w:val="singleLevel"/>
    <w:tmpl w:val="A8699301"/>
    <w:lvl w:ilvl="0" w:tentative="0">
      <w:start w:val="2"/>
      <w:numFmt w:val="chineseCounting"/>
      <w:suff w:val="nothing"/>
      <w:lvlText w:val="%1、"/>
      <w:lvlJc w:val="left"/>
      <w:rPr>
        <w:rFonts w:hint="eastAsia"/>
      </w:rPr>
    </w:lvl>
  </w:abstractNum>
  <w:abstractNum w:abstractNumId="3">
    <w:nsid w:val="D56D00A2"/>
    <w:multiLevelType w:val="singleLevel"/>
    <w:tmpl w:val="D56D00A2"/>
    <w:lvl w:ilvl="0" w:tentative="0">
      <w:start w:val="4"/>
      <w:numFmt w:val="decimal"/>
      <w:lvlText w:val="%1."/>
      <w:lvlJc w:val="left"/>
      <w:pPr>
        <w:tabs>
          <w:tab w:val="left" w:pos="312"/>
        </w:tabs>
      </w:pPr>
    </w:lvl>
  </w:abstractNum>
  <w:abstractNum w:abstractNumId="4">
    <w:nsid w:val="E14F82CB"/>
    <w:multiLevelType w:val="singleLevel"/>
    <w:tmpl w:val="E14F82CB"/>
    <w:lvl w:ilvl="0" w:tentative="0">
      <w:start w:val="1"/>
      <w:numFmt w:val="decimal"/>
      <w:suff w:val="nothing"/>
      <w:lvlText w:val="（%1）"/>
      <w:lvlJc w:val="left"/>
    </w:lvl>
  </w:abstractNum>
  <w:abstractNum w:abstractNumId="5">
    <w:nsid w:val="09FCEC6F"/>
    <w:multiLevelType w:val="singleLevel"/>
    <w:tmpl w:val="09FCEC6F"/>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6">
    <w:nsid w:val="46335E6F"/>
    <w:multiLevelType w:val="multilevel"/>
    <w:tmpl w:val="46335E6F"/>
    <w:lvl w:ilvl="0" w:tentative="0">
      <w:start w:val="1"/>
      <w:numFmt w:val="decimal"/>
      <w:pStyle w:val="47"/>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
    <w:nsid w:val="56109D14"/>
    <w:multiLevelType w:val="singleLevel"/>
    <w:tmpl w:val="56109D14"/>
    <w:lvl w:ilvl="0" w:tentative="0">
      <w:start w:val="1"/>
      <w:numFmt w:val="lowerLetter"/>
      <w:lvlText w:val="%1)"/>
      <w:lvlJc w:val="left"/>
      <w:pPr>
        <w:tabs>
          <w:tab w:val="left" w:pos="312"/>
        </w:tabs>
      </w:pPr>
    </w:lvl>
  </w:abstractNum>
  <w:abstractNum w:abstractNumId="8">
    <w:nsid w:val="5737E687"/>
    <w:multiLevelType w:val="multilevel"/>
    <w:tmpl w:val="5737E687"/>
    <w:lvl w:ilvl="0" w:tentative="0">
      <w:start w:val="1"/>
      <w:numFmt w:val="chineseCounting"/>
      <w:suff w:val="nothing"/>
      <w:lvlText w:val="第%1章 "/>
      <w:lvlJc w:val="center"/>
      <w:pPr>
        <w:tabs>
          <w:tab w:val="left" w:pos="0"/>
        </w:tabs>
        <w:ind w:left="0" w:firstLine="0"/>
      </w:pPr>
      <w:rPr>
        <w:rFonts w:hint="eastAsia" w:ascii="宋体" w:hAnsi="宋体" w:eastAsia="宋体" w:cs="宋体"/>
      </w:rPr>
    </w:lvl>
    <w:lvl w:ilvl="1" w:tentative="0">
      <w:start w:val="1"/>
      <w:numFmt w:val="decimal"/>
      <w:pStyle w:val="44"/>
      <w:isLgl/>
      <w:suff w:val="space"/>
      <w:lvlText w:val="%1.%2"/>
      <w:lvlJc w:val="left"/>
      <w:pPr>
        <w:ind w:left="0" w:firstLine="0"/>
      </w:pPr>
      <w:rPr>
        <w:rFonts w:hint="default"/>
        <w:b/>
        <w:bCs/>
      </w:rPr>
    </w:lvl>
    <w:lvl w:ilvl="2" w:tentative="0">
      <w:start w:val="1"/>
      <w:numFmt w:val="decimal"/>
      <w:pStyle w:val="43"/>
      <w:isLgl/>
      <w:suff w:val="space"/>
      <w:lvlText w:val="%1.%2.%3"/>
      <w:lvlJc w:val="left"/>
      <w:pPr>
        <w:ind w:left="0" w:firstLine="0"/>
      </w:pPr>
      <w:rPr>
        <w:rFonts w:hint="eastAsia"/>
      </w:rPr>
    </w:lvl>
    <w:lvl w:ilvl="3" w:tentative="0">
      <w:start w:val="1"/>
      <w:numFmt w:val="decimal"/>
      <w:isLgl/>
      <w:suff w:val="space"/>
      <w:lvlText w:val="%1.%2.%3.%4"/>
      <w:lvlJc w:val="left"/>
      <w:pPr>
        <w:ind w:left="6480" w:firstLine="0"/>
      </w:pPr>
      <w:rPr>
        <w:rFonts w:hint="eastAsia"/>
      </w:rPr>
    </w:lvl>
    <w:lvl w:ilvl="4" w:tentative="0">
      <w:start w:val="1"/>
      <w:numFmt w:val="decimal"/>
      <w:lvlRestart w:val="1"/>
      <w:isLgl/>
      <w:suff w:val="space"/>
      <w:lvlText w:val="表%1-%5"/>
      <w:lvlJc w:val="left"/>
      <w:pPr>
        <w:ind w:left="3570" w:firstLine="0"/>
      </w:pPr>
      <w:rPr>
        <w:rFonts w:hint="eastAsia"/>
        <w:color w:val="auto"/>
      </w:rPr>
    </w:lvl>
    <w:lvl w:ilvl="5" w:tentative="0">
      <w:start w:val="1"/>
      <w:numFmt w:val="decimal"/>
      <w:lvlRestart w:val="1"/>
      <w:isLgl/>
      <w:suff w:val="nothing"/>
      <w:lvlText w:val="图%1-%6"/>
      <w:lvlJc w:val="left"/>
      <w:pPr>
        <w:ind w:left="0" w:firstLine="0"/>
      </w:pPr>
      <w:rPr>
        <w:rFonts w:hint="eastAsia"/>
      </w:rPr>
    </w:lvl>
    <w:lvl w:ilvl="6" w:tentative="0">
      <w:start w:val="1"/>
      <w:numFmt w:val="decimal"/>
      <w:lvlRestart w:val="4"/>
      <w:suff w:val="nothing"/>
      <w:lvlText w:val="%7)"/>
      <w:lvlJc w:val="left"/>
      <w:pPr>
        <w:ind w:left="0" w:firstLine="561"/>
      </w:pPr>
      <w:rPr>
        <w:rFonts w:hint="eastAsia"/>
      </w:rPr>
    </w:lvl>
    <w:lvl w:ilvl="7" w:tentative="0">
      <w:start w:val="1"/>
      <w:numFmt w:val="lowerLetter"/>
      <w:suff w:val="nothing"/>
      <w:lvlText w:val="%8."/>
      <w:lvlJc w:val="left"/>
      <w:pPr>
        <w:ind w:left="0" w:firstLine="561"/>
      </w:pPr>
      <w:rPr>
        <w:rFonts w:hint="eastAsia"/>
      </w:rPr>
    </w:lvl>
    <w:lvl w:ilvl="8" w:tentative="0">
      <w:start w:val="1"/>
      <w:numFmt w:val="decimal"/>
      <w:lvlText w:val="%1.%2.%3.%4.%5.%6.%7.%8.%9"/>
      <w:lvlJc w:val="left"/>
      <w:pPr>
        <w:ind w:left="5102" w:hanging="1700"/>
      </w:pPr>
      <w:rPr>
        <w:rFonts w:hint="eastAsia"/>
      </w:rPr>
    </w:lvl>
  </w:abstractNum>
  <w:abstractNum w:abstractNumId="9">
    <w:nsid w:val="6DE37B95"/>
    <w:multiLevelType w:val="multilevel"/>
    <w:tmpl w:val="6DE37B95"/>
    <w:lvl w:ilvl="0" w:tentative="0">
      <w:start w:val="1"/>
      <w:numFmt w:val="decimal"/>
      <w:lvlText w:val="1.4.5.%1"/>
      <w:lvlJc w:val="left"/>
      <w:pPr>
        <w:tabs>
          <w:tab w:val="left" w:pos="720"/>
        </w:tabs>
        <w:ind w:left="0" w:firstLine="0"/>
      </w:pPr>
      <w:rPr>
        <w:rFonts w:hint="eastAsia"/>
      </w:rPr>
    </w:lvl>
    <w:lvl w:ilvl="1" w:tentative="0">
      <w:start w:val="1"/>
      <w:numFmt w:val="decimal"/>
      <w:pStyle w:val="46"/>
      <w:lvlText w:val="%1.%2"/>
      <w:lvlJc w:val="left"/>
      <w:pPr>
        <w:tabs>
          <w:tab w:val="left" w:pos="360"/>
        </w:tabs>
        <w:ind w:left="0" w:firstLine="0"/>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0">
    <w:nsid w:val="6F013AD1"/>
    <w:multiLevelType w:val="multilevel"/>
    <w:tmpl w:val="6F013AD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pStyle w:val="186"/>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8"/>
  </w:num>
  <w:num w:numId="3">
    <w:abstractNumId w:val="9"/>
  </w:num>
  <w:num w:numId="4">
    <w:abstractNumId w:val="6"/>
  </w:num>
  <w:num w:numId="5">
    <w:abstractNumId w:val="10"/>
  </w:num>
  <w:num w:numId="6">
    <w:abstractNumId w:val="1"/>
  </w:num>
  <w:num w:numId="7">
    <w:abstractNumId w:val="7"/>
  </w:num>
  <w:num w:numId="8">
    <w:abstractNumId w:val="2"/>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hMzkzYjNmN2RmZTc4NGQxOGUxMzBkYmM2MTk5NTEifQ=="/>
  </w:docVars>
  <w:rsids>
    <w:rsidRoot w:val="00172A27"/>
    <w:rsid w:val="000010B4"/>
    <w:rsid w:val="000025FB"/>
    <w:rsid w:val="0000314C"/>
    <w:rsid w:val="0000603E"/>
    <w:rsid w:val="000060B3"/>
    <w:rsid w:val="00014388"/>
    <w:rsid w:val="00014581"/>
    <w:rsid w:val="00015E5D"/>
    <w:rsid w:val="00021763"/>
    <w:rsid w:val="0002255B"/>
    <w:rsid w:val="00024221"/>
    <w:rsid w:val="00024A7A"/>
    <w:rsid w:val="00026B2D"/>
    <w:rsid w:val="00030E6D"/>
    <w:rsid w:val="00033857"/>
    <w:rsid w:val="00033EB2"/>
    <w:rsid w:val="00033F11"/>
    <w:rsid w:val="00043292"/>
    <w:rsid w:val="0004364B"/>
    <w:rsid w:val="00045EAD"/>
    <w:rsid w:val="00051C23"/>
    <w:rsid w:val="00060A30"/>
    <w:rsid w:val="00060A63"/>
    <w:rsid w:val="00061B1F"/>
    <w:rsid w:val="00063397"/>
    <w:rsid w:val="0006381E"/>
    <w:rsid w:val="0006393F"/>
    <w:rsid w:val="00064EDC"/>
    <w:rsid w:val="0007158B"/>
    <w:rsid w:val="00072D65"/>
    <w:rsid w:val="000733C4"/>
    <w:rsid w:val="00074783"/>
    <w:rsid w:val="00076D9E"/>
    <w:rsid w:val="0008070B"/>
    <w:rsid w:val="000810AC"/>
    <w:rsid w:val="00081A02"/>
    <w:rsid w:val="00081B07"/>
    <w:rsid w:val="00082231"/>
    <w:rsid w:val="00082A42"/>
    <w:rsid w:val="00084D41"/>
    <w:rsid w:val="0009297B"/>
    <w:rsid w:val="00092D38"/>
    <w:rsid w:val="0009377B"/>
    <w:rsid w:val="000937E0"/>
    <w:rsid w:val="000A20C9"/>
    <w:rsid w:val="000A31EA"/>
    <w:rsid w:val="000A41DE"/>
    <w:rsid w:val="000A4449"/>
    <w:rsid w:val="000A4475"/>
    <w:rsid w:val="000A4E22"/>
    <w:rsid w:val="000A4F32"/>
    <w:rsid w:val="000A7723"/>
    <w:rsid w:val="000B058F"/>
    <w:rsid w:val="000B123D"/>
    <w:rsid w:val="000B3995"/>
    <w:rsid w:val="000B4467"/>
    <w:rsid w:val="000B4DB9"/>
    <w:rsid w:val="000B76E3"/>
    <w:rsid w:val="000C09AC"/>
    <w:rsid w:val="000C2BC7"/>
    <w:rsid w:val="000C46AB"/>
    <w:rsid w:val="000C4A68"/>
    <w:rsid w:val="000C6293"/>
    <w:rsid w:val="000C767F"/>
    <w:rsid w:val="000D2736"/>
    <w:rsid w:val="000D5A44"/>
    <w:rsid w:val="000D65E4"/>
    <w:rsid w:val="000D6908"/>
    <w:rsid w:val="000D794A"/>
    <w:rsid w:val="000E1EF0"/>
    <w:rsid w:val="000E3ED2"/>
    <w:rsid w:val="000E6A5B"/>
    <w:rsid w:val="000E6C76"/>
    <w:rsid w:val="000F0D83"/>
    <w:rsid w:val="000F2971"/>
    <w:rsid w:val="000F29BB"/>
    <w:rsid w:val="000F45BC"/>
    <w:rsid w:val="000F7C4F"/>
    <w:rsid w:val="00103BAF"/>
    <w:rsid w:val="00105362"/>
    <w:rsid w:val="001061C7"/>
    <w:rsid w:val="0011044C"/>
    <w:rsid w:val="00110A3C"/>
    <w:rsid w:val="00113239"/>
    <w:rsid w:val="0011343D"/>
    <w:rsid w:val="00115A42"/>
    <w:rsid w:val="00115BFC"/>
    <w:rsid w:val="00116103"/>
    <w:rsid w:val="0011654E"/>
    <w:rsid w:val="001166F0"/>
    <w:rsid w:val="001212D0"/>
    <w:rsid w:val="00123E8E"/>
    <w:rsid w:val="0012675A"/>
    <w:rsid w:val="00127EE3"/>
    <w:rsid w:val="00131F42"/>
    <w:rsid w:val="001357F1"/>
    <w:rsid w:val="00140FA8"/>
    <w:rsid w:val="00142FEB"/>
    <w:rsid w:val="00143A2D"/>
    <w:rsid w:val="00143F69"/>
    <w:rsid w:val="00145670"/>
    <w:rsid w:val="00145A41"/>
    <w:rsid w:val="00145F6C"/>
    <w:rsid w:val="00146FB6"/>
    <w:rsid w:val="00151675"/>
    <w:rsid w:val="00151DDA"/>
    <w:rsid w:val="001521C5"/>
    <w:rsid w:val="00152C51"/>
    <w:rsid w:val="00157435"/>
    <w:rsid w:val="0016212B"/>
    <w:rsid w:val="00163B95"/>
    <w:rsid w:val="00170B85"/>
    <w:rsid w:val="0017504D"/>
    <w:rsid w:val="0017671A"/>
    <w:rsid w:val="00176A03"/>
    <w:rsid w:val="00177422"/>
    <w:rsid w:val="00177BDF"/>
    <w:rsid w:val="00180710"/>
    <w:rsid w:val="00184590"/>
    <w:rsid w:val="00185516"/>
    <w:rsid w:val="00186017"/>
    <w:rsid w:val="001870D1"/>
    <w:rsid w:val="0018781E"/>
    <w:rsid w:val="00190A92"/>
    <w:rsid w:val="00191326"/>
    <w:rsid w:val="0019262D"/>
    <w:rsid w:val="00192A3D"/>
    <w:rsid w:val="00197582"/>
    <w:rsid w:val="001A0E54"/>
    <w:rsid w:val="001A1B35"/>
    <w:rsid w:val="001A48A2"/>
    <w:rsid w:val="001A6BB5"/>
    <w:rsid w:val="001A6F61"/>
    <w:rsid w:val="001B26D3"/>
    <w:rsid w:val="001B3CB9"/>
    <w:rsid w:val="001B72B8"/>
    <w:rsid w:val="001C2E58"/>
    <w:rsid w:val="001C32C1"/>
    <w:rsid w:val="001C4589"/>
    <w:rsid w:val="001C69B3"/>
    <w:rsid w:val="001C7AF0"/>
    <w:rsid w:val="001D5595"/>
    <w:rsid w:val="001D7874"/>
    <w:rsid w:val="001D7F22"/>
    <w:rsid w:val="001E4156"/>
    <w:rsid w:val="001E415B"/>
    <w:rsid w:val="001E6040"/>
    <w:rsid w:val="001F0F17"/>
    <w:rsid w:val="001F3347"/>
    <w:rsid w:val="001F6646"/>
    <w:rsid w:val="001F69E4"/>
    <w:rsid w:val="00200689"/>
    <w:rsid w:val="00204FA7"/>
    <w:rsid w:val="00205D35"/>
    <w:rsid w:val="002125B4"/>
    <w:rsid w:val="00213297"/>
    <w:rsid w:val="002155B8"/>
    <w:rsid w:val="00215D7B"/>
    <w:rsid w:val="00221313"/>
    <w:rsid w:val="00222E22"/>
    <w:rsid w:val="002245BA"/>
    <w:rsid w:val="00224839"/>
    <w:rsid w:val="00224932"/>
    <w:rsid w:val="002249B2"/>
    <w:rsid w:val="00226574"/>
    <w:rsid w:val="0022658C"/>
    <w:rsid w:val="002278EC"/>
    <w:rsid w:val="0023280E"/>
    <w:rsid w:val="00232D0A"/>
    <w:rsid w:val="00233914"/>
    <w:rsid w:val="002341F4"/>
    <w:rsid w:val="002345C8"/>
    <w:rsid w:val="0023515C"/>
    <w:rsid w:val="002370B7"/>
    <w:rsid w:val="002377D1"/>
    <w:rsid w:val="002506BC"/>
    <w:rsid w:val="00254345"/>
    <w:rsid w:val="0025589E"/>
    <w:rsid w:val="00260985"/>
    <w:rsid w:val="0026406F"/>
    <w:rsid w:val="00264557"/>
    <w:rsid w:val="00265D5B"/>
    <w:rsid w:val="00273F15"/>
    <w:rsid w:val="00273FBE"/>
    <w:rsid w:val="0027547F"/>
    <w:rsid w:val="00275EDB"/>
    <w:rsid w:val="002773B2"/>
    <w:rsid w:val="002805AB"/>
    <w:rsid w:val="00281632"/>
    <w:rsid w:val="0028205D"/>
    <w:rsid w:val="00284204"/>
    <w:rsid w:val="00284E90"/>
    <w:rsid w:val="002863C3"/>
    <w:rsid w:val="002876C8"/>
    <w:rsid w:val="00291773"/>
    <w:rsid w:val="00292BAB"/>
    <w:rsid w:val="0029695A"/>
    <w:rsid w:val="00297E78"/>
    <w:rsid w:val="00297FD5"/>
    <w:rsid w:val="002A168C"/>
    <w:rsid w:val="002A3DC7"/>
    <w:rsid w:val="002A7571"/>
    <w:rsid w:val="002B0624"/>
    <w:rsid w:val="002B49E2"/>
    <w:rsid w:val="002B4CF6"/>
    <w:rsid w:val="002B7B00"/>
    <w:rsid w:val="002B7C44"/>
    <w:rsid w:val="002C2B17"/>
    <w:rsid w:val="002C4EDC"/>
    <w:rsid w:val="002D39AC"/>
    <w:rsid w:val="002D3DD0"/>
    <w:rsid w:val="002D5AB2"/>
    <w:rsid w:val="002D79C3"/>
    <w:rsid w:val="002E1F3A"/>
    <w:rsid w:val="002E298A"/>
    <w:rsid w:val="002E5FD4"/>
    <w:rsid w:val="00301978"/>
    <w:rsid w:val="0030332C"/>
    <w:rsid w:val="003051C2"/>
    <w:rsid w:val="00305B76"/>
    <w:rsid w:val="00310730"/>
    <w:rsid w:val="00312296"/>
    <w:rsid w:val="00314F0E"/>
    <w:rsid w:val="003163C9"/>
    <w:rsid w:val="00321D8E"/>
    <w:rsid w:val="00324F3C"/>
    <w:rsid w:val="00325928"/>
    <w:rsid w:val="00326117"/>
    <w:rsid w:val="00332863"/>
    <w:rsid w:val="00334CB5"/>
    <w:rsid w:val="00335ABA"/>
    <w:rsid w:val="0033684D"/>
    <w:rsid w:val="00336C5D"/>
    <w:rsid w:val="00337B42"/>
    <w:rsid w:val="00341B42"/>
    <w:rsid w:val="003432BE"/>
    <w:rsid w:val="0034348F"/>
    <w:rsid w:val="0034522B"/>
    <w:rsid w:val="003530F8"/>
    <w:rsid w:val="003541BF"/>
    <w:rsid w:val="00355209"/>
    <w:rsid w:val="00355A68"/>
    <w:rsid w:val="00355BFC"/>
    <w:rsid w:val="00356653"/>
    <w:rsid w:val="0035743F"/>
    <w:rsid w:val="00357BE2"/>
    <w:rsid w:val="0036170C"/>
    <w:rsid w:val="00363D33"/>
    <w:rsid w:val="00366E0F"/>
    <w:rsid w:val="00371188"/>
    <w:rsid w:val="00371FC1"/>
    <w:rsid w:val="00381A72"/>
    <w:rsid w:val="003834BC"/>
    <w:rsid w:val="00383E07"/>
    <w:rsid w:val="00383FE0"/>
    <w:rsid w:val="00384676"/>
    <w:rsid w:val="00390857"/>
    <w:rsid w:val="0039101E"/>
    <w:rsid w:val="00392EDD"/>
    <w:rsid w:val="00395696"/>
    <w:rsid w:val="00397DFA"/>
    <w:rsid w:val="003A0D0C"/>
    <w:rsid w:val="003A2688"/>
    <w:rsid w:val="003A4BF3"/>
    <w:rsid w:val="003A59CB"/>
    <w:rsid w:val="003B420D"/>
    <w:rsid w:val="003B48E9"/>
    <w:rsid w:val="003B505C"/>
    <w:rsid w:val="003B523A"/>
    <w:rsid w:val="003B5F97"/>
    <w:rsid w:val="003B61D9"/>
    <w:rsid w:val="003B6E9F"/>
    <w:rsid w:val="003C0DE7"/>
    <w:rsid w:val="003C6C16"/>
    <w:rsid w:val="003C6D91"/>
    <w:rsid w:val="003D6891"/>
    <w:rsid w:val="003D794D"/>
    <w:rsid w:val="003E0AF0"/>
    <w:rsid w:val="003E1D45"/>
    <w:rsid w:val="003E3058"/>
    <w:rsid w:val="003E356E"/>
    <w:rsid w:val="003E3855"/>
    <w:rsid w:val="003E76A9"/>
    <w:rsid w:val="003E7FF4"/>
    <w:rsid w:val="003F0809"/>
    <w:rsid w:val="003F15A2"/>
    <w:rsid w:val="003F1C42"/>
    <w:rsid w:val="003F23CE"/>
    <w:rsid w:val="003F262E"/>
    <w:rsid w:val="003F5F1E"/>
    <w:rsid w:val="003F664F"/>
    <w:rsid w:val="003F6A8C"/>
    <w:rsid w:val="003F755C"/>
    <w:rsid w:val="00401338"/>
    <w:rsid w:val="00406268"/>
    <w:rsid w:val="004068B1"/>
    <w:rsid w:val="00406F01"/>
    <w:rsid w:val="00416D50"/>
    <w:rsid w:val="00416FD5"/>
    <w:rsid w:val="00417772"/>
    <w:rsid w:val="00420031"/>
    <w:rsid w:val="00420459"/>
    <w:rsid w:val="00420E6A"/>
    <w:rsid w:val="00421063"/>
    <w:rsid w:val="00421DF6"/>
    <w:rsid w:val="00424A86"/>
    <w:rsid w:val="00424B8A"/>
    <w:rsid w:val="00425A9E"/>
    <w:rsid w:val="00426D6B"/>
    <w:rsid w:val="00427BD2"/>
    <w:rsid w:val="004309ED"/>
    <w:rsid w:val="00430BBA"/>
    <w:rsid w:val="00431E6C"/>
    <w:rsid w:val="004321E9"/>
    <w:rsid w:val="00432713"/>
    <w:rsid w:val="00433CE7"/>
    <w:rsid w:val="004354DA"/>
    <w:rsid w:val="00435951"/>
    <w:rsid w:val="00436371"/>
    <w:rsid w:val="004430E0"/>
    <w:rsid w:val="00443108"/>
    <w:rsid w:val="00445FC3"/>
    <w:rsid w:val="00450D9B"/>
    <w:rsid w:val="00452738"/>
    <w:rsid w:val="00455520"/>
    <w:rsid w:val="00456091"/>
    <w:rsid w:val="00457B36"/>
    <w:rsid w:val="0046032E"/>
    <w:rsid w:val="00460358"/>
    <w:rsid w:val="00466321"/>
    <w:rsid w:val="00467EB8"/>
    <w:rsid w:val="00470409"/>
    <w:rsid w:val="00470E05"/>
    <w:rsid w:val="00471C10"/>
    <w:rsid w:val="004728E0"/>
    <w:rsid w:val="00474477"/>
    <w:rsid w:val="004750DA"/>
    <w:rsid w:val="00477294"/>
    <w:rsid w:val="00477CAB"/>
    <w:rsid w:val="00484B9B"/>
    <w:rsid w:val="004855F6"/>
    <w:rsid w:val="0048629B"/>
    <w:rsid w:val="0048661E"/>
    <w:rsid w:val="00494670"/>
    <w:rsid w:val="004A1735"/>
    <w:rsid w:val="004A2800"/>
    <w:rsid w:val="004A2C06"/>
    <w:rsid w:val="004A2E2F"/>
    <w:rsid w:val="004A3823"/>
    <w:rsid w:val="004A65EF"/>
    <w:rsid w:val="004A737B"/>
    <w:rsid w:val="004B6BE3"/>
    <w:rsid w:val="004C0923"/>
    <w:rsid w:val="004C2FBA"/>
    <w:rsid w:val="004C3241"/>
    <w:rsid w:val="004C4736"/>
    <w:rsid w:val="004C59C7"/>
    <w:rsid w:val="004C5EDE"/>
    <w:rsid w:val="004C73A6"/>
    <w:rsid w:val="004D0294"/>
    <w:rsid w:val="004D08D7"/>
    <w:rsid w:val="004D24E3"/>
    <w:rsid w:val="004D2AE4"/>
    <w:rsid w:val="004D4146"/>
    <w:rsid w:val="004D4399"/>
    <w:rsid w:val="004D54EF"/>
    <w:rsid w:val="004D66B4"/>
    <w:rsid w:val="004D7964"/>
    <w:rsid w:val="004D7F07"/>
    <w:rsid w:val="004E3125"/>
    <w:rsid w:val="004E367A"/>
    <w:rsid w:val="004E6946"/>
    <w:rsid w:val="004F1AD8"/>
    <w:rsid w:val="004F1FB4"/>
    <w:rsid w:val="004F45C6"/>
    <w:rsid w:val="004F4B68"/>
    <w:rsid w:val="004F6D24"/>
    <w:rsid w:val="005039CB"/>
    <w:rsid w:val="0050558F"/>
    <w:rsid w:val="00506286"/>
    <w:rsid w:val="0051030C"/>
    <w:rsid w:val="00510813"/>
    <w:rsid w:val="00511990"/>
    <w:rsid w:val="00511DE0"/>
    <w:rsid w:val="00514870"/>
    <w:rsid w:val="00514B9B"/>
    <w:rsid w:val="00517E87"/>
    <w:rsid w:val="00517F02"/>
    <w:rsid w:val="00521753"/>
    <w:rsid w:val="00523F38"/>
    <w:rsid w:val="00524303"/>
    <w:rsid w:val="005258A2"/>
    <w:rsid w:val="00533F82"/>
    <w:rsid w:val="005401AE"/>
    <w:rsid w:val="005403BC"/>
    <w:rsid w:val="00542015"/>
    <w:rsid w:val="00542E07"/>
    <w:rsid w:val="005434F5"/>
    <w:rsid w:val="005451AA"/>
    <w:rsid w:val="00545424"/>
    <w:rsid w:val="00545796"/>
    <w:rsid w:val="00552C99"/>
    <w:rsid w:val="00554A7B"/>
    <w:rsid w:val="0055572C"/>
    <w:rsid w:val="0056106A"/>
    <w:rsid w:val="005720AE"/>
    <w:rsid w:val="005755B4"/>
    <w:rsid w:val="00575D1F"/>
    <w:rsid w:val="00577F93"/>
    <w:rsid w:val="00582273"/>
    <w:rsid w:val="005829BB"/>
    <w:rsid w:val="00594741"/>
    <w:rsid w:val="00594D77"/>
    <w:rsid w:val="00595305"/>
    <w:rsid w:val="005969E4"/>
    <w:rsid w:val="00597A23"/>
    <w:rsid w:val="005A06B7"/>
    <w:rsid w:val="005A0E0A"/>
    <w:rsid w:val="005A0FB6"/>
    <w:rsid w:val="005A1759"/>
    <w:rsid w:val="005A211D"/>
    <w:rsid w:val="005A2C5A"/>
    <w:rsid w:val="005A3729"/>
    <w:rsid w:val="005A4ECF"/>
    <w:rsid w:val="005A68A7"/>
    <w:rsid w:val="005B32C4"/>
    <w:rsid w:val="005B5CA2"/>
    <w:rsid w:val="005C0C95"/>
    <w:rsid w:val="005C0D18"/>
    <w:rsid w:val="005C0DB8"/>
    <w:rsid w:val="005C68DA"/>
    <w:rsid w:val="005D296B"/>
    <w:rsid w:val="005D36AB"/>
    <w:rsid w:val="005D3D59"/>
    <w:rsid w:val="005D4D92"/>
    <w:rsid w:val="005D5A0A"/>
    <w:rsid w:val="005D653A"/>
    <w:rsid w:val="005D75BB"/>
    <w:rsid w:val="005E396C"/>
    <w:rsid w:val="005E512E"/>
    <w:rsid w:val="005E55A6"/>
    <w:rsid w:val="005E6CD1"/>
    <w:rsid w:val="005F02B5"/>
    <w:rsid w:val="005F047A"/>
    <w:rsid w:val="005F06E0"/>
    <w:rsid w:val="005F0820"/>
    <w:rsid w:val="005F1599"/>
    <w:rsid w:val="006046C9"/>
    <w:rsid w:val="00604BF3"/>
    <w:rsid w:val="006115BE"/>
    <w:rsid w:val="00611A80"/>
    <w:rsid w:val="00615A50"/>
    <w:rsid w:val="00617CC3"/>
    <w:rsid w:val="0062721F"/>
    <w:rsid w:val="00630AB7"/>
    <w:rsid w:val="00634776"/>
    <w:rsid w:val="006377A6"/>
    <w:rsid w:val="00637A3D"/>
    <w:rsid w:val="00637D96"/>
    <w:rsid w:val="006411EF"/>
    <w:rsid w:val="0064209D"/>
    <w:rsid w:val="00645BDB"/>
    <w:rsid w:val="006460A4"/>
    <w:rsid w:val="006476F9"/>
    <w:rsid w:val="00647FCA"/>
    <w:rsid w:val="006503F3"/>
    <w:rsid w:val="00650513"/>
    <w:rsid w:val="00655CD8"/>
    <w:rsid w:val="00665AD0"/>
    <w:rsid w:val="006718A3"/>
    <w:rsid w:val="006748B8"/>
    <w:rsid w:val="0067582C"/>
    <w:rsid w:val="00676A96"/>
    <w:rsid w:val="006775C3"/>
    <w:rsid w:val="00677775"/>
    <w:rsid w:val="00681823"/>
    <w:rsid w:val="006821F6"/>
    <w:rsid w:val="00687363"/>
    <w:rsid w:val="00687833"/>
    <w:rsid w:val="00687D41"/>
    <w:rsid w:val="00691C73"/>
    <w:rsid w:val="0069290A"/>
    <w:rsid w:val="00692F4B"/>
    <w:rsid w:val="00694E16"/>
    <w:rsid w:val="0069775A"/>
    <w:rsid w:val="00697813"/>
    <w:rsid w:val="006A3622"/>
    <w:rsid w:val="006A3EE8"/>
    <w:rsid w:val="006A72BF"/>
    <w:rsid w:val="006A7B6D"/>
    <w:rsid w:val="006B03F2"/>
    <w:rsid w:val="006B0E67"/>
    <w:rsid w:val="006B0FCD"/>
    <w:rsid w:val="006B37DC"/>
    <w:rsid w:val="006B3AE6"/>
    <w:rsid w:val="006B4187"/>
    <w:rsid w:val="006B4F68"/>
    <w:rsid w:val="006B545E"/>
    <w:rsid w:val="006B7252"/>
    <w:rsid w:val="006C0553"/>
    <w:rsid w:val="006C0592"/>
    <w:rsid w:val="006C20F9"/>
    <w:rsid w:val="006C272E"/>
    <w:rsid w:val="006C351F"/>
    <w:rsid w:val="006C5479"/>
    <w:rsid w:val="006C6C34"/>
    <w:rsid w:val="006D13B5"/>
    <w:rsid w:val="006D1943"/>
    <w:rsid w:val="006D2068"/>
    <w:rsid w:val="006D5CF4"/>
    <w:rsid w:val="006D6426"/>
    <w:rsid w:val="006E12FF"/>
    <w:rsid w:val="006E3414"/>
    <w:rsid w:val="006E50DC"/>
    <w:rsid w:val="006E607E"/>
    <w:rsid w:val="006F283D"/>
    <w:rsid w:val="006F457D"/>
    <w:rsid w:val="006F6C63"/>
    <w:rsid w:val="006F75E0"/>
    <w:rsid w:val="00700764"/>
    <w:rsid w:val="0070271D"/>
    <w:rsid w:val="00704336"/>
    <w:rsid w:val="007062D6"/>
    <w:rsid w:val="00706C5D"/>
    <w:rsid w:val="00706C8A"/>
    <w:rsid w:val="00710DE3"/>
    <w:rsid w:val="007116C3"/>
    <w:rsid w:val="007126CE"/>
    <w:rsid w:val="00713E1B"/>
    <w:rsid w:val="0071622E"/>
    <w:rsid w:val="0072267A"/>
    <w:rsid w:val="00723B45"/>
    <w:rsid w:val="00725E00"/>
    <w:rsid w:val="007271E8"/>
    <w:rsid w:val="00732922"/>
    <w:rsid w:val="0074010E"/>
    <w:rsid w:val="00741F47"/>
    <w:rsid w:val="007437A1"/>
    <w:rsid w:val="00746342"/>
    <w:rsid w:val="007464A3"/>
    <w:rsid w:val="00747D8C"/>
    <w:rsid w:val="0075162E"/>
    <w:rsid w:val="00751AAA"/>
    <w:rsid w:val="007535F2"/>
    <w:rsid w:val="00754034"/>
    <w:rsid w:val="00756556"/>
    <w:rsid w:val="007618C4"/>
    <w:rsid w:val="00764DBE"/>
    <w:rsid w:val="007653E7"/>
    <w:rsid w:val="0076591D"/>
    <w:rsid w:val="00766A45"/>
    <w:rsid w:val="0076725C"/>
    <w:rsid w:val="00767980"/>
    <w:rsid w:val="00767C05"/>
    <w:rsid w:val="00770B19"/>
    <w:rsid w:val="007713CD"/>
    <w:rsid w:val="0077463F"/>
    <w:rsid w:val="007759E0"/>
    <w:rsid w:val="00776C6B"/>
    <w:rsid w:val="00781B40"/>
    <w:rsid w:val="00782CC5"/>
    <w:rsid w:val="007836EA"/>
    <w:rsid w:val="00784CDA"/>
    <w:rsid w:val="00786C97"/>
    <w:rsid w:val="00787FBD"/>
    <w:rsid w:val="007906C4"/>
    <w:rsid w:val="007916ED"/>
    <w:rsid w:val="007929C2"/>
    <w:rsid w:val="007940EA"/>
    <w:rsid w:val="007967E8"/>
    <w:rsid w:val="007968D2"/>
    <w:rsid w:val="007A023A"/>
    <w:rsid w:val="007A1A5B"/>
    <w:rsid w:val="007A2170"/>
    <w:rsid w:val="007A22BF"/>
    <w:rsid w:val="007A3323"/>
    <w:rsid w:val="007A54CF"/>
    <w:rsid w:val="007B3A7A"/>
    <w:rsid w:val="007B4A4D"/>
    <w:rsid w:val="007B5420"/>
    <w:rsid w:val="007B72B8"/>
    <w:rsid w:val="007B7A58"/>
    <w:rsid w:val="007C1819"/>
    <w:rsid w:val="007C21B5"/>
    <w:rsid w:val="007C4048"/>
    <w:rsid w:val="007C466E"/>
    <w:rsid w:val="007C4A69"/>
    <w:rsid w:val="007C5A97"/>
    <w:rsid w:val="007D05F4"/>
    <w:rsid w:val="007D0A79"/>
    <w:rsid w:val="007D0DF9"/>
    <w:rsid w:val="007D0F25"/>
    <w:rsid w:val="007D11E8"/>
    <w:rsid w:val="007D175D"/>
    <w:rsid w:val="007D3785"/>
    <w:rsid w:val="007D6EA1"/>
    <w:rsid w:val="007E3093"/>
    <w:rsid w:val="007E4BD2"/>
    <w:rsid w:val="007E5607"/>
    <w:rsid w:val="007F4D09"/>
    <w:rsid w:val="007F5FE1"/>
    <w:rsid w:val="007F78D4"/>
    <w:rsid w:val="008012D5"/>
    <w:rsid w:val="00801393"/>
    <w:rsid w:val="008013C0"/>
    <w:rsid w:val="00802F88"/>
    <w:rsid w:val="0080352A"/>
    <w:rsid w:val="00807F87"/>
    <w:rsid w:val="008118DE"/>
    <w:rsid w:val="0081293E"/>
    <w:rsid w:val="00815465"/>
    <w:rsid w:val="008155FB"/>
    <w:rsid w:val="00816472"/>
    <w:rsid w:val="00816A1B"/>
    <w:rsid w:val="00817E9A"/>
    <w:rsid w:val="0082074C"/>
    <w:rsid w:val="00821A17"/>
    <w:rsid w:val="0082568A"/>
    <w:rsid w:val="00826C66"/>
    <w:rsid w:val="0083022E"/>
    <w:rsid w:val="008306BD"/>
    <w:rsid w:val="00830A54"/>
    <w:rsid w:val="00831A80"/>
    <w:rsid w:val="00833743"/>
    <w:rsid w:val="008340A4"/>
    <w:rsid w:val="00840F2A"/>
    <w:rsid w:val="0084350E"/>
    <w:rsid w:val="008439E7"/>
    <w:rsid w:val="00844FA8"/>
    <w:rsid w:val="0084647F"/>
    <w:rsid w:val="0084669F"/>
    <w:rsid w:val="00850325"/>
    <w:rsid w:val="008557E5"/>
    <w:rsid w:val="0085649A"/>
    <w:rsid w:val="008568A2"/>
    <w:rsid w:val="00860669"/>
    <w:rsid w:val="008611A3"/>
    <w:rsid w:val="00861B35"/>
    <w:rsid w:val="00863C93"/>
    <w:rsid w:val="00867822"/>
    <w:rsid w:val="00870F4F"/>
    <w:rsid w:val="0087135F"/>
    <w:rsid w:val="00872D94"/>
    <w:rsid w:val="0087545E"/>
    <w:rsid w:val="00875713"/>
    <w:rsid w:val="00880364"/>
    <w:rsid w:val="00881CEB"/>
    <w:rsid w:val="00883370"/>
    <w:rsid w:val="00891592"/>
    <w:rsid w:val="00891E9E"/>
    <w:rsid w:val="008929F9"/>
    <w:rsid w:val="00892E8D"/>
    <w:rsid w:val="008935A2"/>
    <w:rsid w:val="00895103"/>
    <w:rsid w:val="008955B2"/>
    <w:rsid w:val="008A0CCF"/>
    <w:rsid w:val="008A2F68"/>
    <w:rsid w:val="008B1D74"/>
    <w:rsid w:val="008B2255"/>
    <w:rsid w:val="008B4FA6"/>
    <w:rsid w:val="008B5282"/>
    <w:rsid w:val="008B7BCA"/>
    <w:rsid w:val="008B7C17"/>
    <w:rsid w:val="008C08D0"/>
    <w:rsid w:val="008C2D01"/>
    <w:rsid w:val="008C2F6F"/>
    <w:rsid w:val="008C40E6"/>
    <w:rsid w:val="008C5CCB"/>
    <w:rsid w:val="008C62A9"/>
    <w:rsid w:val="008C653A"/>
    <w:rsid w:val="008D0E9E"/>
    <w:rsid w:val="008D0F7A"/>
    <w:rsid w:val="008D25DB"/>
    <w:rsid w:val="008D3F01"/>
    <w:rsid w:val="008D512C"/>
    <w:rsid w:val="008D68E4"/>
    <w:rsid w:val="008D6F5B"/>
    <w:rsid w:val="008D798A"/>
    <w:rsid w:val="008D7C4C"/>
    <w:rsid w:val="008E0506"/>
    <w:rsid w:val="008E0CFF"/>
    <w:rsid w:val="008E2BED"/>
    <w:rsid w:val="008E30A6"/>
    <w:rsid w:val="008E5D6B"/>
    <w:rsid w:val="008E76F0"/>
    <w:rsid w:val="008F15FE"/>
    <w:rsid w:val="008F2D29"/>
    <w:rsid w:val="008F5187"/>
    <w:rsid w:val="008F60D8"/>
    <w:rsid w:val="00900915"/>
    <w:rsid w:val="0090205C"/>
    <w:rsid w:val="00902727"/>
    <w:rsid w:val="0090312B"/>
    <w:rsid w:val="00903815"/>
    <w:rsid w:val="00904B8E"/>
    <w:rsid w:val="009061C3"/>
    <w:rsid w:val="00910C1F"/>
    <w:rsid w:val="00911586"/>
    <w:rsid w:val="0091552F"/>
    <w:rsid w:val="00916BEE"/>
    <w:rsid w:val="0091736D"/>
    <w:rsid w:val="009258F4"/>
    <w:rsid w:val="0093037A"/>
    <w:rsid w:val="00930584"/>
    <w:rsid w:val="00932BC0"/>
    <w:rsid w:val="009337AD"/>
    <w:rsid w:val="00933B31"/>
    <w:rsid w:val="00936C94"/>
    <w:rsid w:val="00937BFD"/>
    <w:rsid w:val="0094154D"/>
    <w:rsid w:val="009456BC"/>
    <w:rsid w:val="0095155F"/>
    <w:rsid w:val="00951CB9"/>
    <w:rsid w:val="00952DE0"/>
    <w:rsid w:val="00954429"/>
    <w:rsid w:val="009563CE"/>
    <w:rsid w:val="00964282"/>
    <w:rsid w:val="009662BD"/>
    <w:rsid w:val="00966647"/>
    <w:rsid w:val="00976328"/>
    <w:rsid w:val="009763FA"/>
    <w:rsid w:val="00976491"/>
    <w:rsid w:val="0097680D"/>
    <w:rsid w:val="00976CE3"/>
    <w:rsid w:val="00982438"/>
    <w:rsid w:val="0098404C"/>
    <w:rsid w:val="00985283"/>
    <w:rsid w:val="00985295"/>
    <w:rsid w:val="00985347"/>
    <w:rsid w:val="00987589"/>
    <w:rsid w:val="0099283B"/>
    <w:rsid w:val="00992882"/>
    <w:rsid w:val="009934CC"/>
    <w:rsid w:val="00993502"/>
    <w:rsid w:val="00995992"/>
    <w:rsid w:val="009964F8"/>
    <w:rsid w:val="009A03E5"/>
    <w:rsid w:val="009A0886"/>
    <w:rsid w:val="009A0F3B"/>
    <w:rsid w:val="009A1BB4"/>
    <w:rsid w:val="009A22B6"/>
    <w:rsid w:val="009A2628"/>
    <w:rsid w:val="009A3200"/>
    <w:rsid w:val="009B0897"/>
    <w:rsid w:val="009B191E"/>
    <w:rsid w:val="009B4154"/>
    <w:rsid w:val="009B5020"/>
    <w:rsid w:val="009B515B"/>
    <w:rsid w:val="009B7BD9"/>
    <w:rsid w:val="009C05E0"/>
    <w:rsid w:val="009C4EF3"/>
    <w:rsid w:val="009C6CFA"/>
    <w:rsid w:val="009C7DD5"/>
    <w:rsid w:val="009D1143"/>
    <w:rsid w:val="009D3BCD"/>
    <w:rsid w:val="009E077A"/>
    <w:rsid w:val="009E130F"/>
    <w:rsid w:val="009E227D"/>
    <w:rsid w:val="009E5019"/>
    <w:rsid w:val="009E5D64"/>
    <w:rsid w:val="009E7165"/>
    <w:rsid w:val="009F0DF0"/>
    <w:rsid w:val="009F6919"/>
    <w:rsid w:val="009F6B9C"/>
    <w:rsid w:val="009F7630"/>
    <w:rsid w:val="00A0197A"/>
    <w:rsid w:val="00A01B60"/>
    <w:rsid w:val="00A01D86"/>
    <w:rsid w:val="00A0429B"/>
    <w:rsid w:val="00A043E1"/>
    <w:rsid w:val="00A04F1B"/>
    <w:rsid w:val="00A04F61"/>
    <w:rsid w:val="00A0501B"/>
    <w:rsid w:val="00A05CDC"/>
    <w:rsid w:val="00A07E9A"/>
    <w:rsid w:val="00A118F8"/>
    <w:rsid w:val="00A14947"/>
    <w:rsid w:val="00A17201"/>
    <w:rsid w:val="00A1743B"/>
    <w:rsid w:val="00A200D5"/>
    <w:rsid w:val="00A204CF"/>
    <w:rsid w:val="00A20F3C"/>
    <w:rsid w:val="00A25F23"/>
    <w:rsid w:val="00A32A83"/>
    <w:rsid w:val="00A335AC"/>
    <w:rsid w:val="00A35693"/>
    <w:rsid w:val="00A35CAD"/>
    <w:rsid w:val="00A368DB"/>
    <w:rsid w:val="00A41CF5"/>
    <w:rsid w:val="00A423AA"/>
    <w:rsid w:val="00A43A3D"/>
    <w:rsid w:val="00A43E0A"/>
    <w:rsid w:val="00A477E1"/>
    <w:rsid w:val="00A509FA"/>
    <w:rsid w:val="00A50E61"/>
    <w:rsid w:val="00A52503"/>
    <w:rsid w:val="00A53EC6"/>
    <w:rsid w:val="00A552CF"/>
    <w:rsid w:val="00A55C0F"/>
    <w:rsid w:val="00A61043"/>
    <w:rsid w:val="00A64DB6"/>
    <w:rsid w:val="00A70B3E"/>
    <w:rsid w:val="00A74ACB"/>
    <w:rsid w:val="00A7771D"/>
    <w:rsid w:val="00A81C1E"/>
    <w:rsid w:val="00A83BDF"/>
    <w:rsid w:val="00A85B59"/>
    <w:rsid w:val="00A8713F"/>
    <w:rsid w:val="00A87B28"/>
    <w:rsid w:val="00A90BA1"/>
    <w:rsid w:val="00A90CC1"/>
    <w:rsid w:val="00A94C21"/>
    <w:rsid w:val="00A97A9A"/>
    <w:rsid w:val="00A97E0B"/>
    <w:rsid w:val="00AA0671"/>
    <w:rsid w:val="00AA0A41"/>
    <w:rsid w:val="00AA1706"/>
    <w:rsid w:val="00AA2531"/>
    <w:rsid w:val="00AA395E"/>
    <w:rsid w:val="00AA3995"/>
    <w:rsid w:val="00AA44E1"/>
    <w:rsid w:val="00AB1BA8"/>
    <w:rsid w:val="00AB1E09"/>
    <w:rsid w:val="00AB3AFB"/>
    <w:rsid w:val="00AB4511"/>
    <w:rsid w:val="00AB5330"/>
    <w:rsid w:val="00AB7747"/>
    <w:rsid w:val="00AC14CE"/>
    <w:rsid w:val="00AC2A56"/>
    <w:rsid w:val="00AC3A2D"/>
    <w:rsid w:val="00AC4CD3"/>
    <w:rsid w:val="00AC5CD9"/>
    <w:rsid w:val="00AD055E"/>
    <w:rsid w:val="00AD1A2E"/>
    <w:rsid w:val="00AD4721"/>
    <w:rsid w:val="00AD47A7"/>
    <w:rsid w:val="00AD4A2E"/>
    <w:rsid w:val="00AD7B51"/>
    <w:rsid w:val="00AE222F"/>
    <w:rsid w:val="00AE4C96"/>
    <w:rsid w:val="00AF0CBF"/>
    <w:rsid w:val="00AF257F"/>
    <w:rsid w:val="00AF33CF"/>
    <w:rsid w:val="00AF4503"/>
    <w:rsid w:val="00AF4D50"/>
    <w:rsid w:val="00AF6179"/>
    <w:rsid w:val="00AF71D0"/>
    <w:rsid w:val="00AF7B81"/>
    <w:rsid w:val="00B075C8"/>
    <w:rsid w:val="00B07B84"/>
    <w:rsid w:val="00B10BBB"/>
    <w:rsid w:val="00B12921"/>
    <w:rsid w:val="00B1295A"/>
    <w:rsid w:val="00B12FAC"/>
    <w:rsid w:val="00B1302B"/>
    <w:rsid w:val="00B134D9"/>
    <w:rsid w:val="00B16508"/>
    <w:rsid w:val="00B16EFB"/>
    <w:rsid w:val="00B17194"/>
    <w:rsid w:val="00B20A45"/>
    <w:rsid w:val="00B20DE7"/>
    <w:rsid w:val="00B22116"/>
    <w:rsid w:val="00B22C5C"/>
    <w:rsid w:val="00B24F30"/>
    <w:rsid w:val="00B250F6"/>
    <w:rsid w:val="00B27DAB"/>
    <w:rsid w:val="00B30466"/>
    <w:rsid w:val="00B31ABF"/>
    <w:rsid w:val="00B33BE3"/>
    <w:rsid w:val="00B35F82"/>
    <w:rsid w:val="00B376EB"/>
    <w:rsid w:val="00B464FC"/>
    <w:rsid w:val="00B50B6D"/>
    <w:rsid w:val="00B52690"/>
    <w:rsid w:val="00B53B5D"/>
    <w:rsid w:val="00B53BA0"/>
    <w:rsid w:val="00B54F7F"/>
    <w:rsid w:val="00B55788"/>
    <w:rsid w:val="00B6055E"/>
    <w:rsid w:val="00B60FA6"/>
    <w:rsid w:val="00B6317D"/>
    <w:rsid w:val="00B67063"/>
    <w:rsid w:val="00B6726A"/>
    <w:rsid w:val="00B70E71"/>
    <w:rsid w:val="00B76034"/>
    <w:rsid w:val="00B7723F"/>
    <w:rsid w:val="00B80534"/>
    <w:rsid w:val="00B81097"/>
    <w:rsid w:val="00B82190"/>
    <w:rsid w:val="00B835AA"/>
    <w:rsid w:val="00B83CED"/>
    <w:rsid w:val="00B8433C"/>
    <w:rsid w:val="00B87491"/>
    <w:rsid w:val="00B92E2A"/>
    <w:rsid w:val="00B931F8"/>
    <w:rsid w:val="00B9476E"/>
    <w:rsid w:val="00B96683"/>
    <w:rsid w:val="00B972C8"/>
    <w:rsid w:val="00BA29E9"/>
    <w:rsid w:val="00BA36C4"/>
    <w:rsid w:val="00BA5532"/>
    <w:rsid w:val="00BA6E3A"/>
    <w:rsid w:val="00BA7142"/>
    <w:rsid w:val="00BA71C4"/>
    <w:rsid w:val="00BB237C"/>
    <w:rsid w:val="00BB2DC0"/>
    <w:rsid w:val="00BB3AC9"/>
    <w:rsid w:val="00BB3AEC"/>
    <w:rsid w:val="00BB41A3"/>
    <w:rsid w:val="00BB4BB8"/>
    <w:rsid w:val="00BB68D8"/>
    <w:rsid w:val="00BB6DEE"/>
    <w:rsid w:val="00BB79A7"/>
    <w:rsid w:val="00BC32DC"/>
    <w:rsid w:val="00BC35B6"/>
    <w:rsid w:val="00BC5539"/>
    <w:rsid w:val="00BC5AB8"/>
    <w:rsid w:val="00BC6DD0"/>
    <w:rsid w:val="00BC7517"/>
    <w:rsid w:val="00BC7EF0"/>
    <w:rsid w:val="00BD1B51"/>
    <w:rsid w:val="00BD24E5"/>
    <w:rsid w:val="00BD3202"/>
    <w:rsid w:val="00BD4596"/>
    <w:rsid w:val="00BE0AC7"/>
    <w:rsid w:val="00BE0FF0"/>
    <w:rsid w:val="00BE1405"/>
    <w:rsid w:val="00BE312D"/>
    <w:rsid w:val="00BE4B51"/>
    <w:rsid w:val="00BE4D71"/>
    <w:rsid w:val="00BE5DA1"/>
    <w:rsid w:val="00BE6004"/>
    <w:rsid w:val="00BE74FA"/>
    <w:rsid w:val="00BF1C20"/>
    <w:rsid w:val="00BF1F75"/>
    <w:rsid w:val="00BF6A30"/>
    <w:rsid w:val="00C008F4"/>
    <w:rsid w:val="00C10578"/>
    <w:rsid w:val="00C110FC"/>
    <w:rsid w:val="00C135BC"/>
    <w:rsid w:val="00C15965"/>
    <w:rsid w:val="00C15C95"/>
    <w:rsid w:val="00C15E18"/>
    <w:rsid w:val="00C1679A"/>
    <w:rsid w:val="00C21E84"/>
    <w:rsid w:val="00C2491A"/>
    <w:rsid w:val="00C2596A"/>
    <w:rsid w:val="00C25B86"/>
    <w:rsid w:val="00C25DC4"/>
    <w:rsid w:val="00C27537"/>
    <w:rsid w:val="00C31C82"/>
    <w:rsid w:val="00C328FE"/>
    <w:rsid w:val="00C33507"/>
    <w:rsid w:val="00C34003"/>
    <w:rsid w:val="00C34DDD"/>
    <w:rsid w:val="00C36049"/>
    <w:rsid w:val="00C36BAC"/>
    <w:rsid w:val="00C428C7"/>
    <w:rsid w:val="00C4409D"/>
    <w:rsid w:val="00C44E72"/>
    <w:rsid w:val="00C44EDB"/>
    <w:rsid w:val="00C45A06"/>
    <w:rsid w:val="00C47E5B"/>
    <w:rsid w:val="00C510DA"/>
    <w:rsid w:val="00C513E1"/>
    <w:rsid w:val="00C519D6"/>
    <w:rsid w:val="00C528D4"/>
    <w:rsid w:val="00C60A4C"/>
    <w:rsid w:val="00C61E4B"/>
    <w:rsid w:val="00C629C6"/>
    <w:rsid w:val="00C62A30"/>
    <w:rsid w:val="00C64BFF"/>
    <w:rsid w:val="00C65F04"/>
    <w:rsid w:val="00C7021D"/>
    <w:rsid w:val="00C704E9"/>
    <w:rsid w:val="00C70DBA"/>
    <w:rsid w:val="00C710C5"/>
    <w:rsid w:val="00C718FA"/>
    <w:rsid w:val="00C71977"/>
    <w:rsid w:val="00C760FD"/>
    <w:rsid w:val="00C763C9"/>
    <w:rsid w:val="00C80057"/>
    <w:rsid w:val="00C81341"/>
    <w:rsid w:val="00C82014"/>
    <w:rsid w:val="00C82232"/>
    <w:rsid w:val="00C82913"/>
    <w:rsid w:val="00C8369D"/>
    <w:rsid w:val="00C84396"/>
    <w:rsid w:val="00C85F20"/>
    <w:rsid w:val="00C8682B"/>
    <w:rsid w:val="00C9076B"/>
    <w:rsid w:val="00C92332"/>
    <w:rsid w:val="00C94C0A"/>
    <w:rsid w:val="00C95EEF"/>
    <w:rsid w:val="00C9671C"/>
    <w:rsid w:val="00C96B3E"/>
    <w:rsid w:val="00C972B1"/>
    <w:rsid w:val="00CA2CCE"/>
    <w:rsid w:val="00CA43FD"/>
    <w:rsid w:val="00CA58E9"/>
    <w:rsid w:val="00CA71AC"/>
    <w:rsid w:val="00CA7EF8"/>
    <w:rsid w:val="00CB0B77"/>
    <w:rsid w:val="00CB77BE"/>
    <w:rsid w:val="00CC3BC0"/>
    <w:rsid w:val="00CC489B"/>
    <w:rsid w:val="00CC527C"/>
    <w:rsid w:val="00CC5664"/>
    <w:rsid w:val="00CD2241"/>
    <w:rsid w:val="00CD2BCD"/>
    <w:rsid w:val="00CD3A4C"/>
    <w:rsid w:val="00CE10E9"/>
    <w:rsid w:val="00CE20A7"/>
    <w:rsid w:val="00CE2910"/>
    <w:rsid w:val="00CE47FD"/>
    <w:rsid w:val="00CE5393"/>
    <w:rsid w:val="00CE6C8A"/>
    <w:rsid w:val="00CF11BD"/>
    <w:rsid w:val="00CF17C8"/>
    <w:rsid w:val="00CF1A9C"/>
    <w:rsid w:val="00CF36BE"/>
    <w:rsid w:val="00CF4C89"/>
    <w:rsid w:val="00CF566F"/>
    <w:rsid w:val="00CF6000"/>
    <w:rsid w:val="00CF7A84"/>
    <w:rsid w:val="00D003F3"/>
    <w:rsid w:val="00D02659"/>
    <w:rsid w:val="00D0364F"/>
    <w:rsid w:val="00D0547D"/>
    <w:rsid w:val="00D06834"/>
    <w:rsid w:val="00D12F32"/>
    <w:rsid w:val="00D13E18"/>
    <w:rsid w:val="00D20856"/>
    <w:rsid w:val="00D22F0F"/>
    <w:rsid w:val="00D308ED"/>
    <w:rsid w:val="00D33118"/>
    <w:rsid w:val="00D3342A"/>
    <w:rsid w:val="00D337E0"/>
    <w:rsid w:val="00D3381D"/>
    <w:rsid w:val="00D36CCB"/>
    <w:rsid w:val="00D36D86"/>
    <w:rsid w:val="00D427B2"/>
    <w:rsid w:val="00D428AA"/>
    <w:rsid w:val="00D45A0B"/>
    <w:rsid w:val="00D50A34"/>
    <w:rsid w:val="00D534EC"/>
    <w:rsid w:val="00D53EFA"/>
    <w:rsid w:val="00D56E44"/>
    <w:rsid w:val="00D5734C"/>
    <w:rsid w:val="00D6044C"/>
    <w:rsid w:val="00D62790"/>
    <w:rsid w:val="00D64943"/>
    <w:rsid w:val="00D64A1D"/>
    <w:rsid w:val="00D6513C"/>
    <w:rsid w:val="00D66640"/>
    <w:rsid w:val="00D732D7"/>
    <w:rsid w:val="00D73F8F"/>
    <w:rsid w:val="00D775C1"/>
    <w:rsid w:val="00D814F9"/>
    <w:rsid w:val="00D8238F"/>
    <w:rsid w:val="00D852F5"/>
    <w:rsid w:val="00D87A6F"/>
    <w:rsid w:val="00D94A7C"/>
    <w:rsid w:val="00D95896"/>
    <w:rsid w:val="00D9683E"/>
    <w:rsid w:val="00DA45F4"/>
    <w:rsid w:val="00DA49B2"/>
    <w:rsid w:val="00DB288E"/>
    <w:rsid w:val="00DB2983"/>
    <w:rsid w:val="00DB3663"/>
    <w:rsid w:val="00DB7B0A"/>
    <w:rsid w:val="00DC1257"/>
    <w:rsid w:val="00DC3DC0"/>
    <w:rsid w:val="00DC4961"/>
    <w:rsid w:val="00DC5B2B"/>
    <w:rsid w:val="00DC7272"/>
    <w:rsid w:val="00DD318D"/>
    <w:rsid w:val="00DD7A25"/>
    <w:rsid w:val="00DE0136"/>
    <w:rsid w:val="00DF2E12"/>
    <w:rsid w:val="00DF514A"/>
    <w:rsid w:val="00DF6690"/>
    <w:rsid w:val="00DF6804"/>
    <w:rsid w:val="00E00BC9"/>
    <w:rsid w:val="00E00D79"/>
    <w:rsid w:val="00E0114F"/>
    <w:rsid w:val="00E0324B"/>
    <w:rsid w:val="00E0358D"/>
    <w:rsid w:val="00E04172"/>
    <w:rsid w:val="00E04323"/>
    <w:rsid w:val="00E05E82"/>
    <w:rsid w:val="00E070A2"/>
    <w:rsid w:val="00E07C95"/>
    <w:rsid w:val="00E07CBD"/>
    <w:rsid w:val="00E13282"/>
    <w:rsid w:val="00E16E91"/>
    <w:rsid w:val="00E223DB"/>
    <w:rsid w:val="00E2656A"/>
    <w:rsid w:val="00E277F6"/>
    <w:rsid w:val="00E27A3B"/>
    <w:rsid w:val="00E335D4"/>
    <w:rsid w:val="00E33E1D"/>
    <w:rsid w:val="00E34815"/>
    <w:rsid w:val="00E36F94"/>
    <w:rsid w:val="00E412D0"/>
    <w:rsid w:val="00E443BF"/>
    <w:rsid w:val="00E44F66"/>
    <w:rsid w:val="00E51872"/>
    <w:rsid w:val="00E534DE"/>
    <w:rsid w:val="00E53D1F"/>
    <w:rsid w:val="00E555A2"/>
    <w:rsid w:val="00E558CF"/>
    <w:rsid w:val="00E55DC5"/>
    <w:rsid w:val="00E5631C"/>
    <w:rsid w:val="00E56322"/>
    <w:rsid w:val="00E60982"/>
    <w:rsid w:val="00E60A9C"/>
    <w:rsid w:val="00E60D68"/>
    <w:rsid w:val="00E60FE8"/>
    <w:rsid w:val="00E622C6"/>
    <w:rsid w:val="00E62C62"/>
    <w:rsid w:val="00E654C1"/>
    <w:rsid w:val="00E65D97"/>
    <w:rsid w:val="00E72A5A"/>
    <w:rsid w:val="00E73354"/>
    <w:rsid w:val="00E73859"/>
    <w:rsid w:val="00E73DD8"/>
    <w:rsid w:val="00E748E3"/>
    <w:rsid w:val="00E7723A"/>
    <w:rsid w:val="00E7758E"/>
    <w:rsid w:val="00E77E02"/>
    <w:rsid w:val="00E82531"/>
    <w:rsid w:val="00E83EE5"/>
    <w:rsid w:val="00E8548D"/>
    <w:rsid w:val="00E85F15"/>
    <w:rsid w:val="00E86B61"/>
    <w:rsid w:val="00E9242D"/>
    <w:rsid w:val="00E947CA"/>
    <w:rsid w:val="00E95FE8"/>
    <w:rsid w:val="00E975BB"/>
    <w:rsid w:val="00EA2B87"/>
    <w:rsid w:val="00EA445B"/>
    <w:rsid w:val="00EA4868"/>
    <w:rsid w:val="00EA6648"/>
    <w:rsid w:val="00EA6AD0"/>
    <w:rsid w:val="00EA7893"/>
    <w:rsid w:val="00EB4BDA"/>
    <w:rsid w:val="00EB5255"/>
    <w:rsid w:val="00EB5C47"/>
    <w:rsid w:val="00EB7168"/>
    <w:rsid w:val="00EC4786"/>
    <w:rsid w:val="00EC4B0D"/>
    <w:rsid w:val="00EC55EC"/>
    <w:rsid w:val="00EC594B"/>
    <w:rsid w:val="00EC5E44"/>
    <w:rsid w:val="00ED008C"/>
    <w:rsid w:val="00ED0639"/>
    <w:rsid w:val="00ED08FF"/>
    <w:rsid w:val="00ED2790"/>
    <w:rsid w:val="00EE0285"/>
    <w:rsid w:val="00EE2191"/>
    <w:rsid w:val="00EF4755"/>
    <w:rsid w:val="00EF7135"/>
    <w:rsid w:val="00EF7F40"/>
    <w:rsid w:val="00F01F08"/>
    <w:rsid w:val="00F027DB"/>
    <w:rsid w:val="00F04923"/>
    <w:rsid w:val="00F050C4"/>
    <w:rsid w:val="00F05DEE"/>
    <w:rsid w:val="00F0701A"/>
    <w:rsid w:val="00F129C9"/>
    <w:rsid w:val="00F14A7A"/>
    <w:rsid w:val="00F201C4"/>
    <w:rsid w:val="00F21DE7"/>
    <w:rsid w:val="00F22985"/>
    <w:rsid w:val="00F26107"/>
    <w:rsid w:val="00F332BC"/>
    <w:rsid w:val="00F3383E"/>
    <w:rsid w:val="00F339AE"/>
    <w:rsid w:val="00F34A72"/>
    <w:rsid w:val="00F4223B"/>
    <w:rsid w:val="00F42906"/>
    <w:rsid w:val="00F45D9F"/>
    <w:rsid w:val="00F465A7"/>
    <w:rsid w:val="00F47A78"/>
    <w:rsid w:val="00F50591"/>
    <w:rsid w:val="00F50B7C"/>
    <w:rsid w:val="00F53C58"/>
    <w:rsid w:val="00F550E6"/>
    <w:rsid w:val="00F55121"/>
    <w:rsid w:val="00F56022"/>
    <w:rsid w:val="00F56376"/>
    <w:rsid w:val="00F63BB2"/>
    <w:rsid w:val="00F64BFE"/>
    <w:rsid w:val="00F718E6"/>
    <w:rsid w:val="00F71E2A"/>
    <w:rsid w:val="00F74345"/>
    <w:rsid w:val="00F80A0A"/>
    <w:rsid w:val="00F82B19"/>
    <w:rsid w:val="00F8546A"/>
    <w:rsid w:val="00F867E5"/>
    <w:rsid w:val="00F870F9"/>
    <w:rsid w:val="00F90643"/>
    <w:rsid w:val="00F91A15"/>
    <w:rsid w:val="00F9212D"/>
    <w:rsid w:val="00F96082"/>
    <w:rsid w:val="00F965DA"/>
    <w:rsid w:val="00FA1C6C"/>
    <w:rsid w:val="00FA2A5C"/>
    <w:rsid w:val="00FA406A"/>
    <w:rsid w:val="00FA4111"/>
    <w:rsid w:val="00FA69EE"/>
    <w:rsid w:val="00FA7041"/>
    <w:rsid w:val="00FA7FB8"/>
    <w:rsid w:val="00FB1B0B"/>
    <w:rsid w:val="00FB301B"/>
    <w:rsid w:val="00FB503A"/>
    <w:rsid w:val="00FB516C"/>
    <w:rsid w:val="00FC1C5F"/>
    <w:rsid w:val="00FC28C4"/>
    <w:rsid w:val="00FC4699"/>
    <w:rsid w:val="00FD0236"/>
    <w:rsid w:val="00FD18F4"/>
    <w:rsid w:val="00FD2E56"/>
    <w:rsid w:val="00FD54DB"/>
    <w:rsid w:val="00FD56BE"/>
    <w:rsid w:val="00FD619F"/>
    <w:rsid w:val="00FE1A7A"/>
    <w:rsid w:val="00FF000D"/>
    <w:rsid w:val="00FF07D2"/>
    <w:rsid w:val="00FF1467"/>
    <w:rsid w:val="00FF1F24"/>
    <w:rsid w:val="00FF7C52"/>
    <w:rsid w:val="01255120"/>
    <w:rsid w:val="012840F7"/>
    <w:rsid w:val="01290F7E"/>
    <w:rsid w:val="01323CE1"/>
    <w:rsid w:val="01384029"/>
    <w:rsid w:val="013A66B9"/>
    <w:rsid w:val="0152131F"/>
    <w:rsid w:val="015D1E09"/>
    <w:rsid w:val="016043AA"/>
    <w:rsid w:val="01655E65"/>
    <w:rsid w:val="017716F4"/>
    <w:rsid w:val="01785B98"/>
    <w:rsid w:val="01993D60"/>
    <w:rsid w:val="01AB7316"/>
    <w:rsid w:val="01B42948"/>
    <w:rsid w:val="01BD7A4F"/>
    <w:rsid w:val="01C16E5B"/>
    <w:rsid w:val="01C335B6"/>
    <w:rsid w:val="01C531C7"/>
    <w:rsid w:val="01CF7782"/>
    <w:rsid w:val="01E1383C"/>
    <w:rsid w:val="01E62BBB"/>
    <w:rsid w:val="01EC15DE"/>
    <w:rsid w:val="01F01DC8"/>
    <w:rsid w:val="01F20968"/>
    <w:rsid w:val="01F66ABD"/>
    <w:rsid w:val="020058B7"/>
    <w:rsid w:val="0208050C"/>
    <w:rsid w:val="0211236D"/>
    <w:rsid w:val="02153193"/>
    <w:rsid w:val="021568E7"/>
    <w:rsid w:val="021751BE"/>
    <w:rsid w:val="021F738A"/>
    <w:rsid w:val="022660AA"/>
    <w:rsid w:val="0227311A"/>
    <w:rsid w:val="022C0730"/>
    <w:rsid w:val="022E14F4"/>
    <w:rsid w:val="02385327"/>
    <w:rsid w:val="02433915"/>
    <w:rsid w:val="02470B49"/>
    <w:rsid w:val="02697903"/>
    <w:rsid w:val="026B7219"/>
    <w:rsid w:val="026E788D"/>
    <w:rsid w:val="02775C40"/>
    <w:rsid w:val="027A5940"/>
    <w:rsid w:val="02975F32"/>
    <w:rsid w:val="02A56BF9"/>
    <w:rsid w:val="02CA6781"/>
    <w:rsid w:val="02D06B16"/>
    <w:rsid w:val="02D07BBF"/>
    <w:rsid w:val="02DC2156"/>
    <w:rsid w:val="02ED0A38"/>
    <w:rsid w:val="02F96569"/>
    <w:rsid w:val="030A1C2A"/>
    <w:rsid w:val="030B1EAF"/>
    <w:rsid w:val="0310556F"/>
    <w:rsid w:val="0315052E"/>
    <w:rsid w:val="031E451D"/>
    <w:rsid w:val="031E6043"/>
    <w:rsid w:val="032655E0"/>
    <w:rsid w:val="0328539C"/>
    <w:rsid w:val="032A1114"/>
    <w:rsid w:val="032D29B2"/>
    <w:rsid w:val="03370B16"/>
    <w:rsid w:val="034236D2"/>
    <w:rsid w:val="034767ED"/>
    <w:rsid w:val="034D5288"/>
    <w:rsid w:val="03525F75"/>
    <w:rsid w:val="03527995"/>
    <w:rsid w:val="03575C81"/>
    <w:rsid w:val="03661A20"/>
    <w:rsid w:val="03733207"/>
    <w:rsid w:val="037642E1"/>
    <w:rsid w:val="03791753"/>
    <w:rsid w:val="037E538A"/>
    <w:rsid w:val="0381685A"/>
    <w:rsid w:val="039B791C"/>
    <w:rsid w:val="03AF176F"/>
    <w:rsid w:val="03B41B21"/>
    <w:rsid w:val="03B41CD7"/>
    <w:rsid w:val="03B7227C"/>
    <w:rsid w:val="03BE7AAE"/>
    <w:rsid w:val="03C70711"/>
    <w:rsid w:val="03CB1F75"/>
    <w:rsid w:val="03D80B70"/>
    <w:rsid w:val="03DA48E8"/>
    <w:rsid w:val="03E5328D"/>
    <w:rsid w:val="03E5503B"/>
    <w:rsid w:val="03EA7B21"/>
    <w:rsid w:val="03EC63C9"/>
    <w:rsid w:val="03FE64C9"/>
    <w:rsid w:val="04051239"/>
    <w:rsid w:val="04090D29"/>
    <w:rsid w:val="040A30FF"/>
    <w:rsid w:val="041A0736"/>
    <w:rsid w:val="041C0771"/>
    <w:rsid w:val="042039D6"/>
    <w:rsid w:val="042B3B79"/>
    <w:rsid w:val="042E0626"/>
    <w:rsid w:val="043A5387"/>
    <w:rsid w:val="043A658C"/>
    <w:rsid w:val="043B10FF"/>
    <w:rsid w:val="043B2EAD"/>
    <w:rsid w:val="04481D8A"/>
    <w:rsid w:val="044A290C"/>
    <w:rsid w:val="04544451"/>
    <w:rsid w:val="045D1075"/>
    <w:rsid w:val="04675A50"/>
    <w:rsid w:val="04754611"/>
    <w:rsid w:val="047563BF"/>
    <w:rsid w:val="047B48A5"/>
    <w:rsid w:val="047D1717"/>
    <w:rsid w:val="048D195A"/>
    <w:rsid w:val="04956D93"/>
    <w:rsid w:val="04BC223F"/>
    <w:rsid w:val="04BD38C2"/>
    <w:rsid w:val="04BF588C"/>
    <w:rsid w:val="04CD1D48"/>
    <w:rsid w:val="04CE5ACF"/>
    <w:rsid w:val="04D1690B"/>
    <w:rsid w:val="04D21550"/>
    <w:rsid w:val="04EA5F6F"/>
    <w:rsid w:val="04EF43C3"/>
    <w:rsid w:val="04F12559"/>
    <w:rsid w:val="04FE3556"/>
    <w:rsid w:val="050B6D23"/>
    <w:rsid w:val="051060E7"/>
    <w:rsid w:val="051B4386"/>
    <w:rsid w:val="0526489C"/>
    <w:rsid w:val="052D4EEB"/>
    <w:rsid w:val="053D33EC"/>
    <w:rsid w:val="05502988"/>
    <w:rsid w:val="05504736"/>
    <w:rsid w:val="0563090D"/>
    <w:rsid w:val="05695D00"/>
    <w:rsid w:val="05766A3C"/>
    <w:rsid w:val="05776166"/>
    <w:rsid w:val="05A32387"/>
    <w:rsid w:val="05B668B9"/>
    <w:rsid w:val="05C3315A"/>
    <w:rsid w:val="05C776AF"/>
    <w:rsid w:val="05CE2C4D"/>
    <w:rsid w:val="05D322A6"/>
    <w:rsid w:val="05F83EAE"/>
    <w:rsid w:val="061871E9"/>
    <w:rsid w:val="06193BF9"/>
    <w:rsid w:val="06277B8D"/>
    <w:rsid w:val="062C52C2"/>
    <w:rsid w:val="062F1F5F"/>
    <w:rsid w:val="063522A9"/>
    <w:rsid w:val="063E4C65"/>
    <w:rsid w:val="063E7D85"/>
    <w:rsid w:val="065A35C8"/>
    <w:rsid w:val="065C1416"/>
    <w:rsid w:val="068A52EB"/>
    <w:rsid w:val="068B011B"/>
    <w:rsid w:val="069B7E58"/>
    <w:rsid w:val="06A43DB7"/>
    <w:rsid w:val="06A4573E"/>
    <w:rsid w:val="06A603A5"/>
    <w:rsid w:val="06AE5BB8"/>
    <w:rsid w:val="06C61501"/>
    <w:rsid w:val="06D52B3A"/>
    <w:rsid w:val="06D66EBD"/>
    <w:rsid w:val="06F164EF"/>
    <w:rsid w:val="070561EA"/>
    <w:rsid w:val="0710388A"/>
    <w:rsid w:val="072639A0"/>
    <w:rsid w:val="07293586"/>
    <w:rsid w:val="07294629"/>
    <w:rsid w:val="07295285"/>
    <w:rsid w:val="073E14A8"/>
    <w:rsid w:val="07424971"/>
    <w:rsid w:val="074472D3"/>
    <w:rsid w:val="07636392"/>
    <w:rsid w:val="076B1CFB"/>
    <w:rsid w:val="076B43DC"/>
    <w:rsid w:val="07717112"/>
    <w:rsid w:val="07770C56"/>
    <w:rsid w:val="07801C24"/>
    <w:rsid w:val="078609FB"/>
    <w:rsid w:val="078F59E9"/>
    <w:rsid w:val="0790639C"/>
    <w:rsid w:val="0797664C"/>
    <w:rsid w:val="079A6AC0"/>
    <w:rsid w:val="07A17E21"/>
    <w:rsid w:val="07AD2017"/>
    <w:rsid w:val="07BB797D"/>
    <w:rsid w:val="07C35CD7"/>
    <w:rsid w:val="07C513D3"/>
    <w:rsid w:val="07CC079B"/>
    <w:rsid w:val="07CD6512"/>
    <w:rsid w:val="07CF451A"/>
    <w:rsid w:val="07D65485"/>
    <w:rsid w:val="07D818E7"/>
    <w:rsid w:val="07EB16A0"/>
    <w:rsid w:val="07F52E67"/>
    <w:rsid w:val="07F65369"/>
    <w:rsid w:val="07F9130C"/>
    <w:rsid w:val="07F97307"/>
    <w:rsid w:val="08114650"/>
    <w:rsid w:val="0812399B"/>
    <w:rsid w:val="08144141"/>
    <w:rsid w:val="08202AE5"/>
    <w:rsid w:val="0822496C"/>
    <w:rsid w:val="08275F0A"/>
    <w:rsid w:val="082F2D28"/>
    <w:rsid w:val="084A7B62"/>
    <w:rsid w:val="084C0C77"/>
    <w:rsid w:val="08517143"/>
    <w:rsid w:val="08566A1E"/>
    <w:rsid w:val="085B63B2"/>
    <w:rsid w:val="086D05EE"/>
    <w:rsid w:val="087E3BC1"/>
    <w:rsid w:val="087F6AFC"/>
    <w:rsid w:val="089316E9"/>
    <w:rsid w:val="08AA23AF"/>
    <w:rsid w:val="08B677D9"/>
    <w:rsid w:val="08BA39DE"/>
    <w:rsid w:val="08C23C72"/>
    <w:rsid w:val="08CB2A51"/>
    <w:rsid w:val="08CF1E16"/>
    <w:rsid w:val="08D85501"/>
    <w:rsid w:val="08DD0018"/>
    <w:rsid w:val="0902043D"/>
    <w:rsid w:val="090441B5"/>
    <w:rsid w:val="092217DD"/>
    <w:rsid w:val="09246605"/>
    <w:rsid w:val="09383E5F"/>
    <w:rsid w:val="093A7294"/>
    <w:rsid w:val="09464A8E"/>
    <w:rsid w:val="096341B6"/>
    <w:rsid w:val="09640FF9"/>
    <w:rsid w:val="09644C54"/>
    <w:rsid w:val="0979245B"/>
    <w:rsid w:val="097C01EF"/>
    <w:rsid w:val="09864BCA"/>
    <w:rsid w:val="098D7D07"/>
    <w:rsid w:val="0992356F"/>
    <w:rsid w:val="09A3549C"/>
    <w:rsid w:val="09B74710"/>
    <w:rsid w:val="09B74D83"/>
    <w:rsid w:val="09E247E6"/>
    <w:rsid w:val="09E43723"/>
    <w:rsid w:val="09F77953"/>
    <w:rsid w:val="0A11678E"/>
    <w:rsid w:val="0A140428"/>
    <w:rsid w:val="0A263993"/>
    <w:rsid w:val="0A2D3AC2"/>
    <w:rsid w:val="0A334D52"/>
    <w:rsid w:val="0A3671C9"/>
    <w:rsid w:val="0A3C7ED1"/>
    <w:rsid w:val="0A3D5C6E"/>
    <w:rsid w:val="0A3F6C79"/>
    <w:rsid w:val="0A417CFB"/>
    <w:rsid w:val="0A54036B"/>
    <w:rsid w:val="0A56459C"/>
    <w:rsid w:val="0A6018EF"/>
    <w:rsid w:val="0A606C9D"/>
    <w:rsid w:val="0A645319"/>
    <w:rsid w:val="0A6D20CC"/>
    <w:rsid w:val="0A7964DD"/>
    <w:rsid w:val="0A7B4D5F"/>
    <w:rsid w:val="0A8314F4"/>
    <w:rsid w:val="0A8A2498"/>
    <w:rsid w:val="0A9F23E7"/>
    <w:rsid w:val="0AA572D2"/>
    <w:rsid w:val="0AA755DF"/>
    <w:rsid w:val="0AA973F2"/>
    <w:rsid w:val="0AAB6D99"/>
    <w:rsid w:val="0AB13EC9"/>
    <w:rsid w:val="0AC65F7A"/>
    <w:rsid w:val="0AC9034E"/>
    <w:rsid w:val="0ACE4C39"/>
    <w:rsid w:val="0AD41965"/>
    <w:rsid w:val="0AD61B81"/>
    <w:rsid w:val="0AE95411"/>
    <w:rsid w:val="0AEC4F01"/>
    <w:rsid w:val="0AF65D7F"/>
    <w:rsid w:val="0AF820A2"/>
    <w:rsid w:val="0AFB496E"/>
    <w:rsid w:val="0AFF2E86"/>
    <w:rsid w:val="0B120D44"/>
    <w:rsid w:val="0B18403E"/>
    <w:rsid w:val="0B380146"/>
    <w:rsid w:val="0B381EF4"/>
    <w:rsid w:val="0B494101"/>
    <w:rsid w:val="0B520B0D"/>
    <w:rsid w:val="0B527F16"/>
    <w:rsid w:val="0B53553E"/>
    <w:rsid w:val="0B5A7049"/>
    <w:rsid w:val="0B764080"/>
    <w:rsid w:val="0B766AA4"/>
    <w:rsid w:val="0B7A42BB"/>
    <w:rsid w:val="0B892750"/>
    <w:rsid w:val="0B8B471A"/>
    <w:rsid w:val="0B981860"/>
    <w:rsid w:val="0B9D61FB"/>
    <w:rsid w:val="0BD27BF6"/>
    <w:rsid w:val="0BD53BE7"/>
    <w:rsid w:val="0BD75BB1"/>
    <w:rsid w:val="0BE246DD"/>
    <w:rsid w:val="0BE53054"/>
    <w:rsid w:val="0BE62A5E"/>
    <w:rsid w:val="0BE93E4A"/>
    <w:rsid w:val="0BF202F5"/>
    <w:rsid w:val="0BF26444"/>
    <w:rsid w:val="0BF26547"/>
    <w:rsid w:val="0BF36577"/>
    <w:rsid w:val="0BF70001"/>
    <w:rsid w:val="0C0D512F"/>
    <w:rsid w:val="0C122745"/>
    <w:rsid w:val="0C30706F"/>
    <w:rsid w:val="0C395F24"/>
    <w:rsid w:val="0C3B3C7D"/>
    <w:rsid w:val="0C594818"/>
    <w:rsid w:val="0C637445"/>
    <w:rsid w:val="0C645B8B"/>
    <w:rsid w:val="0C761B5C"/>
    <w:rsid w:val="0C807DA1"/>
    <w:rsid w:val="0C917B0E"/>
    <w:rsid w:val="0CA77331"/>
    <w:rsid w:val="0CAB2EAE"/>
    <w:rsid w:val="0CBB2DDD"/>
    <w:rsid w:val="0CC04897"/>
    <w:rsid w:val="0CCA53EC"/>
    <w:rsid w:val="0CEF7003"/>
    <w:rsid w:val="0CF236F8"/>
    <w:rsid w:val="0D100AE1"/>
    <w:rsid w:val="0D1D6A0B"/>
    <w:rsid w:val="0D2E1801"/>
    <w:rsid w:val="0D38267F"/>
    <w:rsid w:val="0D401DF3"/>
    <w:rsid w:val="0D49488C"/>
    <w:rsid w:val="0D4A0051"/>
    <w:rsid w:val="0D606D44"/>
    <w:rsid w:val="0D621C7D"/>
    <w:rsid w:val="0D674D12"/>
    <w:rsid w:val="0D6B035F"/>
    <w:rsid w:val="0D6E60A1"/>
    <w:rsid w:val="0D70006B"/>
    <w:rsid w:val="0D71793F"/>
    <w:rsid w:val="0D7D2C1A"/>
    <w:rsid w:val="0D8A5F7E"/>
    <w:rsid w:val="0D9753E1"/>
    <w:rsid w:val="0D9C2C0E"/>
    <w:rsid w:val="0D9F31D6"/>
    <w:rsid w:val="0DB34886"/>
    <w:rsid w:val="0DBD37F0"/>
    <w:rsid w:val="0DD423A8"/>
    <w:rsid w:val="0DD51C7C"/>
    <w:rsid w:val="0DD57ECE"/>
    <w:rsid w:val="0DDB2C34"/>
    <w:rsid w:val="0DE25FA2"/>
    <w:rsid w:val="0DF540CC"/>
    <w:rsid w:val="0DFF4637"/>
    <w:rsid w:val="0E010CC3"/>
    <w:rsid w:val="0E041AF6"/>
    <w:rsid w:val="0E105B1B"/>
    <w:rsid w:val="0E131DB7"/>
    <w:rsid w:val="0E15476E"/>
    <w:rsid w:val="0E2245A9"/>
    <w:rsid w:val="0E251D31"/>
    <w:rsid w:val="0E260049"/>
    <w:rsid w:val="0E377374"/>
    <w:rsid w:val="0E383970"/>
    <w:rsid w:val="0E3A57BE"/>
    <w:rsid w:val="0E3F3599"/>
    <w:rsid w:val="0E4A66F5"/>
    <w:rsid w:val="0E5E4367"/>
    <w:rsid w:val="0E617575"/>
    <w:rsid w:val="0E69499B"/>
    <w:rsid w:val="0E6A1348"/>
    <w:rsid w:val="0E6F60D4"/>
    <w:rsid w:val="0E73034D"/>
    <w:rsid w:val="0E9C4D57"/>
    <w:rsid w:val="0E9E6432"/>
    <w:rsid w:val="0EA16603"/>
    <w:rsid w:val="0EBC6F87"/>
    <w:rsid w:val="0EC77D1F"/>
    <w:rsid w:val="0ED640D1"/>
    <w:rsid w:val="0ED71A24"/>
    <w:rsid w:val="0EE12810"/>
    <w:rsid w:val="0EFB3F5D"/>
    <w:rsid w:val="0EFE5203"/>
    <w:rsid w:val="0F00525D"/>
    <w:rsid w:val="0F04084F"/>
    <w:rsid w:val="0F042397"/>
    <w:rsid w:val="0F123FEB"/>
    <w:rsid w:val="0F13775A"/>
    <w:rsid w:val="0F1A4105"/>
    <w:rsid w:val="0F2609BE"/>
    <w:rsid w:val="0F2D5C28"/>
    <w:rsid w:val="0F323C28"/>
    <w:rsid w:val="0F387022"/>
    <w:rsid w:val="0F3D5D2B"/>
    <w:rsid w:val="0F422794"/>
    <w:rsid w:val="0F44355D"/>
    <w:rsid w:val="0F53554E"/>
    <w:rsid w:val="0F543B02"/>
    <w:rsid w:val="0F5B0C43"/>
    <w:rsid w:val="0F5F45FE"/>
    <w:rsid w:val="0F615EBD"/>
    <w:rsid w:val="0F670FFA"/>
    <w:rsid w:val="0F6A2898"/>
    <w:rsid w:val="0F7C74E4"/>
    <w:rsid w:val="0F877481"/>
    <w:rsid w:val="0F9A112B"/>
    <w:rsid w:val="0F9C5147"/>
    <w:rsid w:val="0F9F2542"/>
    <w:rsid w:val="0FA62F72"/>
    <w:rsid w:val="0FB069B9"/>
    <w:rsid w:val="0FC85F3C"/>
    <w:rsid w:val="0FCB577D"/>
    <w:rsid w:val="0FD04DF1"/>
    <w:rsid w:val="0FE714D8"/>
    <w:rsid w:val="10014FAA"/>
    <w:rsid w:val="10366B7F"/>
    <w:rsid w:val="1037153E"/>
    <w:rsid w:val="10374E70"/>
    <w:rsid w:val="103A6314"/>
    <w:rsid w:val="103B4960"/>
    <w:rsid w:val="104650B3"/>
    <w:rsid w:val="104D16B2"/>
    <w:rsid w:val="105F29CC"/>
    <w:rsid w:val="106D2F64"/>
    <w:rsid w:val="106D59C9"/>
    <w:rsid w:val="10710382"/>
    <w:rsid w:val="1075423C"/>
    <w:rsid w:val="10797237"/>
    <w:rsid w:val="107E7C55"/>
    <w:rsid w:val="10806028"/>
    <w:rsid w:val="10864EB9"/>
    <w:rsid w:val="109B53FF"/>
    <w:rsid w:val="10A06571"/>
    <w:rsid w:val="10A06E78"/>
    <w:rsid w:val="10B262A5"/>
    <w:rsid w:val="10B63710"/>
    <w:rsid w:val="10DB57FB"/>
    <w:rsid w:val="10E37E02"/>
    <w:rsid w:val="10E679E3"/>
    <w:rsid w:val="10EA3C90"/>
    <w:rsid w:val="10F10820"/>
    <w:rsid w:val="10F756FE"/>
    <w:rsid w:val="10F91EE9"/>
    <w:rsid w:val="110A251D"/>
    <w:rsid w:val="110B1772"/>
    <w:rsid w:val="11107971"/>
    <w:rsid w:val="111C2F7A"/>
    <w:rsid w:val="111D4605"/>
    <w:rsid w:val="112B6261"/>
    <w:rsid w:val="112E62F4"/>
    <w:rsid w:val="11354562"/>
    <w:rsid w:val="11407D54"/>
    <w:rsid w:val="11452766"/>
    <w:rsid w:val="11577442"/>
    <w:rsid w:val="115C4694"/>
    <w:rsid w:val="116003F7"/>
    <w:rsid w:val="11665CA1"/>
    <w:rsid w:val="1170063A"/>
    <w:rsid w:val="117D2D56"/>
    <w:rsid w:val="117F087D"/>
    <w:rsid w:val="1186118F"/>
    <w:rsid w:val="11B3135A"/>
    <w:rsid w:val="11B44E5F"/>
    <w:rsid w:val="11B9758D"/>
    <w:rsid w:val="11D02E86"/>
    <w:rsid w:val="11D5049D"/>
    <w:rsid w:val="11D764BD"/>
    <w:rsid w:val="11DF2C29"/>
    <w:rsid w:val="11E15093"/>
    <w:rsid w:val="11EA7C5D"/>
    <w:rsid w:val="11FE6927"/>
    <w:rsid w:val="12073DF6"/>
    <w:rsid w:val="120D5E88"/>
    <w:rsid w:val="12105979"/>
    <w:rsid w:val="12274A70"/>
    <w:rsid w:val="122B4561"/>
    <w:rsid w:val="123555F7"/>
    <w:rsid w:val="123B0D38"/>
    <w:rsid w:val="124A1FF0"/>
    <w:rsid w:val="125543F3"/>
    <w:rsid w:val="12633CFA"/>
    <w:rsid w:val="1267609D"/>
    <w:rsid w:val="1268203A"/>
    <w:rsid w:val="126900CE"/>
    <w:rsid w:val="126D3321"/>
    <w:rsid w:val="12723244"/>
    <w:rsid w:val="127907C8"/>
    <w:rsid w:val="127C7ED8"/>
    <w:rsid w:val="1283439D"/>
    <w:rsid w:val="128D46DD"/>
    <w:rsid w:val="129E6B7D"/>
    <w:rsid w:val="12A02211"/>
    <w:rsid w:val="12A16BF0"/>
    <w:rsid w:val="12A2515D"/>
    <w:rsid w:val="12B04A66"/>
    <w:rsid w:val="12B409FA"/>
    <w:rsid w:val="12D04D8E"/>
    <w:rsid w:val="12D66B8C"/>
    <w:rsid w:val="12DA4494"/>
    <w:rsid w:val="12E52961"/>
    <w:rsid w:val="12EC2090"/>
    <w:rsid w:val="12FD2BD6"/>
    <w:rsid w:val="1300779B"/>
    <w:rsid w:val="13145194"/>
    <w:rsid w:val="13172C29"/>
    <w:rsid w:val="134223C1"/>
    <w:rsid w:val="134578A4"/>
    <w:rsid w:val="13462A2A"/>
    <w:rsid w:val="1358091B"/>
    <w:rsid w:val="136F501E"/>
    <w:rsid w:val="137326BA"/>
    <w:rsid w:val="1379754E"/>
    <w:rsid w:val="138258E4"/>
    <w:rsid w:val="138B3785"/>
    <w:rsid w:val="13951726"/>
    <w:rsid w:val="139D30C7"/>
    <w:rsid w:val="13A3540C"/>
    <w:rsid w:val="13A86576"/>
    <w:rsid w:val="13AB5FC1"/>
    <w:rsid w:val="13BE7457"/>
    <w:rsid w:val="13C94031"/>
    <w:rsid w:val="13CA3DC6"/>
    <w:rsid w:val="13E1581F"/>
    <w:rsid w:val="13E72709"/>
    <w:rsid w:val="13F56BD4"/>
    <w:rsid w:val="13FC30E0"/>
    <w:rsid w:val="14137A77"/>
    <w:rsid w:val="14140B17"/>
    <w:rsid w:val="141534D6"/>
    <w:rsid w:val="142B6A9A"/>
    <w:rsid w:val="142E0338"/>
    <w:rsid w:val="14392248"/>
    <w:rsid w:val="14396509"/>
    <w:rsid w:val="144204BF"/>
    <w:rsid w:val="14441F0C"/>
    <w:rsid w:val="14513CC2"/>
    <w:rsid w:val="14593607"/>
    <w:rsid w:val="14661880"/>
    <w:rsid w:val="146B6E96"/>
    <w:rsid w:val="146C2812"/>
    <w:rsid w:val="14716742"/>
    <w:rsid w:val="14762D41"/>
    <w:rsid w:val="14773A8D"/>
    <w:rsid w:val="14785D3D"/>
    <w:rsid w:val="147D6A3B"/>
    <w:rsid w:val="148324DA"/>
    <w:rsid w:val="14886879"/>
    <w:rsid w:val="149118E2"/>
    <w:rsid w:val="14976965"/>
    <w:rsid w:val="14AE18FA"/>
    <w:rsid w:val="14B7032D"/>
    <w:rsid w:val="14BE009A"/>
    <w:rsid w:val="14BF5514"/>
    <w:rsid w:val="14CD18FF"/>
    <w:rsid w:val="14DC5FE6"/>
    <w:rsid w:val="14DD2C3C"/>
    <w:rsid w:val="14DD50C9"/>
    <w:rsid w:val="14F43330"/>
    <w:rsid w:val="14FA72A7"/>
    <w:rsid w:val="14FB1918"/>
    <w:rsid w:val="150F3CC6"/>
    <w:rsid w:val="1510694A"/>
    <w:rsid w:val="151E01DA"/>
    <w:rsid w:val="151E0ECF"/>
    <w:rsid w:val="15360A41"/>
    <w:rsid w:val="153B2D0D"/>
    <w:rsid w:val="154047C7"/>
    <w:rsid w:val="15443D81"/>
    <w:rsid w:val="154A4C7E"/>
    <w:rsid w:val="1552050A"/>
    <w:rsid w:val="15597692"/>
    <w:rsid w:val="156E30E2"/>
    <w:rsid w:val="157436B2"/>
    <w:rsid w:val="15746166"/>
    <w:rsid w:val="15917606"/>
    <w:rsid w:val="159535A4"/>
    <w:rsid w:val="15A46B04"/>
    <w:rsid w:val="15D8055B"/>
    <w:rsid w:val="15DC419F"/>
    <w:rsid w:val="15DE77FA"/>
    <w:rsid w:val="15E0487B"/>
    <w:rsid w:val="15FB4C2C"/>
    <w:rsid w:val="16087E1D"/>
    <w:rsid w:val="160939A2"/>
    <w:rsid w:val="160B6B83"/>
    <w:rsid w:val="16132B2E"/>
    <w:rsid w:val="16154507"/>
    <w:rsid w:val="161672D6"/>
    <w:rsid w:val="16221EF1"/>
    <w:rsid w:val="162B4B2F"/>
    <w:rsid w:val="163A1216"/>
    <w:rsid w:val="1645407B"/>
    <w:rsid w:val="1653052A"/>
    <w:rsid w:val="166E100C"/>
    <w:rsid w:val="16734728"/>
    <w:rsid w:val="167C2BBF"/>
    <w:rsid w:val="169557F4"/>
    <w:rsid w:val="169D782C"/>
    <w:rsid w:val="16A24B17"/>
    <w:rsid w:val="16A50D85"/>
    <w:rsid w:val="16AB5C70"/>
    <w:rsid w:val="16AD5869"/>
    <w:rsid w:val="16BA4105"/>
    <w:rsid w:val="16C61609"/>
    <w:rsid w:val="16D43419"/>
    <w:rsid w:val="16D451C7"/>
    <w:rsid w:val="16D72F09"/>
    <w:rsid w:val="16E573D4"/>
    <w:rsid w:val="16E6314C"/>
    <w:rsid w:val="16EA571C"/>
    <w:rsid w:val="16EE36AE"/>
    <w:rsid w:val="16F47617"/>
    <w:rsid w:val="16F91DF6"/>
    <w:rsid w:val="16F94D56"/>
    <w:rsid w:val="16FB6BF7"/>
    <w:rsid w:val="17101F77"/>
    <w:rsid w:val="171E28E6"/>
    <w:rsid w:val="17377504"/>
    <w:rsid w:val="173B5246"/>
    <w:rsid w:val="174C7453"/>
    <w:rsid w:val="17587493"/>
    <w:rsid w:val="175A3586"/>
    <w:rsid w:val="17693EDD"/>
    <w:rsid w:val="176F2E6E"/>
    <w:rsid w:val="17701D14"/>
    <w:rsid w:val="17735226"/>
    <w:rsid w:val="177550E7"/>
    <w:rsid w:val="177B3894"/>
    <w:rsid w:val="17896728"/>
    <w:rsid w:val="178D1819"/>
    <w:rsid w:val="17940A78"/>
    <w:rsid w:val="17977557"/>
    <w:rsid w:val="179C102A"/>
    <w:rsid w:val="17A220A2"/>
    <w:rsid w:val="17A673D1"/>
    <w:rsid w:val="17AA3930"/>
    <w:rsid w:val="17B84AE8"/>
    <w:rsid w:val="17BD221D"/>
    <w:rsid w:val="17CA6372"/>
    <w:rsid w:val="17D07BB8"/>
    <w:rsid w:val="17E4768B"/>
    <w:rsid w:val="17EE4066"/>
    <w:rsid w:val="18002B09"/>
    <w:rsid w:val="18006FD6"/>
    <w:rsid w:val="180F0523"/>
    <w:rsid w:val="181A27E5"/>
    <w:rsid w:val="184C6FDF"/>
    <w:rsid w:val="184D0379"/>
    <w:rsid w:val="18714C97"/>
    <w:rsid w:val="18733A42"/>
    <w:rsid w:val="18951E25"/>
    <w:rsid w:val="189746FE"/>
    <w:rsid w:val="189F624C"/>
    <w:rsid w:val="18C3653B"/>
    <w:rsid w:val="18CD6371"/>
    <w:rsid w:val="18D93032"/>
    <w:rsid w:val="18DA15D5"/>
    <w:rsid w:val="18DA6CE0"/>
    <w:rsid w:val="18DE13E4"/>
    <w:rsid w:val="18F25DD8"/>
    <w:rsid w:val="18F70201"/>
    <w:rsid w:val="19071AC2"/>
    <w:rsid w:val="191C10A7"/>
    <w:rsid w:val="191E6BCD"/>
    <w:rsid w:val="19241D0A"/>
    <w:rsid w:val="192817FA"/>
    <w:rsid w:val="192B4E46"/>
    <w:rsid w:val="19303461"/>
    <w:rsid w:val="193E2DCB"/>
    <w:rsid w:val="19471E6E"/>
    <w:rsid w:val="194A16A7"/>
    <w:rsid w:val="195104F3"/>
    <w:rsid w:val="19595ACE"/>
    <w:rsid w:val="196A00EA"/>
    <w:rsid w:val="196F4EBE"/>
    <w:rsid w:val="198F7A93"/>
    <w:rsid w:val="19966E0F"/>
    <w:rsid w:val="19A52ACF"/>
    <w:rsid w:val="19AD1261"/>
    <w:rsid w:val="19D674A8"/>
    <w:rsid w:val="19DB2D10"/>
    <w:rsid w:val="19E41BC5"/>
    <w:rsid w:val="19FD413B"/>
    <w:rsid w:val="1A0062D3"/>
    <w:rsid w:val="1A0933D9"/>
    <w:rsid w:val="1A134B1D"/>
    <w:rsid w:val="1A1C66C0"/>
    <w:rsid w:val="1A266B18"/>
    <w:rsid w:val="1A42393B"/>
    <w:rsid w:val="1A55661F"/>
    <w:rsid w:val="1A7F48BE"/>
    <w:rsid w:val="1A7F4978"/>
    <w:rsid w:val="1A8A7761"/>
    <w:rsid w:val="1A97379A"/>
    <w:rsid w:val="1AAC1FB7"/>
    <w:rsid w:val="1AAD45DE"/>
    <w:rsid w:val="1AB01AA7"/>
    <w:rsid w:val="1AB64BE3"/>
    <w:rsid w:val="1AB866A6"/>
    <w:rsid w:val="1AC13CB4"/>
    <w:rsid w:val="1AC27B82"/>
    <w:rsid w:val="1AC92B69"/>
    <w:rsid w:val="1ADC289C"/>
    <w:rsid w:val="1AE147BE"/>
    <w:rsid w:val="1B046F80"/>
    <w:rsid w:val="1B07207D"/>
    <w:rsid w:val="1B0D3929"/>
    <w:rsid w:val="1B18764C"/>
    <w:rsid w:val="1B1A33C4"/>
    <w:rsid w:val="1B261225"/>
    <w:rsid w:val="1B3267B5"/>
    <w:rsid w:val="1B40161D"/>
    <w:rsid w:val="1B413411"/>
    <w:rsid w:val="1B414DF5"/>
    <w:rsid w:val="1B441859"/>
    <w:rsid w:val="1B510F70"/>
    <w:rsid w:val="1B5A1A13"/>
    <w:rsid w:val="1B643A72"/>
    <w:rsid w:val="1B6606B1"/>
    <w:rsid w:val="1B700B41"/>
    <w:rsid w:val="1B7F1479"/>
    <w:rsid w:val="1B842F14"/>
    <w:rsid w:val="1B9969DF"/>
    <w:rsid w:val="1BA02939"/>
    <w:rsid w:val="1BA17641"/>
    <w:rsid w:val="1BAE7103"/>
    <w:rsid w:val="1BB03B3E"/>
    <w:rsid w:val="1BB2644B"/>
    <w:rsid w:val="1BB4208A"/>
    <w:rsid w:val="1BB630ED"/>
    <w:rsid w:val="1BBC447B"/>
    <w:rsid w:val="1BBE6445"/>
    <w:rsid w:val="1BC752FA"/>
    <w:rsid w:val="1BC76888"/>
    <w:rsid w:val="1BE2005C"/>
    <w:rsid w:val="1BE83C2F"/>
    <w:rsid w:val="1BF73705"/>
    <w:rsid w:val="1BF87F24"/>
    <w:rsid w:val="1BFA464A"/>
    <w:rsid w:val="1BFE2F36"/>
    <w:rsid w:val="1C0025BA"/>
    <w:rsid w:val="1C005F95"/>
    <w:rsid w:val="1C0D3E62"/>
    <w:rsid w:val="1C180F75"/>
    <w:rsid w:val="1C1A7E8F"/>
    <w:rsid w:val="1C1E4A8A"/>
    <w:rsid w:val="1C1F7ED7"/>
    <w:rsid w:val="1C2A2603"/>
    <w:rsid w:val="1C3770CF"/>
    <w:rsid w:val="1C411C4E"/>
    <w:rsid w:val="1C452535"/>
    <w:rsid w:val="1C47643B"/>
    <w:rsid w:val="1C4C3A51"/>
    <w:rsid w:val="1C4F37C3"/>
    <w:rsid w:val="1C4F709D"/>
    <w:rsid w:val="1C5446B4"/>
    <w:rsid w:val="1C557785"/>
    <w:rsid w:val="1C5A12F6"/>
    <w:rsid w:val="1C5E7925"/>
    <w:rsid w:val="1C6840AB"/>
    <w:rsid w:val="1C7134B8"/>
    <w:rsid w:val="1C884B0B"/>
    <w:rsid w:val="1CA05B4B"/>
    <w:rsid w:val="1CB40511"/>
    <w:rsid w:val="1CBA5F77"/>
    <w:rsid w:val="1CBC2A99"/>
    <w:rsid w:val="1CC61A56"/>
    <w:rsid w:val="1CC630DB"/>
    <w:rsid w:val="1CCC06EE"/>
    <w:rsid w:val="1CCE0708"/>
    <w:rsid w:val="1CCF3FB4"/>
    <w:rsid w:val="1CF4524C"/>
    <w:rsid w:val="1CF55E97"/>
    <w:rsid w:val="1CF806C3"/>
    <w:rsid w:val="1CFD070F"/>
    <w:rsid w:val="1CFE09EB"/>
    <w:rsid w:val="1D113F09"/>
    <w:rsid w:val="1D1207F7"/>
    <w:rsid w:val="1D1A3B4F"/>
    <w:rsid w:val="1D1F4CC2"/>
    <w:rsid w:val="1D2039E1"/>
    <w:rsid w:val="1D2A359E"/>
    <w:rsid w:val="1D390DF2"/>
    <w:rsid w:val="1D3C4ADB"/>
    <w:rsid w:val="1D440BCC"/>
    <w:rsid w:val="1D564F7E"/>
    <w:rsid w:val="1D5871A9"/>
    <w:rsid w:val="1D5F6196"/>
    <w:rsid w:val="1D6132A5"/>
    <w:rsid w:val="1D653086"/>
    <w:rsid w:val="1D8272E4"/>
    <w:rsid w:val="1D8E56D5"/>
    <w:rsid w:val="1D90796E"/>
    <w:rsid w:val="1DC34861"/>
    <w:rsid w:val="1DC57D69"/>
    <w:rsid w:val="1DCF49A2"/>
    <w:rsid w:val="1DDA6E3B"/>
    <w:rsid w:val="1DED7CE2"/>
    <w:rsid w:val="1DF13E29"/>
    <w:rsid w:val="1E036392"/>
    <w:rsid w:val="1E0740D4"/>
    <w:rsid w:val="1E0935E2"/>
    <w:rsid w:val="1E0A7720"/>
    <w:rsid w:val="1E123BCF"/>
    <w:rsid w:val="1E172B3C"/>
    <w:rsid w:val="1E1862E1"/>
    <w:rsid w:val="1E202341"/>
    <w:rsid w:val="1E29229C"/>
    <w:rsid w:val="1E2B214A"/>
    <w:rsid w:val="1E3C5F4F"/>
    <w:rsid w:val="1E4C3866"/>
    <w:rsid w:val="1E4D585F"/>
    <w:rsid w:val="1E540B6E"/>
    <w:rsid w:val="1E633EFA"/>
    <w:rsid w:val="1E696B3C"/>
    <w:rsid w:val="1E770B63"/>
    <w:rsid w:val="1E7A43DA"/>
    <w:rsid w:val="1E7D6144"/>
    <w:rsid w:val="1E7E1110"/>
    <w:rsid w:val="1E82375A"/>
    <w:rsid w:val="1E860D11"/>
    <w:rsid w:val="1E870D71"/>
    <w:rsid w:val="1E895960"/>
    <w:rsid w:val="1E895EF8"/>
    <w:rsid w:val="1E960FB4"/>
    <w:rsid w:val="1E9B481C"/>
    <w:rsid w:val="1E9F4F5F"/>
    <w:rsid w:val="1EB240AF"/>
    <w:rsid w:val="1EB458DE"/>
    <w:rsid w:val="1EB5013C"/>
    <w:rsid w:val="1EB83620"/>
    <w:rsid w:val="1EDC730E"/>
    <w:rsid w:val="1EDD7888"/>
    <w:rsid w:val="1EE12DE6"/>
    <w:rsid w:val="1EF640BD"/>
    <w:rsid w:val="1EF86459"/>
    <w:rsid w:val="1EF924FD"/>
    <w:rsid w:val="1EFD54D7"/>
    <w:rsid w:val="1F026649"/>
    <w:rsid w:val="1F091F36"/>
    <w:rsid w:val="1F0E2740"/>
    <w:rsid w:val="1F1D18F8"/>
    <w:rsid w:val="1F2E7229"/>
    <w:rsid w:val="1F7D3967"/>
    <w:rsid w:val="1FA63478"/>
    <w:rsid w:val="1FA91331"/>
    <w:rsid w:val="1FAA078A"/>
    <w:rsid w:val="1FCB7383"/>
    <w:rsid w:val="1FE7539E"/>
    <w:rsid w:val="2000527E"/>
    <w:rsid w:val="2000702C"/>
    <w:rsid w:val="200545EF"/>
    <w:rsid w:val="20087C8F"/>
    <w:rsid w:val="20176124"/>
    <w:rsid w:val="2027280B"/>
    <w:rsid w:val="20280331"/>
    <w:rsid w:val="203A0BA0"/>
    <w:rsid w:val="20474C5B"/>
    <w:rsid w:val="20671BE0"/>
    <w:rsid w:val="20696B61"/>
    <w:rsid w:val="206C5A5C"/>
    <w:rsid w:val="20801F1B"/>
    <w:rsid w:val="20841E8F"/>
    <w:rsid w:val="20861B12"/>
    <w:rsid w:val="20880DD0"/>
    <w:rsid w:val="208A2D9A"/>
    <w:rsid w:val="20963CB8"/>
    <w:rsid w:val="20A05F65"/>
    <w:rsid w:val="20A7463D"/>
    <w:rsid w:val="20A81A1B"/>
    <w:rsid w:val="20A9201F"/>
    <w:rsid w:val="20AA51EA"/>
    <w:rsid w:val="20B07FB6"/>
    <w:rsid w:val="20B646FB"/>
    <w:rsid w:val="20C22DEC"/>
    <w:rsid w:val="20C535E8"/>
    <w:rsid w:val="20C53DD2"/>
    <w:rsid w:val="20C73087"/>
    <w:rsid w:val="20D44015"/>
    <w:rsid w:val="20E93740"/>
    <w:rsid w:val="20EE493A"/>
    <w:rsid w:val="20FB5A46"/>
    <w:rsid w:val="21020B82"/>
    <w:rsid w:val="210963B5"/>
    <w:rsid w:val="21132D8F"/>
    <w:rsid w:val="211F34E2"/>
    <w:rsid w:val="21224D81"/>
    <w:rsid w:val="212A1E87"/>
    <w:rsid w:val="212E1977"/>
    <w:rsid w:val="212F0ECA"/>
    <w:rsid w:val="21350F58"/>
    <w:rsid w:val="213B361A"/>
    <w:rsid w:val="213B74B1"/>
    <w:rsid w:val="21454BB2"/>
    <w:rsid w:val="214B2529"/>
    <w:rsid w:val="21537630"/>
    <w:rsid w:val="21582E98"/>
    <w:rsid w:val="215A2310"/>
    <w:rsid w:val="21611ED0"/>
    <w:rsid w:val="21691777"/>
    <w:rsid w:val="216949E4"/>
    <w:rsid w:val="217001E2"/>
    <w:rsid w:val="21936A1E"/>
    <w:rsid w:val="219C132D"/>
    <w:rsid w:val="21B738AD"/>
    <w:rsid w:val="21BE5ACC"/>
    <w:rsid w:val="21C57B38"/>
    <w:rsid w:val="21C970BE"/>
    <w:rsid w:val="21C9791F"/>
    <w:rsid w:val="21DE318A"/>
    <w:rsid w:val="21EF5B80"/>
    <w:rsid w:val="21FE759C"/>
    <w:rsid w:val="22034BB2"/>
    <w:rsid w:val="22074639"/>
    <w:rsid w:val="220F17A9"/>
    <w:rsid w:val="221644B8"/>
    <w:rsid w:val="221C67B2"/>
    <w:rsid w:val="221C7886"/>
    <w:rsid w:val="224156DA"/>
    <w:rsid w:val="224C47AB"/>
    <w:rsid w:val="22576990"/>
    <w:rsid w:val="22591FEB"/>
    <w:rsid w:val="226A7707"/>
    <w:rsid w:val="227A01F3"/>
    <w:rsid w:val="228C7DA3"/>
    <w:rsid w:val="229323DA"/>
    <w:rsid w:val="22A16179"/>
    <w:rsid w:val="22A31EF1"/>
    <w:rsid w:val="22A44330"/>
    <w:rsid w:val="22A706A0"/>
    <w:rsid w:val="22AC349C"/>
    <w:rsid w:val="22AE0FC2"/>
    <w:rsid w:val="22AE2B61"/>
    <w:rsid w:val="22B15EFC"/>
    <w:rsid w:val="22B97967"/>
    <w:rsid w:val="22BE3A20"/>
    <w:rsid w:val="22CA192C"/>
    <w:rsid w:val="22DB5B2F"/>
    <w:rsid w:val="22E31A52"/>
    <w:rsid w:val="22EF17A6"/>
    <w:rsid w:val="22F16713"/>
    <w:rsid w:val="22F26B25"/>
    <w:rsid w:val="22F47480"/>
    <w:rsid w:val="22FE11E8"/>
    <w:rsid w:val="22FF19BC"/>
    <w:rsid w:val="23140548"/>
    <w:rsid w:val="23180B44"/>
    <w:rsid w:val="231B6D08"/>
    <w:rsid w:val="23282517"/>
    <w:rsid w:val="232C1EE7"/>
    <w:rsid w:val="23324671"/>
    <w:rsid w:val="2342447A"/>
    <w:rsid w:val="234731C4"/>
    <w:rsid w:val="234A42AC"/>
    <w:rsid w:val="23527A94"/>
    <w:rsid w:val="23531B69"/>
    <w:rsid w:val="236B2A0F"/>
    <w:rsid w:val="238166D6"/>
    <w:rsid w:val="23A14EFC"/>
    <w:rsid w:val="23C61272"/>
    <w:rsid w:val="23C86C6B"/>
    <w:rsid w:val="23CA033F"/>
    <w:rsid w:val="23CD1B7D"/>
    <w:rsid w:val="23D208E0"/>
    <w:rsid w:val="23DD3B82"/>
    <w:rsid w:val="23DE1C48"/>
    <w:rsid w:val="23E80503"/>
    <w:rsid w:val="24002CCB"/>
    <w:rsid w:val="24003A9F"/>
    <w:rsid w:val="240210CD"/>
    <w:rsid w:val="24183F62"/>
    <w:rsid w:val="241C01AD"/>
    <w:rsid w:val="241E2177"/>
    <w:rsid w:val="2425671A"/>
    <w:rsid w:val="24267A80"/>
    <w:rsid w:val="2427551D"/>
    <w:rsid w:val="2435348B"/>
    <w:rsid w:val="244233D2"/>
    <w:rsid w:val="24594F5D"/>
    <w:rsid w:val="245E7E3C"/>
    <w:rsid w:val="2461324C"/>
    <w:rsid w:val="246A1F16"/>
    <w:rsid w:val="2483022C"/>
    <w:rsid w:val="248372FF"/>
    <w:rsid w:val="2492142B"/>
    <w:rsid w:val="2492221D"/>
    <w:rsid w:val="24925E0F"/>
    <w:rsid w:val="24BA7A63"/>
    <w:rsid w:val="24BF09F7"/>
    <w:rsid w:val="24CA4EA5"/>
    <w:rsid w:val="24CA7739"/>
    <w:rsid w:val="24D968CD"/>
    <w:rsid w:val="24E862E1"/>
    <w:rsid w:val="24F15052"/>
    <w:rsid w:val="24F22102"/>
    <w:rsid w:val="25017CF3"/>
    <w:rsid w:val="25054763"/>
    <w:rsid w:val="251E4C45"/>
    <w:rsid w:val="252237D1"/>
    <w:rsid w:val="25242462"/>
    <w:rsid w:val="2527329B"/>
    <w:rsid w:val="252B2CED"/>
    <w:rsid w:val="252C4420"/>
    <w:rsid w:val="252D53FE"/>
    <w:rsid w:val="25376228"/>
    <w:rsid w:val="2540196D"/>
    <w:rsid w:val="254206E6"/>
    <w:rsid w:val="25423CBB"/>
    <w:rsid w:val="25501EF7"/>
    <w:rsid w:val="255676EF"/>
    <w:rsid w:val="255C14CA"/>
    <w:rsid w:val="25950217"/>
    <w:rsid w:val="25A610ED"/>
    <w:rsid w:val="25AE12D9"/>
    <w:rsid w:val="25B6018D"/>
    <w:rsid w:val="25DE1BBE"/>
    <w:rsid w:val="25E371D4"/>
    <w:rsid w:val="25EB4499"/>
    <w:rsid w:val="25EC2D81"/>
    <w:rsid w:val="25F0544D"/>
    <w:rsid w:val="25FB762A"/>
    <w:rsid w:val="25FC1B13"/>
    <w:rsid w:val="260809E9"/>
    <w:rsid w:val="26086C3B"/>
    <w:rsid w:val="26227E39"/>
    <w:rsid w:val="26254EFD"/>
    <w:rsid w:val="262A4CCF"/>
    <w:rsid w:val="264458BD"/>
    <w:rsid w:val="266063FB"/>
    <w:rsid w:val="26641C22"/>
    <w:rsid w:val="266F2816"/>
    <w:rsid w:val="2670658E"/>
    <w:rsid w:val="26712A32"/>
    <w:rsid w:val="26832765"/>
    <w:rsid w:val="268C786C"/>
    <w:rsid w:val="269E30FB"/>
    <w:rsid w:val="26AF4566"/>
    <w:rsid w:val="26BC19A6"/>
    <w:rsid w:val="26CA5F71"/>
    <w:rsid w:val="26CF7658"/>
    <w:rsid w:val="26DF5866"/>
    <w:rsid w:val="26E11199"/>
    <w:rsid w:val="26E2748C"/>
    <w:rsid w:val="26F07158"/>
    <w:rsid w:val="26F61189"/>
    <w:rsid w:val="27147CAF"/>
    <w:rsid w:val="272F3868"/>
    <w:rsid w:val="27397421"/>
    <w:rsid w:val="273C18D6"/>
    <w:rsid w:val="27495DBA"/>
    <w:rsid w:val="276050B3"/>
    <w:rsid w:val="276205CD"/>
    <w:rsid w:val="276F4D94"/>
    <w:rsid w:val="277057A2"/>
    <w:rsid w:val="27822A1D"/>
    <w:rsid w:val="27B30E28"/>
    <w:rsid w:val="27B53D72"/>
    <w:rsid w:val="27BF157B"/>
    <w:rsid w:val="27BF40EE"/>
    <w:rsid w:val="27CC3C98"/>
    <w:rsid w:val="27D04A9E"/>
    <w:rsid w:val="27D76A9C"/>
    <w:rsid w:val="27EC4C30"/>
    <w:rsid w:val="28011B94"/>
    <w:rsid w:val="281B2B04"/>
    <w:rsid w:val="2826784C"/>
    <w:rsid w:val="282D4FFC"/>
    <w:rsid w:val="282F658A"/>
    <w:rsid w:val="283B60A1"/>
    <w:rsid w:val="284946B1"/>
    <w:rsid w:val="285147A5"/>
    <w:rsid w:val="28722A91"/>
    <w:rsid w:val="28757E8C"/>
    <w:rsid w:val="287A2AF1"/>
    <w:rsid w:val="287B4761"/>
    <w:rsid w:val="287C74F6"/>
    <w:rsid w:val="28884063"/>
    <w:rsid w:val="2890116A"/>
    <w:rsid w:val="289D695B"/>
    <w:rsid w:val="28A644E9"/>
    <w:rsid w:val="28AB7D51"/>
    <w:rsid w:val="28BC2A61"/>
    <w:rsid w:val="28BC2ED5"/>
    <w:rsid w:val="28CF3A40"/>
    <w:rsid w:val="28D95B40"/>
    <w:rsid w:val="28DF040E"/>
    <w:rsid w:val="28F136CF"/>
    <w:rsid w:val="28FC235B"/>
    <w:rsid w:val="29160C71"/>
    <w:rsid w:val="29167E16"/>
    <w:rsid w:val="29206EB8"/>
    <w:rsid w:val="2927130A"/>
    <w:rsid w:val="293F3839"/>
    <w:rsid w:val="29425B18"/>
    <w:rsid w:val="295757E3"/>
    <w:rsid w:val="29595666"/>
    <w:rsid w:val="295E4DC4"/>
    <w:rsid w:val="29603FDC"/>
    <w:rsid w:val="296251BB"/>
    <w:rsid w:val="2964687E"/>
    <w:rsid w:val="29654E52"/>
    <w:rsid w:val="296E03FD"/>
    <w:rsid w:val="29722D78"/>
    <w:rsid w:val="297D15E3"/>
    <w:rsid w:val="297F0D2A"/>
    <w:rsid w:val="29847561"/>
    <w:rsid w:val="29874881"/>
    <w:rsid w:val="298B3735"/>
    <w:rsid w:val="298B4856"/>
    <w:rsid w:val="29915199"/>
    <w:rsid w:val="29A0362E"/>
    <w:rsid w:val="29A34C57"/>
    <w:rsid w:val="29A70C80"/>
    <w:rsid w:val="29BB3FC4"/>
    <w:rsid w:val="29C15A7E"/>
    <w:rsid w:val="29D07A70"/>
    <w:rsid w:val="29D303B0"/>
    <w:rsid w:val="29D82DC8"/>
    <w:rsid w:val="29DB6414"/>
    <w:rsid w:val="29E325E0"/>
    <w:rsid w:val="29E452C9"/>
    <w:rsid w:val="29E76018"/>
    <w:rsid w:val="29E97664"/>
    <w:rsid w:val="29EE7EF6"/>
    <w:rsid w:val="29F35B1B"/>
    <w:rsid w:val="29FC15F1"/>
    <w:rsid w:val="2A017DF5"/>
    <w:rsid w:val="2A067935"/>
    <w:rsid w:val="2A094D30"/>
    <w:rsid w:val="2A13376D"/>
    <w:rsid w:val="2A16517C"/>
    <w:rsid w:val="2A1738F0"/>
    <w:rsid w:val="2A1D07DB"/>
    <w:rsid w:val="2A224043"/>
    <w:rsid w:val="2A27165A"/>
    <w:rsid w:val="2A2A4244"/>
    <w:rsid w:val="2A381582"/>
    <w:rsid w:val="2A3E2282"/>
    <w:rsid w:val="2A452503"/>
    <w:rsid w:val="2A4C13D4"/>
    <w:rsid w:val="2A4E6BE6"/>
    <w:rsid w:val="2A573CED"/>
    <w:rsid w:val="2A5C7555"/>
    <w:rsid w:val="2A660EC5"/>
    <w:rsid w:val="2A7523C5"/>
    <w:rsid w:val="2A7B4FCD"/>
    <w:rsid w:val="2A7D127A"/>
    <w:rsid w:val="2A7F4FF2"/>
    <w:rsid w:val="2A930665"/>
    <w:rsid w:val="2A930A9D"/>
    <w:rsid w:val="2AAA01A8"/>
    <w:rsid w:val="2AB0164F"/>
    <w:rsid w:val="2AB029BA"/>
    <w:rsid w:val="2AB3780D"/>
    <w:rsid w:val="2AC11065"/>
    <w:rsid w:val="2AC20385"/>
    <w:rsid w:val="2AC259D7"/>
    <w:rsid w:val="2ACB638F"/>
    <w:rsid w:val="2ACD477C"/>
    <w:rsid w:val="2ADE61BC"/>
    <w:rsid w:val="2AF04D12"/>
    <w:rsid w:val="2AF459E0"/>
    <w:rsid w:val="2B010183"/>
    <w:rsid w:val="2B063533"/>
    <w:rsid w:val="2B1400A6"/>
    <w:rsid w:val="2B275DB5"/>
    <w:rsid w:val="2B2E33A8"/>
    <w:rsid w:val="2B342280"/>
    <w:rsid w:val="2B3970AC"/>
    <w:rsid w:val="2B3C2EE3"/>
    <w:rsid w:val="2B3C5054"/>
    <w:rsid w:val="2B4D0611"/>
    <w:rsid w:val="2B5E554F"/>
    <w:rsid w:val="2B6C7C6C"/>
    <w:rsid w:val="2B6D5165"/>
    <w:rsid w:val="2B7D4AC0"/>
    <w:rsid w:val="2B873DFA"/>
    <w:rsid w:val="2B886128"/>
    <w:rsid w:val="2B8B753A"/>
    <w:rsid w:val="2BA00296"/>
    <w:rsid w:val="2BA04344"/>
    <w:rsid w:val="2BA936A8"/>
    <w:rsid w:val="2BB0186A"/>
    <w:rsid w:val="2BC52ED8"/>
    <w:rsid w:val="2BD15F85"/>
    <w:rsid w:val="2BD221FF"/>
    <w:rsid w:val="2BD76666"/>
    <w:rsid w:val="2BD9042B"/>
    <w:rsid w:val="2BDE3F9A"/>
    <w:rsid w:val="2BE01E3F"/>
    <w:rsid w:val="2BEA293F"/>
    <w:rsid w:val="2BEB2BFB"/>
    <w:rsid w:val="2BF71A90"/>
    <w:rsid w:val="2BFD6B16"/>
    <w:rsid w:val="2BFE3F27"/>
    <w:rsid w:val="2C0C0B07"/>
    <w:rsid w:val="2C1A4329"/>
    <w:rsid w:val="2C1A44DE"/>
    <w:rsid w:val="2C1D4AC2"/>
    <w:rsid w:val="2C315A5A"/>
    <w:rsid w:val="2C430AB9"/>
    <w:rsid w:val="2C4B1C25"/>
    <w:rsid w:val="2C532BDA"/>
    <w:rsid w:val="2C534988"/>
    <w:rsid w:val="2C5E66B5"/>
    <w:rsid w:val="2C6028DB"/>
    <w:rsid w:val="2C64149A"/>
    <w:rsid w:val="2C6D472D"/>
    <w:rsid w:val="2C6D7A95"/>
    <w:rsid w:val="2C784D71"/>
    <w:rsid w:val="2C7F01E4"/>
    <w:rsid w:val="2C864D5D"/>
    <w:rsid w:val="2C9669DC"/>
    <w:rsid w:val="2C9C7DEB"/>
    <w:rsid w:val="2C9F0A56"/>
    <w:rsid w:val="2CA45DF7"/>
    <w:rsid w:val="2CAC61AE"/>
    <w:rsid w:val="2CAD606D"/>
    <w:rsid w:val="2CAE5C18"/>
    <w:rsid w:val="2CB27900"/>
    <w:rsid w:val="2CC47634"/>
    <w:rsid w:val="2CE101E6"/>
    <w:rsid w:val="2CF405D5"/>
    <w:rsid w:val="2CF41CC7"/>
    <w:rsid w:val="2D043A1B"/>
    <w:rsid w:val="2D047A30"/>
    <w:rsid w:val="2D0B5263"/>
    <w:rsid w:val="2D104627"/>
    <w:rsid w:val="2D1C4D7A"/>
    <w:rsid w:val="2D2500D2"/>
    <w:rsid w:val="2D2A2C13"/>
    <w:rsid w:val="2D390385"/>
    <w:rsid w:val="2D3C3AD3"/>
    <w:rsid w:val="2D3D29BB"/>
    <w:rsid w:val="2D41464C"/>
    <w:rsid w:val="2D487787"/>
    <w:rsid w:val="2D4B67F6"/>
    <w:rsid w:val="2D7824C2"/>
    <w:rsid w:val="2D7F48D8"/>
    <w:rsid w:val="2D852A86"/>
    <w:rsid w:val="2D8A111D"/>
    <w:rsid w:val="2D8A43D9"/>
    <w:rsid w:val="2D93299D"/>
    <w:rsid w:val="2D9850B0"/>
    <w:rsid w:val="2D9D410D"/>
    <w:rsid w:val="2D9E56F5"/>
    <w:rsid w:val="2D9F73D7"/>
    <w:rsid w:val="2DA4204D"/>
    <w:rsid w:val="2DB63420"/>
    <w:rsid w:val="2DC01BA9"/>
    <w:rsid w:val="2DC34F35"/>
    <w:rsid w:val="2DD6013D"/>
    <w:rsid w:val="2DD65871"/>
    <w:rsid w:val="2E0979F4"/>
    <w:rsid w:val="2E0F14FA"/>
    <w:rsid w:val="2E22787D"/>
    <w:rsid w:val="2E236EB5"/>
    <w:rsid w:val="2E271C28"/>
    <w:rsid w:val="2E2C723F"/>
    <w:rsid w:val="2E34574C"/>
    <w:rsid w:val="2E3536B4"/>
    <w:rsid w:val="2E3D58F0"/>
    <w:rsid w:val="2E4C53AD"/>
    <w:rsid w:val="2E532A1D"/>
    <w:rsid w:val="2E585394"/>
    <w:rsid w:val="2E5B431F"/>
    <w:rsid w:val="2E667F96"/>
    <w:rsid w:val="2E700C2F"/>
    <w:rsid w:val="2E725599"/>
    <w:rsid w:val="2E74660C"/>
    <w:rsid w:val="2E8226AB"/>
    <w:rsid w:val="2E864BA1"/>
    <w:rsid w:val="2E8A00DF"/>
    <w:rsid w:val="2E8B665B"/>
    <w:rsid w:val="2E935665"/>
    <w:rsid w:val="2EA119DB"/>
    <w:rsid w:val="2EA42494"/>
    <w:rsid w:val="2EA8720D"/>
    <w:rsid w:val="2EAD65D1"/>
    <w:rsid w:val="2EB01C1E"/>
    <w:rsid w:val="2ED14396"/>
    <w:rsid w:val="2EE47B19"/>
    <w:rsid w:val="2EEC0134"/>
    <w:rsid w:val="2EF10FE5"/>
    <w:rsid w:val="2F063F34"/>
    <w:rsid w:val="2F083808"/>
    <w:rsid w:val="2F115814"/>
    <w:rsid w:val="2F194615"/>
    <w:rsid w:val="2F1D7EE2"/>
    <w:rsid w:val="2F255A76"/>
    <w:rsid w:val="2F3552CC"/>
    <w:rsid w:val="2F425750"/>
    <w:rsid w:val="2F5051AF"/>
    <w:rsid w:val="2F5A0D7B"/>
    <w:rsid w:val="2F751038"/>
    <w:rsid w:val="2F805A94"/>
    <w:rsid w:val="2F875074"/>
    <w:rsid w:val="2F923A19"/>
    <w:rsid w:val="2F9E0116"/>
    <w:rsid w:val="2FB41BE1"/>
    <w:rsid w:val="2FB43990"/>
    <w:rsid w:val="2FBD2B98"/>
    <w:rsid w:val="2FD065E6"/>
    <w:rsid w:val="2FD47B8E"/>
    <w:rsid w:val="2FD96870"/>
    <w:rsid w:val="2FDB0F1C"/>
    <w:rsid w:val="2FE57FED"/>
    <w:rsid w:val="2FEA115F"/>
    <w:rsid w:val="2FEF290A"/>
    <w:rsid w:val="2FF10740"/>
    <w:rsid w:val="2FF425A9"/>
    <w:rsid w:val="2FF803C0"/>
    <w:rsid w:val="300B6B81"/>
    <w:rsid w:val="300F6527"/>
    <w:rsid w:val="3011493E"/>
    <w:rsid w:val="3025663B"/>
    <w:rsid w:val="30295245"/>
    <w:rsid w:val="302A3C52"/>
    <w:rsid w:val="302A4802"/>
    <w:rsid w:val="303164B3"/>
    <w:rsid w:val="30316D8E"/>
    <w:rsid w:val="30393E95"/>
    <w:rsid w:val="303B5206"/>
    <w:rsid w:val="30444D13"/>
    <w:rsid w:val="30503B2C"/>
    <w:rsid w:val="30580BC9"/>
    <w:rsid w:val="305F38FB"/>
    <w:rsid w:val="307270FE"/>
    <w:rsid w:val="308E7498"/>
    <w:rsid w:val="309C68EB"/>
    <w:rsid w:val="30A457B2"/>
    <w:rsid w:val="30A77050"/>
    <w:rsid w:val="30A951AF"/>
    <w:rsid w:val="30B874AF"/>
    <w:rsid w:val="30CA4000"/>
    <w:rsid w:val="30DD1801"/>
    <w:rsid w:val="30F07F5D"/>
    <w:rsid w:val="30F6750D"/>
    <w:rsid w:val="311077E1"/>
    <w:rsid w:val="311E2ED7"/>
    <w:rsid w:val="311F6615"/>
    <w:rsid w:val="3124258B"/>
    <w:rsid w:val="31256CB3"/>
    <w:rsid w:val="313A382C"/>
    <w:rsid w:val="31402441"/>
    <w:rsid w:val="31421446"/>
    <w:rsid w:val="31450646"/>
    <w:rsid w:val="31477E62"/>
    <w:rsid w:val="314D0A76"/>
    <w:rsid w:val="31504A25"/>
    <w:rsid w:val="3150593A"/>
    <w:rsid w:val="31542597"/>
    <w:rsid w:val="315619EE"/>
    <w:rsid w:val="315C449C"/>
    <w:rsid w:val="31642CFA"/>
    <w:rsid w:val="31647270"/>
    <w:rsid w:val="316D029A"/>
    <w:rsid w:val="316D35E7"/>
    <w:rsid w:val="31713AE0"/>
    <w:rsid w:val="318A5F47"/>
    <w:rsid w:val="31973CF9"/>
    <w:rsid w:val="319C0B7F"/>
    <w:rsid w:val="319D0CE3"/>
    <w:rsid w:val="31B25CAD"/>
    <w:rsid w:val="31B732C3"/>
    <w:rsid w:val="31B82709"/>
    <w:rsid w:val="31BD3348"/>
    <w:rsid w:val="31C205E6"/>
    <w:rsid w:val="31C64532"/>
    <w:rsid w:val="31D05482"/>
    <w:rsid w:val="31D200FD"/>
    <w:rsid w:val="31D9592F"/>
    <w:rsid w:val="31E247E4"/>
    <w:rsid w:val="31EF17AE"/>
    <w:rsid w:val="31F134B7"/>
    <w:rsid w:val="31FD161E"/>
    <w:rsid w:val="3212499D"/>
    <w:rsid w:val="321E1594"/>
    <w:rsid w:val="322747EB"/>
    <w:rsid w:val="322E1E58"/>
    <w:rsid w:val="32316E36"/>
    <w:rsid w:val="32400B34"/>
    <w:rsid w:val="32655932"/>
    <w:rsid w:val="32854AD0"/>
    <w:rsid w:val="328E671A"/>
    <w:rsid w:val="32904123"/>
    <w:rsid w:val="32992418"/>
    <w:rsid w:val="329A50BF"/>
    <w:rsid w:val="329E6876"/>
    <w:rsid w:val="32A44C63"/>
    <w:rsid w:val="32AC094E"/>
    <w:rsid w:val="32B06690"/>
    <w:rsid w:val="32BB5035"/>
    <w:rsid w:val="32C20171"/>
    <w:rsid w:val="32C263F9"/>
    <w:rsid w:val="32D305D1"/>
    <w:rsid w:val="32D73669"/>
    <w:rsid w:val="32D87995"/>
    <w:rsid w:val="32FF4F22"/>
    <w:rsid w:val="33093FF2"/>
    <w:rsid w:val="331D0B7D"/>
    <w:rsid w:val="3328091C"/>
    <w:rsid w:val="333015F2"/>
    <w:rsid w:val="33386686"/>
    <w:rsid w:val="333E1EEE"/>
    <w:rsid w:val="334B6320"/>
    <w:rsid w:val="33576B0C"/>
    <w:rsid w:val="336046EE"/>
    <w:rsid w:val="33701B2F"/>
    <w:rsid w:val="3375657B"/>
    <w:rsid w:val="33971295"/>
    <w:rsid w:val="339C5ED6"/>
    <w:rsid w:val="33A160A0"/>
    <w:rsid w:val="33A31DCB"/>
    <w:rsid w:val="33A342A9"/>
    <w:rsid w:val="33AB0F76"/>
    <w:rsid w:val="33AD4664"/>
    <w:rsid w:val="33C148CD"/>
    <w:rsid w:val="33D53ED4"/>
    <w:rsid w:val="33D934D4"/>
    <w:rsid w:val="33DD5ADA"/>
    <w:rsid w:val="33E22E17"/>
    <w:rsid w:val="33E22FCC"/>
    <w:rsid w:val="33F00553"/>
    <w:rsid w:val="33F00D0E"/>
    <w:rsid w:val="33FB4C99"/>
    <w:rsid w:val="33FD5BDC"/>
    <w:rsid w:val="33FE2F6A"/>
    <w:rsid w:val="340547BA"/>
    <w:rsid w:val="34072EB0"/>
    <w:rsid w:val="340E07E5"/>
    <w:rsid w:val="341B5D8B"/>
    <w:rsid w:val="341D07EE"/>
    <w:rsid w:val="34235BF7"/>
    <w:rsid w:val="342A4220"/>
    <w:rsid w:val="34321710"/>
    <w:rsid w:val="34331AAE"/>
    <w:rsid w:val="3434509F"/>
    <w:rsid w:val="343926B5"/>
    <w:rsid w:val="344B69E6"/>
    <w:rsid w:val="34614F28"/>
    <w:rsid w:val="346A286F"/>
    <w:rsid w:val="34726C5B"/>
    <w:rsid w:val="34801395"/>
    <w:rsid w:val="348C5D43"/>
    <w:rsid w:val="348D3665"/>
    <w:rsid w:val="348D7EB5"/>
    <w:rsid w:val="34993154"/>
    <w:rsid w:val="34AB560B"/>
    <w:rsid w:val="34AF2977"/>
    <w:rsid w:val="34C847E9"/>
    <w:rsid w:val="34CA77B1"/>
    <w:rsid w:val="34DC284A"/>
    <w:rsid w:val="34E02B31"/>
    <w:rsid w:val="34E24D19"/>
    <w:rsid w:val="34E634E9"/>
    <w:rsid w:val="35096994"/>
    <w:rsid w:val="35100D69"/>
    <w:rsid w:val="35150A2C"/>
    <w:rsid w:val="351C000D"/>
    <w:rsid w:val="351C07CC"/>
    <w:rsid w:val="351C13F2"/>
    <w:rsid w:val="352275ED"/>
    <w:rsid w:val="353473E6"/>
    <w:rsid w:val="353C0E2D"/>
    <w:rsid w:val="35432D26"/>
    <w:rsid w:val="354B08F2"/>
    <w:rsid w:val="354B10F6"/>
    <w:rsid w:val="35512CBF"/>
    <w:rsid w:val="355443ED"/>
    <w:rsid w:val="355506BC"/>
    <w:rsid w:val="355E0E67"/>
    <w:rsid w:val="35786187"/>
    <w:rsid w:val="35895882"/>
    <w:rsid w:val="358B5193"/>
    <w:rsid w:val="358C5FA8"/>
    <w:rsid w:val="358D2CB9"/>
    <w:rsid w:val="35974FFD"/>
    <w:rsid w:val="3599165E"/>
    <w:rsid w:val="359F0644"/>
    <w:rsid w:val="35C15DF1"/>
    <w:rsid w:val="35D46B3A"/>
    <w:rsid w:val="35D723F6"/>
    <w:rsid w:val="35D97CAC"/>
    <w:rsid w:val="35E0728C"/>
    <w:rsid w:val="35F45975"/>
    <w:rsid w:val="36074A7F"/>
    <w:rsid w:val="360F5314"/>
    <w:rsid w:val="362942AC"/>
    <w:rsid w:val="362A056A"/>
    <w:rsid w:val="36313B65"/>
    <w:rsid w:val="3643468F"/>
    <w:rsid w:val="36484E32"/>
    <w:rsid w:val="364F4412"/>
    <w:rsid w:val="3654545B"/>
    <w:rsid w:val="36703696"/>
    <w:rsid w:val="36721CF2"/>
    <w:rsid w:val="36923549"/>
    <w:rsid w:val="36932551"/>
    <w:rsid w:val="36A411F2"/>
    <w:rsid w:val="36B75FBF"/>
    <w:rsid w:val="36BC6666"/>
    <w:rsid w:val="36BD0C45"/>
    <w:rsid w:val="36DD557A"/>
    <w:rsid w:val="36E903C3"/>
    <w:rsid w:val="37180CA8"/>
    <w:rsid w:val="372413FB"/>
    <w:rsid w:val="372E04CB"/>
    <w:rsid w:val="372F1B4E"/>
    <w:rsid w:val="372F22F1"/>
    <w:rsid w:val="37311A62"/>
    <w:rsid w:val="373736D6"/>
    <w:rsid w:val="373A0C1E"/>
    <w:rsid w:val="374750E9"/>
    <w:rsid w:val="375E6C8F"/>
    <w:rsid w:val="37721887"/>
    <w:rsid w:val="378105FB"/>
    <w:rsid w:val="3783667F"/>
    <w:rsid w:val="3793032E"/>
    <w:rsid w:val="379C5762"/>
    <w:rsid w:val="37A776B1"/>
    <w:rsid w:val="37B35C54"/>
    <w:rsid w:val="37BA3B0D"/>
    <w:rsid w:val="37CF41D5"/>
    <w:rsid w:val="37CF580A"/>
    <w:rsid w:val="37D8525C"/>
    <w:rsid w:val="37DE3C9F"/>
    <w:rsid w:val="37E00298"/>
    <w:rsid w:val="37E56DDC"/>
    <w:rsid w:val="37E94C8E"/>
    <w:rsid w:val="37FE26DA"/>
    <w:rsid w:val="37FF5FD4"/>
    <w:rsid w:val="381577F7"/>
    <w:rsid w:val="383B0969"/>
    <w:rsid w:val="384F06F9"/>
    <w:rsid w:val="385021D5"/>
    <w:rsid w:val="385555E4"/>
    <w:rsid w:val="385E26EA"/>
    <w:rsid w:val="38657F1D"/>
    <w:rsid w:val="386C3059"/>
    <w:rsid w:val="386F72D7"/>
    <w:rsid w:val="387168C2"/>
    <w:rsid w:val="38763ED8"/>
    <w:rsid w:val="387737AC"/>
    <w:rsid w:val="387D5D44"/>
    <w:rsid w:val="38931109"/>
    <w:rsid w:val="389E51DD"/>
    <w:rsid w:val="38B302F9"/>
    <w:rsid w:val="38C42E95"/>
    <w:rsid w:val="38CA6653"/>
    <w:rsid w:val="38D34FF7"/>
    <w:rsid w:val="38F11AFC"/>
    <w:rsid w:val="38F12CD3"/>
    <w:rsid w:val="38F94775"/>
    <w:rsid w:val="390109DF"/>
    <w:rsid w:val="39047EA1"/>
    <w:rsid w:val="390D7033"/>
    <w:rsid w:val="390E4861"/>
    <w:rsid w:val="39194720"/>
    <w:rsid w:val="391C02D9"/>
    <w:rsid w:val="392971ED"/>
    <w:rsid w:val="392972ED"/>
    <w:rsid w:val="392A081F"/>
    <w:rsid w:val="39313A06"/>
    <w:rsid w:val="39325651"/>
    <w:rsid w:val="3934319E"/>
    <w:rsid w:val="393C6ED0"/>
    <w:rsid w:val="394144E6"/>
    <w:rsid w:val="39421E53"/>
    <w:rsid w:val="39614455"/>
    <w:rsid w:val="396A3849"/>
    <w:rsid w:val="397B2DFA"/>
    <w:rsid w:val="39900FC9"/>
    <w:rsid w:val="39903718"/>
    <w:rsid w:val="39960DDA"/>
    <w:rsid w:val="39A132D1"/>
    <w:rsid w:val="39A22AAB"/>
    <w:rsid w:val="39AB787D"/>
    <w:rsid w:val="39B2287E"/>
    <w:rsid w:val="39BE4744"/>
    <w:rsid w:val="39CE38A0"/>
    <w:rsid w:val="39F97D38"/>
    <w:rsid w:val="3A083D6B"/>
    <w:rsid w:val="3A1A6D81"/>
    <w:rsid w:val="3A2E05BD"/>
    <w:rsid w:val="3A374B1A"/>
    <w:rsid w:val="3A46439F"/>
    <w:rsid w:val="3A483652"/>
    <w:rsid w:val="3A5519FC"/>
    <w:rsid w:val="3A5D6A1D"/>
    <w:rsid w:val="3A63223A"/>
    <w:rsid w:val="3A872856"/>
    <w:rsid w:val="3A936484"/>
    <w:rsid w:val="3AB72586"/>
    <w:rsid w:val="3AD46C94"/>
    <w:rsid w:val="3ADD1FEC"/>
    <w:rsid w:val="3AEE7DE7"/>
    <w:rsid w:val="3AF410E4"/>
    <w:rsid w:val="3AFB0B52"/>
    <w:rsid w:val="3AFE5931"/>
    <w:rsid w:val="3B0848FE"/>
    <w:rsid w:val="3B134F55"/>
    <w:rsid w:val="3B2F4AA4"/>
    <w:rsid w:val="3B3763D1"/>
    <w:rsid w:val="3B3E4FD6"/>
    <w:rsid w:val="3B425A59"/>
    <w:rsid w:val="3B470D70"/>
    <w:rsid w:val="3B471E87"/>
    <w:rsid w:val="3B4F16E9"/>
    <w:rsid w:val="3B577F0B"/>
    <w:rsid w:val="3B5A188F"/>
    <w:rsid w:val="3B973F23"/>
    <w:rsid w:val="3BC850D1"/>
    <w:rsid w:val="3BC929F0"/>
    <w:rsid w:val="3BD625E2"/>
    <w:rsid w:val="3BE70C49"/>
    <w:rsid w:val="3C002CCF"/>
    <w:rsid w:val="3C096E11"/>
    <w:rsid w:val="3C1211B5"/>
    <w:rsid w:val="3C2F6E1E"/>
    <w:rsid w:val="3C433147"/>
    <w:rsid w:val="3C4816E7"/>
    <w:rsid w:val="3C4E0CC8"/>
    <w:rsid w:val="3C4E2A76"/>
    <w:rsid w:val="3C4F64BA"/>
    <w:rsid w:val="3C5502A8"/>
    <w:rsid w:val="3C5676FF"/>
    <w:rsid w:val="3C6008D7"/>
    <w:rsid w:val="3C60501F"/>
    <w:rsid w:val="3C6D55F2"/>
    <w:rsid w:val="3C7A386B"/>
    <w:rsid w:val="3C81109D"/>
    <w:rsid w:val="3C9012E0"/>
    <w:rsid w:val="3C926E07"/>
    <w:rsid w:val="3C941A53"/>
    <w:rsid w:val="3C9506A5"/>
    <w:rsid w:val="3C9C5ED7"/>
    <w:rsid w:val="3CA209B6"/>
    <w:rsid w:val="3CA339C6"/>
    <w:rsid w:val="3CAA28D9"/>
    <w:rsid w:val="3CAE4432"/>
    <w:rsid w:val="3CB97A26"/>
    <w:rsid w:val="3CC54C78"/>
    <w:rsid w:val="3CC54EFA"/>
    <w:rsid w:val="3CC66AB0"/>
    <w:rsid w:val="3CC92012"/>
    <w:rsid w:val="3CDA245A"/>
    <w:rsid w:val="3CE33B06"/>
    <w:rsid w:val="3CE63FEE"/>
    <w:rsid w:val="3CF3545D"/>
    <w:rsid w:val="3D006466"/>
    <w:rsid w:val="3D132768"/>
    <w:rsid w:val="3D142025"/>
    <w:rsid w:val="3D1E06B7"/>
    <w:rsid w:val="3D284F16"/>
    <w:rsid w:val="3D340F85"/>
    <w:rsid w:val="3D48481D"/>
    <w:rsid w:val="3D5B544A"/>
    <w:rsid w:val="3D664BFC"/>
    <w:rsid w:val="3D6A09B7"/>
    <w:rsid w:val="3D6E4655"/>
    <w:rsid w:val="3D791099"/>
    <w:rsid w:val="3D7C50D3"/>
    <w:rsid w:val="3D826E7B"/>
    <w:rsid w:val="3D8726E3"/>
    <w:rsid w:val="3D8A2C2A"/>
    <w:rsid w:val="3D912A48"/>
    <w:rsid w:val="3D9D3CB5"/>
    <w:rsid w:val="3DB457BF"/>
    <w:rsid w:val="3DB644B6"/>
    <w:rsid w:val="3DC96858"/>
    <w:rsid w:val="3DC9755C"/>
    <w:rsid w:val="3DCA1CAC"/>
    <w:rsid w:val="3DCF2E5A"/>
    <w:rsid w:val="3DE56DDC"/>
    <w:rsid w:val="3DE6565C"/>
    <w:rsid w:val="3E050819"/>
    <w:rsid w:val="3E083D5E"/>
    <w:rsid w:val="3E10092B"/>
    <w:rsid w:val="3E1550ED"/>
    <w:rsid w:val="3E175815"/>
    <w:rsid w:val="3E247F32"/>
    <w:rsid w:val="3E274C78"/>
    <w:rsid w:val="3E2D5039"/>
    <w:rsid w:val="3E2D520F"/>
    <w:rsid w:val="3E3514F4"/>
    <w:rsid w:val="3E364F8C"/>
    <w:rsid w:val="3E3A4E39"/>
    <w:rsid w:val="3E497999"/>
    <w:rsid w:val="3E5A3954"/>
    <w:rsid w:val="3E663D18"/>
    <w:rsid w:val="3E6927FA"/>
    <w:rsid w:val="3E6A012A"/>
    <w:rsid w:val="3E705D26"/>
    <w:rsid w:val="3E75078E"/>
    <w:rsid w:val="3E79027E"/>
    <w:rsid w:val="3E99253A"/>
    <w:rsid w:val="3E9C7603"/>
    <w:rsid w:val="3E9E7CE5"/>
    <w:rsid w:val="3EAF08F1"/>
    <w:rsid w:val="3EB92D70"/>
    <w:rsid w:val="3EBC016B"/>
    <w:rsid w:val="3ED7334C"/>
    <w:rsid w:val="3EDA0523"/>
    <w:rsid w:val="3EE17838"/>
    <w:rsid w:val="3EEC0EDE"/>
    <w:rsid w:val="3EEF6792"/>
    <w:rsid w:val="3EF02C33"/>
    <w:rsid w:val="3EFC4A0B"/>
    <w:rsid w:val="3F073ADC"/>
    <w:rsid w:val="3F124B49"/>
    <w:rsid w:val="3F125FDD"/>
    <w:rsid w:val="3F1735F3"/>
    <w:rsid w:val="3F1E0E25"/>
    <w:rsid w:val="3F212017"/>
    <w:rsid w:val="3F226537"/>
    <w:rsid w:val="3F2F51B9"/>
    <w:rsid w:val="3F3643C1"/>
    <w:rsid w:val="3F406463"/>
    <w:rsid w:val="3F422D66"/>
    <w:rsid w:val="3F5D144C"/>
    <w:rsid w:val="3F620D12"/>
    <w:rsid w:val="3F6211A5"/>
    <w:rsid w:val="3F780536"/>
    <w:rsid w:val="3F88218E"/>
    <w:rsid w:val="3F882BED"/>
    <w:rsid w:val="3F8E6000"/>
    <w:rsid w:val="3F9019F9"/>
    <w:rsid w:val="3F9C66DF"/>
    <w:rsid w:val="3FA806EF"/>
    <w:rsid w:val="3FBA35C7"/>
    <w:rsid w:val="3FC90D91"/>
    <w:rsid w:val="3FE3517F"/>
    <w:rsid w:val="3FEB51AC"/>
    <w:rsid w:val="400268C8"/>
    <w:rsid w:val="4009656C"/>
    <w:rsid w:val="4020088B"/>
    <w:rsid w:val="402A47F7"/>
    <w:rsid w:val="40395D06"/>
    <w:rsid w:val="406311E6"/>
    <w:rsid w:val="407A6407"/>
    <w:rsid w:val="40A02AAD"/>
    <w:rsid w:val="40A84E4B"/>
    <w:rsid w:val="40B82BB9"/>
    <w:rsid w:val="40C652D1"/>
    <w:rsid w:val="40E65973"/>
    <w:rsid w:val="40E80C73"/>
    <w:rsid w:val="40EE5280"/>
    <w:rsid w:val="40F0234E"/>
    <w:rsid w:val="40FA7A81"/>
    <w:rsid w:val="40FD6FD7"/>
    <w:rsid w:val="41110C42"/>
    <w:rsid w:val="411307AD"/>
    <w:rsid w:val="411A3BBA"/>
    <w:rsid w:val="411D3E48"/>
    <w:rsid w:val="41353C5C"/>
    <w:rsid w:val="413D7A70"/>
    <w:rsid w:val="41535635"/>
    <w:rsid w:val="416A4C97"/>
    <w:rsid w:val="41746C2D"/>
    <w:rsid w:val="418C02C8"/>
    <w:rsid w:val="4190197B"/>
    <w:rsid w:val="41940A73"/>
    <w:rsid w:val="419B49AF"/>
    <w:rsid w:val="41BA4E11"/>
    <w:rsid w:val="41BD66D4"/>
    <w:rsid w:val="41C00111"/>
    <w:rsid w:val="41C07F72"/>
    <w:rsid w:val="41C454B9"/>
    <w:rsid w:val="41CD076A"/>
    <w:rsid w:val="41D3270C"/>
    <w:rsid w:val="41D37CA5"/>
    <w:rsid w:val="41DC630A"/>
    <w:rsid w:val="41DD31A2"/>
    <w:rsid w:val="41E47A8A"/>
    <w:rsid w:val="4200449D"/>
    <w:rsid w:val="42050FF2"/>
    <w:rsid w:val="42145555"/>
    <w:rsid w:val="42213106"/>
    <w:rsid w:val="422229DB"/>
    <w:rsid w:val="42253E34"/>
    <w:rsid w:val="42380450"/>
    <w:rsid w:val="423A3BCC"/>
    <w:rsid w:val="423C6842"/>
    <w:rsid w:val="424C7A58"/>
    <w:rsid w:val="424E57D2"/>
    <w:rsid w:val="425321F0"/>
    <w:rsid w:val="426E3E72"/>
    <w:rsid w:val="42750D5C"/>
    <w:rsid w:val="4278084D"/>
    <w:rsid w:val="427820E7"/>
    <w:rsid w:val="427D5E63"/>
    <w:rsid w:val="428216CB"/>
    <w:rsid w:val="4289023B"/>
    <w:rsid w:val="42B26C49"/>
    <w:rsid w:val="42D948AF"/>
    <w:rsid w:val="42E14732"/>
    <w:rsid w:val="42EA4C96"/>
    <w:rsid w:val="430B609E"/>
    <w:rsid w:val="430D7609"/>
    <w:rsid w:val="4326474D"/>
    <w:rsid w:val="432D4CC7"/>
    <w:rsid w:val="433A6FE6"/>
    <w:rsid w:val="433C1437"/>
    <w:rsid w:val="43433935"/>
    <w:rsid w:val="43476B9D"/>
    <w:rsid w:val="43480868"/>
    <w:rsid w:val="4350713C"/>
    <w:rsid w:val="435272F0"/>
    <w:rsid w:val="436653E0"/>
    <w:rsid w:val="436931A0"/>
    <w:rsid w:val="436C03B1"/>
    <w:rsid w:val="436E1903"/>
    <w:rsid w:val="43777474"/>
    <w:rsid w:val="43827BD5"/>
    <w:rsid w:val="438A4CDB"/>
    <w:rsid w:val="439A5EAC"/>
    <w:rsid w:val="439F4115"/>
    <w:rsid w:val="43A4089D"/>
    <w:rsid w:val="43A538C3"/>
    <w:rsid w:val="43B14858"/>
    <w:rsid w:val="43BD5855"/>
    <w:rsid w:val="43C05F91"/>
    <w:rsid w:val="43C4431A"/>
    <w:rsid w:val="43CF6CEB"/>
    <w:rsid w:val="43E6677A"/>
    <w:rsid w:val="43E9115F"/>
    <w:rsid w:val="43EA39CC"/>
    <w:rsid w:val="43ED4FB6"/>
    <w:rsid w:val="43F20719"/>
    <w:rsid w:val="43FA3B90"/>
    <w:rsid w:val="43FE4C25"/>
    <w:rsid w:val="440700DA"/>
    <w:rsid w:val="44076749"/>
    <w:rsid w:val="44092ED5"/>
    <w:rsid w:val="440A15E0"/>
    <w:rsid w:val="440E0C08"/>
    <w:rsid w:val="441D375B"/>
    <w:rsid w:val="44263EE7"/>
    <w:rsid w:val="44315157"/>
    <w:rsid w:val="443276A9"/>
    <w:rsid w:val="443B20A2"/>
    <w:rsid w:val="444A72E6"/>
    <w:rsid w:val="44525248"/>
    <w:rsid w:val="44542198"/>
    <w:rsid w:val="44620A44"/>
    <w:rsid w:val="4470628E"/>
    <w:rsid w:val="447548C6"/>
    <w:rsid w:val="44782D86"/>
    <w:rsid w:val="4487121B"/>
    <w:rsid w:val="44B552EF"/>
    <w:rsid w:val="44B951CC"/>
    <w:rsid w:val="44BA15F0"/>
    <w:rsid w:val="44BC0EC5"/>
    <w:rsid w:val="44C01774"/>
    <w:rsid w:val="44CD14E0"/>
    <w:rsid w:val="44D83825"/>
    <w:rsid w:val="44EE4DF6"/>
    <w:rsid w:val="44F15D77"/>
    <w:rsid w:val="44F20B0B"/>
    <w:rsid w:val="44F6773E"/>
    <w:rsid w:val="44F71EFD"/>
    <w:rsid w:val="44FA7C3F"/>
    <w:rsid w:val="44FC7513"/>
    <w:rsid w:val="450D6A97"/>
    <w:rsid w:val="452E5F4C"/>
    <w:rsid w:val="452F78E8"/>
    <w:rsid w:val="453F5652"/>
    <w:rsid w:val="4548798E"/>
    <w:rsid w:val="45612018"/>
    <w:rsid w:val="456A4DC4"/>
    <w:rsid w:val="456D21BF"/>
    <w:rsid w:val="456E6C28"/>
    <w:rsid w:val="45703A5D"/>
    <w:rsid w:val="45706D26"/>
    <w:rsid w:val="45750F5F"/>
    <w:rsid w:val="457563AF"/>
    <w:rsid w:val="457F43A4"/>
    <w:rsid w:val="458946E9"/>
    <w:rsid w:val="45A05891"/>
    <w:rsid w:val="45A47C0E"/>
    <w:rsid w:val="45A51959"/>
    <w:rsid w:val="45AA6170"/>
    <w:rsid w:val="45AF41D7"/>
    <w:rsid w:val="45BA2812"/>
    <w:rsid w:val="45D206D0"/>
    <w:rsid w:val="45D64208"/>
    <w:rsid w:val="45E8104B"/>
    <w:rsid w:val="45F55607"/>
    <w:rsid w:val="45F75F2C"/>
    <w:rsid w:val="45F865DC"/>
    <w:rsid w:val="46026DAB"/>
    <w:rsid w:val="460743C1"/>
    <w:rsid w:val="46077010"/>
    <w:rsid w:val="460F3276"/>
    <w:rsid w:val="46113492"/>
    <w:rsid w:val="46220097"/>
    <w:rsid w:val="46242772"/>
    <w:rsid w:val="46261141"/>
    <w:rsid w:val="462C0CE8"/>
    <w:rsid w:val="464B386E"/>
    <w:rsid w:val="46577FD6"/>
    <w:rsid w:val="4658336A"/>
    <w:rsid w:val="465913FA"/>
    <w:rsid w:val="465D33FD"/>
    <w:rsid w:val="46651908"/>
    <w:rsid w:val="466E4170"/>
    <w:rsid w:val="46762255"/>
    <w:rsid w:val="468375E3"/>
    <w:rsid w:val="46875502"/>
    <w:rsid w:val="46881C85"/>
    <w:rsid w:val="468C64C8"/>
    <w:rsid w:val="4694586B"/>
    <w:rsid w:val="469814BD"/>
    <w:rsid w:val="46A82DEF"/>
    <w:rsid w:val="46A85525"/>
    <w:rsid w:val="46B53E1D"/>
    <w:rsid w:val="46BF5DAF"/>
    <w:rsid w:val="46C90A63"/>
    <w:rsid w:val="46C967A0"/>
    <w:rsid w:val="46D1697A"/>
    <w:rsid w:val="46D955A7"/>
    <w:rsid w:val="46E955C3"/>
    <w:rsid w:val="46E96579"/>
    <w:rsid w:val="47044780"/>
    <w:rsid w:val="471072A6"/>
    <w:rsid w:val="47133957"/>
    <w:rsid w:val="471548BC"/>
    <w:rsid w:val="471C5C4A"/>
    <w:rsid w:val="472F5E84"/>
    <w:rsid w:val="473C2417"/>
    <w:rsid w:val="4740313F"/>
    <w:rsid w:val="475F1D8C"/>
    <w:rsid w:val="47670815"/>
    <w:rsid w:val="476A2E5A"/>
    <w:rsid w:val="47794E4B"/>
    <w:rsid w:val="47833F1C"/>
    <w:rsid w:val="47953C4F"/>
    <w:rsid w:val="479633B5"/>
    <w:rsid w:val="479D5CAD"/>
    <w:rsid w:val="479E5BA4"/>
    <w:rsid w:val="47A07E0C"/>
    <w:rsid w:val="47A71F02"/>
    <w:rsid w:val="47A77924"/>
    <w:rsid w:val="47AE3D42"/>
    <w:rsid w:val="47B40579"/>
    <w:rsid w:val="47B73BC5"/>
    <w:rsid w:val="47C65BAF"/>
    <w:rsid w:val="47D34905"/>
    <w:rsid w:val="47D51E8B"/>
    <w:rsid w:val="47E53D0E"/>
    <w:rsid w:val="47E72E82"/>
    <w:rsid w:val="47F821C0"/>
    <w:rsid w:val="47FB7F56"/>
    <w:rsid w:val="4803505C"/>
    <w:rsid w:val="480D0A1F"/>
    <w:rsid w:val="480D6701"/>
    <w:rsid w:val="480D7C89"/>
    <w:rsid w:val="4832793C"/>
    <w:rsid w:val="48515DC8"/>
    <w:rsid w:val="48532E0E"/>
    <w:rsid w:val="4860600B"/>
    <w:rsid w:val="48620B8D"/>
    <w:rsid w:val="486378A9"/>
    <w:rsid w:val="4868298D"/>
    <w:rsid w:val="4870272E"/>
    <w:rsid w:val="487321E2"/>
    <w:rsid w:val="48793F29"/>
    <w:rsid w:val="487A5757"/>
    <w:rsid w:val="48884ECD"/>
    <w:rsid w:val="48981C49"/>
    <w:rsid w:val="48A837B8"/>
    <w:rsid w:val="48B024D7"/>
    <w:rsid w:val="48B0676A"/>
    <w:rsid w:val="48D03190"/>
    <w:rsid w:val="48D16F09"/>
    <w:rsid w:val="48D57EB8"/>
    <w:rsid w:val="48D80A87"/>
    <w:rsid w:val="48E605A6"/>
    <w:rsid w:val="48E72C4E"/>
    <w:rsid w:val="48E9124D"/>
    <w:rsid w:val="48F52BF7"/>
    <w:rsid w:val="48F7696F"/>
    <w:rsid w:val="48F81653"/>
    <w:rsid w:val="491500AA"/>
    <w:rsid w:val="49251127"/>
    <w:rsid w:val="493065D9"/>
    <w:rsid w:val="49331971"/>
    <w:rsid w:val="49366D6C"/>
    <w:rsid w:val="494724F8"/>
    <w:rsid w:val="49496A9F"/>
    <w:rsid w:val="494B528B"/>
    <w:rsid w:val="4950607F"/>
    <w:rsid w:val="495406CC"/>
    <w:rsid w:val="4958211B"/>
    <w:rsid w:val="49583186"/>
    <w:rsid w:val="497E1DB7"/>
    <w:rsid w:val="49834D48"/>
    <w:rsid w:val="498E0956"/>
    <w:rsid w:val="49902920"/>
    <w:rsid w:val="49957F36"/>
    <w:rsid w:val="49A5461D"/>
    <w:rsid w:val="49B04D70"/>
    <w:rsid w:val="49B303BC"/>
    <w:rsid w:val="49BE12C9"/>
    <w:rsid w:val="49D11ECD"/>
    <w:rsid w:val="49D42B7A"/>
    <w:rsid w:val="49DC7715"/>
    <w:rsid w:val="49E62540"/>
    <w:rsid w:val="49EE03A8"/>
    <w:rsid w:val="49F30FD2"/>
    <w:rsid w:val="49F326D4"/>
    <w:rsid w:val="49F871DE"/>
    <w:rsid w:val="49FB423D"/>
    <w:rsid w:val="49FE054C"/>
    <w:rsid w:val="4A023139"/>
    <w:rsid w:val="4A061596"/>
    <w:rsid w:val="4A0B01F8"/>
    <w:rsid w:val="4A25750C"/>
    <w:rsid w:val="4A273284"/>
    <w:rsid w:val="4A346E6B"/>
    <w:rsid w:val="4A3B3251"/>
    <w:rsid w:val="4A3D2AA8"/>
    <w:rsid w:val="4A3D58E0"/>
    <w:rsid w:val="4A4756D4"/>
    <w:rsid w:val="4A4C3D2C"/>
    <w:rsid w:val="4A58564D"/>
    <w:rsid w:val="4A5971B6"/>
    <w:rsid w:val="4A5B7629"/>
    <w:rsid w:val="4A5D0EB9"/>
    <w:rsid w:val="4A675D53"/>
    <w:rsid w:val="4A7B576F"/>
    <w:rsid w:val="4A895CED"/>
    <w:rsid w:val="4A8F0E29"/>
    <w:rsid w:val="4AA15B5C"/>
    <w:rsid w:val="4AA85A47"/>
    <w:rsid w:val="4ABB39CC"/>
    <w:rsid w:val="4ACE54AE"/>
    <w:rsid w:val="4AE012BC"/>
    <w:rsid w:val="4AE80E47"/>
    <w:rsid w:val="4AF561A9"/>
    <w:rsid w:val="4AFC2E3C"/>
    <w:rsid w:val="4B0435C5"/>
    <w:rsid w:val="4B074E64"/>
    <w:rsid w:val="4B08477A"/>
    <w:rsid w:val="4B085904"/>
    <w:rsid w:val="4B0B04B0"/>
    <w:rsid w:val="4B231C06"/>
    <w:rsid w:val="4B457FAC"/>
    <w:rsid w:val="4B4928D5"/>
    <w:rsid w:val="4B4D6D1A"/>
    <w:rsid w:val="4B5C1DB6"/>
    <w:rsid w:val="4B5F07FC"/>
    <w:rsid w:val="4B5F6A4E"/>
    <w:rsid w:val="4B6716A1"/>
    <w:rsid w:val="4B6E690E"/>
    <w:rsid w:val="4B766C07"/>
    <w:rsid w:val="4B7D0C82"/>
    <w:rsid w:val="4B816B1D"/>
    <w:rsid w:val="4B8659E8"/>
    <w:rsid w:val="4B887D52"/>
    <w:rsid w:val="4B9F68C9"/>
    <w:rsid w:val="4BAB4B2A"/>
    <w:rsid w:val="4BAB5FC3"/>
    <w:rsid w:val="4BB328F5"/>
    <w:rsid w:val="4BCA036B"/>
    <w:rsid w:val="4BD5286C"/>
    <w:rsid w:val="4BEA27E7"/>
    <w:rsid w:val="4BEF76EC"/>
    <w:rsid w:val="4BF278C2"/>
    <w:rsid w:val="4C0B2731"/>
    <w:rsid w:val="4C0D64AA"/>
    <w:rsid w:val="4C1E06B7"/>
    <w:rsid w:val="4C2548E4"/>
    <w:rsid w:val="4C2D77DD"/>
    <w:rsid w:val="4C396458"/>
    <w:rsid w:val="4C4A0649"/>
    <w:rsid w:val="4C5A218A"/>
    <w:rsid w:val="4C6C31D0"/>
    <w:rsid w:val="4C705D22"/>
    <w:rsid w:val="4C746529"/>
    <w:rsid w:val="4C791831"/>
    <w:rsid w:val="4C7E5ECA"/>
    <w:rsid w:val="4C875163"/>
    <w:rsid w:val="4C876AA5"/>
    <w:rsid w:val="4C9170DB"/>
    <w:rsid w:val="4C966BCE"/>
    <w:rsid w:val="4CAE294A"/>
    <w:rsid w:val="4CC34DBA"/>
    <w:rsid w:val="4CC56D84"/>
    <w:rsid w:val="4CE139F4"/>
    <w:rsid w:val="4CE90CC5"/>
    <w:rsid w:val="4CE92A73"/>
    <w:rsid w:val="4CED014A"/>
    <w:rsid w:val="4CFD1DBB"/>
    <w:rsid w:val="4D021D86"/>
    <w:rsid w:val="4D083CE6"/>
    <w:rsid w:val="4D0E00FB"/>
    <w:rsid w:val="4D176606"/>
    <w:rsid w:val="4D2C0BB1"/>
    <w:rsid w:val="4D3D4B6D"/>
    <w:rsid w:val="4D5123C6"/>
    <w:rsid w:val="4D530C98"/>
    <w:rsid w:val="4D5325E2"/>
    <w:rsid w:val="4D551EB6"/>
    <w:rsid w:val="4D5A6A31"/>
    <w:rsid w:val="4D6C4E25"/>
    <w:rsid w:val="4D6D2453"/>
    <w:rsid w:val="4D8217A3"/>
    <w:rsid w:val="4D90440A"/>
    <w:rsid w:val="4DA70238"/>
    <w:rsid w:val="4DAF7FFE"/>
    <w:rsid w:val="4DB049F3"/>
    <w:rsid w:val="4DC25072"/>
    <w:rsid w:val="4DEC4FB0"/>
    <w:rsid w:val="4DEF230B"/>
    <w:rsid w:val="4DEF2AC0"/>
    <w:rsid w:val="4DF55447"/>
    <w:rsid w:val="4E047438"/>
    <w:rsid w:val="4E061402"/>
    <w:rsid w:val="4E075D8A"/>
    <w:rsid w:val="4E0B07C7"/>
    <w:rsid w:val="4E1A4248"/>
    <w:rsid w:val="4E1C0C26"/>
    <w:rsid w:val="4E1F4272"/>
    <w:rsid w:val="4E257ADB"/>
    <w:rsid w:val="4E2F1239"/>
    <w:rsid w:val="4E3F594B"/>
    <w:rsid w:val="4E4D46AE"/>
    <w:rsid w:val="4E545C5C"/>
    <w:rsid w:val="4E553E46"/>
    <w:rsid w:val="4E63553A"/>
    <w:rsid w:val="4E644C02"/>
    <w:rsid w:val="4E6F0D56"/>
    <w:rsid w:val="4E724CEA"/>
    <w:rsid w:val="4E81154F"/>
    <w:rsid w:val="4E877A05"/>
    <w:rsid w:val="4E8E682B"/>
    <w:rsid w:val="4E920EE8"/>
    <w:rsid w:val="4E9B1B4B"/>
    <w:rsid w:val="4EA2112B"/>
    <w:rsid w:val="4EA7450E"/>
    <w:rsid w:val="4EAA4FA4"/>
    <w:rsid w:val="4EAA7FE0"/>
    <w:rsid w:val="4EAB1733"/>
    <w:rsid w:val="4EAB6B2C"/>
    <w:rsid w:val="4EAF55F6"/>
    <w:rsid w:val="4EBC16A4"/>
    <w:rsid w:val="4EC00FAD"/>
    <w:rsid w:val="4EC372F3"/>
    <w:rsid w:val="4EC56AEB"/>
    <w:rsid w:val="4ECC61A8"/>
    <w:rsid w:val="4ED30221"/>
    <w:rsid w:val="4EE03C18"/>
    <w:rsid w:val="4EE759F5"/>
    <w:rsid w:val="4F021BCA"/>
    <w:rsid w:val="4F1E6963"/>
    <w:rsid w:val="4F2438CF"/>
    <w:rsid w:val="4F280AC8"/>
    <w:rsid w:val="4F2839DA"/>
    <w:rsid w:val="4F5D5052"/>
    <w:rsid w:val="4F5E796A"/>
    <w:rsid w:val="4F674123"/>
    <w:rsid w:val="4F6B3C13"/>
    <w:rsid w:val="4F6C34E7"/>
    <w:rsid w:val="4F74239C"/>
    <w:rsid w:val="4F7A3CCF"/>
    <w:rsid w:val="4F7F778F"/>
    <w:rsid w:val="4F824AB9"/>
    <w:rsid w:val="4F847B89"/>
    <w:rsid w:val="4F894099"/>
    <w:rsid w:val="4F9843DC"/>
    <w:rsid w:val="4F9E0853"/>
    <w:rsid w:val="4FA60035"/>
    <w:rsid w:val="4FAF7E69"/>
    <w:rsid w:val="4FB72A18"/>
    <w:rsid w:val="4FB73B19"/>
    <w:rsid w:val="4FC62A8C"/>
    <w:rsid w:val="4FC9093A"/>
    <w:rsid w:val="4FDA40DE"/>
    <w:rsid w:val="4FDA48F5"/>
    <w:rsid w:val="4FDC7366"/>
    <w:rsid w:val="4FE07F37"/>
    <w:rsid w:val="4FE20F0D"/>
    <w:rsid w:val="4FE51552"/>
    <w:rsid w:val="4FF05EC6"/>
    <w:rsid w:val="4FF33CC0"/>
    <w:rsid w:val="4FF736F9"/>
    <w:rsid w:val="50120532"/>
    <w:rsid w:val="501716A5"/>
    <w:rsid w:val="501B5B65"/>
    <w:rsid w:val="50430F5A"/>
    <w:rsid w:val="504A1A7A"/>
    <w:rsid w:val="50504C4B"/>
    <w:rsid w:val="505226DD"/>
    <w:rsid w:val="505428F9"/>
    <w:rsid w:val="50563C80"/>
    <w:rsid w:val="50790B09"/>
    <w:rsid w:val="50827C35"/>
    <w:rsid w:val="509C6E7C"/>
    <w:rsid w:val="50A2685A"/>
    <w:rsid w:val="50B213CE"/>
    <w:rsid w:val="50B45146"/>
    <w:rsid w:val="50B77C63"/>
    <w:rsid w:val="50C25AB5"/>
    <w:rsid w:val="50C833E3"/>
    <w:rsid w:val="50CB7CB1"/>
    <w:rsid w:val="50DE43B9"/>
    <w:rsid w:val="50E01B56"/>
    <w:rsid w:val="50E7551B"/>
    <w:rsid w:val="50EA0B67"/>
    <w:rsid w:val="50FA25E7"/>
    <w:rsid w:val="50FB11BA"/>
    <w:rsid w:val="51100D65"/>
    <w:rsid w:val="511730A2"/>
    <w:rsid w:val="511856D5"/>
    <w:rsid w:val="511A68DA"/>
    <w:rsid w:val="51204589"/>
    <w:rsid w:val="512825C3"/>
    <w:rsid w:val="513A02D2"/>
    <w:rsid w:val="5146019B"/>
    <w:rsid w:val="514B4828"/>
    <w:rsid w:val="514F30C0"/>
    <w:rsid w:val="51535CF6"/>
    <w:rsid w:val="515D61BE"/>
    <w:rsid w:val="5162104E"/>
    <w:rsid w:val="517448D5"/>
    <w:rsid w:val="5185131C"/>
    <w:rsid w:val="518E3BE9"/>
    <w:rsid w:val="519305B4"/>
    <w:rsid w:val="51C84B65"/>
    <w:rsid w:val="51CD3E1C"/>
    <w:rsid w:val="51E94824"/>
    <w:rsid w:val="52021EE1"/>
    <w:rsid w:val="520364C3"/>
    <w:rsid w:val="52053949"/>
    <w:rsid w:val="52236547"/>
    <w:rsid w:val="522D52FF"/>
    <w:rsid w:val="52326C6A"/>
    <w:rsid w:val="5237602E"/>
    <w:rsid w:val="52397523"/>
    <w:rsid w:val="524D13AE"/>
    <w:rsid w:val="52606804"/>
    <w:rsid w:val="52691F60"/>
    <w:rsid w:val="526B5CD8"/>
    <w:rsid w:val="527302CB"/>
    <w:rsid w:val="52774555"/>
    <w:rsid w:val="528172AA"/>
    <w:rsid w:val="52861E33"/>
    <w:rsid w:val="52884ADC"/>
    <w:rsid w:val="5295070D"/>
    <w:rsid w:val="52AA0B6D"/>
    <w:rsid w:val="52BD1E83"/>
    <w:rsid w:val="52BE4997"/>
    <w:rsid w:val="52C83383"/>
    <w:rsid w:val="52DB2E5E"/>
    <w:rsid w:val="52DC62AC"/>
    <w:rsid w:val="52E10D67"/>
    <w:rsid w:val="52E61294"/>
    <w:rsid w:val="52E72A9C"/>
    <w:rsid w:val="52F36558"/>
    <w:rsid w:val="52F67C97"/>
    <w:rsid w:val="5305012E"/>
    <w:rsid w:val="5311062D"/>
    <w:rsid w:val="53140BE3"/>
    <w:rsid w:val="531D4EAB"/>
    <w:rsid w:val="533E7486"/>
    <w:rsid w:val="534D3630"/>
    <w:rsid w:val="535C417D"/>
    <w:rsid w:val="537506AF"/>
    <w:rsid w:val="53760DD8"/>
    <w:rsid w:val="53772037"/>
    <w:rsid w:val="537A4503"/>
    <w:rsid w:val="537A66B1"/>
    <w:rsid w:val="537B0AA3"/>
    <w:rsid w:val="539179C0"/>
    <w:rsid w:val="53A039CC"/>
    <w:rsid w:val="53A1505A"/>
    <w:rsid w:val="53A70F92"/>
    <w:rsid w:val="53AA3218"/>
    <w:rsid w:val="53B00574"/>
    <w:rsid w:val="53C0484B"/>
    <w:rsid w:val="53C5766A"/>
    <w:rsid w:val="53C704CB"/>
    <w:rsid w:val="53D62E19"/>
    <w:rsid w:val="53D635DC"/>
    <w:rsid w:val="53FE2180"/>
    <w:rsid w:val="54063E08"/>
    <w:rsid w:val="54104EF2"/>
    <w:rsid w:val="541938DC"/>
    <w:rsid w:val="541A68A8"/>
    <w:rsid w:val="543437E8"/>
    <w:rsid w:val="543A0058"/>
    <w:rsid w:val="54440DE3"/>
    <w:rsid w:val="544E58B1"/>
    <w:rsid w:val="545633BC"/>
    <w:rsid w:val="545A4256"/>
    <w:rsid w:val="546F71DF"/>
    <w:rsid w:val="54815580"/>
    <w:rsid w:val="5483555B"/>
    <w:rsid w:val="54882B71"/>
    <w:rsid w:val="54885BDA"/>
    <w:rsid w:val="548F5E2B"/>
    <w:rsid w:val="549B6DFA"/>
    <w:rsid w:val="54A159E1"/>
    <w:rsid w:val="54B0031A"/>
    <w:rsid w:val="54CA3CF1"/>
    <w:rsid w:val="54F72943"/>
    <w:rsid w:val="54F73313"/>
    <w:rsid w:val="54F80955"/>
    <w:rsid w:val="54FD1535"/>
    <w:rsid w:val="54FF1030"/>
    <w:rsid w:val="550541C2"/>
    <w:rsid w:val="55076432"/>
    <w:rsid w:val="551E5284"/>
    <w:rsid w:val="552F15A5"/>
    <w:rsid w:val="5536081F"/>
    <w:rsid w:val="553920BD"/>
    <w:rsid w:val="554D5B69"/>
    <w:rsid w:val="554E1F59"/>
    <w:rsid w:val="55515659"/>
    <w:rsid w:val="555170A7"/>
    <w:rsid w:val="555E3E29"/>
    <w:rsid w:val="5563538C"/>
    <w:rsid w:val="55735F88"/>
    <w:rsid w:val="557430F6"/>
    <w:rsid w:val="557F2A6A"/>
    <w:rsid w:val="5583158B"/>
    <w:rsid w:val="5587536D"/>
    <w:rsid w:val="558E2409"/>
    <w:rsid w:val="559B174B"/>
    <w:rsid w:val="55A27162"/>
    <w:rsid w:val="55C91AC1"/>
    <w:rsid w:val="55CE0CF4"/>
    <w:rsid w:val="55D27C3E"/>
    <w:rsid w:val="55D95415"/>
    <w:rsid w:val="55F149AC"/>
    <w:rsid w:val="55F65E7E"/>
    <w:rsid w:val="56010E2D"/>
    <w:rsid w:val="560132A1"/>
    <w:rsid w:val="560223A7"/>
    <w:rsid w:val="561877F2"/>
    <w:rsid w:val="56440FE4"/>
    <w:rsid w:val="56586058"/>
    <w:rsid w:val="56682E7F"/>
    <w:rsid w:val="56692879"/>
    <w:rsid w:val="567A7EC4"/>
    <w:rsid w:val="567F4262"/>
    <w:rsid w:val="56843B34"/>
    <w:rsid w:val="56951575"/>
    <w:rsid w:val="569A4DDE"/>
    <w:rsid w:val="56B22A9C"/>
    <w:rsid w:val="56D703C2"/>
    <w:rsid w:val="56FC15AA"/>
    <w:rsid w:val="5701367F"/>
    <w:rsid w:val="57021B63"/>
    <w:rsid w:val="570D1A54"/>
    <w:rsid w:val="570F1328"/>
    <w:rsid w:val="57193F55"/>
    <w:rsid w:val="571B7CCD"/>
    <w:rsid w:val="571C57F3"/>
    <w:rsid w:val="5722494F"/>
    <w:rsid w:val="57265675"/>
    <w:rsid w:val="573C40E7"/>
    <w:rsid w:val="573D02BA"/>
    <w:rsid w:val="57431548"/>
    <w:rsid w:val="575936A9"/>
    <w:rsid w:val="5759691E"/>
    <w:rsid w:val="575F0699"/>
    <w:rsid w:val="57714F22"/>
    <w:rsid w:val="577B69BD"/>
    <w:rsid w:val="577D0591"/>
    <w:rsid w:val="57833AC4"/>
    <w:rsid w:val="5791159E"/>
    <w:rsid w:val="579E26AC"/>
    <w:rsid w:val="57A81AFA"/>
    <w:rsid w:val="57B4177A"/>
    <w:rsid w:val="57B72A76"/>
    <w:rsid w:val="57B8376D"/>
    <w:rsid w:val="57BD5228"/>
    <w:rsid w:val="57C06AC6"/>
    <w:rsid w:val="57C2283E"/>
    <w:rsid w:val="57C3426C"/>
    <w:rsid w:val="57C75743"/>
    <w:rsid w:val="57CE1F93"/>
    <w:rsid w:val="57E21122"/>
    <w:rsid w:val="57E22E68"/>
    <w:rsid w:val="57E722A5"/>
    <w:rsid w:val="57E978E1"/>
    <w:rsid w:val="57FA3BF0"/>
    <w:rsid w:val="57FB3F9F"/>
    <w:rsid w:val="580D791A"/>
    <w:rsid w:val="58112E7E"/>
    <w:rsid w:val="581B535C"/>
    <w:rsid w:val="583809C3"/>
    <w:rsid w:val="58395CD8"/>
    <w:rsid w:val="58507E4A"/>
    <w:rsid w:val="585B234B"/>
    <w:rsid w:val="587F072F"/>
    <w:rsid w:val="58812A52"/>
    <w:rsid w:val="58825949"/>
    <w:rsid w:val="588743D1"/>
    <w:rsid w:val="5887701A"/>
    <w:rsid w:val="588E5927"/>
    <w:rsid w:val="58AE691E"/>
    <w:rsid w:val="58C425E6"/>
    <w:rsid w:val="58D77C23"/>
    <w:rsid w:val="58DC16DE"/>
    <w:rsid w:val="58E2493E"/>
    <w:rsid w:val="59025763"/>
    <w:rsid w:val="590C1815"/>
    <w:rsid w:val="591438F8"/>
    <w:rsid w:val="59162E41"/>
    <w:rsid w:val="591677A6"/>
    <w:rsid w:val="59260BAB"/>
    <w:rsid w:val="592762E1"/>
    <w:rsid w:val="59334CD0"/>
    <w:rsid w:val="59404E2E"/>
    <w:rsid w:val="595135E0"/>
    <w:rsid w:val="59576FB6"/>
    <w:rsid w:val="59701E26"/>
    <w:rsid w:val="59710078"/>
    <w:rsid w:val="59750590"/>
    <w:rsid w:val="597C6A1D"/>
    <w:rsid w:val="5991320A"/>
    <w:rsid w:val="599D7AE8"/>
    <w:rsid w:val="59A857C6"/>
    <w:rsid w:val="59AA358A"/>
    <w:rsid w:val="59AA5A7D"/>
    <w:rsid w:val="59B26362"/>
    <w:rsid w:val="59BD32BD"/>
    <w:rsid w:val="59C0439F"/>
    <w:rsid w:val="59DE5AE8"/>
    <w:rsid w:val="59E03A20"/>
    <w:rsid w:val="59E85E60"/>
    <w:rsid w:val="59F0154F"/>
    <w:rsid w:val="59FB04C3"/>
    <w:rsid w:val="59FC3E1A"/>
    <w:rsid w:val="5A010FCF"/>
    <w:rsid w:val="5A09149C"/>
    <w:rsid w:val="5A0E3C91"/>
    <w:rsid w:val="5A151432"/>
    <w:rsid w:val="5A210A43"/>
    <w:rsid w:val="5A367483"/>
    <w:rsid w:val="5A3A3C18"/>
    <w:rsid w:val="5A3E641A"/>
    <w:rsid w:val="5A421728"/>
    <w:rsid w:val="5A4B256F"/>
    <w:rsid w:val="5A5569F8"/>
    <w:rsid w:val="5A616652"/>
    <w:rsid w:val="5A7A613C"/>
    <w:rsid w:val="5A8550AB"/>
    <w:rsid w:val="5A857357"/>
    <w:rsid w:val="5A8E5F96"/>
    <w:rsid w:val="5A922639"/>
    <w:rsid w:val="5A987886"/>
    <w:rsid w:val="5A9F29C3"/>
    <w:rsid w:val="5AA24261"/>
    <w:rsid w:val="5AA47FD9"/>
    <w:rsid w:val="5AB5200A"/>
    <w:rsid w:val="5AB94D23"/>
    <w:rsid w:val="5ABE2233"/>
    <w:rsid w:val="5AC05BF0"/>
    <w:rsid w:val="5AC6567A"/>
    <w:rsid w:val="5AC866A0"/>
    <w:rsid w:val="5AD00DCE"/>
    <w:rsid w:val="5AE41D31"/>
    <w:rsid w:val="5AE63EBE"/>
    <w:rsid w:val="5AE90893"/>
    <w:rsid w:val="5AEE63B9"/>
    <w:rsid w:val="5B024A7B"/>
    <w:rsid w:val="5B0839A6"/>
    <w:rsid w:val="5B0D7C8E"/>
    <w:rsid w:val="5B1C3426"/>
    <w:rsid w:val="5B4031CE"/>
    <w:rsid w:val="5B5B0FE0"/>
    <w:rsid w:val="5B633E84"/>
    <w:rsid w:val="5B6D1291"/>
    <w:rsid w:val="5B8B2F47"/>
    <w:rsid w:val="5B8E106E"/>
    <w:rsid w:val="5B916880"/>
    <w:rsid w:val="5B983FD5"/>
    <w:rsid w:val="5B9F75D1"/>
    <w:rsid w:val="5BB2617C"/>
    <w:rsid w:val="5BCA1299"/>
    <w:rsid w:val="5BDF5D95"/>
    <w:rsid w:val="5BE56AFB"/>
    <w:rsid w:val="5BE769DB"/>
    <w:rsid w:val="5BF73AB3"/>
    <w:rsid w:val="5BF81431"/>
    <w:rsid w:val="5BFE7528"/>
    <w:rsid w:val="5C074CC3"/>
    <w:rsid w:val="5C11713B"/>
    <w:rsid w:val="5C13269F"/>
    <w:rsid w:val="5C134AF7"/>
    <w:rsid w:val="5C1B7B96"/>
    <w:rsid w:val="5C230A43"/>
    <w:rsid w:val="5C2470AC"/>
    <w:rsid w:val="5C3B671B"/>
    <w:rsid w:val="5C427AAA"/>
    <w:rsid w:val="5C480829"/>
    <w:rsid w:val="5C553C81"/>
    <w:rsid w:val="5C5F274D"/>
    <w:rsid w:val="5C74421A"/>
    <w:rsid w:val="5C8D7367"/>
    <w:rsid w:val="5C8F6A67"/>
    <w:rsid w:val="5C900C58"/>
    <w:rsid w:val="5C967DF5"/>
    <w:rsid w:val="5C9B540C"/>
    <w:rsid w:val="5CAA4FFC"/>
    <w:rsid w:val="5CAC7619"/>
    <w:rsid w:val="5CAF0246"/>
    <w:rsid w:val="5CAF3AF1"/>
    <w:rsid w:val="5CB257A2"/>
    <w:rsid w:val="5CB62246"/>
    <w:rsid w:val="5CBC6851"/>
    <w:rsid w:val="5CC921BA"/>
    <w:rsid w:val="5CDC4E87"/>
    <w:rsid w:val="5CE84AF5"/>
    <w:rsid w:val="5D04115A"/>
    <w:rsid w:val="5D085D68"/>
    <w:rsid w:val="5D101956"/>
    <w:rsid w:val="5D1256CE"/>
    <w:rsid w:val="5D153410"/>
    <w:rsid w:val="5D235B2D"/>
    <w:rsid w:val="5D254657"/>
    <w:rsid w:val="5D272EF3"/>
    <w:rsid w:val="5D3C7138"/>
    <w:rsid w:val="5D4635C9"/>
    <w:rsid w:val="5D591D90"/>
    <w:rsid w:val="5D7A7717"/>
    <w:rsid w:val="5DA0268C"/>
    <w:rsid w:val="5DA16A52"/>
    <w:rsid w:val="5DB6074F"/>
    <w:rsid w:val="5DB725D8"/>
    <w:rsid w:val="5DBA17D4"/>
    <w:rsid w:val="5DBC7D30"/>
    <w:rsid w:val="5DDA4491"/>
    <w:rsid w:val="5DE0757A"/>
    <w:rsid w:val="5E0A546C"/>
    <w:rsid w:val="5E203E1A"/>
    <w:rsid w:val="5E231B5D"/>
    <w:rsid w:val="5E2467F1"/>
    <w:rsid w:val="5E341674"/>
    <w:rsid w:val="5E354F6E"/>
    <w:rsid w:val="5E413D91"/>
    <w:rsid w:val="5E4529DC"/>
    <w:rsid w:val="5E4867A9"/>
    <w:rsid w:val="5E5E29F5"/>
    <w:rsid w:val="5E652175"/>
    <w:rsid w:val="5E6F08FE"/>
    <w:rsid w:val="5E7548B6"/>
    <w:rsid w:val="5E7B72A3"/>
    <w:rsid w:val="5E7D69B4"/>
    <w:rsid w:val="5EA26F25"/>
    <w:rsid w:val="5EAE6BA0"/>
    <w:rsid w:val="5EBC3E14"/>
    <w:rsid w:val="5EBF3633"/>
    <w:rsid w:val="5EC37184"/>
    <w:rsid w:val="5ECB2DAE"/>
    <w:rsid w:val="5ED15115"/>
    <w:rsid w:val="5EDA13BB"/>
    <w:rsid w:val="5EE2666A"/>
    <w:rsid w:val="5EF9306C"/>
    <w:rsid w:val="5F0279C4"/>
    <w:rsid w:val="5F076D88"/>
    <w:rsid w:val="5F0D6958"/>
    <w:rsid w:val="5F0E66D9"/>
    <w:rsid w:val="5F1323DD"/>
    <w:rsid w:val="5F155135"/>
    <w:rsid w:val="5F1A2B43"/>
    <w:rsid w:val="5F1F40D2"/>
    <w:rsid w:val="5F310A0D"/>
    <w:rsid w:val="5F3323E2"/>
    <w:rsid w:val="5F3D1D1E"/>
    <w:rsid w:val="5F4E49B7"/>
    <w:rsid w:val="5F4F0D47"/>
    <w:rsid w:val="5F5521EA"/>
    <w:rsid w:val="5F5A0EF0"/>
    <w:rsid w:val="5F625EF5"/>
    <w:rsid w:val="5F642187"/>
    <w:rsid w:val="5F6D3872"/>
    <w:rsid w:val="5F6F1B1A"/>
    <w:rsid w:val="5F7D704B"/>
    <w:rsid w:val="5F81008E"/>
    <w:rsid w:val="5F881C77"/>
    <w:rsid w:val="5F9347C8"/>
    <w:rsid w:val="5FA647F3"/>
    <w:rsid w:val="5FB54A36"/>
    <w:rsid w:val="5FB837BB"/>
    <w:rsid w:val="5FC66C44"/>
    <w:rsid w:val="5FCE38DA"/>
    <w:rsid w:val="60003F04"/>
    <w:rsid w:val="60081EA4"/>
    <w:rsid w:val="60135604"/>
    <w:rsid w:val="60190018"/>
    <w:rsid w:val="601B6F8F"/>
    <w:rsid w:val="60235E44"/>
    <w:rsid w:val="60262F94"/>
    <w:rsid w:val="60325C1E"/>
    <w:rsid w:val="603A4714"/>
    <w:rsid w:val="604E1113"/>
    <w:rsid w:val="605A54E6"/>
    <w:rsid w:val="606C3941"/>
    <w:rsid w:val="60787F3E"/>
    <w:rsid w:val="607940A4"/>
    <w:rsid w:val="607F0B07"/>
    <w:rsid w:val="608D72C8"/>
    <w:rsid w:val="608F6033"/>
    <w:rsid w:val="609B7DE4"/>
    <w:rsid w:val="60A071E8"/>
    <w:rsid w:val="60A77BE5"/>
    <w:rsid w:val="60B8658C"/>
    <w:rsid w:val="60C018E5"/>
    <w:rsid w:val="60C11801"/>
    <w:rsid w:val="60CC405A"/>
    <w:rsid w:val="60D20857"/>
    <w:rsid w:val="60D41CCC"/>
    <w:rsid w:val="60E52359"/>
    <w:rsid w:val="60E845C2"/>
    <w:rsid w:val="60EC5E1D"/>
    <w:rsid w:val="60FA2D34"/>
    <w:rsid w:val="60FB0B6F"/>
    <w:rsid w:val="60FB46CB"/>
    <w:rsid w:val="60FD48E7"/>
    <w:rsid w:val="610619ED"/>
    <w:rsid w:val="611B2D9F"/>
    <w:rsid w:val="611F436F"/>
    <w:rsid w:val="61241896"/>
    <w:rsid w:val="6126629D"/>
    <w:rsid w:val="61333E65"/>
    <w:rsid w:val="61356C2E"/>
    <w:rsid w:val="61377DF9"/>
    <w:rsid w:val="61377F14"/>
    <w:rsid w:val="6138591F"/>
    <w:rsid w:val="613B0F6B"/>
    <w:rsid w:val="6141185E"/>
    <w:rsid w:val="61436FDD"/>
    <w:rsid w:val="614417D7"/>
    <w:rsid w:val="61500EBB"/>
    <w:rsid w:val="616C22EB"/>
    <w:rsid w:val="61736884"/>
    <w:rsid w:val="617E64C8"/>
    <w:rsid w:val="617F52FC"/>
    <w:rsid w:val="618925DC"/>
    <w:rsid w:val="619306EF"/>
    <w:rsid w:val="619863BE"/>
    <w:rsid w:val="619C03A7"/>
    <w:rsid w:val="619C41AD"/>
    <w:rsid w:val="61AE798F"/>
    <w:rsid w:val="61AF5B44"/>
    <w:rsid w:val="61B551C2"/>
    <w:rsid w:val="61C41473"/>
    <w:rsid w:val="61C80A51"/>
    <w:rsid w:val="61CB663A"/>
    <w:rsid w:val="61E215D8"/>
    <w:rsid w:val="61E60326"/>
    <w:rsid w:val="61F5214B"/>
    <w:rsid w:val="62113A80"/>
    <w:rsid w:val="621B3775"/>
    <w:rsid w:val="622E4418"/>
    <w:rsid w:val="622F0816"/>
    <w:rsid w:val="623551BE"/>
    <w:rsid w:val="62364782"/>
    <w:rsid w:val="623D6671"/>
    <w:rsid w:val="624D320A"/>
    <w:rsid w:val="6259128E"/>
    <w:rsid w:val="62693F1C"/>
    <w:rsid w:val="62740BD9"/>
    <w:rsid w:val="627D7A8D"/>
    <w:rsid w:val="62823B79"/>
    <w:rsid w:val="628726BA"/>
    <w:rsid w:val="629A29B4"/>
    <w:rsid w:val="62B334AF"/>
    <w:rsid w:val="62B965EC"/>
    <w:rsid w:val="62BC40D5"/>
    <w:rsid w:val="62BC5B85"/>
    <w:rsid w:val="62DE44D0"/>
    <w:rsid w:val="62DE7DE4"/>
    <w:rsid w:val="62E8364F"/>
    <w:rsid w:val="62F82F7B"/>
    <w:rsid w:val="6304453E"/>
    <w:rsid w:val="630F26B0"/>
    <w:rsid w:val="631A4E4D"/>
    <w:rsid w:val="631A5652"/>
    <w:rsid w:val="631D398F"/>
    <w:rsid w:val="633F2F95"/>
    <w:rsid w:val="633F4151"/>
    <w:rsid w:val="63442816"/>
    <w:rsid w:val="634467FD"/>
    <w:rsid w:val="634E142A"/>
    <w:rsid w:val="63512401"/>
    <w:rsid w:val="63526744"/>
    <w:rsid w:val="63593A07"/>
    <w:rsid w:val="635961FB"/>
    <w:rsid w:val="635D6DEA"/>
    <w:rsid w:val="63655F66"/>
    <w:rsid w:val="63794C36"/>
    <w:rsid w:val="637A26D9"/>
    <w:rsid w:val="63896943"/>
    <w:rsid w:val="638B70B3"/>
    <w:rsid w:val="6394356A"/>
    <w:rsid w:val="6394673B"/>
    <w:rsid w:val="63984453"/>
    <w:rsid w:val="639A01CB"/>
    <w:rsid w:val="639A6017"/>
    <w:rsid w:val="639D5F0D"/>
    <w:rsid w:val="63C61B2C"/>
    <w:rsid w:val="63D40BE9"/>
    <w:rsid w:val="63D43F50"/>
    <w:rsid w:val="63E1229E"/>
    <w:rsid w:val="63F802C6"/>
    <w:rsid w:val="63FD14C1"/>
    <w:rsid w:val="63FF4024"/>
    <w:rsid w:val="64102431"/>
    <w:rsid w:val="64205FB4"/>
    <w:rsid w:val="64355009"/>
    <w:rsid w:val="643A72D6"/>
    <w:rsid w:val="64430DDA"/>
    <w:rsid w:val="645B3DFE"/>
    <w:rsid w:val="6476709C"/>
    <w:rsid w:val="6493378C"/>
    <w:rsid w:val="64945083"/>
    <w:rsid w:val="649B5DBD"/>
    <w:rsid w:val="64A2188E"/>
    <w:rsid w:val="64A5243A"/>
    <w:rsid w:val="64A745E2"/>
    <w:rsid w:val="64AC00AB"/>
    <w:rsid w:val="64AC65DE"/>
    <w:rsid w:val="64C52630"/>
    <w:rsid w:val="64CA0A6B"/>
    <w:rsid w:val="64CC2F58"/>
    <w:rsid w:val="64D11EEA"/>
    <w:rsid w:val="64D37E39"/>
    <w:rsid w:val="64D644AB"/>
    <w:rsid w:val="64E26BC3"/>
    <w:rsid w:val="64E27925"/>
    <w:rsid w:val="64E5191A"/>
    <w:rsid w:val="64E63914"/>
    <w:rsid w:val="64EC0EFA"/>
    <w:rsid w:val="64F531DE"/>
    <w:rsid w:val="65000502"/>
    <w:rsid w:val="6509385A"/>
    <w:rsid w:val="651435B8"/>
    <w:rsid w:val="651D2E62"/>
    <w:rsid w:val="651D7306"/>
    <w:rsid w:val="6522491C"/>
    <w:rsid w:val="6525440C"/>
    <w:rsid w:val="652837E8"/>
    <w:rsid w:val="6534348B"/>
    <w:rsid w:val="65373578"/>
    <w:rsid w:val="654B51E1"/>
    <w:rsid w:val="655A669E"/>
    <w:rsid w:val="6569254B"/>
    <w:rsid w:val="65766964"/>
    <w:rsid w:val="65826D5E"/>
    <w:rsid w:val="65A74E21"/>
    <w:rsid w:val="65B80DDC"/>
    <w:rsid w:val="65CB0B10"/>
    <w:rsid w:val="65D31821"/>
    <w:rsid w:val="65D4783B"/>
    <w:rsid w:val="65DA3BFD"/>
    <w:rsid w:val="65DA64E6"/>
    <w:rsid w:val="65EC7260"/>
    <w:rsid w:val="660758C0"/>
    <w:rsid w:val="66161A39"/>
    <w:rsid w:val="662F72F1"/>
    <w:rsid w:val="66372649"/>
    <w:rsid w:val="663A612C"/>
    <w:rsid w:val="663C37BC"/>
    <w:rsid w:val="66442670"/>
    <w:rsid w:val="6648501B"/>
    <w:rsid w:val="664A6BAB"/>
    <w:rsid w:val="664F5A97"/>
    <w:rsid w:val="6650370B"/>
    <w:rsid w:val="665234FD"/>
    <w:rsid w:val="6656348D"/>
    <w:rsid w:val="665777F9"/>
    <w:rsid w:val="665E6F24"/>
    <w:rsid w:val="66807B4C"/>
    <w:rsid w:val="669341AA"/>
    <w:rsid w:val="66A31A8D"/>
    <w:rsid w:val="66A80E51"/>
    <w:rsid w:val="66A9202B"/>
    <w:rsid w:val="66B5531C"/>
    <w:rsid w:val="66B76511"/>
    <w:rsid w:val="66C738A0"/>
    <w:rsid w:val="66DA3E7F"/>
    <w:rsid w:val="66E863F5"/>
    <w:rsid w:val="66F06B59"/>
    <w:rsid w:val="6712276E"/>
    <w:rsid w:val="6714321C"/>
    <w:rsid w:val="671943B9"/>
    <w:rsid w:val="671F124A"/>
    <w:rsid w:val="6720090D"/>
    <w:rsid w:val="67202DA3"/>
    <w:rsid w:val="67242BCD"/>
    <w:rsid w:val="6726636C"/>
    <w:rsid w:val="673B354D"/>
    <w:rsid w:val="673C5B93"/>
    <w:rsid w:val="673F4978"/>
    <w:rsid w:val="674768BC"/>
    <w:rsid w:val="674C4CEF"/>
    <w:rsid w:val="675D123C"/>
    <w:rsid w:val="67754682"/>
    <w:rsid w:val="67770A4F"/>
    <w:rsid w:val="67794B72"/>
    <w:rsid w:val="677A33C6"/>
    <w:rsid w:val="677F41E6"/>
    <w:rsid w:val="67882431"/>
    <w:rsid w:val="67891D43"/>
    <w:rsid w:val="6792474C"/>
    <w:rsid w:val="67A1421E"/>
    <w:rsid w:val="67A93227"/>
    <w:rsid w:val="67BF28F6"/>
    <w:rsid w:val="67BF6452"/>
    <w:rsid w:val="67C770F4"/>
    <w:rsid w:val="67D5704D"/>
    <w:rsid w:val="67DD4088"/>
    <w:rsid w:val="67F905A6"/>
    <w:rsid w:val="680447AD"/>
    <w:rsid w:val="68125DA9"/>
    <w:rsid w:val="68193DA7"/>
    <w:rsid w:val="681F6961"/>
    <w:rsid w:val="68534DEC"/>
    <w:rsid w:val="68610A2F"/>
    <w:rsid w:val="68684D3C"/>
    <w:rsid w:val="686A7F2A"/>
    <w:rsid w:val="686F5A3D"/>
    <w:rsid w:val="68805514"/>
    <w:rsid w:val="688356D2"/>
    <w:rsid w:val="689373E7"/>
    <w:rsid w:val="68AF6B33"/>
    <w:rsid w:val="68B6602F"/>
    <w:rsid w:val="68C00898"/>
    <w:rsid w:val="68CE0CA1"/>
    <w:rsid w:val="68CF0917"/>
    <w:rsid w:val="68DA5BD5"/>
    <w:rsid w:val="68DE4126"/>
    <w:rsid w:val="68E11EE3"/>
    <w:rsid w:val="68F3498B"/>
    <w:rsid w:val="68F55EA4"/>
    <w:rsid w:val="68F6474F"/>
    <w:rsid w:val="6903392A"/>
    <w:rsid w:val="690555A5"/>
    <w:rsid w:val="690C2268"/>
    <w:rsid w:val="69264FF5"/>
    <w:rsid w:val="69316E2F"/>
    <w:rsid w:val="693410C2"/>
    <w:rsid w:val="694E2071"/>
    <w:rsid w:val="69573CB6"/>
    <w:rsid w:val="696E046B"/>
    <w:rsid w:val="69733998"/>
    <w:rsid w:val="69766163"/>
    <w:rsid w:val="697A3B33"/>
    <w:rsid w:val="698A3492"/>
    <w:rsid w:val="69916C5B"/>
    <w:rsid w:val="69A8662B"/>
    <w:rsid w:val="69BF5C51"/>
    <w:rsid w:val="69C9161E"/>
    <w:rsid w:val="69CB37D4"/>
    <w:rsid w:val="69CC57ED"/>
    <w:rsid w:val="69D00515"/>
    <w:rsid w:val="69D02B99"/>
    <w:rsid w:val="69D44760"/>
    <w:rsid w:val="69F0323B"/>
    <w:rsid w:val="69F85C4B"/>
    <w:rsid w:val="69FC4C00"/>
    <w:rsid w:val="69FF522C"/>
    <w:rsid w:val="6A107439"/>
    <w:rsid w:val="6A2A74AC"/>
    <w:rsid w:val="6A431073"/>
    <w:rsid w:val="6A4325AC"/>
    <w:rsid w:val="6A4C67AF"/>
    <w:rsid w:val="6A520EC7"/>
    <w:rsid w:val="6A553BF7"/>
    <w:rsid w:val="6A5628E6"/>
    <w:rsid w:val="6A5E5483"/>
    <w:rsid w:val="6A675E13"/>
    <w:rsid w:val="6A7106C2"/>
    <w:rsid w:val="6A761DC8"/>
    <w:rsid w:val="6A795CC5"/>
    <w:rsid w:val="6A7C062B"/>
    <w:rsid w:val="6A845731"/>
    <w:rsid w:val="6A86594D"/>
    <w:rsid w:val="6A8D462C"/>
    <w:rsid w:val="6A971908"/>
    <w:rsid w:val="6A9736B6"/>
    <w:rsid w:val="6A975464"/>
    <w:rsid w:val="6AA45F29"/>
    <w:rsid w:val="6AD710DD"/>
    <w:rsid w:val="6AD71D05"/>
    <w:rsid w:val="6ADC0798"/>
    <w:rsid w:val="6AE73083"/>
    <w:rsid w:val="6AF87E20"/>
    <w:rsid w:val="6B036F9E"/>
    <w:rsid w:val="6B0F11B6"/>
    <w:rsid w:val="6B154A35"/>
    <w:rsid w:val="6B19470B"/>
    <w:rsid w:val="6B1B388E"/>
    <w:rsid w:val="6B1E16E2"/>
    <w:rsid w:val="6B322639"/>
    <w:rsid w:val="6B3233DF"/>
    <w:rsid w:val="6B3657F2"/>
    <w:rsid w:val="6B380692"/>
    <w:rsid w:val="6B39132A"/>
    <w:rsid w:val="6B3D24B0"/>
    <w:rsid w:val="6B60619E"/>
    <w:rsid w:val="6B634235"/>
    <w:rsid w:val="6B637A3C"/>
    <w:rsid w:val="6B7A4D47"/>
    <w:rsid w:val="6B8F25DF"/>
    <w:rsid w:val="6B985FEC"/>
    <w:rsid w:val="6B9E7B8A"/>
    <w:rsid w:val="6BCE4EB6"/>
    <w:rsid w:val="6BD5099E"/>
    <w:rsid w:val="6BE02E3B"/>
    <w:rsid w:val="6BE2353C"/>
    <w:rsid w:val="6BE762B9"/>
    <w:rsid w:val="6BF71A4F"/>
    <w:rsid w:val="6BFA3EFD"/>
    <w:rsid w:val="6BFD1C3F"/>
    <w:rsid w:val="6C046B2A"/>
    <w:rsid w:val="6C103720"/>
    <w:rsid w:val="6C1B5927"/>
    <w:rsid w:val="6C2216A6"/>
    <w:rsid w:val="6C2815FB"/>
    <w:rsid w:val="6C48616A"/>
    <w:rsid w:val="6C4B29AA"/>
    <w:rsid w:val="6C615D2A"/>
    <w:rsid w:val="6C636C38"/>
    <w:rsid w:val="6C692E30"/>
    <w:rsid w:val="6C696D29"/>
    <w:rsid w:val="6C702411"/>
    <w:rsid w:val="6C727F37"/>
    <w:rsid w:val="6C7F14FA"/>
    <w:rsid w:val="6C8F6696"/>
    <w:rsid w:val="6C96483E"/>
    <w:rsid w:val="6CA93CD7"/>
    <w:rsid w:val="6CB30550"/>
    <w:rsid w:val="6CB56B2E"/>
    <w:rsid w:val="6CBF6F1A"/>
    <w:rsid w:val="6CC85DA9"/>
    <w:rsid w:val="6CC907C9"/>
    <w:rsid w:val="6CCC5169"/>
    <w:rsid w:val="6CD209D6"/>
    <w:rsid w:val="6CDC408F"/>
    <w:rsid w:val="6CF86460"/>
    <w:rsid w:val="6D0A4200"/>
    <w:rsid w:val="6D156B14"/>
    <w:rsid w:val="6D2F539A"/>
    <w:rsid w:val="6D39538E"/>
    <w:rsid w:val="6D3E250F"/>
    <w:rsid w:val="6D4767A9"/>
    <w:rsid w:val="6D4C218E"/>
    <w:rsid w:val="6D5B4E6F"/>
    <w:rsid w:val="6D792FF5"/>
    <w:rsid w:val="6D8617C0"/>
    <w:rsid w:val="6D8A12B0"/>
    <w:rsid w:val="6D8B44B6"/>
    <w:rsid w:val="6D8E05D0"/>
    <w:rsid w:val="6D9845C4"/>
    <w:rsid w:val="6D9D5488"/>
    <w:rsid w:val="6DA00AD4"/>
    <w:rsid w:val="6DA12799"/>
    <w:rsid w:val="6DB225B5"/>
    <w:rsid w:val="6DB34098"/>
    <w:rsid w:val="6DB545B6"/>
    <w:rsid w:val="6DBE53FE"/>
    <w:rsid w:val="6DBF29FE"/>
    <w:rsid w:val="6DD10C8D"/>
    <w:rsid w:val="6DE02FB4"/>
    <w:rsid w:val="6DFA5D32"/>
    <w:rsid w:val="6E0C7F17"/>
    <w:rsid w:val="6E100EA1"/>
    <w:rsid w:val="6E177947"/>
    <w:rsid w:val="6E192634"/>
    <w:rsid w:val="6E2E4332"/>
    <w:rsid w:val="6E346665"/>
    <w:rsid w:val="6E4E22DE"/>
    <w:rsid w:val="6E511DCE"/>
    <w:rsid w:val="6E514CED"/>
    <w:rsid w:val="6E5B1BF9"/>
    <w:rsid w:val="6E5B6FA1"/>
    <w:rsid w:val="6E635344"/>
    <w:rsid w:val="6E786ABC"/>
    <w:rsid w:val="6E7C1985"/>
    <w:rsid w:val="6E8126B3"/>
    <w:rsid w:val="6E8A318C"/>
    <w:rsid w:val="6E8B2C58"/>
    <w:rsid w:val="6E9C74ED"/>
    <w:rsid w:val="6EAB7730"/>
    <w:rsid w:val="6EB563D5"/>
    <w:rsid w:val="6EBF3FD8"/>
    <w:rsid w:val="6ECD2955"/>
    <w:rsid w:val="6ECE427A"/>
    <w:rsid w:val="6ED92677"/>
    <w:rsid w:val="6EE40E94"/>
    <w:rsid w:val="6F0D03EB"/>
    <w:rsid w:val="6F152DFC"/>
    <w:rsid w:val="6F1C70A6"/>
    <w:rsid w:val="6F21048F"/>
    <w:rsid w:val="6F225983"/>
    <w:rsid w:val="6F225D76"/>
    <w:rsid w:val="6F2A2D4B"/>
    <w:rsid w:val="6F375468"/>
    <w:rsid w:val="6F431AE2"/>
    <w:rsid w:val="6F4436E1"/>
    <w:rsid w:val="6F4656AB"/>
    <w:rsid w:val="6F502821"/>
    <w:rsid w:val="6F50559C"/>
    <w:rsid w:val="6F56162A"/>
    <w:rsid w:val="6F5C3995"/>
    <w:rsid w:val="6F63000B"/>
    <w:rsid w:val="6F67372F"/>
    <w:rsid w:val="6F685621"/>
    <w:rsid w:val="6F697871"/>
    <w:rsid w:val="6F6C3363"/>
    <w:rsid w:val="6F6C53DE"/>
    <w:rsid w:val="6F794F08"/>
    <w:rsid w:val="6F7A1773"/>
    <w:rsid w:val="6F863CF9"/>
    <w:rsid w:val="6FA26D85"/>
    <w:rsid w:val="6FB3485C"/>
    <w:rsid w:val="6FB974F2"/>
    <w:rsid w:val="6FBB4290"/>
    <w:rsid w:val="6FC24C07"/>
    <w:rsid w:val="6FC71173"/>
    <w:rsid w:val="6FD76303"/>
    <w:rsid w:val="6FFC5590"/>
    <w:rsid w:val="700E0800"/>
    <w:rsid w:val="700F3CEF"/>
    <w:rsid w:val="701039D8"/>
    <w:rsid w:val="701B4AF8"/>
    <w:rsid w:val="70276B55"/>
    <w:rsid w:val="703104C2"/>
    <w:rsid w:val="704B11CB"/>
    <w:rsid w:val="70652E56"/>
    <w:rsid w:val="706D1DD0"/>
    <w:rsid w:val="70856B87"/>
    <w:rsid w:val="70980188"/>
    <w:rsid w:val="709A7A5C"/>
    <w:rsid w:val="709B1E1E"/>
    <w:rsid w:val="709D2244"/>
    <w:rsid w:val="70A506CF"/>
    <w:rsid w:val="70AE3508"/>
    <w:rsid w:val="70B7310F"/>
    <w:rsid w:val="70B84386"/>
    <w:rsid w:val="70BA51F8"/>
    <w:rsid w:val="70C25205"/>
    <w:rsid w:val="70C327F7"/>
    <w:rsid w:val="70CD7E32"/>
    <w:rsid w:val="70D527EE"/>
    <w:rsid w:val="70D72A5F"/>
    <w:rsid w:val="70D867D7"/>
    <w:rsid w:val="70DD2F6E"/>
    <w:rsid w:val="70FE36DE"/>
    <w:rsid w:val="71067716"/>
    <w:rsid w:val="710D6480"/>
    <w:rsid w:val="71257C6E"/>
    <w:rsid w:val="713862A5"/>
    <w:rsid w:val="714F0748"/>
    <w:rsid w:val="714F4CEB"/>
    <w:rsid w:val="715557EA"/>
    <w:rsid w:val="71566079"/>
    <w:rsid w:val="71583BF2"/>
    <w:rsid w:val="715B5300"/>
    <w:rsid w:val="715F1937"/>
    <w:rsid w:val="71815E70"/>
    <w:rsid w:val="718C2C2E"/>
    <w:rsid w:val="719426FE"/>
    <w:rsid w:val="71A52747"/>
    <w:rsid w:val="71B0437A"/>
    <w:rsid w:val="71BB412E"/>
    <w:rsid w:val="71BC3A02"/>
    <w:rsid w:val="71D27F8A"/>
    <w:rsid w:val="71DF3E9A"/>
    <w:rsid w:val="71FD474B"/>
    <w:rsid w:val="720C2BDC"/>
    <w:rsid w:val="720D0234"/>
    <w:rsid w:val="721D5B47"/>
    <w:rsid w:val="722A3062"/>
    <w:rsid w:val="722F0678"/>
    <w:rsid w:val="723C04B9"/>
    <w:rsid w:val="72495AA5"/>
    <w:rsid w:val="72553024"/>
    <w:rsid w:val="725E61F0"/>
    <w:rsid w:val="726A16B0"/>
    <w:rsid w:val="72780061"/>
    <w:rsid w:val="72927A84"/>
    <w:rsid w:val="72A54718"/>
    <w:rsid w:val="72B4668F"/>
    <w:rsid w:val="72CD0FBB"/>
    <w:rsid w:val="72D1172F"/>
    <w:rsid w:val="72D42A57"/>
    <w:rsid w:val="72D66D46"/>
    <w:rsid w:val="72DA7F31"/>
    <w:rsid w:val="72E121FF"/>
    <w:rsid w:val="72E256EB"/>
    <w:rsid w:val="72EB27F1"/>
    <w:rsid w:val="72EB459F"/>
    <w:rsid w:val="72F85FEB"/>
    <w:rsid w:val="73076EFF"/>
    <w:rsid w:val="73092C77"/>
    <w:rsid w:val="73122968"/>
    <w:rsid w:val="731D2294"/>
    <w:rsid w:val="731F5D5E"/>
    <w:rsid w:val="73223C61"/>
    <w:rsid w:val="733817AF"/>
    <w:rsid w:val="733B7906"/>
    <w:rsid w:val="73465987"/>
    <w:rsid w:val="736843FE"/>
    <w:rsid w:val="73722F12"/>
    <w:rsid w:val="73731E50"/>
    <w:rsid w:val="737449AC"/>
    <w:rsid w:val="737C6DF1"/>
    <w:rsid w:val="7394551B"/>
    <w:rsid w:val="739E776F"/>
    <w:rsid w:val="73A62145"/>
    <w:rsid w:val="73A848D1"/>
    <w:rsid w:val="73AB3814"/>
    <w:rsid w:val="73B145A4"/>
    <w:rsid w:val="73B63926"/>
    <w:rsid w:val="73C31078"/>
    <w:rsid w:val="73C372CA"/>
    <w:rsid w:val="73C51AD5"/>
    <w:rsid w:val="73CC2BE0"/>
    <w:rsid w:val="73CF5C6F"/>
    <w:rsid w:val="73DC434A"/>
    <w:rsid w:val="73F456D6"/>
    <w:rsid w:val="73FE786D"/>
    <w:rsid w:val="740A1D52"/>
    <w:rsid w:val="740B27F4"/>
    <w:rsid w:val="740D55B7"/>
    <w:rsid w:val="74141D46"/>
    <w:rsid w:val="741E793C"/>
    <w:rsid w:val="742064CB"/>
    <w:rsid w:val="74235FBB"/>
    <w:rsid w:val="74327764"/>
    <w:rsid w:val="74445E6B"/>
    <w:rsid w:val="745E3944"/>
    <w:rsid w:val="7464515F"/>
    <w:rsid w:val="746D4789"/>
    <w:rsid w:val="74745F38"/>
    <w:rsid w:val="747A2167"/>
    <w:rsid w:val="748D06E3"/>
    <w:rsid w:val="74B145BA"/>
    <w:rsid w:val="74DD4E06"/>
    <w:rsid w:val="74E41BEE"/>
    <w:rsid w:val="74E52C9C"/>
    <w:rsid w:val="74E92D60"/>
    <w:rsid w:val="74EF5E8F"/>
    <w:rsid w:val="74F82FA3"/>
    <w:rsid w:val="74FF729A"/>
    <w:rsid w:val="750162FC"/>
    <w:rsid w:val="75080E44"/>
    <w:rsid w:val="750951B1"/>
    <w:rsid w:val="7513273D"/>
    <w:rsid w:val="75165316"/>
    <w:rsid w:val="75287E4E"/>
    <w:rsid w:val="752D51EA"/>
    <w:rsid w:val="75374E13"/>
    <w:rsid w:val="753921D0"/>
    <w:rsid w:val="75422471"/>
    <w:rsid w:val="754B397B"/>
    <w:rsid w:val="754C5D2B"/>
    <w:rsid w:val="754F08CB"/>
    <w:rsid w:val="75526B58"/>
    <w:rsid w:val="75591B2C"/>
    <w:rsid w:val="755B4BD8"/>
    <w:rsid w:val="755E1F6B"/>
    <w:rsid w:val="75706041"/>
    <w:rsid w:val="757942E5"/>
    <w:rsid w:val="758331B5"/>
    <w:rsid w:val="758C3ABE"/>
    <w:rsid w:val="758E7D5D"/>
    <w:rsid w:val="75934EFB"/>
    <w:rsid w:val="759F5C03"/>
    <w:rsid w:val="75B0387E"/>
    <w:rsid w:val="75B07072"/>
    <w:rsid w:val="75B74C0D"/>
    <w:rsid w:val="75C12BF5"/>
    <w:rsid w:val="75C17839"/>
    <w:rsid w:val="75C537CD"/>
    <w:rsid w:val="75CD0C8A"/>
    <w:rsid w:val="75D4756D"/>
    <w:rsid w:val="75D752AF"/>
    <w:rsid w:val="75E62845"/>
    <w:rsid w:val="75F53987"/>
    <w:rsid w:val="75F61C9F"/>
    <w:rsid w:val="75FB0720"/>
    <w:rsid w:val="75FC2DDB"/>
    <w:rsid w:val="75FF16A5"/>
    <w:rsid w:val="760650F7"/>
    <w:rsid w:val="760968D1"/>
    <w:rsid w:val="7610256F"/>
    <w:rsid w:val="76131747"/>
    <w:rsid w:val="762878B8"/>
    <w:rsid w:val="76296631"/>
    <w:rsid w:val="762D259F"/>
    <w:rsid w:val="7635099D"/>
    <w:rsid w:val="76445AF9"/>
    <w:rsid w:val="76523C39"/>
    <w:rsid w:val="76525745"/>
    <w:rsid w:val="765A1C8C"/>
    <w:rsid w:val="766034F6"/>
    <w:rsid w:val="76645369"/>
    <w:rsid w:val="766641C7"/>
    <w:rsid w:val="766905FD"/>
    <w:rsid w:val="766A7ED1"/>
    <w:rsid w:val="76752B64"/>
    <w:rsid w:val="768C7E47"/>
    <w:rsid w:val="768F0D80"/>
    <w:rsid w:val="76911902"/>
    <w:rsid w:val="76967C6D"/>
    <w:rsid w:val="76B01FAE"/>
    <w:rsid w:val="76BA1731"/>
    <w:rsid w:val="76C66926"/>
    <w:rsid w:val="76CF5F86"/>
    <w:rsid w:val="76DC0816"/>
    <w:rsid w:val="76EC08E6"/>
    <w:rsid w:val="76F65C09"/>
    <w:rsid w:val="76F67098"/>
    <w:rsid w:val="76FB6D7B"/>
    <w:rsid w:val="76FF4ABD"/>
    <w:rsid w:val="77064984"/>
    <w:rsid w:val="770E6AAE"/>
    <w:rsid w:val="770F7113"/>
    <w:rsid w:val="77105D20"/>
    <w:rsid w:val="77182123"/>
    <w:rsid w:val="772E0EFE"/>
    <w:rsid w:val="773517CD"/>
    <w:rsid w:val="774D2F0F"/>
    <w:rsid w:val="77514679"/>
    <w:rsid w:val="775941BB"/>
    <w:rsid w:val="775B15FE"/>
    <w:rsid w:val="775D17E4"/>
    <w:rsid w:val="775D3592"/>
    <w:rsid w:val="775F396E"/>
    <w:rsid w:val="77663EFA"/>
    <w:rsid w:val="776A3ED7"/>
    <w:rsid w:val="776C1AFF"/>
    <w:rsid w:val="776E6423"/>
    <w:rsid w:val="776F4ADD"/>
    <w:rsid w:val="77762421"/>
    <w:rsid w:val="77803C65"/>
    <w:rsid w:val="77992AE0"/>
    <w:rsid w:val="77993800"/>
    <w:rsid w:val="77994ED2"/>
    <w:rsid w:val="77AA1B24"/>
    <w:rsid w:val="77AF64E3"/>
    <w:rsid w:val="77B56B1F"/>
    <w:rsid w:val="77BF249E"/>
    <w:rsid w:val="77CB499F"/>
    <w:rsid w:val="77E24114"/>
    <w:rsid w:val="77EB3293"/>
    <w:rsid w:val="77FC2DAB"/>
    <w:rsid w:val="77FC5B3C"/>
    <w:rsid w:val="78015364"/>
    <w:rsid w:val="780305DD"/>
    <w:rsid w:val="780F09F4"/>
    <w:rsid w:val="78207581"/>
    <w:rsid w:val="782F6CCF"/>
    <w:rsid w:val="784A34BD"/>
    <w:rsid w:val="784F737E"/>
    <w:rsid w:val="786009CD"/>
    <w:rsid w:val="78683D59"/>
    <w:rsid w:val="787943FB"/>
    <w:rsid w:val="7883224F"/>
    <w:rsid w:val="788B45C4"/>
    <w:rsid w:val="789607FB"/>
    <w:rsid w:val="78A0407E"/>
    <w:rsid w:val="78A90480"/>
    <w:rsid w:val="78B6564F"/>
    <w:rsid w:val="78B813C8"/>
    <w:rsid w:val="78C134D4"/>
    <w:rsid w:val="78D37FAF"/>
    <w:rsid w:val="78DF5047"/>
    <w:rsid w:val="78E0531C"/>
    <w:rsid w:val="78E71CAD"/>
    <w:rsid w:val="78EA1519"/>
    <w:rsid w:val="78F91107"/>
    <w:rsid w:val="790C526F"/>
    <w:rsid w:val="79132FD4"/>
    <w:rsid w:val="7923015C"/>
    <w:rsid w:val="792953F9"/>
    <w:rsid w:val="7942732B"/>
    <w:rsid w:val="794E5888"/>
    <w:rsid w:val="79510295"/>
    <w:rsid w:val="79532039"/>
    <w:rsid w:val="795D3490"/>
    <w:rsid w:val="796376BA"/>
    <w:rsid w:val="7965129C"/>
    <w:rsid w:val="79755692"/>
    <w:rsid w:val="797D2927"/>
    <w:rsid w:val="79823784"/>
    <w:rsid w:val="798A3F09"/>
    <w:rsid w:val="798B2C75"/>
    <w:rsid w:val="799D236B"/>
    <w:rsid w:val="79A61220"/>
    <w:rsid w:val="79A651D7"/>
    <w:rsid w:val="79C45B4A"/>
    <w:rsid w:val="79C67708"/>
    <w:rsid w:val="79D8706C"/>
    <w:rsid w:val="79D92E8A"/>
    <w:rsid w:val="79EE2BC7"/>
    <w:rsid w:val="79FD2E0A"/>
    <w:rsid w:val="7A1E34AC"/>
    <w:rsid w:val="7A265087"/>
    <w:rsid w:val="7A364017"/>
    <w:rsid w:val="7A3754DA"/>
    <w:rsid w:val="7A455A24"/>
    <w:rsid w:val="7A4A71C1"/>
    <w:rsid w:val="7A4C5785"/>
    <w:rsid w:val="7A4E3666"/>
    <w:rsid w:val="7A505630"/>
    <w:rsid w:val="7A57403B"/>
    <w:rsid w:val="7A707A80"/>
    <w:rsid w:val="7A756E44"/>
    <w:rsid w:val="7A8265E1"/>
    <w:rsid w:val="7A876288"/>
    <w:rsid w:val="7A89571C"/>
    <w:rsid w:val="7A926DC9"/>
    <w:rsid w:val="7A9A5727"/>
    <w:rsid w:val="7AAB02A9"/>
    <w:rsid w:val="7AB94608"/>
    <w:rsid w:val="7ABF78A0"/>
    <w:rsid w:val="7AD63D87"/>
    <w:rsid w:val="7B166879"/>
    <w:rsid w:val="7B214604"/>
    <w:rsid w:val="7B2629EE"/>
    <w:rsid w:val="7B3960C4"/>
    <w:rsid w:val="7B3B1E3C"/>
    <w:rsid w:val="7B424F78"/>
    <w:rsid w:val="7B4428FF"/>
    <w:rsid w:val="7B4C5DF7"/>
    <w:rsid w:val="7B4E50F2"/>
    <w:rsid w:val="7B5C6508"/>
    <w:rsid w:val="7B641393"/>
    <w:rsid w:val="7B686D42"/>
    <w:rsid w:val="7B841746"/>
    <w:rsid w:val="7B857D92"/>
    <w:rsid w:val="7B8E38F1"/>
    <w:rsid w:val="7B92572A"/>
    <w:rsid w:val="7B9D6653"/>
    <w:rsid w:val="7BAE4157"/>
    <w:rsid w:val="7BB17F1C"/>
    <w:rsid w:val="7BB265A2"/>
    <w:rsid w:val="7BB75B38"/>
    <w:rsid w:val="7BBD4F47"/>
    <w:rsid w:val="7BCA7C5A"/>
    <w:rsid w:val="7BCF3674"/>
    <w:rsid w:val="7BD05D0E"/>
    <w:rsid w:val="7BDE1658"/>
    <w:rsid w:val="7BE17A3E"/>
    <w:rsid w:val="7C092067"/>
    <w:rsid w:val="7C0A3603"/>
    <w:rsid w:val="7C1D53CC"/>
    <w:rsid w:val="7C1E59E5"/>
    <w:rsid w:val="7C1F350C"/>
    <w:rsid w:val="7C4657FB"/>
    <w:rsid w:val="7C487144"/>
    <w:rsid w:val="7C5F1F5F"/>
    <w:rsid w:val="7C60498A"/>
    <w:rsid w:val="7C640AF3"/>
    <w:rsid w:val="7C684EB3"/>
    <w:rsid w:val="7C6C5AC7"/>
    <w:rsid w:val="7C7370EF"/>
    <w:rsid w:val="7C7E46D6"/>
    <w:rsid w:val="7C8718BD"/>
    <w:rsid w:val="7C885555"/>
    <w:rsid w:val="7C983453"/>
    <w:rsid w:val="7C9F7014"/>
    <w:rsid w:val="7CB85289"/>
    <w:rsid w:val="7CBF7B0A"/>
    <w:rsid w:val="7CC6544B"/>
    <w:rsid w:val="7CD24A22"/>
    <w:rsid w:val="7CF41850"/>
    <w:rsid w:val="7CF77FE5"/>
    <w:rsid w:val="7CFE5817"/>
    <w:rsid w:val="7D0239FF"/>
    <w:rsid w:val="7D162B61"/>
    <w:rsid w:val="7D18055F"/>
    <w:rsid w:val="7D243502"/>
    <w:rsid w:val="7D285B67"/>
    <w:rsid w:val="7D3070BC"/>
    <w:rsid w:val="7D365CC4"/>
    <w:rsid w:val="7D3B7171"/>
    <w:rsid w:val="7D480840"/>
    <w:rsid w:val="7D584F27"/>
    <w:rsid w:val="7D586CD5"/>
    <w:rsid w:val="7D5B6AB8"/>
    <w:rsid w:val="7D5E40CD"/>
    <w:rsid w:val="7D643D6E"/>
    <w:rsid w:val="7D6A4EE5"/>
    <w:rsid w:val="7D760562"/>
    <w:rsid w:val="7D762A92"/>
    <w:rsid w:val="7D7C1D48"/>
    <w:rsid w:val="7D8F021D"/>
    <w:rsid w:val="7D8F379E"/>
    <w:rsid w:val="7D9677FD"/>
    <w:rsid w:val="7DA72174"/>
    <w:rsid w:val="7DC215D1"/>
    <w:rsid w:val="7DC32BB3"/>
    <w:rsid w:val="7DCD56F2"/>
    <w:rsid w:val="7DD722F0"/>
    <w:rsid w:val="7DDD542C"/>
    <w:rsid w:val="7DE2122D"/>
    <w:rsid w:val="7E002EC9"/>
    <w:rsid w:val="7E061F65"/>
    <w:rsid w:val="7E063098"/>
    <w:rsid w:val="7E245731"/>
    <w:rsid w:val="7E2D7DE9"/>
    <w:rsid w:val="7E484F9C"/>
    <w:rsid w:val="7E486D4A"/>
    <w:rsid w:val="7E49665D"/>
    <w:rsid w:val="7E5F4093"/>
    <w:rsid w:val="7E6A3BF8"/>
    <w:rsid w:val="7E7A0ECD"/>
    <w:rsid w:val="7E851D4C"/>
    <w:rsid w:val="7E8835EA"/>
    <w:rsid w:val="7E8B4A6A"/>
    <w:rsid w:val="7E8D3188"/>
    <w:rsid w:val="7E8E0307"/>
    <w:rsid w:val="7E8F2BCB"/>
    <w:rsid w:val="7EA05391"/>
    <w:rsid w:val="7EAA3873"/>
    <w:rsid w:val="7EAD12A3"/>
    <w:rsid w:val="7EC53B99"/>
    <w:rsid w:val="7ECB4BA4"/>
    <w:rsid w:val="7ED07F87"/>
    <w:rsid w:val="7ED67F52"/>
    <w:rsid w:val="7ED76320"/>
    <w:rsid w:val="7EE22502"/>
    <w:rsid w:val="7EEE7429"/>
    <w:rsid w:val="7EFE6DF7"/>
    <w:rsid w:val="7F001CE7"/>
    <w:rsid w:val="7F0B2451"/>
    <w:rsid w:val="7F0C2F67"/>
    <w:rsid w:val="7F182BC0"/>
    <w:rsid w:val="7F1C40DE"/>
    <w:rsid w:val="7F233297"/>
    <w:rsid w:val="7F233313"/>
    <w:rsid w:val="7F2826D7"/>
    <w:rsid w:val="7F437511"/>
    <w:rsid w:val="7F44676E"/>
    <w:rsid w:val="7F446B43"/>
    <w:rsid w:val="7F621CE0"/>
    <w:rsid w:val="7F746024"/>
    <w:rsid w:val="7F750A95"/>
    <w:rsid w:val="7F7818B1"/>
    <w:rsid w:val="7F7C3078"/>
    <w:rsid w:val="7F9E5807"/>
    <w:rsid w:val="7FA36202"/>
    <w:rsid w:val="7FA54966"/>
    <w:rsid w:val="7FA97CBC"/>
    <w:rsid w:val="7FBB179D"/>
    <w:rsid w:val="7FC06DB4"/>
    <w:rsid w:val="7FC74772"/>
    <w:rsid w:val="7FDF548C"/>
    <w:rsid w:val="7FDF69C6"/>
    <w:rsid w:val="7FE47E50"/>
    <w:rsid w:val="7FE95992"/>
    <w:rsid w:val="7FEE0F64"/>
    <w:rsid w:val="7FFF5A8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qFormat="1"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qFormat="1" w:uiPriority="99" w:semiHidden="0" w:name="Note Heading"/>
    <w:lsdException w:uiPriority="99" w:name="Body Text 2"/>
    <w:lsdException w:uiPriority="99" w:name="Body Text 3"/>
    <w:lsdException w:qFormat="1" w:uiPriority="99" w:semiHidden="0" w:name="Body Text Indent 2"/>
    <w:lsdException w:qFormat="1" w:uiPriority="0" w:semiHidden="0"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overflowPunct w:val="0"/>
      <w:snapToGrid w:val="0"/>
      <w:spacing w:before="120" w:after="160" w:line="259" w:lineRule="auto"/>
      <w:ind w:left="432" w:hanging="432"/>
      <w:outlineLvl w:val="0"/>
    </w:pPr>
    <w:rPr>
      <w:rFonts w:ascii="Times New Roman" w:hAnsi="Times New Roman" w:eastAsia="黑体" w:cs="Times New Roman"/>
      <w:b/>
      <w:bCs/>
      <w:color w:val="000000"/>
      <w:kern w:val="44"/>
      <w:sz w:val="30"/>
      <w:szCs w:val="30"/>
    </w:rPr>
  </w:style>
  <w:style w:type="paragraph" w:styleId="3">
    <w:name w:val="heading 2"/>
    <w:basedOn w:val="1"/>
    <w:next w:val="1"/>
    <w:link w:val="55"/>
    <w:qFormat/>
    <w:uiPriority w:val="9"/>
    <w:pPr>
      <w:keepNext/>
      <w:keepLines/>
      <w:spacing w:before="260" w:after="260" w:line="416" w:lineRule="auto"/>
      <w:outlineLvl w:val="1"/>
    </w:pPr>
    <w:rPr>
      <w:rFonts w:ascii="Cambria" w:hAnsi="Cambria"/>
      <w:b/>
      <w:bCs/>
      <w:sz w:val="32"/>
      <w:szCs w:val="32"/>
      <w:lang w:val="zh-CN"/>
    </w:rPr>
  </w:style>
  <w:style w:type="paragraph" w:styleId="4">
    <w:name w:val="heading 3"/>
    <w:basedOn w:val="1"/>
    <w:next w:val="1"/>
    <w:link w:val="60"/>
    <w:qFormat/>
    <w:uiPriority w:val="9"/>
    <w:pPr>
      <w:keepNext/>
      <w:keepLines/>
      <w:spacing w:line="360" w:lineRule="auto"/>
      <w:ind w:firstLine="200" w:firstLineChars="200"/>
      <w:outlineLvl w:val="2"/>
    </w:pPr>
    <w:rPr>
      <w:rFonts w:eastAsia="仿宋_GB2312"/>
      <w:bCs/>
      <w:sz w:val="24"/>
      <w:szCs w:val="32"/>
      <w:lang w:val="zh-CN"/>
    </w:rPr>
  </w:style>
  <w:style w:type="paragraph" w:styleId="5">
    <w:name w:val="heading 4"/>
    <w:basedOn w:val="1"/>
    <w:next w:val="1"/>
    <w:link w:val="61"/>
    <w:qFormat/>
    <w:uiPriority w:val="9"/>
    <w:pPr>
      <w:keepNext/>
      <w:keepLines/>
      <w:outlineLvl w:val="3"/>
    </w:pPr>
    <w:rPr>
      <w:b/>
      <w:bCs/>
      <w:szCs w:val="28"/>
    </w:rPr>
  </w:style>
  <w:style w:type="character" w:default="1" w:styleId="36">
    <w:name w:val="Default Paragraph Font"/>
    <w:qFormat/>
    <w:uiPriority w:val="0"/>
    <w:rPr>
      <w:rFonts w:ascii="Times New Roman" w:hAnsi="Times New Roman" w:eastAsia="宋体" w:cs="Times New Roman"/>
    </w:rPr>
  </w:style>
  <w:style w:type="table" w:default="1" w:styleId="34">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6">
    <w:name w:val="Note Heading"/>
    <w:basedOn w:val="1"/>
    <w:next w:val="1"/>
    <w:link w:val="62"/>
    <w:unhideWhenUsed/>
    <w:qFormat/>
    <w:uiPriority w:val="99"/>
    <w:pPr>
      <w:jc w:val="center"/>
    </w:pPr>
    <w:rPr>
      <w:lang w:val="zh-CN"/>
    </w:rPr>
  </w:style>
  <w:style w:type="paragraph" w:styleId="7">
    <w:name w:val="Normal Indent"/>
    <w:basedOn w:val="1"/>
    <w:next w:val="8"/>
    <w:link w:val="56"/>
    <w:qFormat/>
    <w:uiPriority w:val="0"/>
    <w:pPr>
      <w:ind w:firstLine="420"/>
    </w:pPr>
    <w:rPr>
      <w:rFonts w:ascii="Garamond" w:hAnsi="Garamond"/>
      <w:kern w:val="0"/>
      <w:sz w:val="20"/>
      <w:szCs w:val="20"/>
    </w:rPr>
  </w:style>
  <w:style w:type="paragraph" w:styleId="8">
    <w:name w:val="Body Text First Indent 2"/>
    <w:basedOn w:val="9"/>
    <w:next w:val="1"/>
    <w:link w:val="59"/>
    <w:qFormat/>
    <w:uiPriority w:val="0"/>
    <w:pPr>
      <w:autoSpaceDE w:val="0"/>
      <w:autoSpaceDN w:val="0"/>
      <w:adjustRightInd w:val="0"/>
      <w:spacing w:after="0" w:line="360" w:lineRule="auto"/>
      <w:ind w:left="0" w:leftChars="0" w:firstLine="420" w:firstLineChars="200"/>
    </w:pPr>
    <w:rPr>
      <w:rFonts w:ascii="宋体" w:hAnsi="宋体"/>
      <w:szCs w:val="21"/>
      <w:lang w:val="zh-CN"/>
    </w:rPr>
  </w:style>
  <w:style w:type="paragraph" w:styleId="9">
    <w:name w:val="Body Text Indent"/>
    <w:basedOn w:val="1"/>
    <w:next w:val="1"/>
    <w:link w:val="54"/>
    <w:qFormat/>
    <w:uiPriority w:val="0"/>
    <w:pPr>
      <w:spacing w:after="120"/>
      <w:ind w:left="420" w:leftChars="200"/>
    </w:pPr>
    <w:rPr>
      <w:rFonts w:ascii="Times New Roman" w:hAnsi="Times New Roman" w:eastAsia="宋体" w:cs="Times New Roman"/>
      <w:kern w:val="0"/>
      <w:sz w:val="24"/>
      <w:szCs w:val="20"/>
    </w:rPr>
  </w:style>
  <w:style w:type="paragraph" w:styleId="10">
    <w:name w:val="caption"/>
    <w:basedOn w:val="1"/>
    <w:next w:val="1"/>
    <w:qFormat/>
    <w:uiPriority w:val="35"/>
    <w:pPr>
      <w:adjustRightInd w:val="0"/>
      <w:snapToGrid w:val="0"/>
      <w:spacing w:line="360" w:lineRule="auto"/>
      <w:ind w:firstLine="200" w:firstLineChars="200"/>
      <w:jc w:val="center"/>
    </w:pPr>
    <w:rPr>
      <w:rFonts w:hAnsi="Calibri" w:eastAsia="黑体"/>
      <w:sz w:val="24"/>
      <w:szCs w:val="21"/>
    </w:rPr>
  </w:style>
  <w:style w:type="paragraph" w:styleId="11">
    <w:name w:val="annotation text"/>
    <w:basedOn w:val="1"/>
    <w:link w:val="63"/>
    <w:qFormat/>
    <w:uiPriority w:val="99"/>
    <w:pPr>
      <w:jc w:val="left"/>
    </w:pPr>
    <w:rPr>
      <w:rFonts w:ascii="Times New Roman" w:hAnsi="Times New Roman" w:eastAsia="宋体" w:cs="Times New Roman"/>
      <w:kern w:val="0"/>
      <w:sz w:val="24"/>
      <w:szCs w:val="20"/>
    </w:rPr>
  </w:style>
  <w:style w:type="paragraph" w:styleId="12">
    <w:name w:val="Body Text"/>
    <w:basedOn w:val="1"/>
    <w:link w:val="64"/>
    <w:qFormat/>
    <w:uiPriority w:val="0"/>
    <w:pPr>
      <w:widowControl/>
      <w:snapToGrid w:val="0"/>
      <w:spacing w:before="60" w:after="160" w:line="259" w:lineRule="auto"/>
      <w:ind w:right="113"/>
    </w:pPr>
    <w:rPr>
      <w:rFonts w:ascii="Times New Roman" w:hAnsi="Times New Roman" w:eastAsia="宋体" w:cs="Times New Roman"/>
      <w:kern w:val="0"/>
      <w:sz w:val="18"/>
      <w:szCs w:val="20"/>
    </w:rPr>
  </w:style>
  <w:style w:type="paragraph" w:styleId="13">
    <w:name w:val="List 2"/>
    <w:basedOn w:val="1"/>
    <w:qFormat/>
    <w:uiPriority w:val="0"/>
    <w:pPr>
      <w:spacing w:before="50" w:beforeLines="50"/>
      <w:jc w:val="center"/>
    </w:pPr>
    <w:rPr>
      <w:b/>
    </w:rPr>
  </w:style>
  <w:style w:type="paragraph" w:styleId="14">
    <w:name w:val="Block Text"/>
    <w:basedOn w:val="1"/>
    <w:qFormat/>
    <w:uiPriority w:val="0"/>
    <w:pPr>
      <w:spacing w:after="120"/>
      <w:ind w:left="1440" w:right="1440"/>
    </w:pPr>
    <w:rPr>
      <w:rFonts w:ascii="宋体" w:hAnsi="Arial Black"/>
      <w:kern w:val="44"/>
      <w:sz w:val="20"/>
    </w:rPr>
  </w:style>
  <w:style w:type="paragraph" w:styleId="15">
    <w:name w:val="Plain Text"/>
    <w:basedOn w:val="1"/>
    <w:next w:val="16"/>
    <w:link w:val="66"/>
    <w:qFormat/>
    <w:uiPriority w:val="0"/>
    <w:rPr>
      <w:rFonts w:ascii="宋体" w:hAnsi="Courier New"/>
      <w:szCs w:val="21"/>
      <w:lang w:val="zh-CN"/>
    </w:rPr>
  </w:style>
  <w:style w:type="paragraph" w:customStyle="1" w:styleId="16">
    <w:name w:val="Default"/>
    <w:basedOn w:val="17"/>
    <w:qFormat/>
    <w:uiPriority w:val="0"/>
    <w:pPr>
      <w:widowControl w:val="0"/>
      <w:autoSpaceDE w:val="0"/>
      <w:autoSpaceDN w:val="0"/>
      <w:adjustRightInd w:val="0"/>
    </w:pPr>
    <w:rPr>
      <w:rFonts w:ascii="仿宋_GB2312" w:hAnsi="仿宋_GB2312" w:cs="仿宋_GB2312"/>
      <w:color w:val="000000"/>
      <w:sz w:val="24"/>
      <w:szCs w:val="24"/>
      <w:lang w:val="en-US" w:eastAsia="zh-CN" w:bidi="ar-SA"/>
    </w:rPr>
  </w:style>
  <w:style w:type="paragraph" w:customStyle="1" w:styleId="17">
    <w:name w:val="纯文本1"/>
    <w:basedOn w:val="1"/>
    <w:qFormat/>
    <w:uiPriority w:val="0"/>
    <w:rPr>
      <w:rFonts w:ascii="宋体" w:hAnsi="Courier New"/>
      <w:kern w:val="0"/>
      <w:sz w:val="20"/>
      <w:szCs w:val="20"/>
    </w:rPr>
  </w:style>
  <w:style w:type="paragraph" w:styleId="18">
    <w:name w:val="List Bullet 5"/>
    <w:basedOn w:val="1"/>
    <w:unhideWhenUsed/>
    <w:qFormat/>
    <w:uiPriority w:val="99"/>
    <w:pPr>
      <w:numPr>
        <w:ilvl w:val="0"/>
        <w:numId w:val="1"/>
      </w:numPr>
    </w:pPr>
  </w:style>
  <w:style w:type="paragraph" w:styleId="19">
    <w:name w:val="Date"/>
    <w:basedOn w:val="1"/>
    <w:next w:val="1"/>
    <w:link w:val="67"/>
    <w:qFormat/>
    <w:uiPriority w:val="0"/>
    <w:pPr>
      <w:ind w:left="100" w:leftChars="2500"/>
    </w:pPr>
    <w:rPr>
      <w:rFonts w:ascii="Times New Roman" w:hAnsi="Times New Roman" w:eastAsia="宋体" w:cs="Times New Roman"/>
      <w:kern w:val="0"/>
      <w:sz w:val="24"/>
      <w:szCs w:val="20"/>
    </w:rPr>
  </w:style>
  <w:style w:type="paragraph" w:styleId="20">
    <w:name w:val="Body Text Indent 2"/>
    <w:basedOn w:val="1"/>
    <w:next w:val="1"/>
    <w:link w:val="68"/>
    <w:unhideWhenUsed/>
    <w:qFormat/>
    <w:uiPriority w:val="99"/>
    <w:pPr>
      <w:spacing w:after="120" w:line="480" w:lineRule="auto"/>
      <w:ind w:left="420" w:leftChars="200"/>
    </w:pPr>
  </w:style>
  <w:style w:type="paragraph" w:styleId="21">
    <w:name w:val="Balloon Text"/>
    <w:basedOn w:val="1"/>
    <w:link w:val="69"/>
    <w:qFormat/>
    <w:uiPriority w:val="0"/>
    <w:rPr>
      <w:rFonts w:ascii="Times New Roman" w:hAnsi="Times New Roman" w:eastAsia="宋体" w:cs="Times New Roman"/>
      <w:kern w:val="0"/>
      <w:sz w:val="18"/>
      <w:szCs w:val="20"/>
    </w:rPr>
  </w:style>
  <w:style w:type="paragraph" w:styleId="22">
    <w:name w:val="footer"/>
    <w:basedOn w:val="1"/>
    <w:link w:val="70"/>
    <w:qFormat/>
    <w:uiPriority w:val="0"/>
    <w:pPr>
      <w:tabs>
        <w:tab w:val="center" w:pos="4153"/>
        <w:tab w:val="right" w:pos="8306"/>
      </w:tabs>
      <w:snapToGrid w:val="0"/>
      <w:jc w:val="left"/>
    </w:pPr>
    <w:rPr>
      <w:rFonts w:ascii="Times New Roman" w:hAnsi="Times New Roman" w:eastAsia="宋体" w:cs="Times New Roman"/>
      <w:kern w:val="0"/>
      <w:sz w:val="18"/>
      <w:szCs w:val="20"/>
    </w:rPr>
  </w:style>
  <w:style w:type="paragraph" w:styleId="23">
    <w:name w:val="envelope return"/>
    <w:basedOn w:val="1"/>
    <w:unhideWhenUsed/>
    <w:qFormat/>
    <w:uiPriority w:val="99"/>
    <w:rPr>
      <w:rFonts w:ascii="Arial" w:hAnsi="Arial"/>
    </w:rPr>
  </w:style>
  <w:style w:type="paragraph" w:styleId="24">
    <w:name w:val="header"/>
    <w:basedOn w:val="1"/>
    <w:next w:val="25"/>
    <w:link w:val="5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rPr>
  </w:style>
  <w:style w:type="paragraph" w:customStyle="1" w:styleId="25">
    <w:name w:val="样式5"/>
    <w:basedOn w:val="26"/>
    <w:next w:val="1"/>
    <w:qFormat/>
    <w:uiPriority w:val="0"/>
    <w:pPr>
      <w:snapToGrid w:val="0"/>
      <w:spacing w:line="360" w:lineRule="auto"/>
      <w:ind w:firstLine="510"/>
    </w:pPr>
    <w:rPr>
      <w:sz w:val="24"/>
    </w:rPr>
  </w:style>
  <w:style w:type="paragraph" w:customStyle="1" w:styleId="26">
    <w:name w:val="正文1"/>
    <w:basedOn w:val="1"/>
    <w:next w:val="1"/>
    <w:link w:val="58"/>
    <w:qFormat/>
    <w:uiPriority w:val="0"/>
    <w:pPr>
      <w:spacing w:line="360" w:lineRule="auto"/>
      <w:ind w:firstLine="480" w:firstLineChars="200"/>
    </w:pPr>
    <w:rPr>
      <w:rFonts w:ascii="Calibri" w:hAnsi="Calibri"/>
      <w:kern w:val="0"/>
      <w:sz w:val="20"/>
      <w:szCs w:val="20"/>
    </w:rPr>
  </w:style>
  <w:style w:type="paragraph" w:styleId="27">
    <w:name w:val="Subtitle"/>
    <w:basedOn w:val="1"/>
    <w:next w:val="1"/>
    <w:link w:val="71"/>
    <w:qFormat/>
    <w:uiPriority w:val="1"/>
    <w:pPr>
      <w:jc w:val="center"/>
    </w:pPr>
    <w:rPr>
      <w:rFonts w:eastAsia="仿宋_GB2312"/>
      <w:bCs/>
      <w:kern w:val="28"/>
      <w:sz w:val="21"/>
      <w:szCs w:val="32"/>
      <w:lang w:val="en-US" w:eastAsia="zh-CN" w:bidi="ar-SA"/>
    </w:rPr>
  </w:style>
  <w:style w:type="paragraph" w:styleId="28">
    <w:name w:val="List"/>
    <w:basedOn w:val="1"/>
    <w:qFormat/>
    <w:uiPriority w:val="0"/>
    <w:pPr>
      <w:widowControl/>
      <w:overflowPunct w:val="0"/>
      <w:autoSpaceDE w:val="0"/>
      <w:autoSpaceDN w:val="0"/>
      <w:adjustRightInd w:val="0"/>
      <w:jc w:val="center"/>
      <w:textAlignment w:val="baseline"/>
    </w:pPr>
    <w:rPr>
      <w:kern w:val="0"/>
      <w:lang w:val="en-GB"/>
    </w:rPr>
  </w:style>
  <w:style w:type="paragraph" w:styleId="29">
    <w:name w:val="Body Text Indent 3"/>
    <w:basedOn w:val="1"/>
    <w:next w:val="1"/>
    <w:link w:val="65"/>
    <w:unhideWhenUsed/>
    <w:qFormat/>
    <w:uiPriority w:val="0"/>
    <w:pPr>
      <w:spacing w:after="120"/>
      <w:ind w:left="420" w:leftChars="200"/>
    </w:pPr>
    <w:rPr>
      <w:sz w:val="16"/>
      <w:szCs w:val="16"/>
    </w:rPr>
  </w:style>
  <w:style w:type="paragraph" w:styleId="30">
    <w:name w:val="table of figures"/>
    <w:basedOn w:val="1"/>
    <w:next w:val="1"/>
    <w:unhideWhenUsed/>
    <w:qFormat/>
    <w:uiPriority w:val="99"/>
    <w:pPr>
      <w:ind w:left="200" w:leftChars="200" w:hanging="200" w:hangingChars="200"/>
    </w:pPr>
  </w:style>
  <w:style w:type="paragraph" w:styleId="31">
    <w:name w:val="Normal (Web)"/>
    <w:basedOn w:val="1"/>
    <w:link w:val="72"/>
    <w:qFormat/>
    <w:uiPriority w:val="99"/>
    <w:pPr>
      <w:widowControl/>
      <w:spacing w:before="100" w:beforeAutospacing="1" w:after="100" w:afterAutospacing="1"/>
      <w:jc w:val="left"/>
    </w:pPr>
    <w:rPr>
      <w:rFonts w:ascii="宋体" w:hAnsi="宋体" w:eastAsia="宋体" w:cs="Times New Roman"/>
      <w:kern w:val="0"/>
      <w:sz w:val="24"/>
      <w:szCs w:val="20"/>
    </w:rPr>
  </w:style>
  <w:style w:type="paragraph" w:styleId="32">
    <w:name w:val="annotation subject"/>
    <w:basedOn w:val="11"/>
    <w:next w:val="11"/>
    <w:link w:val="73"/>
    <w:qFormat/>
    <w:uiPriority w:val="0"/>
    <w:rPr>
      <w:rFonts w:ascii="Times New Roman" w:hAnsi="Times New Roman" w:eastAsia="宋体" w:cs="Times New Roman"/>
      <w:b/>
      <w:sz w:val="24"/>
      <w:szCs w:val="20"/>
    </w:rPr>
  </w:style>
  <w:style w:type="paragraph" w:styleId="33">
    <w:name w:val="Body Text First Indent"/>
    <w:basedOn w:val="12"/>
    <w:link w:val="74"/>
    <w:unhideWhenUsed/>
    <w:qFormat/>
    <w:uiPriority w:val="99"/>
    <w:pPr>
      <w:widowControl w:val="0"/>
      <w:snapToGrid/>
      <w:spacing w:before="0" w:after="120" w:line="240" w:lineRule="auto"/>
      <w:ind w:right="0" w:firstLine="420" w:firstLineChars="100"/>
    </w:pPr>
    <w:rPr>
      <w:kern w:val="2"/>
      <w:sz w:val="21"/>
      <w:szCs w:val="24"/>
      <w:lang w:val="zh-CN"/>
    </w:rPr>
  </w:style>
  <w:style w:type="table" w:styleId="35">
    <w:name w:val="Table Grid"/>
    <w:basedOn w:val="34"/>
    <w:qFormat/>
    <w:uiPriority w:val="39"/>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bCs/>
    </w:rPr>
  </w:style>
  <w:style w:type="character" w:styleId="38">
    <w:name w:val="page number"/>
    <w:qFormat/>
    <w:uiPriority w:val="0"/>
    <w:rPr>
      <w:rFonts w:ascii="Times New Roman" w:hAnsi="Times New Roman" w:eastAsia="宋体" w:cs="Times New Roman"/>
    </w:rPr>
  </w:style>
  <w:style w:type="character" w:styleId="39">
    <w:name w:val="Emphasis"/>
    <w:qFormat/>
    <w:uiPriority w:val="0"/>
    <w:rPr>
      <w:rFonts w:ascii="Times New Roman" w:hAnsi="Times New Roman" w:eastAsia="宋体" w:cs="Times New Roman"/>
      <w:i/>
      <w:iCs/>
    </w:rPr>
  </w:style>
  <w:style w:type="character" w:styleId="40">
    <w:name w:val="HTML Variable"/>
    <w:qFormat/>
    <w:uiPriority w:val="0"/>
    <w:rPr>
      <w:i/>
      <w:iCs/>
    </w:rPr>
  </w:style>
  <w:style w:type="character" w:styleId="41">
    <w:name w:val="Hyperlink"/>
    <w:qFormat/>
    <w:uiPriority w:val="0"/>
    <w:rPr>
      <w:color w:val="0000FF"/>
      <w:u w:val="single"/>
    </w:rPr>
  </w:style>
  <w:style w:type="character" w:styleId="42">
    <w:name w:val="annotation reference"/>
    <w:qFormat/>
    <w:uiPriority w:val="99"/>
    <w:rPr>
      <w:rFonts w:ascii="Times New Roman" w:hAnsi="Times New Roman" w:eastAsia="宋体" w:cs="Times New Roman"/>
      <w:sz w:val="21"/>
    </w:rPr>
  </w:style>
  <w:style w:type="paragraph" w:customStyle="1" w:styleId="43">
    <w:name w:val="第三级目录"/>
    <w:basedOn w:val="44"/>
    <w:qFormat/>
    <w:uiPriority w:val="0"/>
    <w:pPr>
      <w:numPr>
        <w:ilvl w:val="2"/>
      </w:numPr>
      <w:spacing w:line="500" w:lineRule="exact"/>
      <w:outlineLvl w:val="2"/>
    </w:pPr>
    <w:rPr>
      <w:sz w:val="28"/>
      <w:szCs w:val="28"/>
    </w:rPr>
  </w:style>
  <w:style w:type="paragraph" w:customStyle="1" w:styleId="44">
    <w:name w:val="第二级目录"/>
    <w:basedOn w:val="1"/>
    <w:qFormat/>
    <w:uiPriority w:val="0"/>
    <w:pPr>
      <w:numPr>
        <w:ilvl w:val="1"/>
        <w:numId w:val="2"/>
      </w:numPr>
      <w:adjustRightInd w:val="0"/>
      <w:snapToGrid w:val="0"/>
      <w:spacing w:line="560" w:lineRule="exact"/>
      <w:outlineLvl w:val="1"/>
    </w:pPr>
    <w:rPr>
      <w:rFonts w:ascii="Cambria" w:hAnsi="Cambria"/>
      <w:b/>
      <w:kern w:val="0"/>
      <w:sz w:val="30"/>
      <w:szCs w:val="30"/>
    </w:rPr>
  </w:style>
  <w:style w:type="paragraph" w:customStyle="1" w:styleId="45">
    <w:name w:val="Date1"/>
    <w:basedOn w:val="1"/>
    <w:next w:val="1"/>
    <w:qFormat/>
    <w:uiPriority w:val="0"/>
    <w:pPr>
      <w:adjustRightInd w:val="0"/>
      <w:jc w:val="left"/>
      <w:textAlignment w:val="baseline"/>
    </w:pPr>
    <w:rPr>
      <w:rFonts w:ascii="宋体" w:hAnsi="宋体"/>
      <w:sz w:val="28"/>
      <w:szCs w:val="20"/>
    </w:rPr>
  </w:style>
  <w:style w:type="paragraph" w:customStyle="1" w:styleId="46">
    <w:name w:val="引言二级条标题"/>
    <w:basedOn w:val="47"/>
    <w:next w:val="48"/>
    <w:qFormat/>
    <w:uiPriority w:val="0"/>
    <w:pPr>
      <w:numPr>
        <w:ilvl w:val="1"/>
        <w:numId w:val="3"/>
      </w:numPr>
      <w:tabs>
        <w:tab w:val="left" w:pos="720"/>
      </w:tabs>
    </w:pPr>
  </w:style>
  <w:style w:type="paragraph" w:customStyle="1" w:styleId="47">
    <w:name w:val="引言一级条标题"/>
    <w:basedOn w:val="1"/>
    <w:next w:val="48"/>
    <w:qFormat/>
    <w:uiPriority w:val="0"/>
    <w:pPr>
      <w:numPr>
        <w:ilvl w:val="0"/>
        <w:numId w:val="4"/>
      </w:numPr>
    </w:pPr>
    <w:rPr>
      <w:rFonts w:eastAsia="黑体"/>
      <w:b/>
    </w:rPr>
  </w:style>
  <w:style w:type="paragraph" w:customStyle="1" w:styleId="48">
    <w:name w:val="段"/>
    <w:qFormat/>
    <w:uiPriority w:val="0"/>
    <w:pPr>
      <w:tabs>
        <w:tab w:val="center" w:pos="4201"/>
        <w:tab w:val="right" w:leader="dot" w:pos="9298"/>
      </w:tabs>
      <w:autoSpaceDE w:val="0"/>
      <w:autoSpaceDN w:val="0"/>
      <w:spacing w:line="360" w:lineRule="auto"/>
      <w:ind w:firstLine="420" w:firstLineChars="200"/>
      <w:jc w:val="both"/>
    </w:pPr>
    <w:rPr>
      <w:rFonts w:ascii="宋体" w:hAnsi="宋体" w:eastAsia="宋体" w:cs="Times New Roman"/>
      <w:kern w:val="2"/>
      <w:sz w:val="24"/>
      <w:szCs w:val="22"/>
      <w:lang w:val="en-US" w:eastAsia="zh-CN" w:bidi="ar-SA"/>
    </w:rPr>
  </w:style>
  <w:style w:type="paragraph" w:customStyle="1" w:styleId="49">
    <w:name w:val="表格文字"/>
    <w:basedOn w:val="1"/>
    <w:qFormat/>
    <w:uiPriority w:val="0"/>
    <w:pPr>
      <w:jc w:val="center"/>
    </w:pPr>
    <w:rPr>
      <w:rFonts w:ascii="仿宋_GB2312" w:hAnsi="Arial Black" w:eastAsia="仿宋_GB2312"/>
      <w:kern w:val="44"/>
      <w:szCs w:val="24"/>
    </w:rPr>
  </w:style>
  <w:style w:type="paragraph" w:customStyle="1" w:styleId="50">
    <w:name w:val="表格内容"/>
    <w:basedOn w:val="7"/>
    <w:next w:val="1"/>
    <w:qFormat/>
    <w:uiPriority w:val="0"/>
    <w:pPr>
      <w:tabs>
        <w:tab w:val="left" w:pos="960"/>
        <w:tab w:val="center" w:pos="4060"/>
        <w:tab w:val="right" w:pos="8261"/>
      </w:tabs>
      <w:snapToGrid w:val="0"/>
    </w:pPr>
    <w:rPr>
      <w:bCs/>
      <w:color w:val="000000"/>
      <w:szCs w:val="21"/>
    </w:rPr>
  </w:style>
  <w:style w:type="paragraph" w:customStyle="1" w:styleId="51">
    <w:name w:val="文本正文"/>
    <w:basedOn w:val="1"/>
    <w:qFormat/>
    <w:uiPriority w:val="0"/>
    <w:rPr>
      <w:rFonts w:cs="Times New Roman"/>
      <w:szCs w:val="24"/>
    </w:rPr>
  </w:style>
  <w:style w:type="character" w:customStyle="1" w:styleId="52">
    <w:name w:val="表头 Char"/>
    <w:qFormat/>
    <w:uiPriority w:val="0"/>
    <w:rPr>
      <w:rFonts w:ascii="Times New Roman" w:hAnsi="Times New Roman" w:eastAsia="黑体" w:cs="仿宋_GB2312"/>
      <w:color w:val="000000"/>
      <w:kern w:val="2"/>
      <w:sz w:val="21"/>
      <w:szCs w:val="24"/>
      <w:lang w:val="en-US" w:eastAsia="zh-CN" w:bidi="ar-SA"/>
    </w:rPr>
  </w:style>
  <w:style w:type="paragraph" w:customStyle="1" w:styleId="53">
    <w:name w:val="样式 正文缩进正文缩进2正文缩进 Char Char正文缩进 Char Char Char Char正文缩进 Char ..."/>
    <w:basedOn w:val="7"/>
    <w:next w:val="1"/>
    <w:qFormat/>
    <w:uiPriority w:val="0"/>
    <w:pPr>
      <w:adjustRightInd w:val="0"/>
      <w:snapToGrid w:val="0"/>
      <w:spacing w:line="360" w:lineRule="auto"/>
      <w:ind w:firstLine="200" w:firstLineChars="200"/>
    </w:pPr>
    <w:rPr>
      <w:rFonts w:ascii="宋体" w:hAnsi="Calibri" w:cs="宋体"/>
      <w:kern w:val="2"/>
      <w:sz w:val="24"/>
      <w:szCs w:val="24"/>
    </w:rPr>
  </w:style>
  <w:style w:type="character" w:customStyle="1" w:styleId="54">
    <w:name w:val="正文文本缩进 Char"/>
    <w:link w:val="9"/>
    <w:qFormat/>
    <w:uiPriority w:val="0"/>
    <w:rPr>
      <w:rFonts w:ascii="Times New Roman" w:hAnsi="Times New Roman" w:eastAsia="宋体" w:cs="Times New Roman"/>
      <w:sz w:val="24"/>
    </w:rPr>
  </w:style>
  <w:style w:type="character" w:customStyle="1" w:styleId="55">
    <w:name w:val="标题 2 Char"/>
    <w:link w:val="3"/>
    <w:qFormat/>
    <w:uiPriority w:val="9"/>
    <w:rPr>
      <w:rFonts w:ascii="Cambria" w:hAnsi="Cambria" w:eastAsia="宋体" w:cs="Times New Roman"/>
      <w:b/>
      <w:bCs/>
      <w:kern w:val="2"/>
      <w:sz w:val="32"/>
      <w:szCs w:val="32"/>
      <w:lang w:val="zh-CN"/>
    </w:rPr>
  </w:style>
  <w:style w:type="character" w:customStyle="1" w:styleId="56">
    <w:name w:val="正文缩进 字符"/>
    <w:link w:val="7"/>
    <w:qFormat/>
    <w:uiPriority w:val="0"/>
    <w:rPr>
      <w:rFonts w:ascii="Garamond" w:hAnsi="Garamond"/>
    </w:rPr>
  </w:style>
  <w:style w:type="character" w:customStyle="1" w:styleId="57">
    <w:name w:val="页眉 Char"/>
    <w:link w:val="24"/>
    <w:qFormat/>
    <w:uiPriority w:val="0"/>
    <w:rPr>
      <w:rFonts w:ascii="Times New Roman" w:hAnsi="Times New Roman" w:eastAsia="宋体" w:cs="Times New Roman"/>
      <w:sz w:val="18"/>
    </w:rPr>
  </w:style>
  <w:style w:type="character" w:customStyle="1" w:styleId="58">
    <w:name w:val="正文1 Char"/>
    <w:link w:val="26"/>
    <w:qFormat/>
    <w:uiPriority w:val="0"/>
    <w:rPr>
      <w:rFonts w:ascii="Calibri" w:hAnsi="Calibri"/>
    </w:rPr>
  </w:style>
  <w:style w:type="character" w:customStyle="1" w:styleId="59">
    <w:name w:val="正文首行缩进 2 Char"/>
    <w:link w:val="8"/>
    <w:qFormat/>
    <w:uiPriority w:val="0"/>
    <w:rPr>
      <w:rFonts w:ascii="宋体" w:hAnsi="宋体" w:eastAsia="宋体" w:cs="Times New Roman"/>
      <w:sz w:val="24"/>
      <w:szCs w:val="21"/>
      <w:lang w:val="zh-CN"/>
    </w:rPr>
  </w:style>
  <w:style w:type="character" w:customStyle="1" w:styleId="60">
    <w:name w:val="标题 3 Char"/>
    <w:link w:val="4"/>
    <w:qFormat/>
    <w:uiPriority w:val="9"/>
    <w:rPr>
      <w:rFonts w:ascii="Times New Roman" w:hAnsi="Times New Roman" w:eastAsia="仿宋_GB2312" w:cs="Times New Roman"/>
      <w:bCs/>
      <w:kern w:val="2"/>
      <w:sz w:val="24"/>
      <w:szCs w:val="32"/>
      <w:lang w:val="zh-CN"/>
    </w:rPr>
  </w:style>
  <w:style w:type="character" w:customStyle="1" w:styleId="61">
    <w:name w:val="标题 4 Char"/>
    <w:link w:val="5"/>
    <w:qFormat/>
    <w:uiPriority w:val="9"/>
    <w:rPr>
      <w:rFonts w:ascii="Times New Roman" w:hAnsi="Times New Roman" w:eastAsia="宋体" w:cs="Times New Roman"/>
      <w:b/>
      <w:bCs/>
      <w:kern w:val="2"/>
      <w:sz w:val="21"/>
      <w:szCs w:val="28"/>
    </w:rPr>
  </w:style>
  <w:style w:type="character" w:customStyle="1" w:styleId="62">
    <w:name w:val="注释标题 Char"/>
    <w:link w:val="6"/>
    <w:qFormat/>
    <w:uiPriority w:val="99"/>
    <w:rPr>
      <w:rFonts w:ascii="Times New Roman" w:hAnsi="Times New Roman" w:eastAsia="宋体" w:cs="Times New Roman"/>
      <w:kern w:val="2"/>
      <w:sz w:val="21"/>
      <w:szCs w:val="24"/>
      <w:lang w:val="zh-CN"/>
    </w:rPr>
  </w:style>
  <w:style w:type="character" w:customStyle="1" w:styleId="63">
    <w:name w:val="批注文字 Char"/>
    <w:link w:val="11"/>
    <w:qFormat/>
    <w:uiPriority w:val="99"/>
    <w:rPr>
      <w:rFonts w:ascii="Times New Roman" w:hAnsi="Times New Roman" w:eastAsia="宋体" w:cs="Times New Roman"/>
      <w:sz w:val="24"/>
    </w:rPr>
  </w:style>
  <w:style w:type="character" w:customStyle="1" w:styleId="64">
    <w:name w:val="正文文本 Char"/>
    <w:link w:val="12"/>
    <w:qFormat/>
    <w:uiPriority w:val="0"/>
    <w:rPr>
      <w:rFonts w:ascii="Times New Roman" w:hAnsi="Times New Roman" w:eastAsia="宋体" w:cs="Times New Roman"/>
      <w:sz w:val="18"/>
    </w:rPr>
  </w:style>
  <w:style w:type="character" w:customStyle="1" w:styleId="65">
    <w:name w:val="正文文本缩进 3 Char"/>
    <w:link w:val="29"/>
    <w:semiHidden/>
    <w:qFormat/>
    <w:uiPriority w:val="99"/>
    <w:rPr>
      <w:rFonts w:ascii="Times New Roman" w:hAnsi="Times New Roman" w:eastAsia="宋体" w:cs="Times New Roman"/>
      <w:kern w:val="2"/>
      <w:sz w:val="16"/>
      <w:szCs w:val="16"/>
    </w:rPr>
  </w:style>
  <w:style w:type="character" w:customStyle="1" w:styleId="66">
    <w:name w:val="纯文本 Char"/>
    <w:link w:val="15"/>
    <w:qFormat/>
    <w:uiPriority w:val="0"/>
    <w:rPr>
      <w:rFonts w:ascii="宋体" w:hAnsi="Courier New" w:eastAsia="宋体" w:cs="Times New Roman"/>
      <w:kern w:val="2"/>
      <w:sz w:val="21"/>
      <w:szCs w:val="21"/>
      <w:lang w:val="zh-CN"/>
    </w:rPr>
  </w:style>
  <w:style w:type="character" w:customStyle="1" w:styleId="67">
    <w:name w:val="日期 Char"/>
    <w:link w:val="19"/>
    <w:qFormat/>
    <w:uiPriority w:val="0"/>
    <w:rPr>
      <w:rFonts w:ascii="Times New Roman" w:hAnsi="Times New Roman" w:eastAsia="宋体" w:cs="Times New Roman"/>
      <w:sz w:val="24"/>
    </w:rPr>
  </w:style>
  <w:style w:type="character" w:customStyle="1" w:styleId="68">
    <w:name w:val="正文文本缩进 2 Char"/>
    <w:link w:val="20"/>
    <w:qFormat/>
    <w:uiPriority w:val="99"/>
    <w:rPr>
      <w:rFonts w:ascii="Times New Roman" w:hAnsi="Times New Roman" w:eastAsia="宋体" w:cs="Times New Roman"/>
      <w:kern w:val="2"/>
      <w:sz w:val="21"/>
      <w:szCs w:val="24"/>
    </w:rPr>
  </w:style>
  <w:style w:type="character" w:customStyle="1" w:styleId="69">
    <w:name w:val="批注框文本 Char"/>
    <w:link w:val="21"/>
    <w:qFormat/>
    <w:uiPriority w:val="0"/>
    <w:rPr>
      <w:rFonts w:ascii="Times New Roman" w:hAnsi="Times New Roman" w:eastAsia="宋体" w:cs="Times New Roman"/>
      <w:sz w:val="18"/>
    </w:rPr>
  </w:style>
  <w:style w:type="character" w:customStyle="1" w:styleId="70">
    <w:name w:val="页脚 Char"/>
    <w:link w:val="22"/>
    <w:qFormat/>
    <w:uiPriority w:val="0"/>
    <w:rPr>
      <w:rFonts w:ascii="Times New Roman" w:hAnsi="Times New Roman" w:eastAsia="宋体" w:cs="Times New Roman"/>
      <w:sz w:val="18"/>
    </w:rPr>
  </w:style>
  <w:style w:type="character" w:customStyle="1" w:styleId="71">
    <w:name w:val="副标题 Char1"/>
    <w:link w:val="27"/>
    <w:qFormat/>
    <w:uiPriority w:val="1"/>
    <w:rPr>
      <w:rFonts w:eastAsia="仿宋_GB2312"/>
      <w:bCs/>
      <w:kern w:val="28"/>
      <w:sz w:val="21"/>
      <w:szCs w:val="32"/>
    </w:rPr>
  </w:style>
  <w:style w:type="character" w:customStyle="1" w:styleId="72">
    <w:name w:val="普通(网站) Char"/>
    <w:link w:val="31"/>
    <w:qFormat/>
    <w:uiPriority w:val="0"/>
    <w:rPr>
      <w:rFonts w:ascii="宋体" w:hAnsi="宋体" w:eastAsia="宋体" w:cs="Times New Roman"/>
      <w:sz w:val="24"/>
    </w:rPr>
  </w:style>
  <w:style w:type="character" w:customStyle="1" w:styleId="73">
    <w:name w:val="批注主题 Char"/>
    <w:link w:val="32"/>
    <w:qFormat/>
    <w:uiPriority w:val="0"/>
    <w:rPr>
      <w:rFonts w:ascii="Times New Roman" w:hAnsi="Times New Roman" w:eastAsia="宋体" w:cs="Times New Roman"/>
      <w:b/>
      <w:kern w:val="2"/>
      <w:sz w:val="24"/>
    </w:rPr>
  </w:style>
  <w:style w:type="character" w:customStyle="1" w:styleId="74">
    <w:name w:val="正文首行缩进 Char"/>
    <w:link w:val="33"/>
    <w:qFormat/>
    <w:uiPriority w:val="99"/>
    <w:rPr>
      <w:rFonts w:ascii="Times New Roman" w:hAnsi="Times New Roman" w:eastAsia="宋体" w:cs="Times New Roman"/>
      <w:kern w:val="2"/>
      <w:sz w:val="21"/>
      <w:szCs w:val="24"/>
      <w:lang w:val="zh-CN"/>
    </w:rPr>
  </w:style>
  <w:style w:type="character" w:customStyle="1" w:styleId="75">
    <w:name w:val="表格 Char Char"/>
    <w:qFormat/>
    <w:uiPriority w:val="0"/>
    <w:rPr>
      <w:rFonts w:eastAsia="宋体"/>
      <w:kern w:val="2"/>
      <w:sz w:val="24"/>
      <w:szCs w:val="24"/>
      <w:lang w:val="en-US" w:eastAsia="zh-CN" w:bidi="ar-SA"/>
    </w:rPr>
  </w:style>
  <w:style w:type="character" w:customStyle="1" w:styleId="76">
    <w:name w:val="表中 Char"/>
    <w:link w:val="77"/>
    <w:qFormat/>
    <w:uiPriority w:val="0"/>
    <w:rPr>
      <w:rFonts w:ascii="Times" w:hAnsi="Times" w:eastAsia="宋体"/>
      <w:kern w:val="2"/>
      <w:sz w:val="21"/>
      <w:szCs w:val="21"/>
      <w:lang w:val="zh-CN"/>
    </w:rPr>
  </w:style>
  <w:style w:type="paragraph" w:customStyle="1" w:styleId="77">
    <w:name w:val="表中"/>
    <w:basedOn w:val="78"/>
    <w:link w:val="76"/>
    <w:qFormat/>
    <w:uiPriority w:val="0"/>
    <w:pPr>
      <w:tabs>
        <w:tab w:val="center" w:pos="4479"/>
        <w:tab w:val="right" w:pos="8866"/>
      </w:tabs>
      <w:adjustRightInd w:val="0"/>
      <w:spacing w:line="240" w:lineRule="atLeast"/>
      <w:jc w:val="center"/>
    </w:pPr>
    <w:rPr>
      <w:rFonts w:eastAsia="宋体"/>
      <w:lang w:val="zh-CN"/>
    </w:rPr>
  </w:style>
  <w:style w:type="paragraph" w:customStyle="1" w:styleId="78">
    <w:name w:val="表文"/>
    <w:qFormat/>
    <w:uiPriority w:val="0"/>
    <w:pPr>
      <w:widowControl w:val="0"/>
      <w:adjustRightInd w:val="0"/>
      <w:spacing w:line="0" w:lineRule="atLeast"/>
      <w:jc w:val="center"/>
    </w:pPr>
    <w:rPr>
      <w:rFonts w:ascii="Times" w:hAnsi="Times" w:eastAsia="Times New Roman" w:cs="Times New Roman"/>
      <w:kern w:val="2"/>
      <w:sz w:val="21"/>
      <w:szCs w:val="21"/>
      <w:lang w:val="en-US" w:eastAsia="zh-CN" w:bidi="ar-SA"/>
    </w:rPr>
  </w:style>
  <w:style w:type="character" w:customStyle="1" w:styleId="79">
    <w:name w:val="报告 Char"/>
    <w:link w:val="80"/>
    <w:qFormat/>
    <w:uiPriority w:val="0"/>
    <w:rPr>
      <w:kern w:val="2"/>
      <w:sz w:val="24"/>
    </w:rPr>
  </w:style>
  <w:style w:type="paragraph" w:customStyle="1" w:styleId="80">
    <w:name w:val="报告"/>
    <w:basedOn w:val="1"/>
    <w:link w:val="79"/>
    <w:qFormat/>
    <w:uiPriority w:val="0"/>
    <w:pPr>
      <w:spacing w:line="500" w:lineRule="exact"/>
      <w:ind w:firstLine="480" w:firstLineChars="200"/>
    </w:pPr>
    <w:rPr>
      <w:sz w:val="24"/>
      <w:szCs w:val="20"/>
    </w:rPr>
  </w:style>
  <w:style w:type="character" w:customStyle="1" w:styleId="81">
    <w:name w:val="表中文字6 Char1"/>
    <w:qFormat/>
    <w:uiPriority w:val="0"/>
    <w:rPr>
      <w:rFonts w:ascii="Times New Roman" w:hAnsi="Times New Roman" w:eastAsia="宋体"/>
      <w:spacing w:val="-6"/>
      <w:kern w:val="20"/>
      <w:sz w:val="21"/>
      <w:lang w:bidi="ar-SA"/>
    </w:rPr>
  </w:style>
  <w:style w:type="character" w:customStyle="1" w:styleId="82">
    <w:name w:val="正文部分 Char"/>
    <w:qFormat/>
    <w:uiPriority w:val="0"/>
    <w:rPr>
      <w:rFonts w:ascii="宋体" w:hAnsi="宋体" w:eastAsia="宋体" w:cs="Times New Roman"/>
      <w:snapToGrid w:val="0"/>
      <w:kern w:val="2"/>
      <w:sz w:val="28"/>
      <w:szCs w:val="28"/>
      <w:lang w:val="en-US" w:eastAsia="zh-CN" w:bidi="ar-SA"/>
    </w:rPr>
  </w:style>
  <w:style w:type="character" w:customStyle="1" w:styleId="83">
    <w:name w:val="正文部分 Char Char"/>
    <w:link w:val="84"/>
    <w:qFormat/>
    <w:uiPriority w:val="0"/>
    <w:rPr>
      <w:rFonts w:ascii="宋体" w:hAnsi="宋体"/>
      <w:snapToGrid/>
      <w:sz w:val="28"/>
      <w:szCs w:val="28"/>
      <w:lang w:eastAsia="en-US" w:bidi="en-US"/>
    </w:rPr>
  </w:style>
  <w:style w:type="paragraph" w:customStyle="1" w:styleId="84">
    <w:name w:val="正文部分"/>
    <w:basedOn w:val="1"/>
    <w:link w:val="83"/>
    <w:qFormat/>
    <w:uiPriority w:val="0"/>
    <w:pPr>
      <w:widowControl/>
      <w:ind w:firstLine="200" w:firstLineChars="200"/>
      <w:jc w:val="left"/>
    </w:pPr>
    <w:rPr>
      <w:rFonts w:ascii="宋体" w:hAnsi="宋体"/>
      <w:snapToGrid w:val="0"/>
      <w:kern w:val="0"/>
      <w:sz w:val="28"/>
      <w:szCs w:val="28"/>
      <w:lang w:eastAsia="en-US" w:bidi="en-US"/>
    </w:rPr>
  </w:style>
  <w:style w:type="character" w:customStyle="1" w:styleId="85">
    <w:name w:val="表格正文 Char"/>
    <w:link w:val="86"/>
    <w:qFormat/>
    <w:uiPriority w:val="0"/>
    <w:rPr>
      <w:rFonts w:ascii="仿宋_GB2312" w:hAnsi="仿宋_GB2312" w:eastAsia="仿宋_GB2312"/>
      <w:color w:val="000000"/>
      <w:szCs w:val="21"/>
    </w:rPr>
  </w:style>
  <w:style w:type="paragraph" w:customStyle="1" w:styleId="86">
    <w:name w:val="表格正文"/>
    <w:basedOn w:val="1"/>
    <w:link w:val="85"/>
    <w:qFormat/>
    <w:uiPriority w:val="0"/>
    <w:pPr>
      <w:jc w:val="center"/>
    </w:pPr>
    <w:rPr>
      <w:rFonts w:ascii="仿宋_GB2312" w:hAnsi="仿宋_GB2312" w:eastAsia="仿宋_GB2312"/>
      <w:color w:val="000000"/>
      <w:kern w:val="0"/>
      <w:sz w:val="20"/>
      <w:szCs w:val="21"/>
    </w:rPr>
  </w:style>
  <w:style w:type="character" w:customStyle="1" w:styleId="87">
    <w:name w:val="表格11 字符"/>
    <w:link w:val="88"/>
    <w:qFormat/>
    <w:uiPriority w:val="0"/>
    <w:rPr>
      <w:rFonts w:ascii="宋体" w:hAnsi="宋体" w:cs="宋体"/>
      <w:bCs/>
      <w:kern w:val="2"/>
      <w:sz w:val="21"/>
      <w:szCs w:val="21"/>
    </w:rPr>
  </w:style>
  <w:style w:type="paragraph" w:customStyle="1" w:styleId="88">
    <w:name w:val="表格11"/>
    <w:basedOn w:val="1"/>
    <w:link w:val="87"/>
    <w:qFormat/>
    <w:uiPriority w:val="0"/>
    <w:pPr>
      <w:adjustRightInd w:val="0"/>
      <w:snapToGrid w:val="0"/>
      <w:spacing w:line="0" w:lineRule="atLeast"/>
      <w:jc w:val="center"/>
    </w:pPr>
    <w:rPr>
      <w:rFonts w:ascii="宋体" w:hAnsi="宋体" w:cs="宋体"/>
      <w:bCs/>
      <w:szCs w:val="21"/>
    </w:rPr>
  </w:style>
  <w:style w:type="character" w:customStyle="1" w:styleId="89">
    <w:name w:val="页脚 字符"/>
    <w:qFormat/>
    <w:uiPriority w:val="0"/>
    <w:rPr>
      <w:rFonts w:ascii="Times New Roman" w:hAnsi="Times New Roman" w:eastAsia="宋体" w:cs="Times New Roman"/>
    </w:rPr>
  </w:style>
  <w:style w:type="character" w:customStyle="1" w:styleId="90">
    <w:name w:val="副标题 Char"/>
    <w:qFormat/>
    <w:uiPriority w:val="11"/>
    <w:rPr>
      <w:rFonts w:ascii="Cambria" w:hAnsi="Cambria" w:eastAsia="宋体" w:cs="Times New Roman"/>
      <w:b/>
      <w:bCs/>
      <w:kern w:val="28"/>
      <w:sz w:val="32"/>
      <w:szCs w:val="32"/>
    </w:rPr>
  </w:style>
  <w:style w:type="character" w:customStyle="1" w:styleId="91">
    <w:name w:val="无间隔 Char"/>
    <w:link w:val="92"/>
    <w:qFormat/>
    <w:uiPriority w:val="0"/>
    <w:rPr>
      <w:rFonts w:eastAsia="仿宋_GB2312"/>
      <w:b/>
      <w:sz w:val="24"/>
    </w:rPr>
  </w:style>
  <w:style w:type="paragraph" w:styleId="92">
    <w:name w:val="No Spacing"/>
    <w:basedOn w:val="1"/>
    <w:next w:val="1"/>
    <w:link w:val="91"/>
    <w:qFormat/>
    <w:uiPriority w:val="0"/>
    <w:pPr>
      <w:widowControl w:val="0"/>
      <w:spacing w:line="360" w:lineRule="auto"/>
      <w:jc w:val="center"/>
    </w:pPr>
    <w:rPr>
      <w:rFonts w:eastAsia="仿宋_GB2312"/>
      <w:b/>
      <w:sz w:val="24"/>
      <w:lang w:val="en-US" w:eastAsia="zh-CN" w:bidi="ar-SA"/>
    </w:rPr>
  </w:style>
  <w:style w:type="character" w:customStyle="1" w:styleId="93">
    <w:name w:val="表文6 Char"/>
    <w:link w:val="94"/>
    <w:qFormat/>
    <w:uiPriority w:val="0"/>
    <w:rPr>
      <w:kern w:val="2"/>
      <w:sz w:val="21"/>
    </w:rPr>
  </w:style>
  <w:style w:type="paragraph" w:customStyle="1" w:styleId="94">
    <w:name w:val="表文6"/>
    <w:basedOn w:val="1"/>
    <w:link w:val="93"/>
    <w:qFormat/>
    <w:uiPriority w:val="0"/>
    <w:pPr>
      <w:jc w:val="center"/>
    </w:pPr>
    <w:rPr>
      <w:szCs w:val="20"/>
    </w:rPr>
  </w:style>
  <w:style w:type="character" w:customStyle="1" w:styleId="95">
    <w:name w:val="日期 字符"/>
    <w:qFormat/>
    <w:uiPriority w:val="0"/>
    <w:rPr>
      <w:rFonts w:ascii="Times New Roman" w:hAnsi="Times New Roman" w:eastAsia="宋体" w:cs="Times New Roman"/>
      <w:sz w:val="24"/>
    </w:rPr>
  </w:style>
  <w:style w:type="character" w:customStyle="1" w:styleId="96">
    <w:name w:val="正文缩进 Char"/>
    <w:qFormat/>
    <w:uiPriority w:val="0"/>
    <w:rPr>
      <w:rFonts w:eastAsia="宋体"/>
      <w:kern w:val="2"/>
      <w:sz w:val="21"/>
      <w:lang w:val="en-US" w:eastAsia="zh-CN" w:bidi="ar-SA"/>
    </w:rPr>
  </w:style>
  <w:style w:type="character" w:customStyle="1" w:styleId="97">
    <w:name w:val="正文文本 字符1"/>
    <w:qFormat/>
    <w:uiPriority w:val="0"/>
    <w:rPr>
      <w:rFonts w:ascii="Times New Roman" w:hAnsi="Times New Roman" w:eastAsia="宋体" w:cs="Times New Roman"/>
      <w:sz w:val="24"/>
    </w:rPr>
  </w:style>
  <w:style w:type="character" w:customStyle="1" w:styleId="98">
    <w:name w:val="无间隔 字符"/>
    <w:qFormat/>
    <w:uiPriority w:val="0"/>
    <w:rPr>
      <w:rFonts w:ascii="Times New Roman" w:hAnsi="Times New Roman" w:eastAsia="仿宋_GB2312"/>
      <w:b/>
      <w:szCs w:val="20"/>
    </w:rPr>
  </w:style>
  <w:style w:type="character" w:customStyle="1" w:styleId="99">
    <w:name w:val="图表 Char"/>
    <w:link w:val="100"/>
    <w:qFormat/>
    <w:uiPriority w:val="99"/>
    <w:rPr>
      <w:sz w:val="21"/>
    </w:rPr>
  </w:style>
  <w:style w:type="paragraph" w:customStyle="1" w:styleId="100">
    <w:name w:val="图表"/>
    <w:link w:val="99"/>
    <w:qFormat/>
    <w:uiPriority w:val="99"/>
    <w:pPr>
      <w:jc w:val="center"/>
    </w:pPr>
    <w:rPr>
      <w:rFonts w:ascii="Times New Roman" w:hAnsi="Times New Roman" w:eastAsia="宋体" w:cs="Times New Roman"/>
      <w:sz w:val="21"/>
      <w:lang w:val="en-US" w:eastAsia="zh-CN" w:bidi="ar-SA"/>
    </w:rPr>
  </w:style>
  <w:style w:type="character" w:customStyle="1" w:styleId="101">
    <w:name w:val="纯文本 Char1"/>
    <w:qFormat/>
    <w:uiPriority w:val="0"/>
    <w:rPr>
      <w:rFonts w:ascii="Times New Roman" w:hAnsi="Times New Roman"/>
      <w:sz w:val="24"/>
      <w:szCs w:val="24"/>
      <w:lang w:val="en-US" w:eastAsia="en-US" w:bidi="en-US"/>
    </w:rPr>
  </w:style>
  <w:style w:type="character" w:customStyle="1" w:styleId="102">
    <w:name w:val="批注文字 字符1"/>
    <w:qFormat/>
    <w:uiPriority w:val="0"/>
    <w:rPr>
      <w:rFonts w:ascii="Times New Roman" w:hAnsi="Times New Roman" w:eastAsia="宋体" w:cs="Times New Roman"/>
      <w:sz w:val="24"/>
    </w:rPr>
  </w:style>
  <w:style w:type="character" w:customStyle="1" w:styleId="103">
    <w:name w:val="表格标题 Char Char"/>
    <w:link w:val="104"/>
    <w:qFormat/>
    <w:uiPriority w:val="0"/>
    <w:rPr>
      <w:rFonts w:eastAsia="黑体"/>
      <w:bCs/>
      <w:sz w:val="21"/>
      <w:szCs w:val="21"/>
      <w:lang w:bidi="en-US"/>
    </w:rPr>
  </w:style>
  <w:style w:type="paragraph" w:customStyle="1" w:styleId="104">
    <w:name w:val="表格标题"/>
    <w:basedOn w:val="1"/>
    <w:link w:val="103"/>
    <w:qFormat/>
    <w:uiPriority w:val="0"/>
    <w:pPr>
      <w:widowControl/>
      <w:jc w:val="center"/>
    </w:pPr>
    <w:rPr>
      <w:rFonts w:eastAsia="黑体"/>
      <w:bCs/>
      <w:kern w:val="0"/>
      <w:szCs w:val="21"/>
      <w:lang w:bidi="en-US"/>
    </w:rPr>
  </w:style>
  <w:style w:type="character" w:customStyle="1" w:styleId="105">
    <w:name w:val="表格 Char"/>
    <w:link w:val="106"/>
    <w:qFormat/>
    <w:uiPriority w:val="0"/>
    <w:rPr>
      <w:rFonts w:ascii="宋体" w:hAnsi="Times New Roman" w:eastAsia="宋体" w:cs="Times New Roman"/>
      <w:sz w:val="21"/>
    </w:rPr>
  </w:style>
  <w:style w:type="paragraph" w:customStyle="1" w:styleId="106">
    <w:name w:val="表格"/>
    <w:basedOn w:val="1"/>
    <w:next w:val="1"/>
    <w:link w:val="105"/>
    <w:qFormat/>
    <w:uiPriority w:val="0"/>
    <w:pPr>
      <w:adjustRightInd w:val="0"/>
      <w:snapToGrid w:val="0"/>
      <w:spacing w:beforeLines="10" w:afterLines="10" w:line="259" w:lineRule="auto"/>
      <w:jc w:val="center"/>
    </w:pPr>
    <w:rPr>
      <w:rFonts w:ascii="宋体" w:hAnsi="Times New Roman" w:eastAsia="宋体" w:cs="Times New Roman"/>
      <w:kern w:val="0"/>
      <w:szCs w:val="20"/>
    </w:rPr>
  </w:style>
  <w:style w:type="character" w:customStyle="1" w:styleId="107">
    <w:name w:val="表头"/>
    <w:qFormat/>
    <w:uiPriority w:val="1"/>
    <w:rPr>
      <w:rFonts w:ascii="Times New Roman" w:hAnsi="Times New Roman" w:eastAsia="黑体"/>
      <w:color w:val="000000"/>
      <w:sz w:val="21"/>
    </w:rPr>
  </w:style>
  <w:style w:type="character" w:customStyle="1" w:styleId="108">
    <w:name w:val="表格内文字 Char"/>
    <w:link w:val="109"/>
    <w:qFormat/>
    <w:uiPriority w:val="0"/>
    <w:rPr>
      <w:rFonts w:eastAsia="仿宋_GB2312"/>
      <w:kern w:val="2"/>
      <w:sz w:val="24"/>
      <w:szCs w:val="28"/>
    </w:rPr>
  </w:style>
  <w:style w:type="paragraph" w:customStyle="1" w:styleId="109">
    <w:name w:val="表格内文字"/>
    <w:basedOn w:val="1"/>
    <w:link w:val="108"/>
    <w:qFormat/>
    <w:uiPriority w:val="0"/>
    <w:pPr>
      <w:tabs>
        <w:tab w:val="left" w:pos="0"/>
      </w:tabs>
      <w:adjustRightInd w:val="0"/>
      <w:snapToGrid w:val="0"/>
      <w:jc w:val="center"/>
    </w:pPr>
    <w:rPr>
      <w:rFonts w:eastAsia="仿宋_GB2312"/>
      <w:sz w:val="24"/>
      <w:szCs w:val="28"/>
    </w:rPr>
  </w:style>
  <w:style w:type="character" w:customStyle="1" w:styleId="110">
    <w:name w:val="标题2 Char"/>
    <w:qFormat/>
    <w:uiPriority w:val="0"/>
    <w:rPr>
      <w:rFonts w:ascii="宋体" w:hAnsi="Courier New" w:cs="宋体"/>
      <w:kern w:val="2"/>
      <w:sz w:val="21"/>
      <w:szCs w:val="21"/>
    </w:rPr>
  </w:style>
  <w:style w:type="character" w:customStyle="1" w:styleId="111">
    <w:name w:val="font112"/>
    <w:basedOn w:val="36"/>
    <w:qFormat/>
    <w:uiPriority w:val="0"/>
    <w:rPr>
      <w:rFonts w:hint="default" w:ascii="Times New Roman" w:hAnsi="Times New Roman" w:cs="Times New Roman"/>
      <w:color w:val="000000"/>
      <w:sz w:val="18"/>
      <w:szCs w:val="18"/>
      <w:u w:val="none"/>
      <w:vertAlign w:val="subscript"/>
    </w:rPr>
  </w:style>
  <w:style w:type="paragraph" w:customStyle="1" w:styleId="112">
    <w:name w:val="正文110"/>
    <w:basedOn w:val="20"/>
    <w:qFormat/>
    <w:uiPriority w:val="0"/>
    <w:pPr>
      <w:spacing w:after="0" w:line="360" w:lineRule="auto"/>
      <w:ind w:left="0" w:leftChars="0" w:firstLine="480" w:firstLineChars="200"/>
    </w:pPr>
    <w:rPr>
      <w:rFonts w:ascii="Times New Roman" w:hAnsi="宋体" w:cs="宋体"/>
      <w:color w:val="000000"/>
      <w:kern w:val="11"/>
    </w:rPr>
  </w:style>
  <w:style w:type="paragraph" w:customStyle="1" w:styleId="113">
    <w:name w:val="Char"/>
    <w:basedOn w:val="1"/>
    <w:qFormat/>
    <w:uiPriority w:val="0"/>
    <w:rPr>
      <w:szCs w:val="20"/>
    </w:rPr>
  </w:style>
  <w:style w:type="paragraph" w:customStyle="1" w:styleId="114">
    <w:name w:val="样式10"/>
    <w:basedOn w:val="1"/>
    <w:qFormat/>
    <w:uiPriority w:val="0"/>
    <w:pPr>
      <w:spacing w:line="360" w:lineRule="auto"/>
      <w:ind w:firstLine="480" w:firstLineChars="200"/>
    </w:pPr>
    <w:rPr>
      <w:rFonts w:ascii="宋体" w:hAnsi="宋体"/>
      <w:kern w:val="10"/>
      <w:sz w:val="24"/>
      <w:szCs w:val="20"/>
    </w:rPr>
  </w:style>
  <w:style w:type="paragraph" w:customStyle="1" w:styleId="115">
    <w:name w:val="p0"/>
    <w:basedOn w:val="1"/>
    <w:qFormat/>
    <w:uiPriority w:val="0"/>
    <w:pPr>
      <w:widowControl/>
    </w:pPr>
    <w:rPr>
      <w:kern w:val="0"/>
      <w:szCs w:val="21"/>
    </w:rPr>
  </w:style>
  <w:style w:type="paragraph" w:customStyle="1" w:styleId="116">
    <w:name w:val="正文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7">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19">
    <w:name w:val="6-表中文字"/>
    <w:basedOn w:val="1"/>
    <w:qFormat/>
    <w:uiPriority w:val="0"/>
    <w:pPr>
      <w:adjustRightInd w:val="0"/>
      <w:snapToGrid w:val="0"/>
      <w:jc w:val="center"/>
      <w:textAlignment w:val="center"/>
    </w:pPr>
    <w:rPr>
      <w:szCs w:val="21"/>
    </w:rPr>
  </w:style>
  <w:style w:type="paragraph" w:customStyle="1" w:styleId="120">
    <w:name w:val="A 正文"/>
    <w:basedOn w:val="1"/>
    <w:next w:val="1"/>
    <w:qFormat/>
    <w:uiPriority w:val="0"/>
    <w:pPr>
      <w:spacing w:line="360" w:lineRule="auto"/>
      <w:ind w:firstLine="200" w:firstLineChars="200"/>
    </w:pPr>
    <w:rPr>
      <w:sz w:val="24"/>
    </w:rPr>
  </w:style>
  <w:style w:type="paragraph" w:customStyle="1" w:styleId="121">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122">
    <w:name w:val="zhang正文"/>
    <w:basedOn w:val="9"/>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paragraph" w:customStyle="1" w:styleId="123">
    <w:name w:val="正文首行缩进1"/>
    <w:basedOn w:val="1"/>
    <w:qFormat/>
    <w:uiPriority w:val="0"/>
    <w:pPr>
      <w:spacing w:line="360" w:lineRule="auto"/>
      <w:ind w:firstLine="480" w:firstLineChars="200"/>
    </w:pPr>
    <w:rPr>
      <w:rFonts w:cs="黑体"/>
      <w:sz w:val="24"/>
    </w:rPr>
  </w:style>
  <w:style w:type="paragraph" w:styleId="124">
    <w:name w:val="List Paragraph"/>
    <w:basedOn w:val="1"/>
    <w:qFormat/>
    <w:uiPriority w:val="34"/>
    <w:pPr>
      <w:ind w:firstLine="420" w:firstLineChars="200"/>
    </w:pPr>
    <w:rPr>
      <w:szCs w:val="20"/>
    </w:rPr>
  </w:style>
  <w:style w:type="paragraph" w:customStyle="1" w:styleId="125">
    <w:name w:val="表内文字"/>
    <w:basedOn w:val="1"/>
    <w:qFormat/>
    <w:uiPriority w:val="0"/>
    <w:pPr>
      <w:jc w:val="center"/>
    </w:pPr>
    <w:rPr>
      <w:szCs w:val="21"/>
    </w:rPr>
  </w:style>
  <w:style w:type="paragraph" w:customStyle="1" w:styleId="126">
    <w:name w:val="报告正文"/>
    <w:basedOn w:val="1"/>
    <w:qFormat/>
    <w:uiPriority w:val="0"/>
    <w:pPr>
      <w:spacing w:line="360" w:lineRule="auto"/>
      <w:ind w:firstLine="482"/>
    </w:pPr>
    <w:rPr>
      <w:rFonts w:cs="宋体"/>
      <w:sz w:val="24"/>
      <w:szCs w:val="21"/>
    </w:rPr>
  </w:style>
  <w:style w:type="paragraph" w:customStyle="1" w:styleId="127">
    <w:name w:val="4正文"/>
    <w:next w:val="13"/>
    <w:qFormat/>
    <w:uiPriority w:val="0"/>
    <w:pPr>
      <w:widowControl w:val="0"/>
      <w:spacing w:line="360" w:lineRule="auto"/>
      <w:ind w:firstLine="200" w:firstLineChars="200"/>
      <w:jc w:val="both"/>
    </w:pPr>
    <w:rPr>
      <w:rFonts w:ascii="Times New Roman" w:hAnsi="Times New Roman" w:eastAsia="宋体" w:cs="宋体"/>
      <w:sz w:val="24"/>
      <w:lang w:val="en-US" w:eastAsia="zh-CN" w:bidi="ar-SA"/>
    </w:rPr>
  </w:style>
  <w:style w:type="paragraph" w:customStyle="1" w:styleId="128">
    <w:name w:val="样式 表中 + 首行缩进:  2 字符"/>
    <w:basedOn w:val="1"/>
    <w:qFormat/>
    <w:uiPriority w:val="0"/>
    <w:pPr>
      <w:adjustRightInd w:val="0"/>
      <w:snapToGrid w:val="0"/>
      <w:spacing w:line="240" w:lineRule="atLeast"/>
      <w:jc w:val="left"/>
    </w:pPr>
    <w:rPr>
      <w:rFonts w:cs="宋体"/>
      <w:szCs w:val="21"/>
    </w:rPr>
  </w:style>
  <w:style w:type="paragraph" w:customStyle="1" w:styleId="12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0">
    <w:name w:val="_Style 3"/>
    <w:basedOn w:val="1"/>
    <w:qFormat/>
    <w:uiPriority w:val="0"/>
    <w:pPr>
      <w:ind w:firstLine="420"/>
    </w:pPr>
  </w:style>
  <w:style w:type="paragraph" w:customStyle="1" w:styleId="131">
    <w:name w:val="正文-1"/>
    <w:basedOn w:val="1"/>
    <w:qFormat/>
    <w:uiPriority w:val="0"/>
    <w:pPr>
      <w:spacing w:line="360" w:lineRule="auto"/>
      <w:ind w:firstLine="480" w:firstLineChars="200"/>
    </w:pPr>
    <w:rPr>
      <w:rFonts w:hAnsi="宋体"/>
      <w:bCs/>
      <w:color w:val="000000"/>
      <w:kern w:val="0"/>
      <w:sz w:val="24"/>
      <w:szCs w:val="28"/>
    </w:rPr>
  </w:style>
  <w:style w:type="paragraph" w:customStyle="1" w:styleId="132">
    <w:name w:val="正文缩近"/>
    <w:basedOn w:val="1"/>
    <w:qFormat/>
    <w:uiPriority w:val="0"/>
    <w:pPr>
      <w:spacing w:line="360" w:lineRule="auto"/>
      <w:ind w:firstLine="560" w:firstLineChars="200"/>
    </w:pPr>
    <w:rPr>
      <w:sz w:val="28"/>
      <w:szCs w:val="28"/>
    </w:rPr>
  </w:style>
  <w:style w:type="paragraph" w:customStyle="1" w:styleId="133">
    <w:name w:val="表内容"/>
    <w:basedOn w:val="1"/>
    <w:next w:val="1"/>
    <w:qFormat/>
    <w:uiPriority w:val="0"/>
    <w:pPr>
      <w:spacing w:line="320" w:lineRule="exact"/>
      <w:jc w:val="center"/>
    </w:pPr>
    <w:rPr>
      <w:szCs w:val="20"/>
    </w:rPr>
  </w:style>
  <w:style w:type="paragraph" w:customStyle="1" w:styleId="134">
    <w:name w:val="正文(首行缩进)"/>
    <w:basedOn w:val="1"/>
    <w:qFormat/>
    <w:uiPriority w:val="0"/>
    <w:pPr>
      <w:spacing w:line="360" w:lineRule="auto"/>
      <w:ind w:firstLine="480" w:firstLineChars="200"/>
    </w:pPr>
    <w:rPr>
      <w:rFonts w:eastAsia="仿宋_GB2312"/>
      <w:snapToGrid w:val="0"/>
      <w:sz w:val="24"/>
      <w:szCs w:val="22"/>
    </w:rPr>
  </w:style>
  <w:style w:type="paragraph" w:customStyle="1" w:styleId="135">
    <w:name w:val="报告书表格"/>
    <w:basedOn w:val="1"/>
    <w:qFormat/>
    <w:uiPriority w:val="0"/>
    <w:pPr>
      <w:adjustRightInd w:val="0"/>
      <w:snapToGrid w:val="0"/>
      <w:spacing w:line="400" w:lineRule="exact"/>
      <w:ind w:firstLine="200" w:firstLineChars="200"/>
      <w:jc w:val="center"/>
      <w:textAlignment w:val="baseline"/>
    </w:pPr>
    <w:rPr>
      <w:kern w:val="0"/>
      <w:sz w:val="24"/>
      <w:szCs w:val="20"/>
    </w:rPr>
  </w:style>
  <w:style w:type="paragraph" w:customStyle="1" w:styleId="136">
    <w:name w:val="图表抬头"/>
    <w:basedOn w:val="123"/>
    <w:qFormat/>
    <w:uiPriority w:val="0"/>
    <w:pPr>
      <w:ind w:firstLine="0" w:firstLineChars="0"/>
      <w:jc w:val="center"/>
    </w:pPr>
    <w:rPr>
      <w:rFonts w:eastAsia="黑体"/>
    </w:rPr>
  </w:style>
  <w:style w:type="paragraph" w:customStyle="1" w:styleId="137">
    <w:name w:val="表头、图示"/>
    <w:basedOn w:val="1"/>
    <w:qFormat/>
    <w:uiPriority w:val="99"/>
    <w:pPr>
      <w:spacing w:line="0" w:lineRule="atLeast"/>
      <w:jc w:val="center"/>
    </w:pPr>
    <w:rPr>
      <w:rFonts w:eastAsia="黑体"/>
    </w:rPr>
  </w:style>
  <w:style w:type="paragraph" w:customStyle="1" w:styleId="138">
    <w:name w:val="九晟表格"/>
    <w:basedOn w:val="1"/>
    <w:qFormat/>
    <w:uiPriority w:val="0"/>
    <w:pPr>
      <w:spacing w:line="320" w:lineRule="exact"/>
      <w:ind w:firstLine="200" w:firstLineChars="200"/>
      <w:jc w:val="center"/>
    </w:pPr>
    <w:rPr>
      <w:sz w:val="24"/>
      <w:szCs w:val="21"/>
    </w:rPr>
  </w:style>
  <w:style w:type="paragraph" w:customStyle="1" w:styleId="139">
    <w:name w:val="Table Paragraph"/>
    <w:basedOn w:val="1"/>
    <w:qFormat/>
    <w:uiPriority w:val="1"/>
    <w:pPr>
      <w:autoSpaceDE w:val="0"/>
      <w:autoSpaceDN w:val="0"/>
      <w:adjustRightInd w:val="0"/>
      <w:jc w:val="left"/>
    </w:pPr>
    <w:rPr>
      <w:rFonts w:ascii="宋体" w:cs="宋体"/>
      <w:kern w:val="0"/>
      <w:sz w:val="24"/>
    </w:rPr>
  </w:style>
  <w:style w:type="paragraph" w:customStyle="1" w:styleId="140">
    <w:name w:val="xl36"/>
    <w:basedOn w:val="1"/>
    <w:qFormat/>
    <w:uiPriority w:val="0"/>
    <w:pPr>
      <w:widowControl/>
      <w:pBdr>
        <w:bottom w:val="single" w:color="auto" w:sz="4" w:space="0"/>
      </w:pBdr>
      <w:spacing w:before="100" w:beforeAutospacing="1" w:after="100" w:afterAutospacing="1"/>
      <w:jc w:val="center"/>
    </w:pPr>
    <w:rPr>
      <w:rFonts w:ascii="宋体" w:hAnsi="宋体"/>
      <w:kern w:val="0"/>
      <w:sz w:val="24"/>
      <w:szCs w:val="20"/>
    </w:rPr>
  </w:style>
  <w:style w:type="paragraph" w:customStyle="1" w:styleId="141">
    <w:name w:val="列表段落1"/>
    <w:basedOn w:val="1"/>
    <w:qFormat/>
    <w:uiPriority w:val="0"/>
    <w:pPr>
      <w:spacing w:line="360" w:lineRule="auto"/>
      <w:ind w:firstLine="420" w:firstLineChars="200"/>
    </w:pPr>
    <w:rPr>
      <w:rFonts w:eastAsia="仿宋_GB2312"/>
      <w:sz w:val="24"/>
      <w:szCs w:val="22"/>
    </w:rPr>
  </w:style>
  <w:style w:type="paragraph" w:customStyle="1" w:styleId="142">
    <w:name w:val="正文999"/>
    <w:basedOn w:val="20"/>
    <w:qFormat/>
    <w:uiPriority w:val="0"/>
    <w:pPr>
      <w:adjustRightInd w:val="0"/>
      <w:snapToGrid w:val="0"/>
      <w:spacing w:line="360" w:lineRule="auto"/>
      <w:ind w:firstLine="200" w:firstLineChars="200"/>
    </w:pPr>
    <w:rPr>
      <w:rFonts w:cs="宋体"/>
      <w:sz w:val="24"/>
    </w:rPr>
  </w:style>
  <w:style w:type="paragraph" w:customStyle="1" w:styleId="143">
    <w:name w:val="表题注"/>
    <w:basedOn w:val="1"/>
    <w:next w:val="6"/>
    <w:qFormat/>
    <w:uiPriority w:val="0"/>
    <w:pPr>
      <w:jc w:val="center"/>
    </w:pPr>
    <w:rPr>
      <w:b/>
    </w:rPr>
  </w:style>
  <w:style w:type="paragraph" w:customStyle="1" w:styleId="144">
    <w:name w:val="缩进"/>
    <w:basedOn w:val="1"/>
    <w:qFormat/>
    <w:uiPriority w:val="0"/>
    <w:pPr>
      <w:autoSpaceDE w:val="0"/>
      <w:autoSpaceDN w:val="0"/>
      <w:adjustRightInd w:val="0"/>
      <w:spacing w:line="400" w:lineRule="atLeast"/>
      <w:ind w:firstLine="425"/>
    </w:pPr>
    <w:rPr>
      <w:kern w:val="0"/>
      <w:sz w:val="24"/>
      <w:szCs w:val="20"/>
    </w:rPr>
  </w:style>
  <w:style w:type="paragraph" w:customStyle="1" w:styleId="145">
    <w:name w:val="标题3"/>
    <w:basedOn w:val="1"/>
    <w:qFormat/>
    <w:uiPriority w:val="0"/>
    <w:pPr>
      <w:outlineLvl w:val="2"/>
    </w:pPr>
    <w:rPr>
      <w:b/>
    </w:rPr>
  </w:style>
  <w:style w:type="paragraph" w:customStyle="1" w:styleId="146">
    <w:name w:val="表格1"/>
    <w:basedOn w:val="1"/>
    <w:qFormat/>
    <w:uiPriority w:val="0"/>
    <w:pPr>
      <w:topLinePunct/>
      <w:jc w:val="center"/>
    </w:pPr>
    <w:rPr>
      <w:szCs w:val="21"/>
    </w:rPr>
  </w:style>
  <w:style w:type="paragraph" w:customStyle="1" w:styleId="147">
    <w:name w:val="表格内正文"/>
    <w:basedOn w:val="1"/>
    <w:next w:val="120"/>
    <w:qFormat/>
    <w:uiPriority w:val="0"/>
    <w:pPr>
      <w:spacing w:line="360" w:lineRule="auto"/>
      <w:ind w:firstLine="493"/>
    </w:pPr>
    <w:rPr>
      <w:rFonts w:ascii="宋体" w:hAnsi="宋体"/>
      <w:spacing w:val="4"/>
      <w:kern w:val="18"/>
      <w:sz w:val="24"/>
    </w:rPr>
  </w:style>
  <w:style w:type="paragraph" w:customStyle="1" w:styleId="148">
    <w:name w:val="普通(网站)2"/>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149">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150">
    <w:name w:val="表头111"/>
    <w:basedOn w:val="1"/>
    <w:semiHidden/>
    <w:qFormat/>
    <w:uiPriority w:val="0"/>
    <w:pPr>
      <w:jc w:val="center"/>
    </w:pPr>
    <w:rPr>
      <w:rFonts w:ascii="Calibri" w:hAnsi="Calibri" w:eastAsia="黑体"/>
    </w:rPr>
  </w:style>
  <w:style w:type="paragraph" w:customStyle="1" w:styleId="151">
    <w:name w:val="正本文字"/>
    <w:basedOn w:val="1"/>
    <w:qFormat/>
    <w:uiPriority w:val="0"/>
    <w:pPr>
      <w:adjustRightInd w:val="0"/>
      <w:snapToGrid w:val="0"/>
      <w:spacing w:line="360" w:lineRule="auto"/>
      <w:ind w:firstLine="480" w:firstLineChars="200"/>
      <w:jc w:val="left"/>
    </w:pPr>
    <w:rPr>
      <w:rFonts w:eastAsia="仿宋_GB2312"/>
      <w:kern w:val="18"/>
      <w:sz w:val="24"/>
      <w:szCs w:val="20"/>
    </w:rPr>
  </w:style>
  <w:style w:type="paragraph" w:customStyle="1" w:styleId="152">
    <w:name w:val="样式11"/>
    <w:basedOn w:val="1"/>
    <w:qFormat/>
    <w:uiPriority w:val="0"/>
    <w:pPr>
      <w:spacing w:line="360" w:lineRule="auto"/>
      <w:ind w:firstLine="510"/>
    </w:pPr>
    <w:rPr>
      <w:sz w:val="24"/>
      <w:szCs w:val="20"/>
    </w:rPr>
  </w:style>
  <w:style w:type="paragraph" w:customStyle="1" w:styleId="153">
    <w:name w:val="0正文"/>
    <w:next w:val="150"/>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154">
    <w:name w:val="报告书正文W"/>
    <w:basedOn w:val="1"/>
    <w:qFormat/>
    <w:uiPriority w:val="0"/>
    <w:pPr>
      <w:adjustRightInd w:val="0"/>
      <w:spacing w:line="460" w:lineRule="exact"/>
      <w:ind w:firstLine="200" w:firstLineChars="200"/>
      <w:textAlignment w:val="baseline"/>
    </w:pPr>
    <w:rPr>
      <w:rFonts w:eastAsia="仿宋_GB2312"/>
      <w:kern w:val="0"/>
      <w:sz w:val="24"/>
    </w:rPr>
  </w:style>
  <w:style w:type="paragraph" w:customStyle="1" w:styleId="155">
    <w:name w:val="标题4"/>
    <w:basedOn w:val="145"/>
    <w:next w:val="1"/>
    <w:qFormat/>
    <w:uiPriority w:val="0"/>
    <w:pPr>
      <w:spacing w:line="360" w:lineRule="auto"/>
      <w:ind w:firstLine="480"/>
    </w:pPr>
    <w:rPr>
      <w:rFonts w:ascii="Arial" w:hAnsi="Arial"/>
      <w:sz w:val="24"/>
    </w:rPr>
  </w:style>
  <w:style w:type="paragraph" w:customStyle="1" w:styleId="156">
    <w:name w:val="无间隔1"/>
    <w:qFormat/>
    <w:uiPriority w:val="1"/>
    <w:pPr>
      <w:widowControl w:val="0"/>
      <w:jc w:val="both"/>
    </w:pPr>
    <w:rPr>
      <w:rFonts w:ascii="Times New Roman" w:hAnsi="Times New Roman" w:eastAsia="宋体" w:cs="黑体"/>
      <w:kern w:val="2"/>
      <w:sz w:val="21"/>
      <w:szCs w:val="22"/>
      <w:lang w:val="en-US" w:eastAsia="zh-CN" w:bidi="ar-SA"/>
    </w:rPr>
  </w:style>
  <w:style w:type="paragraph" w:customStyle="1" w:styleId="157">
    <w:name w:val="样式 小四 首行缩进:  0.85 厘米"/>
    <w:basedOn w:val="1"/>
    <w:qFormat/>
    <w:uiPriority w:val="0"/>
    <w:pPr>
      <w:adjustRightInd w:val="0"/>
      <w:snapToGrid w:val="0"/>
      <w:spacing w:line="360" w:lineRule="auto"/>
      <w:ind w:firstLine="482" w:firstLineChars="200"/>
    </w:pPr>
    <w:rPr>
      <w:rFonts w:ascii="宋体" w:hAnsi="宋体"/>
      <w:b/>
      <w:color w:val="000000"/>
      <w:sz w:val="24"/>
    </w:rPr>
  </w:style>
  <w:style w:type="paragraph" w:customStyle="1" w:styleId="158">
    <w:name w:val="表格内容（新）"/>
    <w:basedOn w:val="1"/>
    <w:qFormat/>
    <w:uiPriority w:val="0"/>
    <w:pPr>
      <w:spacing w:line="240" w:lineRule="auto"/>
      <w:ind w:firstLine="0" w:firstLineChars="0"/>
      <w:jc w:val="center"/>
    </w:pPr>
    <w:rPr>
      <w:rFonts w:cs="宋体"/>
      <w:color w:val="339966"/>
      <w:sz w:val="18"/>
      <w:szCs w:val="18"/>
    </w:rPr>
  </w:style>
  <w:style w:type="paragraph" w:customStyle="1" w:styleId="159">
    <w:name w:val="环评正文"/>
    <w:basedOn w:val="1"/>
    <w:qFormat/>
    <w:uiPriority w:val="0"/>
    <w:pPr>
      <w:spacing w:line="360" w:lineRule="auto"/>
      <w:ind w:firstLine="200" w:firstLineChars="200"/>
    </w:pPr>
    <w:rPr>
      <w:rFonts w:eastAsia="仿宋_GB2312"/>
      <w:sz w:val="24"/>
      <w:szCs w:val="22"/>
    </w:rPr>
  </w:style>
  <w:style w:type="paragraph" w:customStyle="1" w:styleId="160">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61">
    <w:name w:val="3"/>
    <w:basedOn w:val="1"/>
    <w:qFormat/>
    <w:uiPriority w:val="0"/>
    <w:pPr>
      <w:jc w:val="center"/>
    </w:pPr>
    <w:rPr>
      <w:rFonts w:eastAsia="黑体"/>
      <w:bCs/>
      <w:color w:val="000000"/>
      <w:kern w:val="0"/>
      <w:sz w:val="24"/>
      <w:szCs w:val="30"/>
    </w:rPr>
  </w:style>
  <w:style w:type="paragraph" w:customStyle="1" w:styleId="162">
    <w:name w:val="图表头"/>
    <w:basedOn w:val="1"/>
    <w:qFormat/>
    <w:uiPriority w:val="0"/>
    <w:pPr>
      <w:ind w:firstLine="480"/>
      <w:jc w:val="center"/>
    </w:pPr>
    <w:rPr>
      <w:b/>
      <w:snapToGrid w:val="0"/>
    </w:rPr>
  </w:style>
  <w:style w:type="paragraph" w:customStyle="1" w:styleId="163">
    <w:name w:val="1.1.1"/>
    <w:basedOn w:val="15"/>
    <w:qFormat/>
    <w:uiPriority w:val="0"/>
    <w:pPr>
      <w:spacing w:line="360" w:lineRule="auto"/>
      <w:ind w:firstLine="482" w:firstLineChars="200"/>
      <w:outlineLvl w:val="2"/>
    </w:pPr>
    <w:rPr>
      <w:rFonts w:ascii="Times New Roman" w:hAnsi="Times New Roman"/>
      <w:b/>
      <w:bCs/>
      <w:sz w:val="24"/>
      <w:szCs w:val="24"/>
    </w:rPr>
  </w:style>
  <w:style w:type="paragraph" w:customStyle="1" w:styleId="164">
    <w:name w:val="列出段落1"/>
    <w:basedOn w:val="1"/>
    <w:qFormat/>
    <w:uiPriority w:val="0"/>
    <w:pPr>
      <w:adjustRightInd w:val="0"/>
      <w:snapToGrid w:val="0"/>
      <w:jc w:val="center"/>
    </w:pPr>
  </w:style>
  <w:style w:type="paragraph" w:customStyle="1" w:styleId="165">
    <w:name w:val="标准正文"/>
    <w:qFormat/>
    <w:uiPriority w:val="0"/>
    <w:pPr>
      <w:keepNext/>
      <w:keepLines/>
      <w:snapToGrid w:val="0"/>
      <w:spacing w:beforeLines="50" w:afterLines="50" w:line="360" w:lineRule="auto"/>
      <w:ind w:firstLine="200" w:firstLineChars="200"/>
      <w:jc w:val="both"/>
    </w:pPr>
    <w:rPr>
      <w:rFonts w:ascii="Times New Roman" w:hAnsi="Times New Roman" w:eastAsia="宋体" w:cs="Times New Roman"/>
      <w:sz w:val="24"/>
      <w:szCs w:val="24"/>
      <w:lang w:val="en-US" w:eastAsia="zh-CN" w:bidi="ar-SA"/>
    </w:rPr>
  </w:style>
  <w:style w:type="table" w:customStyle="1" w:styleId="166">
    <w:name w:val="Table Normal"/>
    <w:unhideWhenUsed/>
    <w:qFormat/>
    <w:uiPriority w:val="2"/>
    <w:pPr>
      <w:widowControl w:val="0"/>
    </w:pPr>
    <w:rPr>
      <w:sz w:val="22"/>
      <w:lang w:eastAsia="en-US"/>
    </w:rPr>
    <w:tblPr>
      <w:tblCellMar>
        <w:top w:w="0" w:type="dxa"/>
        <w:left w:w="0" w:type="dxa"/>
        <w:bottom w:w="0" w:type="dxa"/>
        <w:right w:w="0" w:type="dxa"/>
      </w:tblCellMar>
    </w:tblPr>
  </w:style>
  <w:style w:type="table" w:customStyle="1" w:styleId="167">
    <w:name w:val="环评表格"/>
    <w:basedOn w:val="34"/>
    <w:qFormat/>
    <w:uiPriority w:val="99"/>
    <w:pPr>
      <w:jc w:val="center"/>
    </w:pPr>
    <w:rPr>
      <w:rFonts w:ascii="Calibri" w:hAnsi="Calibri"/>
    </w:rPr>
    <w:tblPr>
      <w:jc w:val="center"/>
      <w:tblBorders>
        <w:top w:val="single" w:color="000000" w:sz="12" w:space="0"/>
        <w:bottom w:val="single" w:color="000000" w:sz="12" w:space="0"/>
        <w:insideH w:val="single" w:color="000000" w:sz="4" w:space="0"/>
        <w:insideV w:val="single" w:color="000000" w:sz="4" w:space="0"/>
      </w:tblBorders>
    </w:tblPr>
    <w:trPr>
      <w:jc w:val="center"/>
    </w:trPr>
    <w:tcPr>
      <w:vAlign w:val="center"/>
    </w:tcPr>
  </w:style>
  <w:style w:type="table" w:customStyle="1" w:styleId="168">
    <w:name w:val="灰度表格1311"/>
    <w:basedOn w:val="34"/>
    <w:qFormat/>
    <w:uiPriority w:val="0"/>
    <w:pPr>
      <w:widowControl w:val="0"/>
      <w:jc w:val="center"/>
    </w:pPr>
    <w:tblPr>
      <w:tblBorders>
        <w:top w:val="double" w:color="auto" w:sz="4" w:space="0"/>
        <w:bottom w:val="doub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69">
    <w:name w:val="样式1"/>
    <w:basedOn w:val="34"/>
    <w:qFormat/>
    <w:uiPriority w:val="99"/>
    <w:pPr>
      <w:jc w:val="center"/>
    </w:pPr>
    <w:rPr>
      <w:sz w:val="21"/>
    </w:rPr>
    <w:tblPr>
      <w:tblBorders>
        <w:top w:val="double" w:color="auto" w:sz="4" w:space="0"/>
        <w:bottom w:val="double" w:color="auto" w:sz="4"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170">
    <w:name w:val="样式9"/>
    <w:basedOn w:val="1"/>
    <w:qFormat/>
    <w:uiPriority w:val="0"/>
    <w:pPr>
      <w:adjustRightInd w:val="0"/>
      <w:snapToGrid w:val="0"/>
      <w:spacing w:line="460" w:lineRule="exact"/>
      <w:ind w:firstLine="520" w:firstLineChars="200"/>
    </w:pPr>
    <w:rPr>
      <w:sz w:val="26"/>
      <w:szCs w:val="26"/>
    </w:rPr>
  </w:style>
  <w:style w:type="paragraph" w:customStyle="1" w:styleId="171">
    <w:name w:val="正文文本缩进1"/>
    <w:basedOn w:val="1"/>
    <w:qFormat/>
    <w:uiPriority w:val="0"/>
    <w:pPr>
      <w:spacing w:after="120"/>
      <w:ind w:left="420" w:leftChars="200"/>
    </w:pPr>
    <w:rPr>
      <w:rFonts w:ascii="Calibri" w:hAnsi="Calibri"/>
      <w:szCs w:val="22"/>
    </w:rPr>
  </w:style>
  <w:style w:type="paragraph" w:customStyle="1" w:styleId="172">
    <w:name w:val="S表格文字"/>
    <w:basedOn w:val="33"/>
    <w:qFormat/>
    <w:uiPriority w:val="0"/>
    <w:pPr>
      <w:adjustRightInd w:val="0"/>
      <w:snapToGrid w:val="0"/>
      <w:spacing w:before="20" w:after="20"/>
      <w:ind w:firstLine="0" w:firstLineChars="0"/>
      <w:jc w:val="center"/>
    </w:pPr>
    <w:rPr>
      <w:szCs w:val="20"/>
    </w:rPr>
  </w:style>
  <w:style w:type="character" w:customStyle="1" w:styleId="173">
    <w:name w:val="font21"/>
    <w:basedOn w:val="36"/>
    <w:qFormat/>
    <w:uiPriority w:val="0"/>
    <w:rPr>
      <w:rFonts w:hint="eastAsia" w:ascii="宋体" w:hAnsi="宋体" w:eastAsia="宋体" w:cs="宋体"/>
      <w:color w:val="0000FF"/>
      <w:sz w:val="21"/>
      <w:szCs w:val="21"/>
      <w:u w:val="none"/>
    </w:rPr>
  </w:style>
  <w:style w:type="character" w:customStyle="1" w:styleId="174">
    <w:name w:val="font01"/>
    <w:basedOn w:val="36"/>
    <w:qFormat/>
    <w:uiPriority w:val="0"/>
    <w:rPr>
      <w:rFonts w:hint="default" w:ascii="Times New Roman" w:hAnsi="Times New Roman" w:cs="Times New Roman"/>
      <w:color w:val="0000FF"/>
      <w:sz w:val="21"/>
      <w:szCs w:val="21"/>
      <w:u w:val="none"/>
    </w:rPr>
  </w:style>
  <w:style w:type="character" w:customStyle="1" w:styleId="175">
    <w:name w:val="font41"/>
    <w:basedOn w:val="36"/>
    <w:qFormat/>
    <w:uiPriority w:val="0"/>
    <w:rPr>
      <w:rFonts w:hint="default" w:ascii="Times New Roman" w:hAnsi="Times New Roman" w:cs="Times New Roman"/>
      <w:color w:val="0000FF"/>
      <w:sz w:val="21"/>
      <w:szCs w:val="21"/>
      <w:u w:val="none"/>
      <w:vertAlign w:val="superscript"/>
    </w:rPr>
  </w:style>
  <w:style w:type="character" w:customStyle="1" w:styleId="176">
    <w:name w:val="font31"/>
    <w:basedOn w:val="36"/>
    <w:qFormat/>
    <w:uiPriority w:val="0"/>
    <w:rPr>
      <w:rFonts w:hint="default" w:ascii="Times New Roman" w:hAnsi="Times New Roman" w:cs="Times New Roman"/>
      <w:color w:val="0000FF"/>
      <w:sz w:val="21"/>
      <w:szCs w:val="21"/>
      <w:u w:val="none"/>
      <w:vertAlign w:val="subscript"/>
    </w:rPr>
  </w:style>
  <w:style w:type="character" w:customStyle="1" w:styleId="177">
    <w:name w:val="font11"/>
    <w:basedOn w:val="36"/>
    <w:qFormat/>
    <w:uiPriority w:val="0"/>
    <w:rPr>
      <w:rFonts w:hint="default" w:ascii="Times New Roman" w:hAnsi="Times New Roman" w:cs="Times New Roman"/>
      <w:color w:val="000000"/>
      <w:sz w:val="21"/>
      <w:szCs w:val="21"/>
      <w:u w:val="none"/>
    </w:rPr>
  </w:style>
  <w:style w:type="character" w:customStyle="1" w:styleId="178">
    <w:name w:val="font51"/>
    <w:basedOn w:val="36"/>
    <w:qFormat/>
    <w:uiPriority w:val="0"/>
    <w:rPr>
      <w:rFonts w:hint="default" w:ascii="Times New Roman" w:hAnsi="Times New Roman" w:cs="Times New Roman"/>
      <w:color w:val="000000"/>
      <w:sz w:val="24"/>
      <w:szCs w:val="24"/>
      <w:u w:val="none"/>
      <w:vertAlign w:val="subscript"/>
    </w:rPr>
  </w:style>
  <w:style w:type="paragraph" w:customStyle="1" w:styleId="179">
    <w:name w:val="图片"/>
    <w:basedOn w:val="1"/>
    <w:next w:val="10"/>
    <w:qFormat/>
    <w:uiPriority w:val="0"/>
    <w:pPr>
      <w:spacing w:line="360" w:lineRule="auto"/>
      <w:ind w:firstLine="476"/>
      <w:jc w:val="left"/>
    </w:pPr>
    <w:rPr>
      <w:kern w:val="0"/>
      <w:sz w:val="18"/>
      <w:szCs w:val="18"/>
    </w:rPr>
  </w:style>
  <w:style w:type="paragraph" w:customStyle="1" w:styleId="180">
    <w:name w:val="一级标题"/>
    <w:qFormat/>
    <w:uiPriority w:val="0"/>
    <w:pPr>
      <w:adjustRightInd w:val="0"/>
      <w:snapToGrid w:val="0"/>
      <w:spacing w:line="360" w:lineRule="auto"/>
      <w:outlineLvl w:val="0"/>
    </w:pPr>
    <w:rPr>
      <w:rFonts w:ascii="Calibri" w:hAnsi="Calibri" w:eastAsia="黑体" w:cs="Times New Roman"/>
      <w:snapToGrid w:val="0"/>
      <w:sz w:val="30"/>
      <w:szCs w:val="30"/>
      <w:lang w:val="en-US" w:eastAsia="zh-CN" w:bidi="ar-SA"/>
    </w:rPr>
  </w:style>
  <w:style w:type="paragraph" w:customStyle="1" w:styleId="181">
    <w:name w:val="宋体 首行缩进:  2 字符"/>
    <w:basedOn w:val="1"/>
    <w:qFormat/>
    <w:uiPriority w:val="0"/>
    <w:pPr>
      <w:spacing w:line="360" w:lineRule="auto"/>
      <w:ind w:firstLine="480" w:firstLineChars="200"/>
    </w:pPr>
    <w:rPr>
      <w:rFonts w:hAnsi="宋体" w:cs="宋体"/>
      <w:sz w:val="24"/>
    </w:rPr>
  </w:style>
  <w:style w:type="paragraph" w:customStyle="1" w:styleId="182">
    <w:name w:val="333"/>
    <w:basedOn w:val="1"/>
    <w:qFormat/>
    <w:uiPriority w:val="0"/>
    <w:pPr>
      <w:adjustRightInd w:val="0"/>
      <w:spacing w:line="480" w:lineRule="exact"/>
      <w:ind w:firstLine="192" w:firstLineChars="192"/>
      <w:textAlignment w:val="baseline"/>
    </w:pPr>
    <w:rPr>
      <w:rFonts w:ascii="宋体" w:hAnsi="宋体"/>
      <w:kern w:val="0"/>
      <w:sz w:val="28"/>
      <w:szCs w:val="28"/>
    </w:rPr>
  </w:style>
  <w:style w:type="paragraph" w:customStyle="1" w:styleId="183">
    <w:name w:val="1表格"/>
    <w:basedOn w:val="1"/>
    <w:qFormat/>
    <w:uiPriority w:val="0"/>
    <w:pPr>
      <w:widowControl w:val="0"/>
      <w:adjustRightInd w:val="0"/>
      <w:snapToGrid w:val="0"/>
      <w:jc w:val="center"/>
      <w:textAlignment w:val="baseline"/>
    </w:pPr>
    <w:rPr>
      <w:rFonts w:ascii="Times New Roman" w:hAnsi="Times New Roman" w:cs="Times New Roman"/>
      <w:spacing w:val="4"/>
      <w:kern w:val="2"/>
      <w:sz w:val="21"/>
    </w:rPr>
  </w:style>
  <w:style w:type="paragraph" w:customStyle="1" w:styleId="184">
    <w:name w:val="标题四"/>
    <w:basedOn w:val="3"/>
    <w:qFormat/>
    <w:uiPriority w:val="0"/>
    <w:pPr>
      <w:keepNext w:val="0"/>
      <w:keepLines w:val="0"/>
      <w:spacing w:before="78" w:after="78" w:line="440" w:lineRule="exact"/>
      <w:jc w:val="left"/>
    </w:pPr>
    <w:rPr>
      <w:rFonts w:ascii="Times New Roman" w:hAnsi="Times New Roman" w:eastAsia="宋体"/>
      <w:kern w:val="0"/>
      <w:sz w:val="30"/>
    </w:rPr>
  </w:style>
  <w:style w:type="paragraph" w:customStyle="1" w:styleId="185">
    <w:name w:val="样式 标题 3"/>
    <w:basedOn w:val="4"/>
    <w:next w:val="186"/>
    <w:qFormat/>
    <w:uiPriority w:val="0"/>
    <w:pPr>
      <w:tabs>
        <w:tab w:val="left" w:pos="284"/>
      </w:tabs>
      <w:spacing w:before="120" w:after="120" w:line="360" w:lineRule="auto"/>
      <w:jc w:val="left"/>
    </w:pPr>
    <w:rPr>
      <w:lang w:val="zh-CN"/>
    </w:rPr>
  </w:style>
  <w:style w:type="paragraph" w:customStyle="1" w:styleId="186">
    <w:name w:val="第四级目录"/>
    <w:basedOn w:val="1"/>
    <w:qFormat/>
    <w:uiPriority w:val="0"/>
    <w:pPr>
      <w:widowControl/>
      <w:numPr>
        <w:ilvl w:val="3"/>
        <w:numId w:val="5"/>
      </w:numPr>
      <w:spacing w:line="540" w:lineRule="exact"/>
      <w:ind w:firstLine="0"/>
      <w:jc w:val="left"/>
      <w:outlineLvl w:val="3"/>
    </w:pPr>
    <w:rPr>
      <w:rFonts w:ascii="Cambria" w:hAnsi="Cambria"/>
      <w:lang w:bidi="en-US"/>
    </w:rPr>
  </w:style>
  <w:style w:type="character" w:customStyle="1" w:styleId="187">
    <w:name w:val="font101"/>
    <w:basedOn w:val="36"/>
    <w:qFormat/>
    <w:uiPriority w:val="0"/>
    <w:rPr>
      <w:rFonts w:ascii="宋体" w:hAnsi="宋体" w:eastAsia="宋体" w:cs="宋体"/>
      <w:color w:val="000000"/>
      <w:sz w:val="14"/>
      <w:szCs w:val="14"/>
      <w:u w:val="none"/>
    </w:rPr>
  </w:style>
  <w:style w:type="character" w:customStyle="1" w:styleId="188">
    <w:name w:val="font71"/>
    <w:basedOn w:val="36"/>
    <w:qFormat/>
    <w:uiPriority w:val="0"/>
    <w:rPr>
      <w:rFonts w:hint="default" w:ascii="Times New Roman" w:hAnsi="Times New Roman" w:cs="Times New Roman"/>
      <w:b/>
      <w:bCs/>
      <w:color w:val="000000"/>
      <w:sz w:val="21"/>
      <w:szCs w:val="21"/>
      <w:u w:val="none"/>
    </w:rPr>
  </w:style>
  <w:style w:type="character" w:customStyle="1" w:styleId="189">
    <w:name w:val="font81"/>
    <w:basedOn w:val="36"/>
    <w:qFormat/>
    <w:uiPriority w:val="0"/>
    <w:rPr>
      <w:rFonts w:hint="default" w:ascii="Times New Roman" w:hAnsi="Times New Roman" w:cs="Times New Roman"/>
      <w:b/>
      <w:bCs/>
      <w:color w:val="000000"/>
      <w:sz w:val="21"/>
      <w:szCs w:val="21"/>
      <w:u w:val="none"/>
      <w:vertAlign w:val="superscript"/>
    </w:rPr>
  </w:style>
  <w:style w:type="character" w:customStyle="1" w:styleId="190">
    <w:name w:val="font91"/>
    <w:basedOn w:val="36"/>
    <w:qFormat/>
    <w:uiPriority w:val="0"/>
    <w:rPr>
      <w:rFonts w:hint="default" w:ascii="Times New Roman" w:hAnsi="Times New Roman" w:cs="Times New Roman"/>
      <w:color w:val="000000"/>
      <w:sz w:val="21"/>
      <w:szCs w:val="21"/>
      <w:u w:val="none"/>
      <w:vertAlign w:val="subscript"/>
    </w:rPr>
  </w:style>
  <w:style w:type="character" w:customStyle="1" w:styleId="191">
    <w:name w:val="font61"/>
    <w:basedOn w:val="36"/>
    <w:qFormat/>
    <w:uiPriority w:val="0"/>
    <w:rPr>
      <w:rFonts w:hint="default" w:ascii="Times New Roman" w:hAnsi="Times New Roman" w:cs="Times New Roman"/>
      <w:color w:val="FF0000"/>
      <w:sz w:val="21"/>
      <w:szCs w:val="21"/>
      <w:u w:val="none"/>
    </w:rPr>
  </w:style>
  <w:style w:type="paragraph" w:customStyle="1" w:styleId="192">
    <w:name w:val="正文小四加粗"/>
    <w:basedOn w:val="193"/>
    <w:next w:val="193"/>
    <w:qFormat/>
    <w:uiPriority w:val="0"/>
    <w:pPr>
      <w:jc w:val="both"/>
    </w:pPr>
    <w:rPr>
      <w:b/>
    </w:rPr>
  </w:style>
  <w:style w:type="paragraph" w:customStyle="1" w:styleId="193">
    <w:name w:val="正文小四"/>
    <w:qFormat/>
    <w:uiPriority w:val="0"/>
    <w:pPr>
      <w:spacing w:line="360" w:lineRule="auto"/>
      <w:ind w:firstLine="720" w:firstLineChars="200"/>
      <w:jc w:val="both"/>
    </w:pPr>
    <w:rPr>
      <w:rFonts w:ascii="Times New Roman" w:hAnsi="Times New Roman" w:eastAsia="宋体" w:cs="Times New Roman"/>
      <w:sz w:val="24"/>
      <w:szCs w:val="24"/>
    </w:rPr>
  </w:style>
  <w:style w:type="paragraph" w:customStyle="1" w:styleId="194">
    <w:name w:val="表格内容1"/>
    <w:qFormat/>
    <w:uiPriority w:val="0"/>
    <w:pPr>
      <w:widowControl w:val="0"/>
      <w:adjustRightInd w:val="0"/>
      <w:snapToGrid w:val="0"/>
      <w:spacing w:line="240" w:lineRule="auto"/>
      <w:jc w:val="both"/>
    </w:pPr>
    <w:rPr>
      <w:rFonts w:ascii="Times New Roman" w:hAnsi="Times New Roman" w:eastAsia="宋体" w:cs="Times New Roman"/>
      <w:color w:val="000000"/>
      <w:sz w:val="21"/>
      <w:szCs w:val="18"/>
      <w:lang w:val="en-US" w:eastAsia="zh-CN" w:bidi="ar-SA"/>
    </w:rPr>
  </w:style>
  <w:style w:type="paragraph" w:customStyle="1" w:styleId="195">
    <w:name w:val="Table Text"/>
    <w:basedOn w:val="1"/>
    <w:semiHidden/>
    <w:qFormat/>
    <w:uiPriority w:val="0"/>
    <w:rPr>
      <w:rFonts w:ascii="宋体" w:hAnsi="宋体" w:eastAsia="宋体" w:cs="宋体"/>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emf"/><Relationship Id="rId21" Type="http://schemas.openxmlformats.org/officeDocument/2006/relationships/oleObject" Target="embeddings/oleObject7.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wmf"/><Relationship Id="rId17" Type="http://schemas.openxmlformats.org/officeDocument/2006/relationships/oleObject" Target="embeddings/oleObject5.bin"/><Relationship Id="rId16" Type="http://schemas.openxmlformats.org/officeDocument/2006/relationships/image" Target="media/image6.wmf"/><Relationship Id="rId15" Type="http://schemas.openxmlformats.org/officeDocument/2006/relationships/oleObject" Target="embeddings/oleObject4.bin"/><Relationship Id="rId14" Type="http://schemas.openxmlformats.org/officeDocument/2006/relationships/image" Target="media/image5.wmf"/><Relationship Id="rId13" Type="http://schemas.openxmlformats.org/officeDocument/2006/relationships/oleObject" Target="embeddings/oleObject3.bin"/><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wdzx97.dot</Template>
  <Company>微软中国</Company>
  <Pages>84</Pages>
  <Words>44801</Words>
  <Characters>53933</Characters>
  <Lines>371</Lines>
  <Paragraphs>104</Paragraphs>
  <TotalTime>0</TotalTime>
  <ScaleCrop>false</ScaleCrop>
  <LinksUpToDate>false</LinksUpToDate>
  <CharactersWithSpaces>54200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2021-01-24T00:24:00Z</dcterms:created>
  <dc:creator>lhj</dc:creator>
  <cp:lastModifiedBy>飞 烟</cp:lastModifiedBy>
  <cp:lastPrinted>2021-09-18T01:52:00Z</cp:lastPrinted>
  <dcterms:modified xsi:type="dcterms:W3CDTF">2024-09-27T07:13:37Z</dcterms:modified>
  <dc:title>附件2</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0E625BEE55C04D68BD949F170AD530C2_13</vt:lpwstr>
  </property>
</Properties>
</file>