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"/>
        </w:rPr>
        <w:t>年度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" w:eastAsia="zh-CN"/>
        </w:rPr>
        <w:t>宁县交通运输局整体支出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" w:eastAsia="zh-CN"/>
        </w:rPr>
        <w:t>绩效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"/>
        </w:rPr>
        <w:t>自评报告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一、基本情况</w:t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（一）部门主要职能。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1.贯彻执行国家、省、市有关交通运输工作方针、政策、法律法规，拟定全县公路交通运输行业发展战略、方针、政策并监督执行。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担涉及综合运输体系的规划协调工作，会同有关部门组织编制综合运输体系规划。负责全县地方性公路规章和实施意见的草拟送审。负责编制全县交通运输行业的发展规划、中长期计划和年度计划并组织实施。负责全县交通运输行业统计、发展预测、经济运行分析的信息引导工作。组织实施全县交通运输行业体制改革工作，指导交通行业国有资产重组和路产路权的经营管理工作。引导交通运输业优化结构、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3.负责全县公路交通运输市场监督管理。监督实施公路运输有关政策、准入制度、技术标准和运营规范。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eastAsia="仿宋_GB2312"/>
          <w:sz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4.负责全县交通基础设施建设市场监督管理。监督实施公路工程建设相关政策、制度和技术标准。负责交通基础设施工程质量监督、工程造价、工程定额、工程招投标和工程预算的管理。承办全县公路施工企业资质的审查、报批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（二）内设机构及所属单位概况。</w:t>
      </w:r>
    </w:p>
    <w:p>
      <w:pPr>
        <w:spacing w:before="100" w:beforeLines="0" w:after="100" w:afterLines="0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宁县交通运输局内设6个股（室）。办公室、公路规划股、建设管理股、养护管理股、安全监督股、交通战备办公室。下设三个事业单位宁县县乡公路养护管理站、宁县公路局、宁县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交通运输综合执法队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二、绩效自评工作组织开展情况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年主要工作目标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完成自然村道路硬化工程。计划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修建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中村平定等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55条自然村道路</w:t>
      </w:r>
      <w:r>
        <w:rPr>
          <w:rFonts w:hint="eastAsia" w:ascii="仿宋_GB2312" w:hAnsi="仿宋_GB2312" w:eastAsia="仿宋_GB2312" w:cs="仿宋_GB2312"/>
          <w:sz w:val="32"/>
          <w:szCs w:val="32"/>
        </w:rPr>
        <w:t>混凝土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硬化工程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整治农村公路46条，隐患治理里程30公里，按照钢波形护栏16808米，交通标志106块，广角镜16块，交通标线573.14平方米，道口标注620根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三是路网改善工程，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S504宁县-湘乐（古城至湘乐段）公路改造工程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25公里，S318线岘头至盘克段改建工程10公里；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四是完成农村公路养护及水毁维修工程。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本年度单位预算绩效管理开展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成立以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昔鹏刚同志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任组长，夏兴宏任副组长，刘卫军、王晓兵、杨振辉、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李峰、卜文虔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、及各片区业务人员为组员的项目绩效评价小组，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各片区项目建设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情况进行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跟踪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检查，并及时分析汇总数据，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对绩效不达标的项目及时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督促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，确保项目能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保质保量完工。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在预算资金执行时，能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充分发挥专项资金的作用，通过科学规范地使用项目专项资金，提高资金的使用效率，取得了成效。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三、部门整体支出绩效自评情况分析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ab/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（一）部门决算情况。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2022年部门年初预算数695.843万元，年末决算数9771.910877万元，年末无结转结余资金。</w:t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"/>
        </w:rPr>
        <w:t xml:space="preserve"> 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二）总体绩效目标完成情况分析。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按照习近平总书记“四好农村路”要求和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“1236”扶贫攻坚行动以及县委、县政府要求，早安排、早部署，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坚持“打通断头路，创建安全路，提升产业路，完善脱贫路”的思路，狠抓农村公路建设、农村公路养护和管理等工作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，较好地完成了各项工作任务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各项指标完成情况分析。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完成自然村道路硬化工程。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修建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中村平定等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55条自然村道路</w:t>
      </w:r>
      <w:r>
        <w:rPr>
          <w:rFonts w:hint="eastAsia" w:ascii="仿宋_GB2312" w:hAnsi="仿宋_GB2312" w:eastAsia="仿宋_GB2312" w:cs="仿宋_GB2312"/>
          <w:sz w:val="32"/>
          <w:szCs w:val="32"/>
        </w:rPr>
        <w:t>混凝土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硬化工程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整治农村公路46条，隐患治理里程30公里，按照钢波形护栏16808米，交通标志106块，广角镜16块，交通标线573.14平方米，道口标注620根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三是路网改善工程，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S504宁县-湘乐（古城至湘乐段）公路改造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路基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25公里，S318线岘头至盘克段改建工程路基工程，全长10公里；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四是完成农村公路养护及水毁维修工程。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偏离绩效目标的原因及下一步改进措施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在施工管理过程中制定了一系列的科学质量保证管理体系，这一体系虽然在理论上对于保证施工质量有很大的作用，但是在很多实际的施工过程中，很多问题没有得到解决，导致工程质量虽然合格与预期的绩效目标有少许差异。所以在今后进行质量管理的时候，我局严格会同施工单位、中心实验室、监理、质检股等等人员进行统一的讨论和研讨，制定质量管理体系，狠抓工程质量，科学规划，严格按照《农村公路技术标准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《农村公路养护管理办法》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，精准施工、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狠抓工程质量，及时排查道路水毁及安全隐患点隐患，对发现的隐患点树立警示标志，并第一时间组织人员清除道路隐患点，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确保打造一条条高质量、高标准的现代农村公路道路网。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四、部门预算项目支出绩效自评情况分析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ab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年，本部门预算支出项目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个，通过自评，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所有项目全部达到预期目标，现将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分项目自评情况分析如下：</w:t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自然村道路建设工程、安全生命防护工程、S504岘头至盘克改建工程、S318线湘乐石鼓至古城段改建工程</w:t>
      </w:r>
    </w:p>
    <w:p>
      <w:pPr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1.项目支出预算执行情况。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2022年自然村道路建设工程、安全生命防护工程、S504岘头至盘克改建工程、S318线湘乐石鼓至古城段改建工程预算总金额共计11414.66万元，已支付资金7518.5835万元。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.总体绩效目标完成情况分析。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根据年初制定的目标计划，我局成立了项目办，由科级干部任项目办主任，其他业务能力强的同志为成员，根据绩效目标计划，长期坚持一线，顺利完成了年初制定目标计划。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.各项指标完成情况分析。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（1）产出指标（权重为50%，满分50分）。该一级指标项目立项情况下设置有三个二级指标，分别为①数量指标（权重40%）；②质量指标（权重20%）；③时效指标（权重20%）；④成本指标（权重20%）。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（2）效益指标（权重为30%，满分30分）该一级指标项目立项情况下设置有三个二级指标，分别为 ①、经济效益指标（权重10%）；②、社会效益指标（权重15%）；③、可持续影响指标（权重5%）。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（3）满意度指标该一级指标项目立项情况下设置有一个二级指标，为①服务对象满意度指标（权重10%）。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（4）预算资金执行率指标（权重10%）。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考核项目实施事件与计划时间的差异情况；绩效目标合理性、绩效指标明确性、绩效指标完成率、项目立项规范性；成本控制率、资金到位率、到位及时率、资金使用率等项目投入情况的指标。综合以上四个方面，农村公路自然村道路建设项目、安保工程、S318、S504改建项目自评得分89.5分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偏离绩效目标的原因及下一步改进措施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S504岘头至盘克改建工程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为跨年度项目，2023年项目继续实施，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下一步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我局将严格按照施工计划挂图作战，积极督促施工单位加快施工进度，保证项目按计划完工。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农村公路养护维修及水毁抢险项目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/>
        </w:rPr>
        <w:t>项目</w:t>
      </w:r>
    </w:p>
    <w:p>
      <w:pPr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1.项目支出预算执行情况。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农村公路养护维修工程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总金额共计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3402.3896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该项目目前已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1123.54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.总体绩效目标完成情况分析。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根据年初制定的目标计划，我局成立了养护办，由卜文虔同志任项目办主任，其他业务能力强的同志为成员，根据绩效目标计划，长期坚持一线，顺利完成了年初制定目标计划。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/>
        </w:rPr>
        <w:t>.各项指标完成情况分析。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（1）产出指标（权重为50%，满分50分）。该一级指标项目立项情况下设置有三个二级指标，分别为①数量指标（权重40%）；②质量指标（权重20%）；③时效指标（权重20%）；④成本指标（权重20%）。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（2）效益指标（权重为30%，满分30分）该一级指标项目立项情况下设置有三个二级指标，分别为 ①、经济效益指标（权重10%）；②、社会效益指标（权重15%）；③、可持续影响指标（权重5%）。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（3）满意度指标该一级指标项目立项情况下设置有一个二级指标，为①服务对象满意度指标（权重10%）。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（4）预算资金执行率指标（权重10%）。</w:t>
      </w:r>
    </w:p>
    <w:p>
      <w:pPr>
        <w:snapToGrid w:val="0"/>
        <w:spacing w:line="578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考核项目实施事件与计划时间的差异情况；绩效目标合理性、绩效指标明确性、绩效指标完成率、项目立项规范性；成本控制率、资金到位率、到位及时率、资金使用率等项目投入情况的指标。综合以上四个方面，农村公路养护维修项目自评得分92.5分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经过我局项目评价小组评议，群众问卷调查，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车辆购置税收入用于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公路自然村道路建设、路网改造项目、安保工程项目自评得分89.5分，农村公路养护维修项目自评得分92.5分，单位整体绩效评价得分93分，达到预期目标值。自评结果以文件的形式下发各领导和股室传阅进行公开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 xml:space="preserve"> 七、其他需要说明的问题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>
      <w:pPr>
        <w:rPr>
          <w:rFonts w:hint="default"/>
          <w:color w:val="auto"/>
          <w:lang w:val="e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0A12B"/>
    <w:multiLevelType w:val="singleLevel"/>
    <w:tmpl w:val="C5E0A12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2U4NjMyNTgxNzY1YjY1NmUzMmI2MTNiMDc4MmUifQ=="/>
  </w:docVars>
  <w:rsids>
    <w:rsidRoot w:val="00000000"/>
    <w:rsid w:val="0CA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2024-05-31T08:27:25Z</dcterms:created>
  <dc:creator>Administrator</dc:creator>
  <cp:lastModifiedBy>Administrator</cp:lastModifiedBy>
  <dcterms:modified xsi:type="dcterms:W3CDTF">2024-05-31T08:27:56Z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CF980792973149C0BE46145C55121636_12</vt:lpwstr>
  </property>
</Properties>
</file>