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</w:pPr>
      <w:r>
        <w:rPr>
          <w:rFonts w:hint="eastAsia" w:cs="宋体"/>
        </w:rPr>
        <w:t>宁县县城幼儿园</w:t>
      </w:r>
      <w:r>
        <w:t xml:space="preserve">         </w:t>
      </w:r>
    </w:p>
    <w:p>
      <w:pPr>
        <w:pStyle w:val="2"/>
        <w:jc w:val="center"/>
        <w:rPr>
          <w:rFonts w:cs="Times New Roman"/>
        </w:rPr>
      </w:pPr>
      <w:r>
        <w:t xml:space="preserve">  202</w:t>
      </w:r>
      <w:r>
        <w:rPr>
          <w:rFonts w:hint="eastAsia"/>
          <w:lang w:val="en-US" w:eastAsia="zh-CN"/>
        </w:rPr>
        <w:t>1</w:t>
      </w:r>
      <w:r>
        <w:rPr>
          <w:rFonts w:hint="eastAsia" w:cs="宋体"/>
        </w:rPr>
        <w:t>年整体支出绩效评价报告</w:t>
      </w:r>
    </w:p>
    <w:p>
      <w:pPr>
        <w:ind w:left="16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一、单位概况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（一）单位主要职责职能及机构、人员构成</w:t>
      </w:r>
    </w:p>
    <w:p>
      <w:pPr>
        <w:ind w:firstLine="630" w:firstLineChars="300"/>
        <w:rPr>
          <w:rFonts w:ascii="仿宋_GB2312" w:hAnsi="仿宋_GB2312" w:eastAsia="仿宋_GB2312" w:cs="Times New Roman"/>
          <w:sz w:val="32"/>
          <w:szCs w:val="32"/>
        </w:rPr>
      </w:pPr>
      <w: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单位职责职能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认真贯彻执行党和国家的有关法律法规、方针、政策，坚持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民主管理，依法办园，执行上级主管部门的指示和决定。实行保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育和教育相结合的原则，对幼儿实施体、智、德、美诸方面全面发展的教育，促进其身心和谐发展。为家长解除后顾之忧，热忱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为家长服务。尊重儿童的人格尊严和基本权利，尊重儿童身心发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展的特点和规律，为儿童提供健康、丰富的生活和活动环境。合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理组织幼儿一日生活活动和其它活动，促进幼儿体智德美等和谐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发展，全面实施素质教育。严格执行幼儿园安全、卫生保健制度，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保证幼儿身心健康和生命安全。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单位组织架构及人员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宁县县城幼儿园为独立财务核算单位，财政预算二级拨款单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位，学校设置</w:t>
      </w:r>
      <w:r>
        <w:rPr>
          <w:rFonts w:ascii="仿宋_GB2312" w:hAnsi="仿宋_GB2312" w:eastAsia="仿宋_GB2312" w:cs="仿宋_GB2312"/>
          <w:sz w:val="32"/>
          <w:szCs w:val="32"/>
        </w:rPr>
        <w:t xml:space="preserve"> 4 </w:t>
      </w:r>
      <w:r>
        <w:rPr>
          <w:rFonts w:hint="eastAsia" w:ascii="仿宋_GB2312" w:hAnsi="仿宋_GB2312" w:eastAsia="仿宋_GB2312" w:cs="仿宋_GB2312"/>
          <w:sz w:val="32"/>
          <w:szCs w:val="32"/>
        </w:rPr>
        <w:t>个内设机构，即保教处、保育处、教研室、总务处。学校编制名额为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56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12 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月底在编在职人员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61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离休人员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人，遗属供养</w:t>
      </w:r>
      <w:r>
        <w:rPr>
          <w:rFonts w:ascii="仿宋_GB2312" w:hAnsi="仿宋_GB2312" w:eastAsia="仿宋_GB2312" w:cs="仿宋_GB2312"/>
          <w:sz w:val="32"/>
          <w:szCs w:val="32"/>
        </w:rPr>
        <w:t xml:space="preserve"> 2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t xml:space="preserve"> </w:t>
      </w:r>
    </w:p>
    <w:p>
      <w:pPr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（二）当年单位绩效总目标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：积极争取领导支持、政策支持、经费支持、建设支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持，争取学龄前儿童入学率达到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：成功创建省级文明单位，建设文明校园、书香校园、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温馨校园。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：充分利用幼儿和社区的资源优势，面向家长开展多种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形式的早期教育宣传、指导等服务，促进家庭教育质量的不断提高。</w:t>
      </w:r>
      <w:r>
        <w:t xml:space="preserve"> </w:t>
      </w:r>
    </w:p>
    <w:p>
      <w:pPr>
        <w:numPr>
          <w:ilvl w:val="0"/>
          <w:numId w:val="1"/>
        </w:numPr>
        <w:ind w:left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当年单位年度整体支出绩效目标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numPr>
          <w:ilvl w:val="0"/>
          <w:numId w:val="2"/>
        </w:num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年度内在籍学生达</w:t>
      </w:r>
      <w:r>
        <w:rPr>
          <w:rFonts w:ascii="仿宋_GB2312" w:hAnsi="仿宋_GB2312" w:eastAsia="仿宋_GB2312" w:cs="仿宋_GB2312"/>
          <w:sz w:val="32"/>
          <w:szCs w:val="32"/>
        </w:rPr>
        <w:t xml:space="preserve"> 500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人。辖区内辍学学生低</w:t>
      </w:r>
      <w:r>
        <w:rPr>
          <w:rFonts w:ascii="仿宋_GB2312" w:hAnsi="仿宋_GB2312" w:eastAsia="仿宋_GB2312" w:cs="仿宋_GB2312"/>
          <w:sz w:val="32"/>
          <w:szCs w:val="32"/>
        </w:rPr>
        <w:t>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厉行节约，加强预算管理，争取预算执行差异率</w:t>
      </w:r>
      <w:r>
        <w:rPr>
          <w:rFonts w:ascii="仿宋_GB2312" w:hAnsi="仿宋_GB2312" w:eastAsia="仿宋_GB2312" w:cs="仿宋_GB2312"/>
          <w:sz w:val="32"/>
          <w:szCs w:val="32"/>
        </w:rPr>
        <w:t>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年全年建档立卡学生资助率达到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</w:p>
    <w:p>
      <w:pPr>
        <w:ind w:left="8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、项目整体满意度达到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left="63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单位预算绩效管理开展情况</w:t>
      </w:r>
    </w:p>
    <w:p>
      <w:pPr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、预算编制方面</w:t>
      </w:r>
      <w: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单位按照教育教学发展计划和任务目标为中心，在降低成本、减少费用支出等方面做出详细规划，同时充分考虑国家、行政事业单位等宏观政策，建立预算管理办法，结合本单位实际情况编制部门预算。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预算编制流程分为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5 </w:t>
      </w:r>
      <w:r>
        <w:rPr>
          <w:rFonts w:hint="eastAsia" w:ascii="仿宋_GB2312" w:hAnsi="仿宋_GB2312" w:eastAsia="仿宋_GB2312" w:cs="仿宋_GB2312"/>
          <w:sz w:val="32"/>
          <w:szCs w:val="32"/>
        </w:rPr>
        <w:t>个步骤，包括预算布置、预算申报、预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算论证及编制预算。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①预算布置。上年年末，财务室根据财政局要求，提出下年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度学校预算编制的基本原则与方法，向单位各处室布置下年度的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预算申报工作；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②预算申报。每年年初，各处室根据预算年度工作目标和工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作计划提出真实、详细的下年度预算申请。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③预算论证。每年一月中旬，财务室对各处室的下年度预算申请进行初审与协调，结合单位下年度收入测算数，根据项目的轻重缓急，提出支出项目预算建议数。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④编制预算。每年一月底，财务室根据单位预算年度的收支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预测，在收支平衡的基础上，编制单位下一年度预算草案，形成预算建议数，报分管领导、园长审阅，上报县教育局。</w:t>
      </w:r>
    </w:p>
    <w:p>
      <w:pPr>
        <w:ind w:left="8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、基本支出预算管理情况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根据县财政局最终批复预算数，向单位各处室通报并在单位内部进行公开，下年度各项经费开支范围、项目建设支出必须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以预算批复额度为基准，不得无预算、超预算支出。预算指标下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达后，依据批复结果，提出执行申请。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千元（含</w:t>
      </w:r>
      <w:r>
        <w:rPr>
          <w:rFonts w:ascii="仿宋_GB2312" w:hAnsi="仿宋_GB2312" w:eastAsia="仿宋_GB2312" w:cs="仿宋_GB2312"/>
          <w:sz w:val="32"/>
          <w:szCs w:val="32"/>
        </w:rPr>
        <w:t xml:space="preserve"> 5 </w:t>
      </w:r>
      <w:r>
        <w:rPr>
          <w:rFonts w:hint="eastAsia" w:ascii="仿宋_GB2312" w:hAnsi="仿宋_GB2312" w:eastAsia="仿宋_GB2312" w:cs="仿宋_GB2312"/>
          <w:sz w:val="32"/>
          <w:szCs w:val="32"/>
        </w:rPr>
        <w:t>千元）以下用款由分管校长审批，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万元以上用款由班子会研究后审批。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项目支出预算管理情况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单位加强对县财政预算安排的项目资金的管理，保证项目资金按计划、按进度实行。专项资金应实行项目管理，专款专用，不得虚列项目支出，不得截留、挤占、挪用、浪费、套取、转移专项资金。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所有物资采购按照政府采购相关规定，属于政府采购范围物资一律通过政府采购平台，按照规定流程进行政府采购。工程项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目通过政府采购，经过财政预算评审、招投标、签订合同、竣工验收、财政决算评审等流程严格执行，并进行公示，接受监督。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三公经费预算管理情况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学校对于三公经费预算严格按照相关管理规定进行，严格预算，近年来，学校无三公经费支出。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left="63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单位预算及执行情况</w:t>
      </w:r>
    </w:p>
    <w:p>
      <w:pPr>
        <w:ind w:left="9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部门预算收入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年初部门预算收入为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4929656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元，全部属于公共预算财政经费拨款。</w:t>
      </w:r>
    </w:p>
    <w:p>
      <w:pPr>
        <w:numPr>
          <w:ilvl w:val="0"/>
          <w:numId w:val="3"/>
        </w:numPr>
        <w:ind w:firstLine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年初部门预算支出为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4929656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元，全部属于基本支出。</w:t>
      </w:r>
    </w:p>
    <w:p>
      <w:pPr>
        <w:numPr>
          <w:ilvl w:val="0"/>
          <w:numId w:val="3"/>
        </w:numPr>
        <w:ind w:firstLine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三公经费预算情况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年度部门预算三公经费预算总支出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单位预算执行情况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单位实际收入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年度收入决算数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7060360.87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元，其中，公共预算财政拨款收入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7060360.87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非税收入拨款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39281.94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年度可用金额合计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7060360.87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）单位实际支出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7060360.87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元。基本支出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7060360.87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元。其中：人员经费6607636.79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元（工资福利支出6354237.97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对个人和家庭的补助支出253398.82元），商品和服务支出等公用经费273967.78元。项目支出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178756.3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numPr>
          <w:ilvl w:val="0"/>
          <w:numId w:val="3"/>
        </w:numPr>
        <w:ind w:firstLine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三公经费实际支出情况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年度单位预算三公经费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元，实际总支出</w:t>
      </w:r>
      <w:r>
        <w:rPr>
          <w:rFonts w:ascii="仿宋_GB2312" w:hAnsi="仿宋_GB2312" w:eastAsia="仿宋_GB2312" w:cs="仿宋_GB2312"/>
          <w:sz w:val="32"/>
          <w:szCs w:val="32"/>
        </w:rPr>
        <w:t xml:space="preserve"> 0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元，未超出预算。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numPr>
          <w:ilvl w:val="0"/>
          <w:numId w:val="4"/>
        </w:numPr>
        <w:ind w:firstLine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单位整体支出绩效实现情况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numPr>
          <w:ilvl w:val="0"/>
          <w:numId w:val="5"/>
        </w:numPr>
        <w:ind w:firstLine="9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履职完成情况</w:t>
      </w:r>
      <w:r>
        <w:rPr>
          <w:rFonts w:ascii="楷体" w:hAnsi="楷体" w:eastAsia="楷体" w:cs="楷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本年度单位共资助建档立卡贫困户子女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人，甘肃籍户籍幼儿人数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349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资助标准达标率达到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％，享受学前免补保教费中建档立卡贫困户子女占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sz w:val="32"/>
          <w:szCs w:val="32"/>
        </w:rPr>
        <w:t>％，享受学前免补保教费甘肃籍幼儿占比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94.3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时效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资助经费及时发放率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（二）履职效果情况</w:t>
      </w:r>
      <w:r>
        <w:rPr>
          <w:rFonts w:ascii="楷体" w:hAnsi="楷体" w:eastAsia="楷体" w:cs="楷体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社会效益：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年我单位共资助建档立卡贫困户子女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人，接受资助的比例为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％，甘肃籍户籍幼儿资助人数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349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人，占入园学生人数的</w:t>
      </w:r>
      <w:r>
        <w:rPr>
          <w:rFonts w:ascii="仿宋_GB2312" w:hAnsi="仿宋_GB2312" w:eastAsia="仿宋_GB2312" w:cs="仿宋_GB2312"/>
          <w:sz w:val="32"/>
          <w:szCs w:val="32"/>
        </w:rPr>
        <w:t xml:space="preserve"> 95</w:t>
      </w:r>
      <w:r>
        <w:rPr>
          <w:rFonts w:hint="eastAsia" w:ascii="仿宋_GB2312" w:hAnsi="仿宋_GB2312" w:eastAsia="仿宋_GB2312" w:cs="仿宋_GB2312"/>
          <w:sz w:val="32"/>
          <w:szCs w:val="32"/>
        </w:rPr>
        <w:t>％，资助缓解建档立卡贫困户及甘肃籍幼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儿的教育负担。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生态效益：学校坚持注重校园环境的营造，打造书香校园、温馨校园，文明校园。图书室，区角的开展为幼儿提供了一个开放的场所，营造良好学习氛围、打造“书香常德”。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（三）社会满意度及可持续性影响</w:t>
      </w:r>
      <w:r>
        <w:rPr>
          <w:rFonts w:ascii="楷体" w:hAnsi="楷体" w:eastAsia="楷体" w:cs="楷体"/>
          <w:sz w:val="32"/>
          <w:szCs w:val="32"/>
        </w:rPr>
        <w:t xml:space="preserve">: </w:t>
      </w:r>
    </w:p>
    <w:p>
      <w:pPr>
        <w:ind w:firstLine="960" w:firstLine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社会满意度：国家资助政策为幼儿入园解决了家长经济上的负担，文明校园的创建为幼儿的学习生活提供了良好的环境，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受到家长及孩子的一致好评，满意度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100</w:t>
      </w:r>
      <w:r>
        <w:rPr>
          <w:rFonts w:hint="eastAsia" w:ascii="仿宋_GB2312" w:hAnsi="仿宋_GB2312" w:eastAsia="仿宋_GB2312" w:cs="仿宋_GB2312"/>
          <w:sz w:val="32"/>
          <w:szCs w:val="32"/>
        </w:rPr>
        <w:t>％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可持续影响：我单位组织的幼儿各类活动不仅仅丰富了孩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子的生活，更重要的是培养了孩子各方面的能力。亲子活动通过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家长参与活动了解了学前教育的内容，也增进了孩子和家长之间的感情。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三、存在的问题及整改措施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（一）存在的问题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对于目标设定需要分科室部门分解，汇总后制定整体目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标。目标设定后如何科学设定考核评价标准，特别是对于不能量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化的目标如何评价。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2.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财务管理方面，会计核算还不够细致，对于有些能够细分的工作，未能详细分类核算，绩效评价基础数据不够精准。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（二）整改措施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学习如何科学合理制定绩效目标及考核体系，充分发挥绩效工作效用。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财务上，会计核算要更加详细，为本单位各项工作的开展、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总结、评估提供有效数据资料支撑，为各项业务工作更好的开展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提供帮助。</w:t>
      </w:r>
    </w:p>
    <w:p>
      <w:pPr>
        <w:ind w:firstLine="960" w:firstLine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>
      <w:pPr>
        <w:ind w:left="958" w:leftChars="456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（一）进一步增强了单位的绩效评价主体责任意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（二）制定单位绩效管理办法及项目工作实施方案，建立长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效机制。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（三）促进单位项目资金使用的规范性、有效性，提高了财政资金使用效益。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1280" w:firstLineChars="4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宁县县城幼儿园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4480" w:firstLineChars="14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655316">
    <w:nsid w:val="0852F894"/>
    <w:multiLevelType w:val="singleLevel"/>
    <w:tmpl w:val="0852F894"/>
    <w:lvl w:ilvl="0" w:tentative="1">
      <w:start w:val="1"/>
      <w:numFmt w:val="chineseCounting"/>
      <w:suff w:val="nothing"/>
      <w:lvlText w:val="（%1）"/>
      <w:lvlJc w:val="left"/>
      <w:pPr>
        <w:ind w:left="-330"/>
      </w:pPr>
      <w:rPr>
        <w:rFonts w:hint="eastAsia"/>
      </w:rPr>
    </w:lvl>
  </w:abstractNum>
  <w:abstractNum w:abstractNumId="4283599049">
    <w:nsid w:val="FF5288C9"/>
    <w:multiLevelType w:val="singleLevel"/>
    <w:tmpl w:val="FF5288C9"/>
    <w:lvl w:ilvl="0" w:tentative="1">
      <w:start w:val="2"/>
      <w:numFmt w:val="decimal"/>
      <w:lvlText w:val="(%1)"/>
      <w:lvlJc w:val="left"/>
      <w:pPr>
        <w:tabs>
          <w:tab w:val="left" w:pos="312"/>
        </w:tabs>
        <w:ind w:left="-330"/>
      </w:pPr>
    </w:lvl>
  </w:abstractNum>
  <w:abstractNum w:abstractNumId="1293651299">
    <w:nsid w:val="4D1B8D63"/>
    <w:multiLevelType w:val="singleLevel"/>
    <w:tmpl w:val="4D1B8D63"/>
    <w:lvl w:ilvl="0" w:tentative="1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2792761429">
    <w:nsid w:val="A6762855"/>
    <w:multiLevelType w:val="singleLevel"/>
    <w:tmpl w:val="A6762855"/>
    <w:lvl w:ilvl="0" w:tentative="1">
      <w:start w:val="2"/>
      <w:numFmt w:val="chineseCounting"/>
      <w:suff w:val="nothing"/>
      <w:lvlText w:val="%1、"/>
      <w:lvlJc w:val="left"/>
      <w:pPr>
        <w:ind w:left="-330"/>
      </w:pPr>
      <w:rPr>
        <w:rFonts w:hint="eastAsia"/>
      </w:rPr>
    </w:lvl>
  </w:abstractNum>
  <w:abstractNum w:abstractNumId="1602475222">
    <w:nsid w:val="5F83D4D6"/>
    <w:multiLevelType w:val="singleLevel"/>
    <w:tmpl w:val="5F83D4D6"/>
    <w:lvl w:ilvl="0" w:tentative="1">
      <w:start w:val="3"/>
      <w:numFmt w:val="chineseCounting"/>
      <w:suff w:val="nothing"/>
      <w:lvlText w:val="（%1）"/>
      <w:lvlJc w:val="left"/>
      <w:pPr>
        <w:ind w:left="-210"/>
      </w:pPr>
      <w:rPr>
        <w:rFonts w:hint="eastAsia"/>
      </w:rPr>
    </w:lvl>
  </w:abstractNum>
  <w:num w:numId="1">
    <w:abstractNumId w:val="1602475222"/>
  </w:num>
  <w:num w:numId="2">
    <w:abstractNumId w:val="1293651299"/>
  </w:num>
  <w:num w:numId="3">
    <w:abstractNumId w:val="4283599049"/>
  </w:num>
  <w:num w:numId="4">
    <w:abstractNumId w:val="2792761429"/>
  </w:num>
  <w:num w:numId="5">
    <w:abstractNumId w:val="1396553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DkwYWRjMzNiMWY5MDhhYzVlM2FhYWZjOWI4NjUzY2QifQ=="/>
  </w:docVars>
  <w:rsids>
    <w:rsidRoot w:val="00BC76D4"/>
    <w:rsid w:val="00223F84"/>
    <w:rsid w:val="00345057"/>
    <w:rsid w:val="006B7A28"/>
    <w:rsid w:val="00A847D6"/>
    <w:rsid w:val="00BC76D4"/>
    <w:rsid w:val="00D146B0"/>
    <w:rsid w:val="01F93392"/>
    <w:rsid w:val="21B211C3"/>
    <w:rsid w:val="2C295F6A"/>
    <w:rsid w:val="339A28FC"/>
    <w:rsid w:val="33D14D2D"/>
    <w:rsid w:val="355C5E7D"/>
    <w:rsid w:val="3CEC57F8"/>
    <w:rsid w:val="3ED0501B"/>
    <w:rsid w:val="40EE5048"/>
    <w:rsid w:val="47727B9E"/>
    <w:rsid w:val="67346593"/>
    <w:rsid w:val="6AF54AD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7</Pages>
  <Words>2560</Words>
  <Characters>2758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2021-08-03T10:13:00Z</dcterms:created>
  <dc:creator>Administrator</dc:creator>
  <cp:lastModifiedBy>lenovo</cp:lastModifiedBy>
  <cp:lastPrinted>2022-10-10T01:03:00Z</cp:lastPrinted>
  <dcterms:modified xsi:type="dcterms:W3CDTF">2022-10-14T02:56:37Z</dcterms:modified>
  <dc:title>宁县县城幼儿园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A7381D2A70DC4D90AA43E4E4D52C8ABB</vt:lpwstr>
  </property>
</Properties>
</file>